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方正小标宋_GBK" w:hAnsi="方正小标宋_GBK" w:eastAsia="方正小标宋_GBK" w:cs="Times New Roman"/>
          <w:b w:val="0"/>
          <w:bCs w:val="0"/>
          <w:sz w:val="44"/>
          <w:szCs w:val="44"/>
          <w:lang w:eastAsia="zh-CN"/>
        </w:rPr>
      </w:pPr>
      <w:bookmarkStart w:id="0" w:name="_Toc24724723"/>
      <w:r>
        <w:rPr>
          <w:rFonts w:hint="eastAsia" w:ascii="方正小标宋_GBK" w:hAnsi="方正小标宋_GBK" w:eastAsia="方正小标宋_GBK" w:cs="Times New Roman"/>
          <w:b w:val="0"/>
          <w:bCs w:val="0"/>
          <w:sz w:val="44"/>
          <w:szCs w:val="44"/>
          <w:lang w:eastAsia="zh-CN"/>
        </w:rPr>
        <w:t>阳江市阳东区文化广电旅游体育局</w:t>
      </w:r>
    </w:p>
    <w:p>
      <w:pPr>
        <w:pStyle w:val="2"/>
        <w:spacing w:line="240" w:lineRule="auto"/>
        <w:jc w:val="center"/>
        <w:rPr>
          <w:rFonts w:ascii="方正小标宋_GBK" w:hAnsi="方正小标宋_GBK" w:eastAsia="方正小标宋_GBK" w:cs="Times New Roman"/>
          <w:b w:val="0"/>
          <w:bCs w:val="0"/>
          <w:sz w:val="44"/>
          <w:szCs w:val="44"/>
        </w:rPr>
      </w:pPr>
      <w:r>
        <w:rPr>
          <w:rFonts w:hint="eastAsia" w:ascii="方正小标宋_GBK" w:hAnsi="方正小标宋_GBK" w:eastAsia="方正小标宋_GBK" w:cs="Times New Roman"/>
          <w:b w:val="0"/>
          <w:bCs w:val="0"/>
          <w:sz w:val="44"/>
          <w:szCs w:val="44"/>
        </w:rPr>
        <w:t>公共文化服务领域基层政务公开标准目录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540"/>
        <w:gridCol w:w="620"/>
        <w:gridCol w:w="49"/>
        <w:gridCol w:w="660"/>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2354"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9" w:type="dxa"/>
            <w:gridSpan w:val="3"/>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left"/>
              <w:rPr>
                <w:rFonts w:ascii="Times New Roman" w:hAnsi="Times New Roman" w:eastAsia="宋体" w:cs="Times New Roman"/>
                <w:color w:val="000000"/>
                <w:kern w:val="0"/>
                <w:sz w:val="22"/>
              </w:rPr>
            </w:pPr>
          </w:p>
        </w:tc>
        <w:tc>
          <w:tcPr>
            <w:tcW w:w="73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1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2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540" w:type="dxa"/>
            <w:vMerge w:val="continue"/>
            <w:shd w:val="clear" w:color="auto" w:fill="auto"/>
            <w:noWrap w:val="0"/>
            <w:vAlign w:val="center"/>
          </w:tcPr>
          <w:p>
            <w:pPr>
              <w:widowControl/>
              <w:jc w:val="left"/>
              <w:rPr>
                <w:rFonts w:ascii="黑体" w:hAnsi="宋体" w:eastAsia="黑体" w:cs="宋体"/>
                <w:kern w:val="0"/>
                <w:sz w:val="22"/>
              </w:rPr>
            </w:pPr>
          </w:p>
        </w:tc>
        <w:tc>
          <w:tcPr>
            <w:tcW w:w="66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6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1</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lang w:eastAsia="zh-CN"/>
              </w:rPr>
              <w:t>设立</w:t>
            </w:r>
            <w:r>
              <w:rPr>
                <w:rFonts w:hint="eastAsia" w:ascii="仿宋_GB2312" w:hAnsi="Times New Roman" w:eastAsia="仿宋_GB2312" w:cs="Times New Roman"/>
                <w:sz w:val="18"/>
                <w:szCs w:val="18"/>
              </w:rPr>
              <w:t>互联网上网服务营业场所</w:t>
            </w:r>
            <w:r>
              <w:rPr>
                <w:rFonts w:hint="eastAsia" w:ascii="仿宋_GB2312" w:hAnsi="Times New Roman" w:eastAsia="仿宋_GB2312" w:cs="Times New Roman"/>
                <w:sz w:val="18"/>
                <w:szCs w:val="18"/>
                <w:lang w:eastAsia="zh-CN"/>
              </w:rPr>
              <w:t>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《行政许可法》、《政府信息公开条例》、《互联网上网服务营业场所管理条例》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2</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文艺表演团体设立审批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《行政许可法》、《政府信息公开条例》、《营业性演出管理条例》、《文化部关于落实“先照后证”改进文化市场行政审批工作的通知》 </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3</w:t>
            </w:r>
          </w:p>
        </w:tc>
        <w:tc>
          <w:tcPr>
            <w:tcW w:w="73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lang w:eastAsia="zh-CN"/>
              </w:rPr>
              <w:t>举办</w:t>
            </w:r>
            <w:r>
              <w:rPr>
                <w:rFonts w:hint="eastAsia" w:ascii="仿宋_GB2312" w:hAnsi="Times New Roman" w:eastAsia="仿宋_GB2312" w:cs="Times New Roman"/>
                <w:sz w:val="18"/>
                <w:szCs w:val="18"/>
              </w:rPr>
              <w:t>营业性演出审批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同上</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4</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color w:val="auto"/>
                <w:sz w:val="18"/>
                <w:szCs w:val="18"/>
                <w:lang w:eastAsia="zh-CN"/>
              </w:rPr>
              <w:t>设立</w:t>
            </w:r>
            <w:r>
              <w:rPr>
                <w:rFonts w:hint="eastAsia" w:ascii="仿宋" w:hAnsi="仿宋" w:eastAsia="仿宋" w:cs="仿宋"/>
                <w:color w:val="auto"/>
                <w:sz w:val="18"/>
                <w:szCs w:val="18"/>
              </w:rPr>
              <w:t>娱乐场所</w:t>
            </w:r>
            <w:r>
              <w:rPr>
                <w:rFonts w:hint="eastAsia" w:ascii="仿宋" w:hAnsi="仿宋" w:eastAsia="仿宋" w:cs="仿宋"/>
                <w:color w:val="auto"/>
                <w:sz w:val="18"/>
                <w:szCs w:val="18"/>
                <w:lang w:eastAsia="zh-CN"/>
              </w:rPr>
              <w:t>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5</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省级以下文物保护单位建设控制地带内的建设工程设计方案审核</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6</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文物保护单位文物保护工程许可</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7</w:t>
            </w:r>
          </w:p>
        </w:tc>
        <w:tc>
          <w:tcPr>
            <w:tcW w:w="734" w:type="dxa"/>
            <w:vMerge w:val="continue"/>
            <w:shd w:val="clear" w:color="auto" w:fill="auto"/>
            <w:noWrap w:val="0"/>
            <w:vAlign w:val="center"/>
          </w:tcPr>
          <w:p>
            <w:pPr>
              <w:spacing w:line="240" w:lineRule="exact"/>
              <w:rPr>
                <w:rFonts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非国有文物收藏单位和其他单位借用国有文物收藏单位馆藏文物审批</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8</w:t>
            </w:r>
          </w:p>
        </w:tc>
        <w:tc>
          <w:tcPr>
            <w:tcW w:w="734" w:type="dxa"/>
            <w:vMerge w:val="restart"/>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设立演出经纪机构审批</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9</w:t>
            </w:r>
          </w:p>
        </w:tc>
        <w:tc>
          <w:tcPr>
            <w:tcW w:w="734" w:type="dxa"/>
            <w:vMerge w:val="continue"/>
            <w:shd w:val="clear" w:color="auto" w:fill="auto"/>
            <w:noWrap w:val="0"/>
            <w:vAlign w:val="center"/>
          </w:tcPr>
          <w:p>
            <w:pPr>
              <w:spacing w:line="240" w:lineRule="exact"/>
              <w:rPr>
                <w:rFonts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广播电视节目传送业务经营许可证审核、审批</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10</w:t>
            </w:r>
          </w:p>
        </w:tc>
        <w:tc>
          <w:tcPr>
            <w:tcW w:w="734" w:type="dxa"/>
            <w:vMerge w:val="continue"/>
            <w:shd w:val="clear" w:color="auto" w:fill="auto"/>
            <w:noWrap w:val="0"/>
            <w:vAlign w:val="center"/>
          </w:tcPr>
          <w:p>
            <w:pPr>
              <w:spacing w:line="240" w:lineRule="exact"/>
              <w:rPr>
                <w:rFonts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设置卫星地面接收设施接收境内卫星电视节目审批</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11</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电视剧制作许可证审批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12</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临时占用公共体育场（馆）设施审批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体育</w:t>
            </w:r>
            <w:r>
              <w:rPr>
                <w:rFonts w:hint="eastAsia" w:ascii="仿宋_GB2312" w:hAnsi="Times New Roman" w:eastAsia="仿宋_GB2312"/>
                <w:sz w:val="18"/>
                <w:szCs w:val="18"/>
              </w:rPr>
              <w:t>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13</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许可</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经营高危险性体育项目许可</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体育</w:t>
            </w:r>
            <w:r>
              <w:rPr>
                <w:rFonts w:hint="eastAsia" w:ascii="仿宋_GB2312" w:hAnsi="Times New Roman" w:eastAsia="仿宋_GB2312"/>
                <w:sz w:val="18"/>
                <w:szCs w:val="18"/>
              </w:rPr>
              <w:t>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14</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设立健身气功活动站点审批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体育</w:t>
            </w:r>
            <w:r>
              <w:rPr>
                <w:rFonts w:hint="eastAsia" w:ascii="仿宋_GB2312" w:hAnsi="Times New Roman" w:eastAsia="仿宋_GB2312"/>
                <w:sz w:val="18"/>
                <w:szCs w:val="18"/>
              </w:rPr>
              <w:t>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default" w:ascii="仿宋_GB2312" w:hAnsi="宋体" w:eastAsia="仿宋_GB2312" w:cs="仿宋_GB2312"/>
                <w:i w:val="0"/>
                <w:color w:val="000000"/>
                <w:kern w:val="0"/>
                <w:sz w:val="18"/>
                <w:szCs w:val="18"/>
                <w:u w:val="none"/>
                <w:lang w:val="en-US" w:eastAsia="zh-CN" w:bidi="ar"/>
              </w:rPr>
              <w:t>15</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拆除公共体育设施或改变功能、用途审核</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体育</w:t>
            </w:r>
            <w:r>
              <w:rPr>
                <w:rFonts w:hint="eastAsia" w:ascii="仿宋_GB2312" w:hAnsi="Times New Roman" w:eastAsia="仿宋_GB2312"/>
                <w:sz w:val="18"/>
                <w:szCs w:val="18"/>
              </w:rPr>
              <w:t>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16</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其他行政权力</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演出场所经营单位备案、变更、延续、补证、注销</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17</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个体演员、个体演出经纪人备案</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18</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其他行政权力</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艺术品经营单位备案</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19</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 w:hAnsi="仿宋" w:eastAsia="仿宋" w:cs="仿宋"/>
                <w:i w:val="0"/>
                <w:caps w:val="0"/>
                <w:color w:val="auto"/>
                <w:spacing w:val="0"/>
                <w:sz w:val="18"/>
                <w:szCs w:val="18"/>
                <w:shd w:val="clear" w:fill="FFFFFF"/>
              </w:rPr>
              <w:t>社会体育指导员技术等级审核审批</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1.办事指南：内容同上;</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《行政许可法》、《政府信息公开条例》</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w:t>
            </w:r>
            <w:bookmarkStart w:id="1" w:name="_GoBack"/>
            <w:bookmarkEnd w:id="1"/>
            <w:r>
              <w:rPr>
                <w:rFonts w:hint="eastAsia" w:ascii="仿宋_GB2312" w:hAnsi="Times New Roman" w:eastAsia="仿宋_GB2312" w:cs="Times New Roman"/>
                <w:sz w:val="18"/>
                <w:szCs w:val="18"/>
              </w:rPr>
              <w:t>公开</w:t>
            </w:r>
          </w:p>
        </w:tc>
        <w:tc>
          <w:tcPr>
            <w:tcW w:w="1426"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体育</w:t>
            </w:r>
            <w:r>
              <w:rPr>
                <w:rFonts w:hint="eastAsia" w:ascii="仿宋_GB2312" w:hAnsi="Times New Roman" w:eastAsia="仿宋_GB2312"/>
                <w:sz w:val="18"/>
                <w:szCs w:val="18"/>
              </w:rPr>
              <w:t>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■公开查阅点     ■政务服务中心     </w:t>
            </w:r>
          </w:p>
        </w:tc>
        <w:tc>
          <w:tcPr>
            <w:tcW w:w="66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66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20</w:t>
            </w:r>
          </w:p>
        </w:tc>
        <w:tc>
          <w:tcPr>
            <w:tcW w:w="734" w:type="dxa"/>
            <w:vMerge w:val="restart"/>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对互联网上网服务营业场所违法行为的行政处罚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21</w:t>
            </w:r>
          </w:p>
        </w:tc>
        <w:tc>
          <w:tcPr>
            <w:tcW w:w="734" w:type="dxa"/>
            <w:vMerge w:val="continue"/>
            <w:shd w:val="clear" w:color="auto" w:fill="auto"/>
            <w:noWrap w:val="0"/>
            <w:vAlign w:val="center"/>
          </w:tcPr>
          <w:p>
            <w:pPr>
              <w:spacing w:line="240" w:lineRule="exact"/>
              <w:rPr>
                <w:rFonts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对娱乐场所违法行为的行政处罚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22</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对营业性演出违法行为的行政处罚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23</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对艺术品经营违法行为的行政处罚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24</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对网络游戏运营单位违法行为的行政处罚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25</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对社会艺术水平考级活动违法行为的行政处罚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26</w:t>
            </w:r>
          </w:p>
        </w:tc>
        <w:tc>
          <w:tcPr>
            <w:tcW w:w="734" w:type="dxa"/>
            <w:vMerge w:val="restart"/>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对互联网文化单位违法行为的行政处罚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27</w:t>
            </w:r>
          </w:p>
        </w:tc>
        <w:tc>
          <w:tcPr>
            <w:tcW w:w="734" w:type="dxa"/>
            <w:vMerge w:val="continue"/>
            <w:shd w:val="clear" w:color="auto" w:fill="auto"/>
            <w:noWrap w:val="0"/>
            <w:vAlign w:val="center"/>
          </w:tcPr>
          <w:p>
            <w:pPr>
              <w:spacing w:line="240" w:lineRule="exact"/>
              <w:rPr>
                <w:rFonts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对擅自在文物保护单位的保护范围内进行建设工程或者爆破、钻探、挖掘等作业的行为进行处罚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28</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对在文物保护单位的建设控制地带内进行建设工程，其工程设计方案未经</w:t>
            </w:r>
            <w:r>
              <w:rPr>
                <w:rFonts w:hint="eastAsia" w:ascii="仿宋_GB2312" w:hAnsi="Times New Roman" w:eastAsia="仿宋_GB2312" w:cs="Times New Roman"/>
                <w:sz w:val="18"/>
                <w:szCs w:val="18"/>
                <w:lang w:eastAsia="zh-CN"/>
              </w:rPr>
              <w:t>阳江市阳东区文化广电旅游体育局</w:t>
            </w:r>
            <w:r>
              <w:rPr>
                <w:rFonts w:hint="eastAsia" w:ascii="仿宋_GB2312" w:hAnsi="Times New Roman" w:eastAsia="仿宋_GB2312" w:cs="Times New Roman"/>
                <w:sz w:val="18"/>
                <w:szCs w:val="18"/>
              </w:rPr>
              <w:t>同意、报城乡建设规划部门批准，对文物保护单位的历史风貌造成破坏的行为进行处罚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29</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对擅自迁移、拆除不可移动文物的行为进行处罚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30</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对擅自修缮不可移动文物，明显改变文物原状的行为进行处罚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31</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对擅自在原址重建已全部毁坏的不可移动文物，造成文物破坏的行为进行处罚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32</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对施工单位未取得文物保护工程资质证书，擅自从事文物修缮、迁移、重建的行为进行处罚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33</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对转让或者抵押国有不可移动文物的行为进行处罚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34</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对将国有不可移动文物作为企业资产经营的行为进行处罚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35</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对将非国有不可移动文物转让或者抵押给外国人的行为进行处罚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36</w:t>
            </w:r>
          </w:p>
        </w:tc>
        <w:tc>
          <w:tcPr>
            <w:tcW w:w="734" w:type="dxa"/>
            <w:vMerge w:val="restart"/>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对擅自改变国有文物保护单位用途的行为进行处罚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37</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对文物收藏单位未按照国家有关规定配备防火、防盗、防自然损坏的设施的行为进行处罚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38</w:t>
            </w:r>
          </w:p>
        </w:tc>
        <w:tc>
          <w:tcPr>
            <w:tcW w:w="734" w:type="dxa"/>
            <w:vMerge w:val="restart"/>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39</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对将国有馆藏文物赠与、出租或者出售给其他单位、个人的行为进行处罚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40</w:t>
            </w:r>
          </w:p>
        </w:tc>
        <w:tc>
          <w:tcPr>
            <w:tcW w:w="734" w:type="dxa"/>
            <w:vMerge w:val="restart"/>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对违法借用、交换、处置国有馆藏文物的行为进行处罚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41</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对违法挪用或者侵占依法调拨、交换、出借文物所得补偿费用的行为进行处罚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hint="eastAsia"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42</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对发现文物隐匿不报，或者拒不上交的行为进行处罚</w:t>
            </w:r>
          </w:p>
        </w:tc>
        <w:tc>
          <w:tcPr>
            <w:tcW w:w="1786"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43</w:t>
            </w:r>
          </w:p>
        </w:tc>
        <w:tc>
          <w:tcPr>
            <w:tcW w:w="734" w:type="dxa"/>
            <w:vMerge w:val="restart"/>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对未按照规定移交拣选文物的行为进行处罚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44</w:t>
            </w:r>
          </w:p>
        </w:tc>
        <w:tc>
          <w:tcPr>
            <w:tcW w:w="734" w:type="dxa"/>
            <w:vMerge w:val="continue"/>
            <w:shd w:val="clear" w:color="auto" w:fill="auto"/>
            <w:noWrap w:val="0"/>
            <w:vAlign w:val="center"/>
          </w:tcPr>
          <w:p>
            <w:pPr>
              <w:spacing w:line="240" w:lineRule="exact"/>
              <w:rPr>
                <w:rFonts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45</w:t>
            </w:r>
          </w:p>
        </w:tc>
        <w:tc>
          <w:tcPr>
            <w:tcW w:w="734" w:type="dxa"/>
            <w:vMerge w:val="restart"/>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处罚</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对未取得资质证书，擅自从事馆藏文物的修复、复制、拓印活动的行为进行处罚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46</w:t>
            </w:r>
          </w:p>
        </w:tc>
        <w:tc>
          <w:tcPr>
            <w:tcW w:w="734" w:type="dxa"/>
            <w:vMerge w:val="continue"/>
            <w:shd w:val="clear" w:color="auto" w:fill="auto"/>
            <w:noWrap w:val="0"/>
            <w:vAlign w:val="center"/>
          </w:tcPr>
          <w:p>
            <w:pPr>
              <w:spacing w:line="240" w:lineRule="exact"/>
              <w:rPr>
                <w:rFonts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对擅自修复、复制、拓印馆藏珍贵文物的行为进行处罚</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3.处罚依据；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47</w:t>
            </w:r>
          </w:p>
        </w:tc>
        <w:tc>
          <w:tcPr>
            <w:tcW w:w="73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行政</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强制</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对擅自从事互联网上网服务经营活动场所的查封，专用工具、设备的扣押</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1.主体信息；</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2.案由；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3.处理依据；</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4.处理结果。</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■政府网站          </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48</w:t>
            </w:r>
          </w:p>
        </w:tc>
        <w:tc>
          <w:tcPr>
            <w:tcW w:w="73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公共文化机构免费开放信息</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1980"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rPr>
              <w:t>《公共文化服务保障法》、《政府信息公开条例》、《文化部 财政部关于推进全国美术馆、公共图书馆、文化馆（站）免费开放工作的意见》、《文化部 财政部关于做好城市社区(街道)文化中心免费开放工作的通知》</w:t>
            </w:r>
            <w:r>
              <w:rPr>
                <w:rFonts w:hint="eastAsia" w:ascii="仿宋_GB2312" w:hAnsi="Times New Roman" w:eastAsia="仿宋_GB2312" w:cs="Times New Roman"/>
                <w:sz w:val="18"/>
                <w:szCs w:val="18"/>
                <w:lang w:eastAsia="zh-CN"/>
              </w:rPr>
              <w:t>、</w:t>
            </w:r>
            <w:r>
              <w:rPr>
                <w:rFonts w:hint="eastAsia" w:ascii="仿宋_GB2312" w:hAnsi="Times New Roman" w:eastAsia="仿宋_GB2312" w:cs="Times New Roman"/>
                <w:sz w:val="18"/>
                <w:szCs w:val="18"/>
              </w:rPr>
              <w:t>《残疾人保障法》</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文化和旅游行政部门，相关公共文化服务机构</w:t>
            </w:r>
          </w:p>
        </w:tc>
        <w:tc>
          <w:tcPr>
            <w:tcW w:w="1540"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49</w:t>
            </w:r>
          </w:p>
        </w:tc>
        <w:tc>
          <w:tcPr>
            <w:tcW w:w="734" w:type="dxa"/>
            <w:vMerge w:val="restart"/>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组织开展群众文化活动</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《政府信息公开条例》、《文化馆服务标准》</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文化和旅游行政部门，相关公共文化服务机构</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50</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下基层辅导、演出、展览和指导基层群众文化活动</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1.活动时间；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2.活动单位；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3.活动地址；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《政府信息公开条例》、《文化馆服务标准》</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文化和旅游行政部门，相关公共文化服务机构</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51</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举办各类展览、讲座信息</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1.活动时间；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2.活动单位；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3.活动地址；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《政府信息公开条例》、《乡镇综合文化站管理办法》</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文化和旅游行政部门，相关公共文化服务机构</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52</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辅导和培训基层文化骨干</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1.培训时间；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2.培训单位；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3.培训地址；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《政府信息公开条例》、《乡镇综合文化站管理办法》</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文化和旅游行政部门，相关公共文化服务机构</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53</w:t>
            </w:r>
          </w:p>
        </w:tc>
        <w:tc>
          <w:tcPr>
            <w:tcW w:w="734" w:type="dxa"/>
            <w:vMerge w:val="continue"/>
            <w:shd w:val="clear" w:color="auto" w:fill="auto"/>
            <w:noWrap w:val="0"/>
            <w:vAlign w:val="center"/>
          </w:tcPr>
          <w:p>
            <w:pPr>
              <w:spacing w:line="240" w:lineRule="exact"/>
              <w:rPr>
                <w:rFonts w:hint="eastAsia" w:ascii="仿宋_GB2312" w:hAnsi="Times New Roman" w:eastAsia="仿宋_GB2312" w:cs="Times New Roman"/>
                <w:sz w:val="18"/>
                <w:szCs w:val="18"/>
              </w:rPr>
            </w:pP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非物质文化遗产展示传播活动</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1.活动时间；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2.组织单位；</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3.活动地址；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《非物质文化遗产法》、《政府信息公开条例》  </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文化和旅游行政部门，相关公共文化服务机构</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both"/>
              <w:textAlignment w:val="center"/>
              <w:rPr>
                <w:rFonts w:ascii="仿宋_GB2312" w:hAnsi="Times New Roman" w:eastAsia="仿宋_GB2312" w:cs="Times New Roman"/>
                <w:sz w:val="18"/>
                <w:szCs w:val="18"/>
              </w:rPr>
            </w:pPr>
            <w:r>
              <w:rPr>
                <w:rFonts w:hint="eastAsia" w:ascii="仿宋" w:hAnsi="仿宋" w:eastAsia="仿宋" w:cs="仿宋"/>
                <w:i w:val="0"/>
                <w:color w:val="000000"/>
                <w:kern w:val="0"/>
                <w:sz w:val="18"/>
                <w:szCs w:val="18"/>
                <w:u w:val="none"/>
                <w:lang w:val="en-US" w:eastAsia="zh-CN" w:bidi="ar"/>
              </w:rPr>
              <w:t>54</w:t>
            </w:r>
          </w:p>
        </w:tc>
        <w:tc>
          <w:tcPr>
            <w:tcW w:w="734" w:type="dxa"/>
            <w:shd w:val="clear" w:color="auto" w:fill="auto"/>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文博单位名录</w:t>
            </w:r>
          </w:p>
        </w:tc>
        <w:tc>
          <w:tcPr>
            <w:tcW w:w="1786"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文物保护管理机构和博物馆名录</w:t>
            </w:r>
          </w:p>
        </w:tc>
        <w:tc>
          <w:tcPr>
            <w:tcW w:w="198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w:t>
            </w:r>
          </w:p>
        </w:tc>
        <w:tc>
          <w:tcPr>
            <w:tcW w:w="1814"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sz w:val="18"/>
                <w:szCs w:val="18"/>
              </w:rPr>
              <w:t>文物行政部门</w:t>
            </w:r>
          </w:p>
        </w:tc>
        <w:tc>
          <w:tcPr>
            <w:tcW w:w="154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6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09" w:type="dxa"/>
            <w:gridSpan w:val="2"/>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551"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720" w:type="dxa"/>
            <w:shd w:val="clear" w:color="auto" w:fill="auto"/>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bl>
    <w:p>
      <w:pPr>
        <w:jc w:val="left"/>
        <w:rPr>
          <w:rFonts w:ascii="Times New Roman" w:hAnsi="Times New Roman" w:eastAsia="方正小标宋_GBK" w:cs="Times New Roman"/>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79E11C-22B4-4657-BD2D-433755C516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E6A1EAC-5D2C-441F-BCEC-AAF26E32ED86}"/>
  </w:font>
  <w:font w:name="仿宋_GB2312">
    <w:altName w:val="仿宋"/>
    <w:panose1 w:val="02010609030101010101"/>
    <w:charset w:val="86"/>
    <w:family w:val="modern"/>
    <w:pitch w:val="default"/>
    <w:sig w:usb0="00000000" w:usb1="00000000" w:usb2="00000010" w:usb3="00000000" w:csb0="00040000" w:csb1="00000000"/>
    <w:embedRegular r:id="rId3" w:fontKey="{D60369E8-B331-4CC4-9BB3-FEFEC3531395}"/>
  </w:font>
  <w:font w:name="仿宋">
    <w:panose1 w:val="02010609060101010101"/>
    <w:charset w:val="86"/>
    <w:family w:val="auto"/>
    <w:pitch w:val="default"/>
    <w:sig w:usb0="800002BF" w:usb1="38CF7CFA" w:usb2="00000016" w:usb3="00000000" w:csb0="00040001" w:csb1="00000000"/>
    <w:embedRegular r:id="rId4" w:fontKey="{DBFED4FD-FF35-4334-B0DC-3E4CF72A4A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76ED9"/>
    <w:rsid w:val="195601F0"/>
    <w:rsid w:val="1A63086D"/>
    <w:rsid w:val="24215577"/>
    <w:rsid w:val="487675DC"/>
    <w:rsid w:val="5B132A7E"/>
    <w:rsid w:val="5DEB308A"/>
    <w:rsid w:val="5FC7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2020-11-25T09:32:00Z</dcterms:created>
  <dc:creator>米尔</dc:creator>
  <cp:lastModifiedBy>米尔</cp:lastModifiedBy>
  <cp:lastPrinted>2020-11-25T09:37:00Z</cp:lastPrinted>
  <dcterms:modified xsi:type="dcterms:W3CDTF">2020-11-26T03:50:19Z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