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附件</w:t>
      </w:r>
    </w:p>
    <w:p>
      <w:pPr>
        <w:pStyle w:val="2"/>
      </w:pPr>
    </w:p>
    <w:p>
      <w:pPr>
        <w:spacing w:line="500" w:lineRule="exact"/>
        <w:jc w:val="center"/>
        <w:rPr>
          <w:rFonts w:ascii="黑体" w:hAnsi="黑体" w:eastAsia="黑体"/>
          <w:sz w:val="30"/>
          <w:szCs w:val="30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2023年阳江市阳东区十件民生实事1-4月完成情况表</w:t>
      </w:r>
    </w:p>
    <w:bookmarkEnd w:id="0"/>
    <w:p>
      <w:pPr>
        <w:spacing w:line="40" w:lineRule="exact"/>
      </w:pPr>
    </w:p>
    <w:p>
      <w:pPr>
        <w:spacing w:line="40" w:lineRule="exact"/>
      </w:pPr>
    </w:p>
    <w:tbl>
      <w:tblPr>
        <w:tblStyle w:val="5"/>
        <w:tblW w:w="16017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9"/>
        <w:gridCol w:w="969"/>
        <w:gridCol w:w="834"/>
        <w:gridCol w:w="881"/>
        <w:gridCol w:w="2804"/>
        <w:gridCol w:w="4723"/>
        <w:gridCol w:w="804"/>
        <w:gridCol w:w="1134"/>
        <w:gridCol w:w="292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9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实事</w:t>
            </w:r>
          </w:p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项目</w:t>
            </w:r>
          </w:p>
        </w:tc>
        <w:tc>
          <w:tcPr>
            <w:tcW w:w="9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分管区领导</w:t>
            </w:r>
          </w:p>
        </w:tc>
        <w:tc>
          <w:tcPr>
            <w:tcW w:w="8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牵头单位</w:t>
            </w:r>
          </w:p>
        </w:tc>
        <w:tc>
          <w:tcPr>
            <w:tcW w:w="8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配合单位</w:t>
            </w:r>
          </w:p>
        </w:tc>
        <w:tc>
          <w:tcPr>
            <w:tcW w:w="28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工作任务</w:t>
            </w:r>
          </w:p>
        </w:tc>
        <w:tc>
          <w:tcPr>
            <w:tcW w:w="47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工作进展情况</w:t>
            </w:r>
          </w:p>
        </w:tc>
        <w:tc>
          <w:tcPr>
            <w:tcW w:w="8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完成情况</w:t>
            </w: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存在问题</w:t>
            </w:r>
          </w:p>
        </w:tc>
        <w:tc>
          <w:tcPr>
            <w:tcW w:w="29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下步计划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9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N w:val="0"/>
              <w:spacing w:line="300" w:lineRule="exact"/>
              <w:textAlignment w:val="center"/>
              <w:rPr>
                <w:rFonts w:eastAsia="方正仿宋简体"/>
                <w:b/>
                <w:sz w:val="24"/>
                <w:szCs w:val="24"/>
              </w:rPr>
            </w:pPr>
            <w:r>
              <w:rPr>
                <w:rFonts w:eastAsia="方正仿宋简体"/>
                <w:b/>
                <w:sz w:val="24"/>
                <w:szCs w:val="24"/>
              </w:rPr>
              <w:t>一、提高城乡居民救助补助标准</w:t>
            </w:r>
          </w:p>
        </w:tc>
        <w:tc>
          <w:tcPr>
            <w:tcW w:w="969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N w:val="0"/>
              <w:spacing w:line="300" w:lineRule="exact"/>
              <w:textAlignment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  <w:szCs w:val="24"/>
              </w:rPr>
              <w:t>李南轼</w:t>
            </w:r>
          </w:p>
        </w:tc>
        <w:tc>
          <w:tcPr>
            <w:tcW w:w="834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  <w:szCs w:val="24"/>
              </w:rPr>
              <w:t>区民政局</w:t>
            </w:r>
          </w:p>
        </w:tc>
        <w:tc>
          <w:tcPr>
            <w:tcW w:w="8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  <w:szCs w:val="24"/>
              </w:rPr>
              <w:t>区财政局、区残联、各镇政府</w:t>
            </w:r>
          </w:p>
        </w:tc>
        <w:tc>
          <w:tcPr>
            <w:tcW w:w="28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N w:val="0"/>
              <w:spacing w:line="300" w:lineRule="exact"/>
              <w:textAlignment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  <w:szCs w:val="24"/>
              </w:rPr>
              <w:t>1.困难残疾人生活补贴标准提高到每人每月不低于195元，重度残疾人护理补贴标准提高至每人每月不低于261元。（最终以省、市制定标准为准）</w:t>
            </w:r>
          </w:p>
        </w:tc>
        <w:tc>
          <w:tcPr>
            <w:tcW w:w="47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N w:val="0"/>
              <w:spacing w:line="300" w:lineRule="exact"/>
              <w:jc w:val="left"/>
              <w:textAlignment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  <w:szCs w:val="24"/>
              </w:rPr>
              <w:t>4月共发放残疾人两项补贴253.4907万元，其中困难残疾人生活补贴2818人次，发放金额55.3215万元；重度残疾人护理补贴7475人次，发放金额253.4907万元，1-4月共发放残疾人两项补贴1011.1633万元，其中困难残疾人生活补贴223.6885万元，重度残疾人护理补贴787.4748万元。</w:t>
            </w:r>
          </w:p>
        </w:tc>
        <w:tc>
          <w:tcPr>
            <w:tcW w:w="8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  <w:szCs w:val="24"/>
              </w:rPr>
              <w:t>33%</w:t>
            </w: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  <w:szCs w:val="24"/>
              </w:rPr>
              <w:t>无</w:t>
            </w:r>
          </w:p>
        </w:tc>
        <w:tc>
          <w:tcPr>
            <w:tcW w:w="29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N w:val="0"/>
              <w:spacing w:line="300" w:lineRule="exact"/>
              <w:jc w:val="left"/>
              <w:textAlignment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  <w:szCs w:val="24"/>
              </w:rPr>
              <w:t>目前我区残疾人两项补贴执行标准已达到省标准，下一步将继续做好资金发放和管理工作，确保按月足额发放，资金专款专用。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9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N w:val="0"/>
              <w:spacing w:line="300" w:lineRule="exact"/>
              <w:textAlignment w:val="center"/>
              <w:rPr>
                <w:rFonts w:eastAsia="方正仿宋简体"/>
                <w:b/>
                <w:sz w:val="24"/>
                <w:szCs w:val="24"/>
              </w:rPr>
            </w:pPr>
          </w:p>
        </w:tc>
        <w:tc>
          <w:tcPr>
            <w:tcW w:w="969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N w:val="0"/>
              <w:spacing w:line="300" w:lineRule="exact"/>
              <w:jc w:val="left"/>
              <w:textAlignment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834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  <w:szCs w:val="24"/>
              </w:rPr>
              <w:t>区财政局、各镇政府</w:t>
            </w:r>
          </w:p>
        </w:tc>
        <w:tc>
          <w:tcPr>
            <w:tcW w:w="28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N w:val="0"/>
              <w:spacing w:line="300" w:lineRule="exact"/>
              <w:textAlignment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  <w:szCs w:val="24"/>
              </w:rPr>
              <w:t>2.城镇、农村低保平均补差水平提高至每人每月分别不低于689元和342元，并实现应保尽保。（最终以市制定标准为准）</w:t>
            </w:r>
          </w:p>
        </w:tc>
        <w:tc>
          <w:tcPr>
            <w:tcW w:w="47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N w:val="0"/>
              <w:spacing w:line="300" w:lineRule="exact"/>
              <w:jc w:val="left"/>
              <w:textAlignment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  <w:szCs w:val="24"/>
              </w:rPr>
              <w:t>4月份全区城乡低保5368户12867人（其中城镇657户1409人，农村4711户11458人），全区共发放城乡低保资金607.9929万元。1-4月份全区共发放城乡低保资金2446.2987万元。</w:t>
            </w:r>
          </w:p>
        </w:tc>
        <w:tc>
          <w:tcPr>
            <w:tcW w:w="8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  <w:szCs w:val="24"/>
              </w:rPr>
              <w:t>33%</w:t>
            </w: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N w:val="0"/>
              <w:spacing w:line="300" w:lineRule="exact"/>
              <w:ind w:firstLine="240" w:firstLineChars="100"/>
              <w:jc w:val="left"/>
              <w:textAlignment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  <w:szCs w:val="24"/>
              </w:rPr>
              <w:t>无</w:t>
            </w:r>
          </w:p>
        </w:tc>
        <w:tc>
          <w:tcPr>
            <w:tcW w:w="29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autoSpaceDN w:val="0"/>
              <w:spacing w:line="300" w:lineRule="exact"/>
              <w:jc w:val="left"/>
              <w:textAlignment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  <w:szCs w:val="24"/>
              </w:rPr>
              <w:t>暂按2022年的标准、补助水平发放，待新的城乡低保标准一出台，即按新的标准、补助水平执行，并补发差额部分，确保完成全年低保资金发放任务。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7" w:hRule="atLeast"/>
          <w:jc w:val="center"/>
        </w:trPr>
        <w:tc>
          <w:tcPr>
            <w:tcW w:w="939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N w:val="0"/>
              <w:spacing w:line="300" w:lineRule="exact"/>
              <w:textAlignment w:val="center"/>
              <w:rPr>
                <w:rFonts w:eastAsia="方正仿宋简体"/>
                <w:b/>
                <w:sz w:val="24"/>
                <w:szCs w:val="24"/>
              </w:rPr>
            </w:pPr>
          </w:p>
        </w:tc>
        <w:tc>
          <w:tcPr>
            <w:tcW w:w="969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N w:val="0"/>
              <w:spacing w:line="300" w:lineRule="exact"/>
              <w:jc w:val="left"/>
              <w:textAlignment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834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  <w:szCs w:val="24"/>
              </w:rPr>
              <w:t>区财政局、各镇政府</w:t>
            </w:r>
          </w:p>
        </w:tc>
        <w:tc>
          <w:tcPr>
            <w:tcW w:w="28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N w:val="0"/>
              <w:spacing w:line="300" w:lineRule="exact"/>
              <w:textAlignment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  <w:szCs w:val="24"/>
              </w:rPr>
              <w:t>3.全区集中供养孤儿基本生活保障标准每人每月提高至2017元，散居孤儿供养基本生活保障标准每人每月提高至1359元。</w:t>
            </w:r>
          </w:p>
        </w:tc>
        <w:tc>
          <w:tcPr>
            <w:tcW w:w="47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N w:val="0"/>
              <w:spacing w:line="300" w:lineRule="exact"/>
              <w:jc w:val="left"/>
              <w:textAlignment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  <w:szCs w:val="24"/>
              </w:rPr>
              <w:t>4月份全区发放人数91人，发放金额12.3669万元，其中集中供养孤儿0人，社会散居孤儿91人。1-4月共发放城乡孤儿基本生活补助48.3804万元。</w:t>
            </w:r>
          </w:p>
        </w:tc>
        <w:tc>
          <w:tcPr>
            <w:tcW w:w="8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  <w:szCs w:val="24"/>
              </w:rPr>
              <w:t>33%</w:t>
            </w: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  <w:szCs w:val="24"/>
              </w:rPr>
              <w:t>无</w:t>
            </w:r>
          </w:p>
        </w:tc>
        <w:tc>
          <w:tcPr>
            <w:tcW w:w="29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N w:val="0"/>
              <w:spacing w:line="300" w:lineRule="exact"/>
              <w:jc w:val="left"/>
              <w:textAlignment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  <w:szCs w:val="24"/>
              </w:rPr>
              <w:t>目前我区社会城乡孤儿基本生活保障标准已达到省标准，下一步将继续做好资金发放和管理工作，确保按月足额发放，资金专款专用。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9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N w:val="0"/>
              <w:spacing w:line="300" w:lineRule="exact"/>
              <w:textAlignment w:val="center"/>
              <w:rPr>
                <w:rFonts w:eastAsia="方正仿宋简体"/>
                <w:b/>
                <w:sz w:val="24"/>
                <w:szCs w:val="24"/>
              </w:rPr>
            </w:pPr>
          </w:p>
        </w:tc>
        <w:tc>
          <w:tcPr>
            <w:tcW w:w="969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N w:val="0"/>
              <w:spacing w:line="300" w:lineRule="exact"/>
              <w:jc w:val="left"/>
              <w:textAlignment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834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  <w:szCs w:val="24"/>
              </w:rPr>
              <w:t>区财政局、各镇政府</w:t>
            </w:r>
          </w:p>
        </w:tc>
        <w:tc>
          <w:tcPr>
            <w:tcW w:w="28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N w:val="0"/>
              <w:spacing w:line="300" w:lineRule="exact"/>
              <w:textAlignment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  <w:szCs w:val="24"/>
              </w:rPr>
              <w:t>4.事实无人抚养儿童基本生活保障金标准每人每月提高至1359元。</w:t>
            </w:r>
          </w:p>
        </w:tc>
        <w:tc>
          <w:tcPr>
            <w:tcW w:w="47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N w:val="0"/>
              <w:spacing w:line="300" w:lineRule="exact"/>
              <w:jc w:val="left"/>
              <w:textAlignment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  <w:szCs w:val="24"/>
              </w:rPr>
              <w:t>4月份全区发放人数323人，发放金额32.1344万元。1-4月共发放事实无人抚养儿童基本生活保障金128.8200万元。</w:t>
            </w:r>
          </w:p>
        </w:tc>
        <w:tc>
          <w:tcPr>
            <w:tcW w:w="8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  <w:szCs w:val="24"/>
              </w:rPr>
              <w:t>33%</w:t>
            </w: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  <w:szCs w:val="24"/>
              </w:rPr>
              <w:t>无</w:t>
            </w:r>
          </w:p>
        </w:tc>
        <w:tc>
          <w:tcPr>
            <w:tcW w:w="29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N w:val="0"/>
              <w:spacing w:line="300" w:lineRule="exact"/>
              <w:jc w:val="left"/>
              <w:textAlignment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  <w:szCs w:val="24"/>
              </w:rPr>
              <w:t>目前我区事实无人抚养儿童基本生活保障金标准达到省标准，下一步将继续做好资金发放和管理工作，确保按月足额发放，资金专款专用。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0" w:hRule="atLeast"/>
          <w:jc w:val="center"/>
        </w:trPr>
        <w:tc>
          <w:tcPr>
            <w:tcW w:w="939" w:type="dxa"/>
            <w:vMerge w:val="restart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N w:val="0"/>
              <w:spacing w:line="300" w:lineRule="exact"/>
              <w:textAlignment w:val="center"/>
              <w:rPr>
                <w:rFonts w:eastAsia="方正仿宋简体"/>
                <w:b/>
                <w:sz w:val="24"/>
                <w:szCs w:val="24"/>
              </w:rPr>
            </w:pPr>
            <w:r>
              <w:rPr>
                <w:rFonts w:eastAsia="方正仿宋简体"/>
                <w:b/>
                <w:sz w:val="24"/>
                <w:szCs w:val="24"/>
              </w:rPr>
              <w:t>一、提高城乡居民救助补助标准</w:t>
            </w:r>
          </w:p>
        </w:tc>
        <w:tc>
          <w:tcPr>
            <w:tcW w:w="969" w:type="dxa"/>
            <w:vMerge w:val="restart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N w:val="0"/>
              <w:spacing w:line="300" w:lineRule="exact"/>
              <w:jc w:val="left"/>
              <w:textAlignment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  <w:szCs w:val="24"/>
              </w:rPr>
              <w:t>李南轼</w:t>
            </w:r>
          </w:p>
        </w:tc>
        <w:tc>
          <w:tcPr>
            <w:tcW w:w="834" w:type="dxa"/>
            <w:vMerge w:val="restart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  <w:szCs w:val="24"/>
              </w:rPr>
              <w:t>区民政局</w:t>
            </w:r>
          </w:p>
        </w:tc>
        <w:tc>
          <w:tcPr>
            <w:tcW w:w="8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  <w:szCs w:val="24"/>
              </w:rPr>
              <w:t>区财政局、各镇政府</w:t>
            </w:r>
          </w:p>
        </w:tc>
        <w:tc>
          <w:tcPr>
            <w:tcW w:w="28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N w:val="0"/>
              <w:spacing w:line="280" w:lineRule="exact"/>
              <w:textAlignment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  <w:szCs w:val="24"/>
              </w:rPr>
              <w:t>5.全面落实特困人员供养制度，积极引导失能、半失能等生活不能自理的特困人员集中供养，巩固工作成果，保障全区生活不能自理的特困人员基本照料护理全覆盖。</w:t>
            </w:r>
          </w:p>
        </w:tc>
        <w:tc>
          <w:tcPr>
            <w:tcW w:w="47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N w:val="0"/>
              <w:spacing w:line="280" w:lineRule="exact"/>
              <w:jc w:val="left"/>
              <w:textAlignment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  <w:szCs w:val="24"/>
              </w:rPr>
              <w:t>全区有特困人员3456人，已完成生活自理能力评估的特困人员3456人。即将发放1-2月份护理费。</w:t>
            </w:r>
          </w:p>
        </w:tc>
        <w:tc>
          <w:tcPr>
            <w:tcW w:w="8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  <w:szCs w:val="24"/>
              </w:rPr>
              <w:t>8%</w:t>
            </w: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  <w:szCs w:val="24"/>
              </w:rPr>
              <w:t>工作滞后，尚未发放特困人员护理费。</w:t>
            </w:r>
          </w:p>
        </w:tc>
        <w:tc>
          <w:tcPr>
            <w:tcW w:w="29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N w:val="0"/>
              <w:spacing w:line="280" w:lineRule="exact"/>
              <w:jc w:val="left"/>
              <w:textAlignment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  <w:szCs w:val="24"/>
              </w:rPr>
              <w:t>加快做好全年特困人员生活补助资金发放工作。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9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N w:val="0"/>
              <w:spacing w:line="300" w:lineRule="exact"/>
              <w:textAlignment w:val="center"/>
              <w:rPr>
                <w:rFonts w:eastAsia="方正仿宋简体"/>
                <w:b/>
                <w:sz w:val="24"/>
                <w:szCs w:val="24"/>
              </w:rPr>
            </w:pPr>
          </w:p>
        </w:tc>
        <w:tc>
          <w:tcPr>
            <w:tcW w:w="969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N w:val="0"/>
              <w:spacing w:line="300" w:lineRule="exact"/>
              <w:jc w:val="left"/>
              <w:textAlignment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834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  <w:szCs w:val="24"/>
              </w:rPr>
              <w:t>区财政局、各镇政府</w:t>
            </w:r>
          </w:p>
        </w:tc>
        <w:tc>
          <w:tcPr>
            <w:tcW w:w="28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N w:val="0"/>
              <w:spacing w:line="280" w:lineRule="exact"/>
              <w:textAlignment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  <w:szCs w:val="24"/>
              </w:rPr>
              <w:t>6.特困人员基本生活标准不低于当地城乡最低生活保障标准的1.6倍，并实现应保尽保。</w:t>
            </w:r>
          </w:p>
        </w:tc>
        <w:tc>
          <w:tcPr>
            <w:tcW w:w="47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N w:val="0"/>
              <w:spacing w:line="280" w:lineRule="exact"/>
              <w:jc w:val="left"/>
              <w:textAlignment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  <w:szCs w:val="24"/>
              </w:rPr>
              <w:t>4月份全区特困供养人员3456人（其中城镇225人，农村3231人），全区共发放城乡特困资金348.8616万元。1-4月份全区共发放城乡特困资金1400.0336万元。</w:t>
            </w:r>
          </w:p>
        </w:tc>
        <w:tc>
          <w:tcPr>
            <w:tcW w:w="8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  <w:szCs w:val="24"/>
              </w:rPr>
              <w:t>33%</w:t>
            </w: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  <w:szCs w:val="24"/>
              </w:rPr>
              <w:t>无</w:t>
            </w:r>
          </w:p>
        </w:tc>
        <w:tc>
          <w:tcPr>
            <w:tcW w:w="29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N w:val="0"/>
              <w:spacing w:line="280" w:lineRule="exact"/>
              <w:textAlignment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  <w:szCs w:val="24"/>
              </w:rPr>
              <w:t>暂按2022年的标准、补助水平发放，待新的城乡特困标准一出台，即按新的标准、补助水平执行，并补发差额部分，确保完成全年特困资金发放任务。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jc w:val="center"/>
        </w:trPr>
        <w:tc>
          <w:tcPr>
            <w:tcW w:w="939" w:type="dxa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N w:val="0"/>
              <w:spacing w:line="300" w:lineRule="exact"/>
              <w:textAlignment w:val="center"/>
              <w:rPr>
                <w:rFonts w:eastAsia="方正仿宋简体"/>
                <w:b/>
                <w:sz w:val="24"/>
                <w:szCs w:val="24"/>
              </w:rPr>
            </w:pPr>
            <w:r>
              <w:rPr>
                <w:rFonts w:eastAsia="方正仿宋简体"/>
                <w:b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-635635</wp:posOffset>
                      </wp:positionH>
                      <wp:positionV relativeFrom="paragraph">
                        <wp:posOffset>-342265</wp:posOffset>
                      </wp:positionV>
                      <wp:extent cx="457200" cy="792480"/>
                      <wp:effectExtent l="0" t="0" r="0" b="0"/>
                      <wp:wrapNone/>
                      <wp:docPr id="1" name="文本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true"/>
                            <wps:spPr>
                              <a:xfrm>
                                <a:off x="0" y="0"/>
                                <a:ext cx="457200" cy="792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ascii="宋体" w:hAnsi="宋体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hint="eastAsia" w:ascii="宋体" w:hAnsi="宋体"/>
                                      <w:sz w:val="30"/>
                                      <w:szCs w:val="30"/>
                                    </w:rPr>
                                    <w:t>- 2 -</w:t>
                                  </w:r>
                                </w:p>
                              </w:txbxContent>
                            </wps:txbx>
                            <wps:bodyPr vert="eaVert" upright="true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-50.05pt;margin-top:-26.95pt;height:62.4pt;width:36pt;z-index:251664384;mso-width-relative:page;mso-height-relative:page;" filled="f" stroked="f" coordsize="21600,21600" o:gfxdata="UEsFBgAAAAAAAAAAAAAAAAAAAAAAAFBLAwQKAAAAAACHTuJAAAAAAAAAAAAAAAAABAAAAGRycy9Q&#10;SwMEFAAAAAgAh07iQG83zALcAAAACwEAAA8AAABkcnMvZG93bnJldi54bWxNjz1PwzAQhnck/oN1&#10;SGypnQKlCXGqgoSEGCJROnS0YzeJiM8hdtrSX891gu0+Hr33XLE6uZ4d7Bg6jxLSmQBmsfamw0bC&#10;9vM1WQILUaFRvUcr4ccGWJXXV4XKjT/ihz1sYsMoBEOuJLQxDjnnoW6tU2HmB4u02/vRqUjt2HAz&#10;qiOFu57PhVhwpzqkC60a7Etr66/N5CS8rXfT9zRW99l5d15XWr9Xz3oh5e1NKp6ARXuKfzBc9Ekd&#10;SnLSfkITWC8hSYVIiaXq4S4DRkgyX9JES3gUGfCy4P9/KH8BUEsDBBQAAAAIAIdO4kDcCCOhoQEA&#10;ACEDAAAOAAAAZHJzL2Uyb0RvYy54bWytUktuGzEM3RfoHQTta9lG0iQDjwMUQbIJ0gBpu5c1lEfA&#10;SBQk2TO+QHuDrLLJPufyOULJn6TtruhGokiK5HuPs8vBdmwNIRp0NZ+MxpyBU9gYt6z592/Xn845&#10;i0m6RnbooOYbiPxy/vHDrPcVTLHFroHAqIiLVe9r3qbkKyGiasHKOEIPjoIag5WJnmEpmiB7qm47&#10;MR2PP4seQ+MDKoiRvFe7IJ+X+lqDSl+1jpBYV3OaLZUzlHORTzGfyWoZpG+N2o8h/2EKK42jpsdS&#10;VzJJtgrmr1LWqIARdRoptAK1NgoKBkIzGf+B5qGVHgoWIif6I03x/5VVd+v7wExD2nHmpCWJto+/&#10;tk8v2+efbJLp6X2sKOvBU14avuBQ8xRWcAhF8mfggw423wSJUQpxvTnyC0Niipwnp2ekGWeKQmcX&#10;05Pzwr94++xDTDeAlmWj5oHkK6zK9W1MNAulHlJyL4fXpuuKhJ37zUGJOw+UHdj/zlB282YrDYth&#10;j2+BzYbg0R5TV5A/6OZs5YNZtuQ4wBX5F+lQ5tjvTBb6/Zvs95s9fwV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WAAAAZHJzL1BLAQIUABQA&#10;AAAIAIdO4kBvN8wC3AAAAAsBAAAPAAAAAAAAAAEAIAAAADgAAABkcnMvZG93bnJldi54bWxQSwEC&#10;FAAUAAAACACHTuJA3AgjoaEBAAAhAwAADgAAAAAAAAABACAAAABBAQAAZHJzL2Uyb0RvYy54bWxQ&#10;SwUGAAAAAAYABgBZAQAAVAUAAAAA&#10;">
                      <v:path/>
                      <v:fill on="f" focussize="0,0"/>
                      <v:stroke on="f" joinstyle="miter"/>
                      <v:imagedata o:title=""/>
                      <o:lock v:ext="edit"/>
                      <v:textbox style="layout-flow:vertical-ideographic;">
                        <w:txbxContent>
                          <w:p>
                            <w:pPr>
                              <w:rPr>
                                <w:rFonts w:ascii="宋体" w:hAnsi="宋体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30"/>
                                <w:szCs w:val="30"/>
                              </w:rPr>
                              <w:t>- 2 -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方正仿宋简体"/>
                <w:b/>
                <w:sz w:val="24"/>
                <w:szCs w:val="24"/>
              </w:rPr>
              <w:t>二、提升基础教育发展水平</w:t>
            </w:r>
          </w:p>
        </w:tc>
        <w:tc>
          <w:tcPr>
            <w:tcW w:w="969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N w:val="0"/>
              <w:spacing w:line="300" w:lineRule="exact"/>
              <w:jc w:val="left"/>
              <w:textAlignment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  <w:szCs w:val="24"/>
              </w:rPr>
              <w:t>李南轼</w:t>
            </w:r>
          </w:p>
        </w:tc>
        <w:tc>
          <w:tcPr>
            <w:tcW w:w="834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  <w:szCs w:val="24"/>
              </w:rPr>
              <w:t>区教育局</w:t>
            </w:r>
          </w:p>
        </w:tc>
        <w:tc>
          <w:tcPr>
            <w:tcW w:w="8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  <w:szCs w:val="24"/>
              </w:rPr>
              <w:t>区财政局</w:t>
            </w:r>
          </w:p>
        </w:tc>
        <w:tc>
          <w:tcPr>
            <w:tcW w:w="28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N w:val="0"/>
              <w:spacing w:line="280" w:lineRule="exact"/>
              <w:jc w:val="left"/>
              <w:textAlignment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  <w:szCs w:val="24"/>
              </w:rPr>
              <w:t>7.新建阳东区第一小学，建成后可提供2430个公办小学学位。</w:t>
            </w:r>
          </w:p>
        </w:tc>
        <w:tc>
          <w:tcPr>
            <w:tcW w:w="47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N w:val="0"/>
              <w:spacing w:line="280" w:lineRule="exact"/>
              <w:jc w:val="left"/>
              <w:textAlignment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  <w:szCs w:val="24"/>
              </w:rPr>
              <w:t>工程主体已全部封顶，正在室内外装修装饰及室外场地建设等工作。</w:t>
            </w:r>
          </w:p>
        </w:tc>
        <w:tc>
          <w:tcPr>
            <w:tcW w:w="8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  <w:szCs w:val="24"/>
              </w:rPr>
              <w:t>52%</w:t>
            </w: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N w:val="0"/>
              <w:spacing w:line="280" w:lineRule="exact"/>
              <w:ind w:firstLine="240" w:firstLineChars="100"/>
              <w:jc w:val="left"/>
              <w:textAlignment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  <w:szCs w:val="24"/>
              </w:rPr>
              <w:t>无</w:t>
            </w:r>
          </w:p>
        </w:tc>
        <w:tc>
          <w:tcPr>
            <w:tcW w:w="29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N w:val="0"/>
              <w:spacing w:line="280" w:lineRule="exact"/>
              <w:textAlignment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  <w:szCs w:val="24"/>
              </w:rPr>
              <w:t>完成内外墙批荡，加快推进运动场、围墙、道路等室外项目建设。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0" w:hRule="atLeast"/>
          <w:jc w:val="center"/>
        </w:trPr>
        <w:tc>
          <w:tcPr>
            <w:tcW w:w="939" w:type="dxa"/>
            <w:vMerge w:val="restart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N w:val="0"/>
              <w:spacing w:line="300" w:lineRule="exact"/>
              <w:textAlignment w:val="center"/>
              <w:rPr>
                <w:rFonts w:eastAsia="方正仿宋简体"/>
                <w:b/>
                <w:sz w:val="24"/>
                <w:szCs w:val="24"/>
              </w:rPr>
            </w:pPr>
            <w:r>
              <w:rPr>
                <w:rFonts w:eastAsia="方正仿宋简体"/>
                <w:b/>
                <w:sz w:val="24"/>
                <w:szCs w:val="24"/>
              </w:rPr>
              <w:t>三、促进就业创业</w:t>
            </w:r>
          </w:p>
        </w:tc>
        <w:tc>
          <w:tcPr>
            <w:tcW w:w="969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N w:val="0"/>
              <w:spacing w:line="300" w:lineRule="exact"/>
              <w:jc w:val="left"/>
              <w:textAlignment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  <w:szCs w:val="24"/>
              </w:rPr>
              <w:t>邹春颖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  <w:szCs w:val="24"/>
              </w:rPr>
              <w:t>区人力资源</w:t>
            </w:r>
          </w:p>
          <w:p>
            <w:pPr>
              <w:autoSpaceDN w:val="0"/>
              <w:spacing w:line="300" w:lineRule="exact"/>
              <w:jc w:val="center"/>
              <w:textAlignment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  <w:szCs w:val="24"/>
              </w:rPr>
              <w:t>社会保障局</w:t>
            </w:r>
          </w:p>
        </w:tc>
        <w:tc>
          <w:tcPr>
            <w:tcW w:w="8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  <w:szCs w:val="24"/>
              </w:rPr>
              <w:t>各镇政府</w:t>
            </w:r>
          </w:p>
        </w:tc>
        <w:tc>
          <w:tcPr>
            <w:tcW w:w="28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N w:val="0"/>
              <w:spacing w:line="280" w:lineRule="exact"/>
              <w:textAlignment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  <w:szCs w:val="24"/>
              </w:rPr>
              <w:t>8.深入</w:t>
            </w:r>
            <w:r>
              <w:rPr>
                <w:rFonts w:hint="eastAsia" w:ascii="方正仿宋简体" w:eastAsia="方正仿宋简体"/>
                <w:sz w:val="24"/>
                <w:szCs w:val="24"/>
              </w:rPr>
              <w:t>实施“粤菜师傅”“广东技工”“南粤家政”三项工</w:t>
            </w:r>
            <w:r>
              <w:rPr>
                <w:rFonts w:eastAsia="方正仿宋简体"/>
                <w:sz w:val="24"/>
                <w:szCs w:val="24"/>
              </w:rPr>
              <w:t>程。其中开展</w:t>
            </w:r>
            <w:r>
              <w:rPr>
                <w:rFonts w:hint="eastAsia" w:ascii="方正仿宋简体" w:eastAsia="方正仿宋简体"/>
                <w:sz w:val="24"/>
                <w:szCs w:val="24"/>
              </w:rPr>
              <w:t>“粤菜师傅”培训</w:t>
            </w:r>
            <w:r>
              <w:rPr>
                <w:rFonts w:eastAsia="方正仿宋简体"/>
                <w:sz w:val="24"/>
                <w:szCs w:val="24"/>
              </w:rPr>
              <w:t>150人次，开展家政服务相关工种技能培训500人次。（以市最终下达任务为准）</w:t>
            </w:r>
          </w:p>
        </w:tc>
        <w:tc>
          <w:tcPr>
            <w:tcW w:w="47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N w:val="0"/>
              <w:spacing w:line="280" w:lineRule="exact"/>
              <w:jc w:val="left"/>
              <w:textAlignment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  <w:szCs w:val="24"/>
              </w:rPr>
              <w:t>今年以来，已组织295人参加相关工种职业技能培训，其中</w:t>
            </w:r>
            <w:r>
              <w:rPr>
                <w:rFonts w:hint="eastAsia" w:ascii="方正仿宋简体" w:eastAsia="方正仿宋简体"/>
                <w:sz w:val="24"/>
                <w:szCs w:val="24"/>
              </w:rPr>
              <w:t>“粤菜师傅”</w:t>
            </w:r>
            <w:r>
              <w:rPr>
                <w:rFonts w:eastAsia="方正仿宋简体"/>
                <w:sz w:val="24"/>
                <w:szCs w:val="24"/>
              </w:rPr>
              <w:t>培训73人；</w:t>
            </w:r>
            <w:r>
              <w:rPr>
                <w:rFonts w:hint="eastAsia" w:ascii="方正仿宋简体" w:eastAsia="方正仿宋简体"/>
                <w:sz w:val="24"/>
                <w:szCs w:val="24"/>
              </w:rPr>
              <w:t>“南粤家政”培</w:t>
            </w:r>
            <w:r>
              <w:rPr>
                <w:rFonts w:eastAsia="方正仿宋简体"/>
                <w:sz w:val="24"/>
                <w:szCs w:val="24"/>
              </w:rPr>
              <w:t>训142人。</w:t>
            </w:r>
          </w:p>
        </w:tc>
        <w:tc>
          <w:tcPr>
            <w:tcW w:w="8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  <w:szCs w:val="24"/>
              </w:rPr>
              <w:t>28%</w:t>
            </w: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N w:val="0"/>
              <w:spacing w:line="280" w:lineRule="exact"/>
              <w:textAlignment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  <w:szCs w:val="24"/>
              </w:rPr>
              <w:t xml:space="preserve">群众参加培训积极性不高。 </w:t>
            </w:r>
          </w:p>
        </w:tc>
        <w:tc>
          <w:tcPr>
            <w:tcW w:w="29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  <w:szCs w:val="24"/>
              </w:rPr>
              <w:t>进一步加大我区职业技能培训政策宣传力度；整合我区职业院校、社会培训机构培训资源，全力推进三项技能培训。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5" w:hRule="atLeast"/>
          <w:jc w:val="center"/>
        </w:trPr>
        <w:tc>
          <w:tcPr>
            <w:tcW w:w="939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N w:val="0"/>
              <w:spacing w:line="300" w:lineRule="exact"/>
              <w:textAlignment w:val="center"/>
              <w:rPr>
                <w:rFonts w:eastAsia="方正仿宋简体"/>
                <w:b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N w:val="0"/>
              <w:spacing w:line="300" w:lineRule="exact"/>
              <w:jc w:val="left"/>
              <w:textAlignment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  <w:szCs w:val="24"/>
              </w:rPr>
              <w:t>李南轼</w:t>
            </w:r>
          </w:p>
        </w:tc>
        <w:tc>
          <w:tcPr>
            <w:tcW w:w="8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  <w:szCs w:val="24"/>
              </w:rPr>
              <w:t>区退役军人事务局</w:t>
            </w:r>
          </w:p>
        </w:tc>
        <w:tc>
          <w:tcPr>
            <w:tcW w:w="8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  <w:szCs w:val="24"/>
              </w:rPr>
              <w:t>各镇政府</w:t>
            </w:r>
          </w:p>
        </w:tc>
        <w:tc>
          <w:tcPr>
            <w:tcW w:w="28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N w:val="0"/>
              <w:spacing w:line="280" w:lineRule="exact"/>
              <w:jc w:val="left"/>
              <w:textAlignment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  <w:szCs w:val="24"/>
              </w:rPr>
              <w:t>9.组织退役军人短期培训及适应性培训。</w:t>
            </w:r>
          </w:p>
        </w:tc>
        <w:tc>
          <w:tcPr>
            <w:tcW w:w="47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N w:val="0"/>
              <w:spacing w:line="280" w:lineRule="exact"/>
              <w:jc w:val="left"/>
              <w:textAlignment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color w:val="000000"/>
                <w:sz w:val="24"/>
                <w:szCs w:val="24"/>
              </w:rPr>
              <w:t>4月22日-26日由市举办了适应性培训，阳东参加的人数为33人。短期技能培训，由于退役士兵回来人数不多，暂未确定培训专业的方向。</w:t>
            </w:r>
          </w:p>
        </w:tc>
        <w:tc>
          <w:tcPr>
            <w:tcW w:w="8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  <w:szCs w:val="24"/>
              </w:rPr>
              <w:t>50%</w:t>
            </w: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N w:val="0"/>
              <w:spacing w:line="280" w:lineRule="exact"/>
              <w:jc w:val="left"/>
              <w:textAlignment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color w:val="000000"/>
                <w:sz w:val="24"/>
                <w:szCs w:val="24"/>
              </w:rPr>
              <w:t>退役士兵回来人数不多，暂未确定培训专业的方向</w:t>
            </w:r>
            <w:r>
              <w:rPr>
                <w:rFonts w:eastAsia="方正仿宋简体"/>
                <w:sz w:val="24"/>
                <w:szCs w:val="24"/>
              </w:rPr>
              <w:t>。</w:t>
            </w:r>
          </w:p>
        </w:tc>
        <w:tc>
          <w:tcPr>
            <w:tcW w:w="29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N w:val="0"/>
              <w:spacing w:line="280" w:lineRule="exact"/>
              <w:jc w:val="left"/>
              <w:textAlignment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  <w:szCs w:val="24"/>
              </w:rPr>
              <w:t>做好资金申请和培训人员的管理工作。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9" w:type="dxa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N w:val="0"/>
              <w:spacing w:line="300" w:lineRule="exact"/>
              <w:textAlignment w:val="center"/>
              <w:rPr>
                <w:rFonts w:eastAsia="方正仿宋简体"/>
                <w:b/>
                <w:sz w:val="24"/>
                <w:szCs w:val="24"/>
              </w:rPr>
            </w:pPr>
            <w:r>
              <w:rPr>
                <w:rFonts w:eastAsia="方正仿宋简体"/>
                <w:b/>
                <w:sz w:val="24"/>
                <w:szCs w:val="24"/>
              </w:rPr>
              <w:t>四、提升医疗卫生服务水平</w:t>
            </w:r>
          </w:p>
        </w:tc>
        <w:tc>
          <w:tcPr>
            <w:tcW w:w="969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N w:val="0"/>
              <w:spacing w:line="300" w:lineRule="exact"/>
              <w:jc w:val="left"/>
              <w:textAlignment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  <w:szCs w:val="24"/>
              </w:rPr>
              <w:t>李南轼</w:t>
            </w:r>
          </w:p>
        </w:tc>
        <w:tc>
          <w:tcPr>
            <w:tcW w:w="834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  <w:szCs w:val="24"/>
              </w:rPr>
              <w:t>区卫生健康局</w:t>
            </w:r>
          </w:p>
        </w:tc>
        <w:tc>
          <w:tcPr>
            <w:tcW w:w="881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2804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N w:val="0"/>
              <w:spacing w:line="300" w:lineRule="exact"/>
              <w:jc w:val="left"/>
              <w:textAlignment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  <w:szCs w:val="24"/>
              </w:rPr>
              <w:t>10.建设阳东区第二人民医院，完成主体工程封顶。</w:t>
            </w:r>
          </w:p>
        </w:tc>
        <w:tc>
          <w:tcPr>
            <w:tcW w:w="4723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N w:val="0"/>
              <w:spacing w:line="300" w:lineRule="exact"/>
              <w:jc w:val="left"/>
              <w:textAlignment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  <w:szCs w:val="24"/>
              </w:rPr>
              <w:t>已完成桩基础施工。</w:t>
            </w:r>
            <w:r>
              <w:rPr>
                <w:rFonts w:eastAsia="方正仿宋简体"/>
                <w:color w:val="000000"/>
                <w:sz w:val="24"/>
                <w:szCs w:val="24"/>
              </w:rPr>
              <w:t>特殊科室及医疗配套项目（EPC总承包）完成招标。承台垫层、地梁完成至50%。</w:t>
            </w:r>
          </w:p>
        </w:tc>
        <w:tc>
          <w:tcPr>
            <w:tcW w:w="804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  <w:szCs w:val="24"/>
              </w:rPr>
              <w:t>20%</w:t>
            </w: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  <w:szCs w:val="24"/>
              </w:rPr>
              <w:t>无</w:t>
            </w:r>
          </w:p>
        </w:tc>
        <w:tc>
          <w:tcPr>
            <w:tcW w:w="2929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N w:val="0"/>
              <w:spacing w:line="300" w:lineRule="exact"/>
              <w:jc w:val="left"/>
              <w:textAlignment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  <w:szCs w:val="24"/>
              </w:rPr>
              <w:t>科学安排时间，加快施工进度。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9" w:type="dxa"/>
            <w:vMerge w:val="restart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N w:val="0"/>
              <w:spacing w:line="300" w:lineRule="exact"/>
              <w:textAlignment w:val="center"/>
              <w:rPr>
                <w:rFonts w:eastAsia="方正仿宋简体"/>
                <w:b/>
                <w:sz w:val="24"/>
                <w:szCs w:val="24"/>
              </w:rPr>
            </w:pPr>
            <w:r>
              <w:rPr>
                <w:rFonts w:eastAsia="方正仿宋简体"/>
                <w:b/>
                <w:sz w:val="24"/>
                <w:szCs w:val="24"/>
              </w:rPr>
              <w:t>五、提升文化体育旅游服务水平</w:t>
            </w:r>
          </w:p>
        </w:tc>
        <w:tc>
          <w:tcPr>
            <w:tcW w:w="969" w:type="dxa"/>
            <w:vMerge w:val="restart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N w:val="0"/>
              <w:spacing w:line="300" w:lineRule="exact"/>
              <w:jc w:val="left"/>
              <w:textAlignment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  <w:szCs w:val="24"/>
              </w:rPr>
              <w:t>邹春颖</w:t>
            </w:r>
          </w:p>
        </w:tc>
        <w:tc>
          <w:tcPr>
            <w:tcW w:w="834" w:type="dxa"/>
            <w:vMerge w:val="restart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  <w:szCs w:val="24"/>
              </w:rPr>
              <w:t>区文化广电旅游体育局</w:t>
            </w:r>
          </w:p>
        </w:tc>
        <w:tc>
          <w:tcPr>
            <w:tcW w:w="8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  <w:szCs w:val="24"/>
              </w:rPr>
              <w:t>大沟、东城镇政府</w:t>
            </w:r>
          </w:p>
        </w:tc>
        <w:tc>
          <w:tcPr>
            <w:tcW w:w="28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N w:val="0"/>
              <w:spacing w:line="300" w:lineRule="exact"/>
              <w:textAlignment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  <w:szCs w:val="24"/>
              </w:rPr>
              <w:t>11.建设大沟镇文体广场11人制足球场、东城镇石仑村委会南岳村5人制足球场。</w:t>
            </w:r>
          </w:p>
        </w:tc>
        <w:tc>
          <w:tcPr>
            <w:tcW w:w="47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N w:val="0"/>
              <w:spacing w:line="300" w:lineRule="exact"/>
              <w:jc w:val="left"/>
              <w:textAlignment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  <w:szCs w:val="24"/>
              </w:rPr>
              <w:t>大沟镇文体广场11人制足球场已完成了建设工作，3月15日举行了启用仪式，球场周边地面正在平整和绿化中；东城镇石仑村委会南岳村5人足球场已基本完成主体工程建设，正在加紧施工和平整、绿化球场周边地面。</w:t>
            </w:r>
          </w:p>
        </w:tc>
        <w:tc>
          <w:tcPr>
            <w:tcW w:w="8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  <w:szCs w:val="24"/>
              </w:rPr>
              <w:t>75%</w:t>
            </w: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  <w:szCs w:val="24"/>
              </w:rPr>
              <w:t>无</w:t>
            </w:r>
          </w:p>
        </w:tc>
        <w:tc>
          <w:tcPr>
            <w:tcW w:w="29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N w:val="0"/>
              <w:spacing w:line="300" w:lineRule="exact"/>
              <w:textAlignment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  <w:szCs w:val="24"/>
              </w:rPr>
              <w:t>尽快完成东城镇石仑村委会南岳村5人足球场的建设工作并完善各项管理制度。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4" w:hRule="atLeast"/>
          <w:jc w:val="center"/>
        </w:trPr>
        <w:tc>
          <w:tcPr>
            <w:tcW w:w="939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N w:val="0"/>
              <w:spacing w:line="300" w:lineRule="exact"/>
              <w:textAlignment w:val="center"/>
              <w:rPr>
                <w:rFonts w:eastAsia="方正仿宋简体"/>
                <w:b/>
                <w:sz w:val="24"/>
                <w:szCs w:val="24"/>
              </w:rPr>
            </w:pPr>
          </w:p>
        </w:tc>
        <w:tc>
          <w:tcPr>
            <w:tcW w:w="969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N w:val="0"/>
              <w:spacing w:line="300" w:lineRule="exact"/>
              <w:jc w:val="left"/>
              <w:textAlignment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834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  <w:szCs w:val="24"/>
              </w:rPr>
              <w:t>东城镇政府、区寿长河国家湿地公园管护中心</w:t>
            </w:r>
          </w:p>
        </w:tc>
        <w:tc>
          <w:tcPr>
            <w:tcW w:w="28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N w:val="0"/>
              <w:spacing w:line="300" w:lineRule="exact"/>
              <w:textAlignment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  <w:szCs w:val="24"/>
              </w:rPr>
              <w:t>12.打造东城镇凤凰社区粤书吧（耕读书屋）、寿长河红树林国家湿地公园粤书吧（耕读书屋）。</w:t>
            </w:r>
          </w:p>
        </w:tc>
        <w:tc>
          <w:tcPr>
            <w:tcW w:w="47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N w:val="0"/>
              <w:spacing w:line="300" w:lineRule="exact"/>
              <w:jc w:val="left"/>
              <w:textAlignment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  <w:szCs w:val="24"/>
              </w:rPr>
              <w:t>已完成书吧建设并挂牌对外开放。</w:t>
            </w:r>
          </w:p>
        </w:tc>
        <w:tc>
          <w:tcPr>
            <w:tcW w:w="8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  <w:szCs w:val="24"/>
              </w:rPr>
              <w:t>92%</w:t>
            </w: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  <w:szCs w:val="24"/>
              </w:rPr>
              <w:t>无</w:t>
            </w:r>
          </w:p>
        </w:tc>
        <w:tc>
          <w:tcPr>
            <w:tcW w:w="29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N w:val="0"/>
              <w:spacing w:line="300" w:lineRule="exact"/>
              <w:jc w:val="left"/>
              <w:textAlignment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  <w:szCs w:val="24"/>
              </w:rPr>
              <w:t>优化室内氛围、制度上墙。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9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N w:val="0"/>
              <w:spacing w:line="300" w:lineRule="exact"/>
              <w:textAlignment w:val="center"/>
              <w:rPr>
                <w:rFonts w:eastAsia="方正仿宋简体"/>
                <w:b/>
                <w:sz w:val="24"/>
                <w:szCs w:val="24"/>
              </w:rPr>
            </w:pPr>
          </w:p>
        </w:tc>
        <w:tc>
          <w:tcPr>
            <w:tcW w:w="969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N w:val="0"/>
              <w:spacing w:line="300" w:lineRule="exact"/>
              <w:jc w:val="left"/>
              <w:textAlignment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834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  <w:szCs w:val="24"/>
              </w:rPr>
              <w:t>东平镇政府</w:t>
            </w:r>
          </w:p>
        </w:tc>
        <w:tc>
          <w:tcPr>
            <w:tcW w:w="28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N w:val="0"/>
              <w:spacing w:line="300" w:lineRule="exact"/>
              <w:textAlignment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  <w:szCs w:val="24"/>
              </w:rPr>
              <w:t>13.建设东平民宿文化创意街。</w:t>
            </w:r>
          </w:p>
        </w:tc>
        <w:tc>
          <w:tcPr>
            <w:tcW w:w="47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N w:val="0"/>
              <w:spacing w:line="300" w:lineRule="exact"/>
              <w:jc w:val="left"/>
              <w:textAlignment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  <w:szCs w:val="24"/>
              </w:rPr>
              <w:t>相关文化景观已建设完善，已在珍珠湾景区外围道路设置主题牌楼标识，沿路安装山海动感线条灯饰造型等。工程已验收。</w:t>
            </w:r>
          </w:p>
        </w:tc>
        <w:tc>
          <w:tcPr>
            <w:tcW w:w="8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  <w:szCs w:val="24"/>
              </w:rPr>
              <w:t>95%</w:t>
            </w: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N w:val="0"/>
              <w:spacing w:line="300" w:lineRule="exact"/>
              <w:jc w:val="left"/>
              <w:textAlignment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  <w:szCs w:val="24"/>
              </w:rPr>
              <w:t>宣传力度不足。</w:t>
            </w:r>
          </w:p>
        </w:tc>
        <w:tc>
          <w:tcPr>
            <w:tcW w:w="29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N w:val="0"/>
              <w:spacing w:line="300" w:lineRule="exact"/>
              <w:jc w:val="left"/>
              <w:textAlignment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  <w:szCs w:val="24"/>
              </w:rPr>
              <w:t>举办挂牌仪式等活动，加强民宿文化创意街的宣传。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9" w:type="dxa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N w:val="0"/>
              <w:spacing w:line="300" w:lineRule="exact"/>
              <w:jc w:val="left"/>
              <w:textAlignment w:val="center"/>
              <w:rPr>
                <w:rFonts w:eastAsia="方正仿宋简体"/>
                <w:b/>
                <w:sz w:val="24"/>
                <w:szCs w:val="24"/>
              </w:rPr>
            </w:pPr>
            <w:r>
              <w:rPr>
                <w:rFonts w:eastAsia="方正仿宋简体"/>
                <w:b/>
                <w:sz w:val="24"/>
                <w:szCs w:val="24"/>
              </w:rPr>
              <w:t>六、实施惠民安居工程（五、六期）建设</w:t>
            </w:r>
          </w:p>
        </w:tc>
        <w:tc>
          <w:tcPr>
            <w:tcW w:w="969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N w:val="0"/>
              <w:spacing w:line="300" w:lineRule="exact"/>
              <w:jc w:val="left"/>
              <w:textAlignment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  <w:szCs w:val="24"/>
              </w:rPr>
              <w:t>利如晁</w:t>
            </w:r>
          </w:p>
        </w:tc>
        <w:tc>
          <w:tcPr>
            <w:tcW w:w="834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  <w:szCs w:val="24"/>
              </w:rPr>
              <w:t>区住房城乡建设局</w:t>
            </w:r>
          </w:p>
        </w:tc>
        <w:tc>
          <w:tcPr>
            <w:tcW w:w="881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  <w:szCs w:val="24"/>
              </w:rPr>
              <w:t>区财政局</w:t>
            </w:r>
          </w:p>
        </w:tc>
        <w:tc>
          <w:tcPr>
            <w:tcW w:w="2804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N w:val="0"/>
              <w:spacing w:line="300" w:lineRule="exact"/>
              <w:jc w:val="left"/>
              <w:textAlignment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  <w:szCs w:val="24"/>
              </w:rPr>
              <w:t>14.建设2幢11层高公共租赁住宅楼，总户数200套，年内完成主体工程封顶。</w:t>
            </w:r>
          </w:p>
        </w:tc>
        <w:tc>
          <w:tcPr>
            <w:tcW w:w="4723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color w:val="000000"/>
                <w:sz w:val="24"/>
                <w:szCs w:val="24"/>
              </w:rPr>
              <w:t>桩基工程基本完成，正在进行桩基检测和基础建设。</w:t>
            </w:r>
          </w:p>
        </w:tc>
        <w:tc>
          <w:tcPr>
            <w:tcW w:w="804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color w:val="000000"/>
                <w:sz w:val="24"/>
                <w:szCs w:val="24"/>
              </w:rPr>
              <w:t>5%</w:t>
            </w: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color w:val="000000"/>
                <w:sz w:val="24"/>
                <w:szCs w:val="24"/>
              </w:rPr>
              <w:t>无</w:t>
            </w:r>
          </w:p>
        </w:tc>
        <w:tc>
          <w:tcPr>
            <w:tcW w:w="2929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color w:val="000000"/>
                <w:sz w:val="24"/>
                <w:szCs w:val="24"/>
              </w:rPr>
              <w:t>做好雨季的施工措施，加紧施工。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3" w:hRule="atLeast"/>
          <w:jc w:val="center"/>
        </w:trPr>
        <w:tc>
          <w:tcPr>
            <w:tcW w:w="939" w:type="dxa"/>
            <w:vMerge w:val="restart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N w:val="0"/>
              <w:spacing w:line="300" w:lineRule="exact"/>
              <w:textAlignment w:val="center"/>
              <w:rPr>
                <w:rFonts w:eastAsia="方正仿宋简体"/>
                <w:b/>
                <w:sz w:val="24"/>
                <w:szCs w:val="24"/>
              </w:rPr>
            </w:pPr>
            <w:r>
              <w:rPr>
                <w:rFonts w:eastAsia="方正仿宋简体"/>
                <w:b/>
                <w:sz w:val="24"/>
                <w:szCs w:val="24"/>
              </w:rPr>
              <w:t>七、优化交通基础设施建设</w:t>
            </w:r>
          </w:p>
        </w:tc>
        <w:tc>
          <w:tcPr>
            <w:tcW w:w="969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N w:val="0"/>
              <w:spacing w:line="300" w:lineRule="exact"/>
              <w:jc w:val="left"/>
              <w:textAlignment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  <w:szCs w:val="24"/>
              </w:rPr>
              <w:t>利如晁</w:t>
            </w:r>
          </w:p>
        </w:tc>
        <w:tc>
          <w:tcPr>
            <w:tcW w:w="834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  <w:szCs w:val="24"/>
              </w:rPr>
              <w:t>区交通运输局</w:t>
            </w:r>
          </w:p>
        </w:tc>
        <w:tc>
          <w:tcPr>
            <w:tcW w:w="8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  <w:szCs w:val="24"/>
              </w:rPr>
              <w:t>有关镇政府</w:t>
            </w:r>
          </w:p>
        </w:tc>
        <w:tc>
          <w:tcPr>
            <w:tcW w:w="28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N w:val="0"/>
              <w:spacing w:line="300" w:lineRule="exact"/>
              <w:jc w:val="left"/>
              <w:textAlignment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  <w:szCs w:val="24"/>
              </w:rPr>
              <w:t>15.完成80公里农村公路单改双及路网联结工程。</w:t>
            </w:r>
          </w:p>
        </w:tc>
        <w:tc>
          <w:tcPr>
            <w:tcW w:w="47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eastAsia="方正仿宋简体"/>
                <w:color w:val="000000"/>
                <w:sz w:val="24"/>
                <w:szCs w:val="24"/>
              </w:rPr>
              <w:t>已完成30公里农村公路单改双及路网联结工程。</w:t>
            </w:r>
          </w:p>
        </w:tc>
        <w:tc>
          <w:tcPr>
            <w:tcW w:w="8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eastAsia="方正仿宋简体"/>
                <w:color w:val="000000"/>
                <w:sz w:val="24"/>
                <w:szCs w:val="24"/>
              </w:rPr>
              <w:t>38%</w:t>
            </w: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eastAsia="方正仿宋简体"/>
                <w:color w:val="000000"/>
                <w:sz w:val="24"/>
                <w:szCs w:val="24"/>
              </w:rPr>
              <w:t>由于农村公路建设用地没有征地拆迁补偿，镇村在提供项目建设用地方面存在困难。</w:t>
            </w:r>
          </w:p>
        </w:tc>
        <w:tc>
          <w:tcPr>
            <w:tcW w:w="29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eastAsia="方正仿宋简体"/>
                <w:color w:val="000000"/>
                <w:sz w:val="24"/>
                <w:szCs w:val="24"/>
              </w:rPr>
              <w:t>积极协调镇、村提供项目建设用地，确保项目完成。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3" w:hRule="atLeast"/>
          <w:jc w:val="center"/>
        </w:trPr>
        <w:tc>
          <w:tcPr>
            <w:tcW w:w="939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N w:val="0"/>
              <w:spacing w:line="300" w:lineRule="exact"/>
              <w:textAlignment w:val="center"/>
              <w:rPr>
                <w:rFonts w:eastAsia="方正仿宋简体"/>
                <w:b/>
                <w:sz w:val="24"/>
                <w:szCs w:val="24"/>
              </w:rPr>
            </w:pPr>
          </w:p>
        </w:tc>
        <w:tc>
          <w:tcPr>
            <w:tcW w:w="969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N w:val="0"/>
              <w:spacing w:line="300" w:lineRule="exact"/>
              <w:jc w:val="left"/>
              <w:textAlignment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834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  <w:szCs w:val="24"/>
              </w:rPr>
              <w:t>有关镇政府</w:t>
            </w:r>
          </w:p>
        </w:tc>
        <w:tc>
          <w:tcPr>
            <w:tcW w:w="28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N w:val="0"/>
              <w:spacing w:line="300" w:lineRule="exact"/>
              <w:textAlignment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  <w:szCs w:val="24"/>
              </w:rPr>
              <w:t>16.推进农村公路危旧桥梁改造工程，动工建设10座、完工6座。</w:t>
            </w:r>
          </w:p>
        </w:tc>
        <w:tc>
          <w:tcPr>
            <w:tcW w:w="47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eastAsia="方正仿宋简体"/>
                <w:color w:val="000000"/>
                <w:sz w:val="24"/>
                <w:szCs w:val="24"/>
              </w:rPr>
              <w:t>已动工建设</w:t>
            </w:r>
            <w:r>
              <w:rPr>
                <w:rFonts w:eastAsia="方正仿宋简体"/>
                <w:sz w:val="24"/>
                <w:szCs w:val="24"/>
              </w:rPr>
              <w:t>农村公路危旧桥梁改造</w:t>
            </w:r>
            <w:r>
              <w:rPr>
                <w:rFonts w:eastAsia="方正仿宋简体"/>
                <w:color w:val="000000"/>
                <w:sz w:val="24"/>
                <w:szCs w:val="24"/>
              </w:rPr>
              <w:t>１座，完工４座。</w:t>
            </w:r>
          </w:p>
        </w:tc>
        <w:tc>
          <w:tcPr>
            <w:tcW w:w="8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eastAsia="方正仿宋简体"/>
                <w:color w:val="000000"/>
                <w:sz w:val="24"/>
                <w:szCs w:val="24"/>
              </w:rPr>
              <w:t>40%</w:t>
            </w: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eastAsia="方正仿宋简体"/>
                <w:color w:val="000000"/>
                <w:sz w:val="24"/>
                <w:szCs w:val="24"/>
              </w:rPr>
              <w:t>无。</w:t>
            </w:r>
          </w:p>
        </w:tc>
        <w:tc>
          <w:tcPr>
            <w:tcW w:w="29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eastAsia="方正仿宋简体"/>
                <w:color w:val="000000"/>
                <w:sz w:val="24"/>
                <w:szCs w:val="24"/>
              </w:rPr>
              <w:t>继续加快推进项目建设。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9" w:hRule="atLeast"/>
          <w:jc w:val="center"/>
        </w:trPr>
        <w:tc>
          <w:tcPr>
            <w:tcW w:w="939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N w:val="0"/>
              <w:spacing w:line="300" w:lineRule="exact"/>
              <w:textAlignment w:val="center"/>
              <w:rPr>
                <w:rFonts w:eastAsia="方正仿宋简体"/>
                <w:b/>
                <w:sz w:val="24"/>
                <w:szCs w:val="24"/>
              </w:rPr>
            </w:pPr>
          </w:p>
        </w:tc>
        <w:tc>
          <w:tcPr>
            <w:tcW w:w="969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N w:val="0"/>
              <w:spacing w:line="300" w:lineRule="exact"/>
              <w:jc w:val="left"/>
              <w:textAlignment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834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  <w:szCs w:val="24"/>
              </w:rPr>
              <w:t>有关镇政府</w:t>
            </w:r>
          </w:p>
        </w:tc>
        <w:tc>
          <w:tcPr>
            <w:tcW w:w="28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N w:val="0"/>
              <w:spacing w:line="300" w:lineRule="exact"/>
              <w:jc w:val="left"/>
              <w:textAlignment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  <w:szCs w:val="24"/>
              </w:rPr>
              <w:t>17.完成60公里村道安防工程和20公里农村公路硬底化工程。</w:t>
            </w:r>
          </w:p>
        </w:tc>
        <w:tc>
          <w:tcPr>
            <w:tcW w:w="47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  <w:szCs w:val="24"/>
              </w:rPr>
              <w:t>正在进行设计，完善项目相关资料准备进行招投标前期阶段。</w:t>
            </w:r>
          </w:p>
        </w:tc>
        <w:tc>
          <w:tcPr>
            <w:tcW w:w="8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  <w:szCs w:val="24"/>
              </w:rPr>
              <w:t>15%</w:t>
            </w: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  <w:szCs w:val="24"/>
              </w:rPr>
              <w:t>硬底化工程资金欠缺，需区财政统筹。</w:t>
            </w:r>
          </w:p>
        </w:tc>
        <w:tc>
          <w:tcPr>
            <w:tcW w:w="29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  <w:szCs w:val="24"/>
              </w:rPr>
              <w:t>继续加快推进项目设计和建设工作。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1" w:hRule="atLeast"/>
          <w:jc w:val="center"/>
        </w:trPr>
        <w:tc>
          <w:tcPr>
            <w:tcW w:w="939" w:type="dxa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N w:val="0"/>
              <w:spacing w:line="300" w:lineRule="exact"/>
              <w:textAlignment w:val="center"/>
              <w:rPr>
                <w:rFonts w:eastAsia="方正仿宋简体"/>
                <w:b/>
                <w:sz w:val="24"/>
                <w:szCs w:val="24"/>
              </w:rPr>
            </w:pPr>
            <w:r>
              <w:rPr>
                <w:rFonts w:eastAsia="方正仿宋简体"/>
                <w:b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-557530</wp:posOffset>
                      </wp:positionH>
                      <wp:positionV relativeFrom="paragraph">
                        <wp:posOffset>456565</wp:posOffset>
                      </wp:positionV>
                      <wp:extent cx="457200" cy="792480"/>
                      <wp:effectExtent l="0" t="0" r="0" b="0"/>
                      <wp:wrapNone/>
                      <wp:docPr id="3" name="文本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true"/>
                            <wps:spPr>
                              <a:xfrm>
                                <a:off x="0" y="0"/>
                                <a:ext cx="457200" cy="792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ascii="宋体" w:hAnsi="宋体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hint="eastAsia" w:ascii="宋体" w:hAnsi="宋体"/>
                                      <w:sz w:val="30"/>
                                      <w:szCs w:val="30"/>
                                    </w:rPr>
                                    <w:t>- 3 -</w:t>
                                  </w:r>
                                </w:p>
                              </w:txbxContent>
                            </wps:txbx>
                            <wps:bodyPr vert="eaVert" upright="true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-43.9pt;margin-top:35.95pt;height:62.4pt;width:36pt;z-index:251665408;mso-width-relative:page;mso-height-relative:page;" filled="f" stroked="f" coordsize="21600,21600" o:gfxdata="UEsFBgAAAAAAAAAAAAAAAAAAAAAAAFBLAwQKAAAAAACHTuJAAAAAAAAAAAAAAAAABAAAAGRycy9Q&#10;SwMEFAAAAAgAh07iQDTE9wvaAAAACgEAAA8AAABkcnMvZG93bnJldi54bWxNj8FOwzAMhu9IvENk&#10;JG5dWgTtWppOAwkJcajE4LBj0oS2onFKkm5jT485wdH2p9/fX29OdmIH48PoUEC2SoEZ7JwesRfw&#10;/vaUrIGFKFHLyaER8G0CbJrLi1pW2h3x1Rx2sWcUgqGSAoYY54rz0A3GyrBys0G6fThvZaTR91x7&#10;eaRwO/GbNM25lSPSh0HO5nEw3edusQKet/vla/HtbXnen7etUi/tg8qFuL7K0ntg0ZziHwy/+qQO&#10;DTkpt6AObBKQrAtSjwKKrARGQJLd0UIRWeYF8Kbm/ys0P1BLAwQUAAAACACHTuJATMm0PKABAAAh&#10;AwAADgAAAGRycy9lMm9Eb2MueG1srVI7bhsxEO0N5A4E+4iy7MTOQisDgeE0QWzAn57iDrUElh8M&#10;Ke3qAskNXKVx73PpHB5SnzhxZ6QZDuf/3sz0YrAdWwFG413Nj0djzsAp3xi3qPn93dXHc85ikq6R&#10;nXdQ8zVEfjH7cDTtQwUT3/quAWRUxMWqDzVvUwqVEFG1YGUc+QCOnNqjlYm+uBANyp6q205MxuPP&#10;ovfYBPQKYiTr5dbJZ6W+1qDStdYREutqTrOlIrHIeZZiNpXVAmVojdqNId8xhZXGUdNDqUuZJFui&#10;eVPKGoU+ep1GylvhtTYKCgZCczz+B81tKwMULERODAea4v8rq36sbpCZpuYnnDlpaUWbx1+b38+b&#10;p5/sJNPTh1hR1G2guDR89UPNEy5h74pkz8AHjTa/BIlRCHG9PvALQ2KKjKefzmhnnClynX2ZnJ4X&#10;/sWf5IAxfQNvWVZqjrS+wqpcfY+JZqHQfUju5fyV6bqyws79ZaDArQXKDeyyM5TtvFlLw3zY4Zv7&#10;Zk3w6I6pK8gHejlbBjSLlgx7uCJn0R7KHLubyYt+/Sf99WXPXgB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WAAAAZHJzL1BLAQIUABQAAAAI&#10;AIdO4kA0xPcL2gAAAAoBAAAPAAAAAAAAAAEAIAAAADgAAABkcnMvZG93bnJldi54bWxQSwECFAAU&#10;AAAACACHTuJATMm0PKABAAAhAwAADgAAAAAAAAABACAAAAA/AQAAZHJzL2Uyb0RvYy54bWxQSwUG&#10;AAAAAAYABgBZAQAAUQUAAAAA&#10;">
                      <v:path/>
                      <v:fill on="f" focussize="0,0"/>
                      <v:stroke on="f" joinstyle="miter"/>
                      <v:imagedata o:title=""/>
                      <o:lock v:ext="edit"/>
                      <v:textbox style="layout-flow:vertical-ideographic;">
                        <w:txbxContent>
                          <w:p>
                            <w:pPr>
                              <w:rPr>
                                <w:rFonts w:ascii="宋体" w:hAnsi="宋体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30"/>
                                <w:szCs w:val="30"/>
                              </w:rPr>
                              <w:t>- 3 -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方正仿宋简体"/>
                <w:b/>
                <w:sz w:val="24"/>
                <w:szCs w:val="24"/>
              </w:rPr>
              <w:t>八、推进农村人居环境整治</w:t>
            </w:r>
          </w:p>
        </w:tc>
        <w:tc>
          <w:tcPr>
            <w:tcW w:w="969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N w:val="0"/>
              <w:spacing w:line="280" w:lineRule="exact"/>
              <w:jc w:val="left"/>
              <w:textAlignment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  <w:szCs w:val="24"/>
              </w:rPr>
              <w:t>关芬宇</w:t>
            </w:r>
          </w:p>
        </w:tc>
        <w:tc>
          <w:tcPr>
            <w:tcW w:w="834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  <w:szCs w:val="24"/>
              </w:rPr>
              <w:t>区农业农村局</w:t>
            </w:r>
          </w:p>
        </w:tc>
        <w:tc>
          <w:tcPr>
            <w:tcW w:w="8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  <w:szCs w:val="24"/>
              </w:rPr>
              <w:t>有关镇政府</w:t>
            </w:r>
          </w:p>
        </w:tc>
        <w:tc>
          <w:tcPr>
            <w:tcW w:w="28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N w:val="0"/>
              <w:spacing w:line="280" w:lineRule="exact"/>
              <w:textAlignment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  <w:szCs w:val="24"/>
              </w:rPr>
              <w:t>18.继续实施农村生活污水治理工程，对全区80条自然村生活污水进行治理。</w:t>
            </w:r>
          </w:p>
        </w:tc>
        <w:tc>
          <w:tcPr>
            <w:tcW w:w="47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eastAsia="方正仿宋简体"/>
                <w:color w:val="000000"/>
                <w:sz w:val="24"/>
                <w:szCs w:val="24"/>
              </w:rPr>
              <w:t>初步选定82条自然村作为今年完成污水治理工程任务。</w:t>
            </w:r>
          </w:p>
        </w:tc>
        <w:tc>
          <w:tcPr>
            <w:tcW w:w="8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eastAsia="方正仿宋简体"/>
                <w:color w:val="000000"/>
                <w:sz w:val="24"/>
                <w:szCs w:val="24"/>
              </w:rPr>
              <w:t>3%</w:t>
            </w: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eastAsia="方正仿宋简体"/>
                <w:color w:val="000000"/>
                <w:sz w:val="24"/>
                <w:szCs w:val="24"/>
              </w:rPr>
              <w:t>暂未落实建设资金，未能开工。</w:t>
            </w:r>
          </w:p>
        </w:tc>
        <w:tc>
          <w:tcPr>
            <w:tcW w:w="29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eastAsia="方正仿宋简体"/>
                <w:color w:val="000000"/>
                <w:sz w:val="24"/>
                <w:szCs w:val="24"/>
              </w:rPr>
              <w:t>1、加快完善相关工程建设资料报区乡村振兴领导小组会议审定。2、加强与财政、乡镇等相关部门沟通，加快资金落实，尽快动工建设。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0" w:hRule="atLeast"/>
          <w:jc w:val="center"/>
        </w:trPr>
        <w:tc>
          <w:tcPr>
            <w:tcW w:w="939" w:type="dxa"/>
            <w:vMerge w:val="restart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N w:val="0"/>
              <w:spacing w:line="300" w:lineRule="exact"/>
              <w:textAlignment w:val="center"/>
              <w:rPr>
                <w:rFonts w:eastAsia="方正仿宋简体"/>
                <w:b/>
                <w:sz w:val="24"/>
                <w:szCs w:val="24"/>
              </w:rPr>
            </w:pPr>
            <w:r>
              <w:rPr>
                <w:rFonts w:eastAsia="方正仿宋简体"/>
                <w:b/>
                <w:sz w:val="24"/>
                <w:szCs w:val="24"/>
              </w:rPr>
              <w:t>九、加强食品安全监管</w:t>
            </w:r>
          </w:p>
        </w:tc>
        <w:tc>
          <w:tcPr>
            <w:tcW w:w="969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N w:val="0"/>
              <w:spacing w:line="280" w:lineRule="exact"/>
              <w:jc w:val="left"/>
              <w:textAlignment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  <w:szCs w:val="24"/>
              </w:rPr>
              <w:t>陈基雄</w:t>
            </w:r>
          </w:p>
        </w:tc>
        <w:tc>
          <w:tcPr>
            <w:tcW w:w="834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  <w:szCs w:val="24"/>
              </w:rPr>
              <w:t>市市场监管局阳东分局</w:t>
            </w:r>
          </w:p>
        </w:tc>
        <w:tc>
          <w:tcPr>
            <w:tcW w:w="8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28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N w:val="0"/>
              <w:spacing w:line="280" w:lineRule="exact"/>
              <w:textAlignment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  <w:szCs w:val="24"/>
              </w:rPr>
              <w:t>19.加强食品质量安全监督管理，食品抽检量达到5批次/千人，完成食品抽检2410批次。</w:t>
            </w:r>
          </w:p>
        </w:tc>
        <w:tc>
          <w:tcPr>
            <w:tcW w:w="47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eastAsia="方正仿宋简体"/>
                <w:color w:val="000000"/>
                <w:sz w:val="24"/>
                <w:szCs w:val="24"/>
              </w:rPr>
              <w:t>食品安全监督抽检工作正在走招投标流程。</w:t>
            </w:r>
          </w:p>
        </w:tc>
        <w:tc>
          <w:tcPr>
            <w:tcW w:w="8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ind w:firstLine="240" w:firstLineChars="100"/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eastAsia="方正仿宋简体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eastAsia="方正仿宋简体"/>
                <w:color w:val="000000"/>
                <w:sz w:val="24"/>
                <w:szCs w:val="24"/>
              </w:rPr>
              <w:t>无</w:t>
            </w:r>
          </w:p>
        </w:tc>
        <w:tc>
          <w:tcPr>
            <w:tcW w:w="29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eastAsia="方正仿宋简体"/>
                <w:color w:val="000000"/>
                <w:sz w:val="24"/>
                <w:szCs w:val="24"/>
              </w:rPr>
              <w:t>加快推进监督抽检工作的开展。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2" w:hRule="atLeast"/>
          <w:jc w:val="center"/>
        </w:trPr>
        <w:tc>
          <w:tcPr>
            <w:tcW w:w="939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N w:val="0"/>
              <w:spacing w:line="300" w:lineRule="exact"/>
              <w:textAlignment w:val="center"/>
              <w:rPr>
                <w:rFonts w:eastAsia="方正仿宋简体"/>
                <w:b/>
                <w:sz w:val="24"/>
                <w:szCs w:val="24"/>
              </w:rPr>
            </w:pPr>
          </w:p>
        </w:tc>
        <w:tc>
          <w:tcPr>
            <w:tcW w:w="969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N w:val="0"/>
              <w:spacing w:line="280" w:lineRule="exact"/>
              <w:jc w:val="left"/>
              <w:textAlignment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834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28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N w:val="0"/>
              <w:spacing w:line="280" w:lineRule="exact"/>
              <w:textAlignment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  <w:szCs w:val="24"/>
              </w:rPr>
              <w:t>20.加强食用农产品质量安全监督管理，委托第三方就全区6家农贸市场开展食用农产品快速检测服务，确保零售市场每月快检数量不少于300批次，每个市场每周开展快检原则上不少于5天，每月对市场内销售蔬菜重点品种、水产品重点品种的经营户实现全覆盖。</w:t>
            </w:r>
          </w:p>
        </w:tc>
        <w:tc>
          <w:tcPr>
            <w:tcW w:w="47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eastAsia="方正仿宋简体"/>
                <w:color w:val="000000"/>
                <w:sz w:val="24"/>
                <w:szCs w:val="24"/>
              </w:rPr>
              <w:t>目前快检总数7180批次，不合格19批次，合格率99.74％，处理不合格产品56.05公斤。其中蔬菜6505批次，不合格18批次,合格率99.72％；水产品447批次,不合格1批次，合格率99.78％；畜禽肉蛋228批次,合格率100％。</w:t>
            </w:r>
          </w:p>
        </w:tc>
        <w:tc>
          <w:tcPr>
            <w:tcW w:w="8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eastAsia="方正仿宋简体"/>
                <w:color w:val="000000"/>
                <w:sz w:val="24"/>
                <w:szCs w:val="24"/>
              </w:rPr>
              <w:t>33%</w:t>
            </w: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eastAsia="方正仿宋简体"/>
                <w:color w:val="000000"/>
                <w:sz w:val="24"/>
                <w:szCs w:val="24"/>
              </w:rPr>
              <w:t>水产品合格率偏高。</w:t>
            </w:r>
          </w:p>
        </w:tc>
        <w:tc>
          <w:tcPr>
            <w:tcW w:w="29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eastAsia="方正仿宋简体"/>
                <w:color w:val="000000"/>
                <w:sz w:val="24"/>
                <w:szCs w:val="24"/>
              </w:rPr>
              <w:t>继续加强监管第三方开展农产品快检的抽样检测工作。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4" w:hRule="atLeast"/>
          <w:jc w:val="center"/>
        </w:trPr>
        <w:tc>
          <w:tcPr>
            <w:tcW w:w="939" w:type="dxa"/>
            <w:vMerge w:val="restart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N w:val="0"/>
              <w:spacing w:line="300" w:lineRule="exact"/>
              <w:textAlignment w:val="center"/>
              <w:rPr>
                <w:rFonts w:eastAsia="方正仿宋简体"/>
                <w:b/>
                <w:sz w:val="24"/>
                <w:szCs w:val="24"/>
              </w:rPr>
            </w:pPr>
            <w:r>
              <w:rPr>
                <w:rFonts w:eastAsia="方正仿宋简体"/>
                <w:b/>
                <w:sz w:val="24"/>
                <w:szCs w:val="24"/>
              </w:rPr>
              <w:t>十、完善供电设施建设</w:t>
            </w:r>
          </w:p>
        </w:tc>
        <w:tc>
          <w:tcPr>
            <w:tcW w:w="969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N w:val="0"/>
              <w:spacing w:line="280" w:lineRule="exact"/>
              <w:jc w:val="left"/>
              <w:textAlignment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  <w:szCs w:val="24"/>
              </w:rPr>
              <w:t>陈基雄</w:t>
            </w:r>
          </w:p>
        </w:tc>
        <w:tc>
          <w:tcPr>
            <w:tcW w:w="834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  <w:szCs w:val="24"/>
              </w:rPr>
              <w:t>阳东供电局</w:t>
            </w:r>
          </w:p>
        </w:tc>
        <w:tc>
          <w:tcPr>
            <w:tcW w:w="8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  <w:szCs w:val="24"/>
              </w:rPr>
              <w:t>那龙镇政府</w:t>
            </w:r>
          </w:p>
        </w:tc>
        <w:tc>
          <w:tcPr>
            <w:tcW w:w="28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N w:val="0"/>
              <w:spacing w:line="280" w:lineRule="exact"/>
              <w:jc w:val="left"/>
              <w:textAlignment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  <w:szCs w:val="24"/>
              </w:rPr>
              <w:t>21.完成110千伏那龙（温泉）变电站建设。</w:t>
            </w:r>
          </w:p>
        </w:tc>
        <w:tc>
          <w:tcPr>
            <w:tcW w:w="47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N w:val="0"/>
              <w:spacing w:line="280" w:lineRule="exact"/>
              <w:jc w:val="left"/>
              <w:textAlignment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  <w:szCs w:val="24"/>
              </w:rPr>
              <w:t>110kV温泉（那龙）输变电工程主体已完成，电气正在施工中。</w:t>
            </w:r>
          </w:p>
        </w:tc>
        <w:tc>
          <w:tcPr>
            <w:tcW w:w="8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  <w:szCs w:val="24"/>
              </w:rPr>
              <w:t>85%</w:t>
            </w: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N w:val="0"/>
              <w:spacing w:line="280" w:lineRule="exact"/>
              <w:ind w:firstLine="240" w:firstLineChars="100"/>
              <w:jc w:val="left"/>
              <w:textAlignment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  <w:szCs w:val="24"/>
              </w:rPr>
              <w:t>无</w:t>
            </w:r>
          </w:p>
        </w:tc>
        <w:tc>
          <w:tcPr>
            <w:tcW w:w="29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N w:val="0"/>
              <w:spacing w:line="280" w:lineRule="exact"/>
              <w:jc w:val="left"/>
              <w:textAlignment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  <w:szCs w:val="24"/>
              </w:rPr>
              <w:t>目前正在加快站内建设，统筹站内设备调试工作，确保110kV温泉（那龙）输变电工程6月份投产。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9" w:hRule="atLeast"/>
          <w:jc w:val="center"/>
        </w:trPr>
        <w:tc>
          <w:tcPr>
            <w:tcW w:w="939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N w:val="0"/>
              <w:spacing w:line="300" w:lineRule="exact"/>
              <w:textAlignment w:val="center"/>
              <w:rPr>
                <w:rFonts w:eastAsia="方正仿宋简体"/>
                <w:b/>
                <w:sz w:val="24"/>
                <w:szCs w:val="24"/>
              </w:rPr>
            </w:pPr>
          </w:p>
        </w:tc>
        <w:tc>
          <w:tcPr>
            <w:tcW w:w="969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N w:val="0"/>
              <w:spacing w:line="280" w:lineRule="exact"/>
              <w:jc w:val="left"/>
              <w:textAlignment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834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  <w:szCs w:val="24"/>
              </w:rPr>
              <w:t>北惯镇政府、开发区管理局</w:t>
            </w:r>
          </w:p>
        </w:tc>
        <w:tc>
          <w:tcPr>
            <w:tcW w:w="28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N w:val="0"/>
              <w:spacing w:line="280" w:lineRule="exact"/>
              <w:jc w:val="left"/>
              <w:textAlignment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  <w:szCs w:val="24"/>
              </w:rPr>
              <w:t>22.动工建设110千伏万象园区变电站。</w:t>
            </w:r>
          </w:p>
        </w:tc>
        <w:tc>
          <w:tcPr>
            <w:tcW w:w="47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N w:val="0"/>
              <w:spacing w:line="280" w:lineRule="exact"/>
              <w:jc w:val="left"/>
              <w:textAlignment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  <w:szCs w:val="24"/>
              </w:rPr>
              <w:t>万象变电站已完成招拍挂手续，并已成交确认。目前待市自然资源局阳东分局签订土地出让合同。</w:t>
            </w:r>
          </w:p>
        </w:tc>
        <w:tc>
          <w:tcPr>
            <w:tcW w:w="8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  <w:szCs w:val="24"/>
              </w:rPr>
              <w:t>35%</w:t>
            </w: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N w:val="0"/>
              <w:spacing w:line="280" w:lineRule="exact"/>
              <w:ind w:firstLine="240" w:firstLineChars="100"/>
              <w:jc w:val="left"/>
              <w:textAlignment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  <w:szCs w:val="24"/>
              </w:rPr>
              <w:t>无</w:t>
            </w:r>
          </w:p>
        </w:tc>
        <w:tc>
          <w:tcPr>
            <w:tcW w:w="29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N w:val="0"/>
              <w:spacing w:line="280" w:lineRule="exact"/>
              <w:textAlignment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  <w:szCs w:val="24"/>
              </w:rPr>
              <w:t>下步办理用地规划许可证、不动产权证、建设工程规划许可证、施工许可证等手续。待施工许可证办理后开工建设。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F71068"/>
    <w:rsid w:val="5FF71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qFormat="1"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qFormat="1"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heading"/>
    <w:basedOn w:val="1"/>
    <w:next w:val="3"/>
    <w:qFormat/>
    <w:uiPriority w:val="0"/>
    <w:rPr>
      <w:rFonts w:asciiTheme="majorHAnsi" w:hAnsiTheme="majorHAnsi" w:eastAsiaTheme="majorEastAsia" w:cstheme="majorBidi"/>
      <w:b/>
      <w:bCs/>
    </w:rPr>
  </w:style>
  <w:style w:type="paragraph" w:styleId="3">
    <w:name w:val="index 1"/>
    <w:basedOn w:val="1"/>
    <w:next w:val="1"/>
    <w:qFormat/>
    <w:uiPriority w:val="0"/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2023-05-29T17:04:00Z</dcterms:created>
  <dc:creator>kylin</dc:creator>
  <cp:lastModifiedBy>kylin</cp:lastModifiedBy>
  <dcterms:modified xsi:type="dcterms:W3CDTF">2023-05-29T17:06:16Z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