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bCs/>
          <w:color w:val="000000"/>
          <w:kern w:val="0"/>
        </w:rPr>
      </w:pPr>
    </w:p>
    <w:p>
      <w:pPr>
        <w:spacing w:line="570" w:lineRule="exact"/>
        <w:jc w:val="center"/>
        <w:rPr>
          <w:bCs/>
          <w:color w:val="000000"/>
          <w:kern w:val="0"/>
        </w:rPr>
      </w:pPr>
    </w:p>
    <w:p>
      <w:pPr>
        <w:spacing w:line="570" w:lineRule="exact"/>
        <w:jc w:val="center"/>
        <w:rPr>
          <w:bCs/>
          <w:color w:val="000000"/>
          <w:kern w:val="0"/>
        </w:rPr>
      </w:pPr>
    </w:p>
    <w:p>
      <w:pPr>
        <w:spacing w:line="570" w:lineRule="exact"/>
        <w:jc w:val="center"/>
        <w:rPr>
          <w:bCs/>
          <w:color w:val="000000"/>
          <w:kern w:val="0"/>
        </w:rPr>
      </w:pPr>
    </w:p>
    <w:p>
      <w:pPr>
        <w:spacing w:line="570" w:lineRule="exact"/>
        <w:jc w:val="center"/>
        <w:rPr>
          <w:bCs/>
          <w:color w:val="000000"/>
          <w:kern w:val="0"/>
        </w:rPr>
      </w:pPr>
    </w:p>
    <w:p>
      <w:pPr>
        <w:spacing w:line="460" w:lineRule="exact"/>
        <w:jc w:val="center"/>
        <w:rPr>
          <w:bCs/>
          <w:color w:val="000000"/>
          <w:kern w:val="0"/>
        </w:rPr>
      </w:pPr>
    </w:p>
    <w:p>
      <w:pPr>
        <w:spacing w:line="570" w:lineRule="exact"/>
        <w:jc w:val="center"/>
        <w:rPr>
          <w:bCs/>
          <w:color w:val="000000"/>
          <w:kern w:val="0"/>
        </w:rPr>
      </w:pPr>
    </w:p>
    <w:p>
      <w:pPr>
        <w:spacing w:line="570" w:lineRule="exact"/>
        <w:ind w:firstLine="640" w:firstLineChars="200"/>
        <w:rPr>
          <w:rFonts w:eastAsia="方正仿宋简体" w:cs="宋体"/>
          <w:sz w:val="32"/>
          <w:szCs w:val="28"/>
        </w:rPr>
      </w:pPr>
    </w:p>
    <w:p>
      <w:pPr>
        <w:spacing w:line="570" w:lineRule="exact"/>
        <w:ind w:firstLine="640" w:firstLineChars="200"/>
        <w:rPr>
          <w:rFonts w:eastAsia="方正仿宋简体" w:cs="宋体"/>
          <w:sz w:val="32"/>
          <w:szCs w:val="28"/>
        </w:rPr>
      </w:pPr>
    </w:p>
    <w:p>
      <w:pPr>
        <w:adjustRightInd w:val="0"/>
        <w:snapToGrid w:val="0"/>
        <w:spacing w:line="570" w:lineRule="exact"/>
        <w:jc w:val="center"/>
        <w:rPr>
          <w:rFonts w:eastAsia="方正小标宋简体" w:cs="宋体"/>
          <w:bCs/>
          <w:sz w:val="48"/>
          <w:szCs w:val="48"/>
        </w:rPr>
      </w:pPr>
      <w:r>
        <w:rPr>
          <w:rFonts w:hint="eastAsia" w:eastAsia="方正小标宋简体" w:cs="宋体"/>
          <w:bCs/>
          <w:sz w:val="48"/>
          <w:szCs w:val="48"/>
        </w:rPr>
        <w:t>阳江市阳东区应急管理“十四五”规划</w:t>
      </w:r>
    </w:p>
    <w:p>
      <w:pPr>
        <w:spacing w:line="570" w:lineRule="exact"/>
        <w:ind w:firstLine="640" w:firstLineChars="200"/>
        <w:rPr>
          <w:rFonts w:eastAsia="方正仿宋简体" w:cs="宋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p>
      <w:pPr>
        <w:pStyle w:val="15"/>
        <w:autoSpaceDE/>
        <w:autoSpaceDN/>
        <w:adjustRightInd/>
        <w:spacing w:line="570" w:lineRule="exact"/>
        <w:ind w:firstLine="640" w:firstLineChars="200"/>
        <w:jc w:val="both"/>
        <w:rPr>
          <w:rFonts w:ascii="Times New Roman" w:eastAsia="方正仿宋简体"/>
          <w:sz w:val="32"/>
          <w:szCs w:val="28"/>
        </w:rPr>
      </w:pPr>
    </w:p>
    <w:sdt>
      <w:sdtPr>
        <w:rPr>
          <w:rFonts w:ascii="Times New Roman" w:hAnsi="Times New Roman" w:eastAsia="宋体" w:cs="Times New Roman"/>
          <w:b w:val="0"/>
          <w:bCs w:val="0"/>
          <w:color w:val="auto"/>
          <w:kern w:val="2"/>
          <w:sz w:val="21"/>
          <w:szCs w:val="24"/>
          <w:lang w:val="zh-CN"/>
        </w:rPr>
        <w:id w:val="-1907984019"/>
        <w:docPartObj>
          <w:docPartGallery w:val="Table of Contents"/>
          <w:docPartUnique/>
        </w:docPartObj>
      </w:sdtPr>
      <w:sdtEndPr>
        <w:rPr>
          <w:rFonts w:ascii="Times New Roman" w:hAnsi="Times New Roman" w:eastAsia="宋体" w:cs="Times New Roman"/>
          <w:b w:val="0"/>
          <w:bCs w:val="0"/>
          <w:color w:val="auto"/>
          <w:kern w:val="2"/>
          <w:sz w:val="32"/>
          <w:szCs w:val="32"/>
          <w:lang w:val="zh-CN"/>
        </w:rPr>
      </w:sdtEndPr>
      <w:sdtContent>
        <w:p>
          <w:pPr>
            <w:pStyle w:val="17"/>
            <w:keepNext w:val="0"/>
            <w:keepLines w:val="0"/>
            <w:widowControl w:val="0"/>
            <w:spacing w:before="0" w:line="700" w:lineRule="exact"/>
            <w:ind w:firstLine="420" w:firstLineChars="200"/>
            <w:jc w:val="both"/>
            <w:rPr>
              <w:rFonts w:ascii="Times New Roman" w:hAnsi="Times New Roman" w:eastAsia="方正仿宋简体"/>
              <w:sz w:val="32"/>
              <w:lang w:val="zh-CN"/>
            </w:rPr>
          </w:pPr>
        </w:p>
        <w:p>
          <w:pPr>
            <w:pStyle w:val="17"/>
            <w:keepNext w:val="0"/>
            <w:keepLines w:val="0"/>
            <w:widowControl w:val="0"/>
            <w:adjustRightInd w:val="0"/>
            <w:snapToGrid w:val="0"/>
            <w:spacing w:before="0" w:line="700" w:lineRule="exact"/>
            <w:jc w:val="center"/>
            <w:rPr>
              <w:rFonts w:ascii="Times New Roman" w:hAnsi="Times New Roman" w:eastAsia="方正小标宋简体"/>
              <w:b w:val="0"/>
              <w:color w:val="auto"/>
              <w:sz w:val="44"/>
              <w:lang w:val="zh-CN"/>
            </w:rPr>
          </w:pPr>
          <w:r>
            <w:rPr>
              <w:rFonts w:ascii="Times New Roman" w:hAnsi="Times New Roman" w:eastAsia="方正小标宋简体"/>
              <w:b w:val="0"/>
              <w:color w:val="auto"/>
              <w:sz w:val="44"/>
              <w:lang w:val="zh-CN"/>
            </w:rPr>
            <w:t>目录</w:t>
          </w:r>
        </w:p>
        <w:p>
          <w:pPr>
            <w:spacing w:line="700" w:lineRule="exact"/>
            <w:ind w:firstLine="640" w:firstLineChars="200"/>
            <w:rPr>
              <w:rFonts w:eastAsia="方正仿宋简体"/>
              <w:sz w:val="32"/>
              <w:szCs w:val="32"/>
              <w:lang w:val="zh-CN"/>
            </w:rPr>
          </w:pPr>
        </w:p>
        <w:p>
          <w:pPr>
            <w:pStyle w:val="6"/>
            <w:tabs>
              <w:tab w:val="right" w:leader="dot" w:pos="8834"/>
            </w:tabs>
            <w:spacing w:line="500" w:lineRule="exact"/>
            <w:rPr>
              <w:rFonts w:asciiTheme="minorHAnsi" w:hAnsiTheme="minorHAnsi" w:eastAsiaTheme="minorEastAsia" w:cstheme="minorBidi"/>
              <w:sz w:val="32"/>
              <w:szCs w:val="32"/>
            </w:rPr>
          </w:pPr>
          <w:r>
            <w:rPr>
              <w:sz w:val="32"/>
              <w:szCs w:val="32"/>
            </w:rPr>
            <w:fldChar w:fldCharType="begin"/>
          </w:r>
          <w:r>
            <w:rPr>
              <w:sz w:val="32"/>
              <w:szCs w:val="32"/>
            </w:rPr>
            <w:instrText xml:space="preserve"> TOC \o "1-3" \h \z \u </w:instrText>
          </w:r>
          <w:r>
            <w:rPr>
              <w:sz w:val="32"/>
              <w:szCs w:val="32"/>
            </w:rPr>
            <w:fldChar w:fldCharType="separate"/>
          </w:r>
          <w:r>
            <w:fldChar w:fldCharType="begin"/>
          </w:r>
          <w:r>
            <w:instrText xml:space="preserve"> HYPERLINK \l "_Toc160605102" </w:instrText>
          </w:r>
          <w:r>
            <w:fldChar w:fldCharType="separate"/>
          </w:r>
          <w:r>
            <w:rPr>
              <w:rStyle w:val="11"/>
              <w:rFonts w:hint="eastAsia" w:eastAsia="方正小标宋简体"/>
              <w:sz w:val="32"/>
              <w:szCs w:val="32"/>
            </w:rPr>
            <w:t>第一章</w:t>
          </w:r>
          <w:r>
            <w:rPr>
              <w:rStyle w:val="11"/>
              <w:rFonts w:eastAsia="方正小标宋简体"/>
              <w:sz w:val="32"/>
              <w:szCs w:val="32"/>
            </w:rPr>
            <w:t xml:space="preserve">  </w:t>
          </w:r>
          <w:r>
            <w:rPr>
              <w:rStyle w:val="11"/>
              <w:rFonts w:hint="eastAsia" w:eastAsia="方正小标宋简体"/>
              <w:sz w:val="32"/>
              <w:szCs w:val="32"/>
            </w:rPr>
            <w:t>现状与形势</w:t>
          </w:r>
          <w:r>
            <w:rPr>
              <w:sz w:val="32"/>
              <w:szCs w:val="32"/>
            </w:rPr>
            <w:tab/>
          </w:r>
          <w:r>
            <w:rPr>
              <w:sz w:val="32"/>
              <w:szCs w:val="32"/>
            </w:rPr>
            <w:fldChar w:fldCharType="begin"/>
          </w:r>
          <w:r>
            <w:rPr>
              <w:sz w:val="32"/>
              <w:szCs w:val="32"/>
            </w:rPr>
            <w:instrText xml:space="preserve"> PAGEREF _Toc160605102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"_Toc160605103" </w:instrText>
          </w:r>
          <w:r>
            <w:fldChar w:fldCharType="separate"/>
          </w:r>
          <w:r>
            <w:rPr>
              <w:rStyle w:val="11"/>
              <w:rFonts w:hint="eastAsia" w:eastAsia="方正楷体简体"/>
              <w:sz w:val="32"/>
              <w:szCs w:val="32"/>
            </w:rPr>
            <w:t>第一节</w:t>
          </w:r>
          <w:r>
            <w:rPr>
              <w:rStyle w:val="11"/>
              <w:rFonts w:eastAsia="方正楷体简体"/>
              <w:sz w:val="32"/>
              <w:szCs w:val="32"/>
            </w:rPr>
            <w:t xml:space="preserve">  </w:t>
          </w:r>
          <w:r>
            <w:rPr>
              <w:rStyle w:val="11"/>
              <w:rFonts w:hint="eastAsia" w:eastAsia="方正楷体简体"/>
              <w:sz w:val="32"/>
              <w:szCs w:val="32"/>
            </w:rPr>
            <w:t>改革进展</w:t>
          </w:r>
          <w:r>
            <w:rPr>
              <w:sz w:val="32"/>
              <w:szCs w:val="32"/>
            </w:rPr>
            <w:tab/>
          </w:r>
          <w:r>
            <w:rPr>
              <w:sz w:val="32"/>
              <w:szCs w:val="32"/>
            </w:rPr>
            <w:fldChar w:fldCharType="begin"/>
          </w:r>
          <w:r>
            <w:rPr>
              <w:sz w:val="32"/>
              <w:szCs w:val="32"/>
            </w:rPr>
            <w:instrText xml:space="preserve"> PAGEREF _Toc160605103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"_Toc160605104" </w:instrText>
          </w:r>
          <w:r>
            <w:fldChar w:fldCharType="separate"/>
          </w:r>
          <w:r>
            <w:rPr>
              <w:rStyle w:val="11"/>
              <w:rFonts w:hint="eastAsia" w:eastAsia="方正楷体简体"/>
              <w:sz w:val="32"/>
              <w:szCs w:val="32"/>
            </w:rPr>
            <w:t>第二节</w:t>
          </w:r>
          <w:r>
            <w:rPr>
              <w:rStyle w:val="11"/>
              <w:rFonts w:eastAsia="方正楷体简体"/>
              <w:sz w:val="32"/>
              <w:szCs w:val="32"/>
            </w:rPr>
            <w:t xml:space="preserve">  </w:t>
          </w:r>
          <w:r>
            <w:rPr>
              <w:rStyle w:val="11"/>
              <w:rFonts w:hint="eastAsia" w:eastAsia="方正楷体简体"/>
              <w:sz w:val="32"/>
              <w:szCs w:val="32"/>
            </w:rPr>
            <w:t>问题挑战</w:t>
          </w:r>
          <w:r>
            <w:rPr>
              <w:sz w:val="32"/>
              <w:szCs w:val="32"/>
            </w:rPr>
            <w:tab/>
          </w:r>
          <w:r>
            <w:rPr>
              <w:sz w:val="32"/>
              <w:szCs w:val="32"/>
            </w:rPr>
            <w:fldChar w:fldCharType="begin"/>
          </w:r>
          <w:r>
            <w:rPr>
              <w:sz w:val="32"/>
              <w:szCs w:val="32"/>
            </w:rPr>
            <w:instrText xml:space="preserve"> PAGEREF _Toc160605104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"_Toc160605105" </w:instrText>
          </w:r>
          <w:r>
            <w:fldChar w:fldCharType="separate"/>
          </w:r>
          <w:r>
            <w:rPr>
              <w:rStyle w:val="11"/>
              <w:rFonts w:hint="eastAsia" w:eastAsia="方正楷体简体"/>
              <w:sz w:val="32"/>
              <w:szCs w:val="32"/>
            </w:rPr>
            <w:t>第三节</w:t>
          </w:r>
          <w:r>
            <w:rPr>
              <w:rStyle w:val="11"/>
              <w:rFonts w:eastAsia="方正楷体简体"/>
              <w:sz w:val="32"/>
              <w:szCs w:val="32"/>
            </w:rPr>
            <w:t xml:space="preserve">  </w:t>
          </w:r>
          <w:r>
            <w:rPr>
              <w:rStyle w:val="11"/>
              <w:rFonts w:hint="eastAsia" w:eastAsia="方正楷体简体"/>
              <w:sz w:val="32"/>
              <w:szCs w:val="32"/>
            </w:rPr>
            <w:t>发展机遇</w:t>
          </w:r>
          <w:r>
            <w:rPr>
              <w:sz w:val="32"/>
              <w:szCs w:val="32"/>
            </w:rPr>
            <w:tab/>
          </w:r>
          <w:r>
            <w:rPr>
              <w:sz w:val="32"/>
              <w:szCs w:val="32"/>
            </w:rPr>
            <w:fldChar w:fldCharType="begin"/>
          </w:r>
          <w:r>
            <w:rPr>
              <w:sz w:val="32"/>
              <w:szCs w:val="32"/>
            </w:rPr>
            <w:instrText xml:space="preserve"> PAGEREF _Toc160605105 \h </w:instrText>
          </w:r>
          <w:r>
            <w:rPr>
              <w:sz w:val="32"/>
              <w:szCs w:val="32"/>
            </w:rPr>
            <w:fldChar w:fldCharType="separate"/>
          </w:r>
          <w:r>
            <w:rPr>
              <w:sz w:val="32"/>
              <w:szCs w:val="32"/>
            </w:rPr>
            <w:t>8</w:t>
          </w:r>
          <w:r>
            <w:rPr>
              <w:sz w:val="32"/>
              <w:szCs w:val="32"/>
            </w:rPr>
            <w:fldChar w:fldCharType="end"/>
          </w:r>
          <w:r>
            <w:rPr>
              <w:sz w:val="32"/>
              <w:szCs w:val="32"/>
            </w:rPr>
            <w:fldChar w:fldCharType="end"/>
          </w:r>
        </w:p>
        <w:p>
          <w:pPr>
            <w:pStyle w:val="6"/>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"_Toc160605106" </w:instrText>
          </w:r>
          <w:r>
            <w:fldChar w:fldCharType="separate"/>
          </w:r>
          <w:r>
            <w:rPr>
              <w:rStyle w:val="11"/>
              <w:rFonts w:hint="eastAsia" w:eastAsia="方正小标宋简体"/>
              <w:sz w:val="32"/>
              <w:szCs w:val="32"/>
            </w:rPr>
            <w:t>第二章</w:t>
          </w:r>
          <w:r>
            <w:rPr>
              <w:rStyle w:val="11"/>
              <w:rFonts w:eastAsia="方正小标宋简体"/>
              <w:sz w:val="32"/>
              <w:szCs w:val="32"/>
            </w:rPr>
            <w:t xml:space="preserve"> </w:t>
          </w:r>
          <w:r>
            <w:rPr>
              <w:rStyle w:val="11"/>
              <w:rFonts w:hint="eastAsia" w:eastAsia="方正小标宋简体"/>
              <w:sz w:val="32"/>
              <w:szCs w:val="32"/>
            </w:rPr>
            <w:t>总体要求</w:t>
          </w:r>
          <w:r>
            <w:rPr>
              <w:sz w:val="32"/>
              <w:szCs w:val="32"/>
            </w:rPr>
            <w:tab/>
          </w:r>
          <w:r>
            <w:rPr>
              <w:sz w:val="32"/>
              <w:szCs w:val="32"/>
            </w:rPr>
            <w:fldChar w:fldCharType="begin"/>
          </w:r>
          <w:r>
            <w:rPr>
              <w:sz w:val="32"/>
              <w:szCs w:val="32"/>
            </w:rPr>
            <w:instrText xml:space="preserve"> PAGEREF _Toc160605106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"_Toc160605107" </w:instrText>
          </w:r>
          <w:r>
            <w:fldChar w:fldCharType="separate"/>
          </w:r>
          <w:r>
            <w:rPr>
              <w:rStyle w:val="11"/>
              <w:rFonts w:hint="eastAsia" w:eastAsia="方正楷体简体"/>
              <w:sz w:val="32"/>
              <w:szCs w:val="32"/>
            </w:rPr>
            <w:t>第一节</w:t>
          </w:r>
          <w:r>
            <w:rPr>
              <w:rStyle w:val="11"/>
              <w:rFonts w:eastAsia="方正楷体简体"/>
              <w:sz w:val="32"/>
              <w:szCs w:val="32"/>
            </w:rPr>
            <w:t xml:space="preserve">  </w:t>
          </w:r>
          <w:r>
            <w:rPr>
              <w:rStyle w:val="11"/>
              <w:rFonts w:hint="eastAsia" w:eastAsia="方正楷体简体"/>
              <w:sz w:val="32"/>
              <w:szCs w:val="32"/>
            </w:rPr>
            <w:t>指导思想</w:t>
          </w:r>
          <w:r>
            <w:rPr>
              <w:sz w:val="32"/>
              <w:szCs w:val="32"/>
            </w:rPr>
            <w:tab/>
          </w:r>
          <w:r>
            <w:rPr>
              <w:sz w:val="32"/>
              <w:szCs w:val="32"/>
            </w:rPr>
            <w:fldChar w:fldCharType="begin"/>
          </w:r>
          <w:r>
            <w:rPr>
              <w:sz w:val="32"/>
              <w:szCs w:val="32"/>
            </w:rPr>
            <w:instrText xml:space="preserve"> PAGEREF _Toc160605107 \h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"_Toc160605108" </w:instrText>
          </w:r>
          <w:r>
            <w:fldChar w:fldCharType="separate"/>
          </w:r>
          <w:r>
            <w:rPr>
              <w:rStyle w:val="11"/>
              <w:rFonts w:hint="eastAsia" w:ascii="方正楷体简体" w:eastAsia="方正楷体简体"/>
              <w:sz w:val="32"/>
              <w:szCs w:val="32"/>
            </w:rPr>
            <w:t>第二节</w:t>
          </w:r>
          <w:r>
            <w:rPr>
              <w:rStyle w:val="11"/>
              <w:rFonts w:ascii="方正楷体简体" w:eastAsia="方正楷体简体"/>
              <w:sz w:val="32"/>
              <w:szCs w:val="32"/>
            </w:rPr>
            <w:t xml:space="preserve">  </w:t>
          </w:r>
          <w:r>
            <w:rPr>
              <w:rStyle w:val="11"/>
              <w:rFonts w:hint="eastAsia" w:ascii="方正楷体简体" w:eastAsia="方正楷体简体"/>
              <w:sz w:val="32"/>
              <w:szCs w:val="32"/>
            </w:rPr>
            <w:t>基本原则</w:t>
          </w:r>
          <w:r>
            <w:rPr>
              <w:sz w:val="32"/>
              <w:szCs w:val="32"/>
            </w:rPr>
            <w:tab/>
          </w:r>
          <w:r>
            <w:rPr>
              <w:sz w:val="32"/>
              <w:szCs w:val="32"/>
            </w:rPr>
            <w:fldChar w:fldCharType="begin"/>
          </w:r>
          <w:r>
            <w:rPr>
              <w:sz w:val="32"/>
              <w:szCs w:val="32"/>
            </w:rPr>
            <w:instrText xml:space="preserve"> PAGEREF _Toc160605108 \h </w:instrText>
          </w:r>
          <w:r>
            <w:rPr>
              <w:sz w:val="32"/>
              <w:szCs w:val="32"/>
            </w:rPr>
            <w:fldChar w:fldCharType="separate"/>
          </w:r>
          <w:r>
            <w:rPr>
              <w:sz w:val="32"/>
              <w:szCs w:val="32"/>
            </w:rPr>
            <w:t>11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"_Toc160605109" </w:instrText>
          </w:r>
          <w:r>
            <w:fldChar w:fldCharType="separate"/>
          </w:r>
          <w:r>
            <w:rPr>
              <w:rStyle w:val="11"/>
              <w:rFonts w:hint="eastAsia" w:eastAsia="方正楷体简体"/>
              <w:sz w:val="32"/>
              <w:szCs w:val="32"/>
            </w:rPr>
            <w:t>第三节</w:t>
          </w:r>
          <w:r>
            <w:rPr>
              <w:rStyle w:val="11"/>
              <w:rFonts w:eastAsia="方正楷体简体"/>
              <w:sz w:val="32"/>
              <w:szCs w:val="32"/>
            </w:rPr>
            <w:t xml:space="preserve">  </w:t>
          </w:r>
          <w:r>
            <w:rPr>
              <w:rStyle w:val="11"/>
              <w:rFonts w:hint="eastAsia" w:eastAsia="方正楷体简体"/>
              <w:sz w:val="32"/>
              <w:szCs w:val="32"/>
            </w:rPr>
            <w:t>发展目标</w:t>
          </w:r>
          <w:r>
            <w:rPr>
              <w:sz w:val="32"/>
              <w:szCs w:val="32"/>
            </w:rPr>
            <w:tab/>
          </w:r>
          <w:r>
            <w:rPr>
              <w:sz w:val="32"/>
              <w:szCs w:val="32"/>
            </w:rPr>
            <w:fldChar w:fldCharType="begin"/>
          </w:r>
          <w:r>
            <w:rPr>
              <w:sz w:val="32"/>
              <w:szCs w:val="32"/>
            </w:rPr>
            <w:instrText xml:space="preserve"> PAGEREF _Toc160605109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"_Toc160605110" </w:instrText>
          </w:r>
          <w:r>
            <w:fldChar w:fldCharType="separate"/>
          </w:r>
          <w:r>
            <w:rPr>
              <w:rStyle w:val="11"/>
              <w:rFonts w:hint="eastAsia" w:ascii="方正楷体简体" w:eastAsia="方正楷体简体"/>
              <w:sz w:val="32"/>
              <w:szCs w:val="32"/>
            </w:rPr>
            <w:t>第四节</w:t>
          </w:r>
          <w:r>
            <w:rPr>
              <w:rStyle w:val="11"/>
              <w:rFonts w:ascii="方正楷体简体" w:eastAsia="方正楷体简体"/>
              <w:sz w:val="32"/>
              <w:szCs w:val="32"/>
            </w:rPr>
            <w:t xml:space="preserve">  </w:t>
          </w:r>
          <w:r>
            <w:rPr>
              <w:rStyle w:val="11"/>
              <w:rFonts w:hint="eastAsia" w:ascii="方正楷体简体" w:eastAsia="方正楷体简体"/>
              <w:sz w:val="32"/>
              <w:szCs w:val="32"/>
            </w:rPr>
            <w:t>实施策略</w:t>
          </w:r>
          <w:r>
            <w:rPr>
              <w:sz w:val="32"/>
              <w:szCs w:val="32"/>
            </w:rPr>
            <w:tab/>
          </w:r>
          <w:r>
            <w:rPr>
              <w:sz w:val="32"/>
              <w:szCs w:val="32"/>
            </w:rPr>
            <w:fldChar w:fldCharType="begin"/>
          </w:r>
          <w:r>
            <w:rPr>
              <w:sz w:val="32"/>
              <w:szCs w:val="32"/>
            </w:rPr>
            <w:instrText xml:space="preserve"> PAGEREF _Toc160605110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6"/>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"_Toc160605111" </w:instrText>
          </w:r>
          <w:r>
            <w:fldChar w:fldCharType="separate"/>
          </w:r>
          <w:r>
            <w:rPr>
              <w:rStyle w:val="11"/>
              <w:rFonts w:hint="eastAsia" w:eastAsia="方正小标宋简体"/>
              <w:sz w:val="32"/>
              <w:szCs w:val="32"/>
            </w:rPr>
            <w:t>第三章</w:t>
          </w:r>
          <w:r>
            <w:rPr>
              <w:rStyle w:val="11"/>
              <w:rFonts w:eastAsia="方正小标宋简体"/>
              <w:sz w:val="32"/>
              <w:szCs w:val="32"/>
            </w:rPr>
            <w:t xml:space="preserve">  </w:t>
          </w:r>
          <w:r>
            <w:rPr>
              <w:rStyle w:val="11"/>
              <w:rFonts w:hint="eastAsia" w:eastAsia="方正小标宋简体"/>
              <w:sz w:val="32"/>
              <w:szCs w:val="32"/>
            </w:rPr>
            <w:t>深入推进应急管理体系建设</w:t>
          </w:r>
          <w:r>
            <w:rPr>
              <w:sz w:val="32"/>
              <w:szCs w:val="32"/>
            </w:rPr>
            <w:tab/>
          </w:r>
          <w:r>
            <w:rPr>
              <w:sz w:val="32"/>
              <w:szCs w:val="32"/>
            </w:rPr>
            <w:fldChar w:fldCharType="begin"/>
          </w:r>
          <w:r>
            <w:rPr>
              <w:sz w:val="32"/>
              <w:szCs w:val="32"/>
            </w:rPr>
            <w:instrText xml:space="preserve"> PAGEREF _Toc160605111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"_Toc160605112" </w:instrText>
          </w:r>
          <w:r>
            <w:fldChar w:fldCharType="separate"/>
          </w:r>
          <w:r>
            <w:rPr>
              <w:rStyle w:val="11"/>
              <w:rFonts w:hint="eastAsia" w:eastAsia="方正楷体简体"/>
              <w:sz w:val="32"/>
              <w:szCs w:val="32"/>
            </w:rPr>
            <w:t>第一节</w:t>
          </w:r>
          <w:r>
            <w:rPr>
              <w:rStyle w:val="11"/>
              <w:rFonts w:eastAsia="方正楷体简体"/>
              <w:sz w:val="32"/>
              <w:szCs w:val="32"/>
            </w:rPr>
            <w:t xml:space="preserve">  </w:t>
          </w:r>
          <w:r>
            <w:rPr>
              <w:rStyle w:val="11"/>
              <w:rFonts w:hint="eastAsia" w:eastAsia="方正楷体简体"/>
              <w:sz w:val="32"/>
              <w:szCs w:val="32"/>
            </w:rPr>
            <w:t>构建统分结合的应急组织体系</w:t>
          </w:r>
          <w:r>
            <w:rPr>
              <w:sz w:val="32"/>
              <w:szCs w:val="32"/>
            </w:rPr>
            <w:tab/>
          </w:r>
          <w:r>
            <w:rPr>
              <w:sz w:val="32"/>
              <w:szCs w:val="32"/>
            </w:rPr>
            <w:fldChar w:fldCharType="begin"/>
          </w:r>
          <w:r>
            <w:rPr>
              <w:sz w:val="32"/>
              <w:szCs w:val="32"/>
            </w:rPr>
            <w:instrText xml:space="preserve"> PAGEREF _Toc160605112 \h </w:instrText>
          </w:r>
          <w:r>
            <w:rPr>
              <w:sz w:val="32"/>
              <w:szCs w:val="32"/>
            </w:rPr>
            <w:fldChar w:fldCharType="separate"/>
          </w:r>
          <w:r>
            <w:rPr>
              <w:sz w:val="32"/>
              <w:szCs w:val="32"/>
            </w:rPr>
            <w:t>15</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"_Toc160605113" </w:instrText>
          </w:r>
          <w:r>
            <w:fldChar w:fldCharType="separate"/>
          </w:r>
          <w:r>
            <w:rPr>
              <w:rStyle w:val="11"/>
              <w:rFonts w:hint="eastAsia" w:eastAsia="方正楷体简体"/>
              <w:sz w:val="32"/>
              <w:szCs w:val="32"/>
            </w:rPr>
            <w:t>第二节</w:t>
          </w:r>
          <w:r>
            <w:rPr>
              <w:rStyle w:val="11"/>
              <w:rFonts w:eastAsia="方正楷体简体"/>
              <w:sz w:val="32"/>
              <w:szCs w:val="32"/>
            </w:rPr>
            <w:t xml:space="preserve">  </w:t>
          </w:r>
          <w:r>
            <w:rPr>
              <w:rStyle w:val="11"/>
              <w:rFonts w:hint="eastAsia" w:eastAsia="方正楷体简体"/>
              <w:sz w:val="32"/>
              <w:szCs w:val="32"/>
            </w:rPr>
            <w:t>构建系统完备的法规预案体系</w:t>
          </w:r>
          <w:r>
            <w:rPr>
              <w:sz w:val="32"/>
              <w:szCs w:val="32"/>
            </w:rPr>
            <w:tab/>
          </w:r>
          <w:r>
            <w:rPr>
              <w:sz w:val="32"/>
              <w:szCs w:val="32"/>
            </w:rPr>
            <w:fldChar w:fldCharType="begin"/>
          </w:r>
          <w:r>
            <w:rPr>
              <w:sz w:val="32"/>
              <w:szCs w:val="32"/>
            </w:rPr>
            <w:instrText xml:space="preserve"> PAGEREF _Toc160605113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"_Toc160605114" </w:instrText>
          </w:r>
          <w:r>
            <w:fldChar w:fldCharType="separate"/>
          </w:r>
          <w:r>
            <w:rPr>
              <w:rStyle w:val="11"/>
              <w:rFonts w:hint="eastAsia" w:ascii="方正楷体简体" w:eastAsia="方正楷体简体"/>
              <w:sz w:val="32"/>
              <w:szCs w:val="32"/>
            </w:rPr>
            <w:t>第三节</w:t>
          </w:r>
          <w:r>
            <w:rPr>
              <w:rStyle w:val="11"/>
              <w:rFonts w:ascii="方正楷体简体" w:eastAsia="方正楷体简体"/>
              <w:sz w:val="32"/>
              <w:szCs w:val="32"/>
            </w:rPr>
            <w:t xml:space="preserve">  </w:t>
          </w:r>
          <w:r>
            <w:rPr>
              <w:rStyle w:val="11"/>
              <w:rFonts w:hint="eastAsia" w:ascii="方正楷体简体" w:eastAsia="方正楷体简体"/>
              <w:sz w:val="32"/>
              <w:szCs w:val="32"/>
            </w:rPr>
            <w:t>构建精准严密的安全监管体系</w:t>
          </w:r>
          <w:r>
            <w:rPr>
              <w:sz w:val="32"/>
              <w:szCs w:val="32"/>
            </w:rPr>
            <w:tab/>
          </w:r>
          <w:r>
            <w:rPr>
              <w:sz w:val="32"/>
              <w:szCs w:val="32"/>
            </w:rPr>
            <w:fldChar w:fldCharType="begin"/>
          </w:r>
          <w:r>
            <w:rPr>
              <w:sz w:val="32"/>
              <w:szCs w:val="32"/>
            </w:rPr>
            <w:instrText xml:space="preserve"> PAGEREF _Toc160605114 \h </w:instrText>
          </w:r>
          <w:r>
            <w:rPr>
              <w:sz w:val="32"/>
              <w:szCs w:val="32"/>
            </w:rPr>
            <w:fldChar w:fldCharType="separate"/>
          </w:r>
          <w:r>
            <w:rPr>
              <w:sz w:val="32"/>
              <w:szCs w:val="32"/>
            </w:rPr>
            <w:t>17</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"_Toc160605115" </w:instrText>
          </w:r>
          <w:r>
            <w:fldChar w:fldCharType="separate"/>
          </w:r>
          <w:r>
            <w:rPr>
              <w:rStyle w:val="11"/>
              <w:rFonts w:hint="eastAsia" w:ascii="方正楷体简体" w:eastAsia="方正楷体简体"/>
              <w:sz w:val="32"/>
              <w:szCs w:val="32"/>
            </w:rPr>
            <w:t>第四节</w:t>
          </w:r>
          <w:r>
            <w:rPr>
              <w:rStyle w:val="11"/>
              <w:rFonts w:ascii="方正楷体简体" w:eastAsia="方正楷体简体"/>
              <w:sz w:val="32"/>
              <w:szCs w:val="32"/>
            </w:rPr>
            <w:t xml:space="preserve">  </w:t>
          </w:r>
          <w:r>
            <w:rPr>
              <w:rStyle w:val="11"/>
              <w:rFonts w:hint="eastAsia" w:ascii="方正楷体简体" w:eastAsia="方正楷体简体"/>
              <w:sz w:val="32"/>
              <w:szCs w:val="32"/>
            </w:rPr>
            <w:t>构建严格的执法管理体系</w:t>
          </w:r>
          <w:r>
            <w:rPr>
              <w:sz w:val="32"/>
              <w:szCs w:val="32"/>
            </w:rPr>
            <w:tab/>
          </w:r>
          <w:r>
            <w:rPr>
              <w:sz w:val="32"/>
              <w:szCs w:val="32"/>
            </w:rPr>
            <w:fldChar w:fldCharType="begin"/>
          </w:r>
          <w:r>
            <w:rPr>
              <w:sz w:val="32"/>
              <w:szCs w:val="32"/>
            </w:rPr>
            <w:instrText xml:space="preserve"> PAGEREF _Toc160605115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"_Toc160605116" </w:instrText>
          </w:r>
          <w:r>
            <w:fldChar w:fldCharType="separate"/>
          </w:r>
          <w:r>
            <w:rPr>
              <w:rStyle w:val="11"/>
              <w:rFonts w:hint="eastAsia" w:eastAsia="方正楷体简体"/>
              <w:sz w:val="32"/>
              <w:szCs w:val="32"/>
            </w:rPr>
            <w:t>第五节</w:t>
          </w:r>
          <w:r>
            <w:rPr>
              <w:rStyle w:val="11"/>
              <w:rFonts w:eastAsia="方正楷体简体"/>
              <w:sz w:val="32"/>
              <w:szCs w:val="32"/>
            </w:rPr>
            <w:t xml:space="preserve">  </w:t>
          </w:r>
          <w:r>
            <w:rPr>
              <w:rStyle w:val="11"/>
              <w:rFonts w:hint="eastAsia" w:eastAsia="方正楷体简体"/>
              <w:sz w:val="32"/>
              <w:szCs w:val="32"/>
            </w:rPr>
            <w:t>构建专常兼备的救援力量系统</w:t>
          </w:r>
          <w:r>
            <w:rPr>
              <w:sz w:val="32"/>
              <w:szCs w:val="32"/>
            </w:rPr>
            <w:tab/>
          </w:r>
          <w:r>
            <w:rPr>
              <w:sz w:val="32"/>
              <w:szCs w:val="32"/>
            </w:rPr>
            <w:fldChar w:fldCharType="begin"/>
          </w:r>
          <w:r>
            <w:rPr>
              <w:sz w:val="32"/>
              <w:szCs w:val="32"/>
            </w:rPr>
            <w:instrText xml:space="preserve"> PAGEREF _Toc160605116 \h </w:instrText>
          </w:r>
          <w:r>
            <w:rPr>
              <w:sz w:val="32"/>
              <w:szCs w:val="32"/>
            </w:rPr>
            <w:fldChar w:fldCharType="separate"/>
          </w:r>
          <w:r>
            <w:rPr>
              <w:sz w:val="32"/>
              <w:szCs w:val="32"/>
            </w:rPr>
            <w:t>21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"_Toc160605117" </w:instrText>
          </w:r>
          <w:r>
            <w:fldChar w:fldCharType="separate"/>
          </w:r>
          <w:r>
            <w:rPr>
              <w:rStyle w:val="11"/>
              <w:rFonts w:hint="eastAsia" w:eastAsia="方正楷体简体"/>
              <w:sz w:val="32"/>
              <w:szCs w:val="32"/>
            </w:rPr>
            <w:t>第六节</w:t>
          </w:r>
          <w:r>
            <w:rPr>
              <w:rStyle w:val="11"/>
              <w:rFonts w:eastAsia="方正楷体简体"/>
              <w:sz w:val="32"/>
              <w:szCs w:val="32"/>
            </w:rPr>
            <w:t xml:space="preserve">  </w:t>
          </w:r>
          <w:r>
            <w:rPr>
              <w:rStyle w:val="11"/>
              <w:rFonts w:hint="eastAsia" w:eastAsia="方正楷体简体"/>
              <w:sz w:val="32"/>
              <w:szCs w:val="32"/>
            </w:rPr>
            <w:t>构建集中统一的物资保障体系</w:t>
          </w:r>
          <w:r>
            <w:rPr>
              <w:sz w:val="32"/>
              <w:szCs w:val="32"/>
            </w:rPr>
            <w:tab/>
          </w:r>
          <w:r>
            <w:rPr>
              <w:sz w:val="32"/>
              <w:szCs w:val="32"/>
            </w:rPr>
            <w:fldChar w:fldCharType="begin"/>
          </w:r>
          <w:r>
            <w:rPr>
              <w:sz w:val="32"/>
              <w:szCs w:val="32"/>
            </w:rPr>
            <w:instrText xml:space="preserve"> PAGEREF _Toc160605117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"_Toc160605118" </w:instrText>
          </w:r>
          <w:r>
            <w:fldChar w:fldCharType="separate"/>
          </w:r>
          <w:r>
            <w:rPr>
              <w:rStyle w:val="11"/>
              <w:rFonts w:hint="eastAsia" w:ascii="方正楷体简体" w:eastAsia="方正楷体简体"/>
              <w:sz w:val="32"/>
              <w:szCs w:val="32"/>
            </w:rPr>
            <w:t>第七节</w:t>
          </w:r>
          <w:r>
            <w:rPr>
              <w:rStyle w:val="11"/>
              <w:rFonts w:ascii="方正楷体简体" w:eastAsia="方正楷体简体"/>
              <w:sz w:val="32"/>
              <w:szCs w:val="32"/>
            </w:rPr>
            <w:t xml:space="preserve">  </w:t>
          </w:r>
          <w:r>
            <w:rPr>
              <w:rStyle w:val="11"/>
              <w:rFonts w:hint="eastAsia" w:ascii="方正楷体简体" w:eastAsia="方正楷体简体"/>
              <w:sz w:val="32"/>
              <w:szCs w:val="32"/>
            </w:rPr>
            <w:t>构建科学高效的灾害防治体系</w:t>
          </w:r>
          <w:r>
            <w:rPr>
              <w:sz w:val="32"/>
              <w:szCs w:val="32"/>
            </w:rPr>
            <w:tab/>
          </w:r>
          <w:r>
            <w:rPr>
              <w:sz w:val="32"/>
              <w:szCs w:val="32"/>
            </w:rPr>
            <w:fldChar w:fldCharType="begin"/>
          </w:r>
          <w:r>
            <w:rPr>
              <w:sz w:val="32"/>
              <w:szCs w:val="32"/>
            </w:rPr>
            <w:instrText xml:space="preserve"> PAGEREF _Toc160605118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"_Toc160605119" </w:instrText>
          </w:r>
          <w:r>
            <w:fldChar w:fldCharType="separate"/>
          </w:r>
          <w:r>
            <w:rPr>
              <w:rStyle w:val="11"/>
              <w:rFonts w:hint="eastAsia" w:ascii="方正楷体简体" w:eastAsia="方正楷体简体"/>
              <w:sz w:val="32"/>
              <w:szCs w:val="32"/>
            </w:rPr>
            <w:t>第八节</w:t>
          </w:r>
          <w:r>
            <w:rPr>
              <w:rStyle w:val="11"/>
              <w:rFonts w:ascii="方正楷体简体" w:eastAsia="方正楷体简体"/>
              <w:sz w:val="32"/>
              <w:szCs w:val="32"/>
            </w:rPr>
            <w:t xml:space="preserve">  </w:t>
          </w:r>
          <w:r>
            <w:rPr>
              <w:rStyle w:val="11"/>
              <w:rFonts w:hint="eastAsia" w:ascii="方正楷体简体" w:eastAsia="方正楷体简体"/>
              <w:sz w:val="32"/>
              <w:szCs w:val="32"/>
            </w:rPr>
            <w:t>构建示范引领的安全文化体系</w:t>
          </w:r>
          <w:r>
            <w:rPr>
              <w:sz w:val="32"/>
              <w:szCs w:val="32"/>
            </w:rPr>
            <w:tab/>
          </w:r>
          <w:r>
            <w:rPr>
              <w:sz w:val="32"/>
              <w:szCs w:val="32"/>
            </w:rPr>
            <w:fldChar w:fldCharType="begin"/>
          </w:r>
          <w:r>
            <w:rPr>
              <w:sz w:val="32"/>
              <w:szCs w:val="32"/>
            </w:rPr>
            <w:instrText xml:space="preserve"> PAGEREF _Toc160605119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6"/>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"_Toc160605120" </w:instrText>
          </w:r>
          <w:r>
            <w:fldChar w:fldCharType="separate"/>
          </w:r>
          <w:r>
            <w:rPr>
              <w:rStyle w:val="11"/>
              <w:rFonts w:hint="eastAsia" w:eastAsia="方正小标宋简体"/>
              <w:sz w:val="32"/>
              <w:szCs w:val="32"/>
            </w:rPr>
            <w:t>第四章</w:t>
          </w:r>
          <w:r>
            <w:rPr>
              <w:rStyle w:val="11"/>
              <w:rFonts w:eastAsia="方正小标宋简体"/>
              <w:sz w:val="32"/>
              <w:szCs w:val="32"/>
            </w:rPr>
            <w:t xml:space="preserve">  </w:t>
          </w:r>
          <w:r>
            <w:rPr>
              <w:rStyle w:val="11"/>
              <w:rFonts w:hint="eastAsia" w:eastAsia="方正小标宋简体"/>
              <w:sz w:val="32"/>
              <w:szCs w:val="32"/>
            </w:rPr>
            <w:t>全面提升应急管理能力</w:t>
          </w:r>
          <w:r>
            <w:rPr>
              <w:sz w:val="32"/>
              <w:szCs w:val="32"/>
            </w:rPr>
            <w:tab/>
          </w:r>
          <w:r>
            <w:rPr>
              <w:sz w:val="32"/>
              <w:szCs w:val="32"/>
            </w:rPr>
            <w:fldChar w:fldCharType="begin"/>
          </w:r>
          <w:r>
            <w:rPr>
              <w:sz w:val="32"/>
              <w:szCs w:val="32"/>
            </w:rPr>
            <w:instrText xml:space="preserve"> PAGEREF _Toc160605120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"_Toc160605121" </w:instrText>
          </w:r>
          <w:r>
            <w:fldChar w:fldCharType="separate"/>
          </w:r>
          <w:r>
            <w:rPr>
              <w:rStyle w:val="11"/>
              <w:rFonts w:hint="eastAsia" w:eastAsia="方正楷体简体"/>
              <w:sz w:val="32"/>
              <w:szCs w:val="32"/>
            </w:rPr>
            <w:t>第一节</w:t>
          </w:r>
          <w:r>
            <w:rPr>
              <w:rStyle w:val="11"/>
              <w:rFonts w:eastAsia="方正楷体简体"/>
              <w:sz w:val="32"/>
              <w:szCs w:val="32"/>
            </w:rPr>
            <w:t xml:space="preserve">  </w:t>
          </w:r>
          <w:r>
            <w:rPr>
              <w:rStyle w:val="11"/>
              <w:rFonts w:hint="eastAsia" w:eastAsia="方正楷体简体"/>
              <w:sz w:val="32"/>
              <w:szCs w:val="32"/>
            </w:rPr>
            <w:t>提高思想认识，高度重视法治政府建设</w:t>
          </w:r>
          <w:r>
            <w:rPr>
              <w:sz w:val="32"/>
              <w:szCs w:val="32"/>
            </w:rPr>
            <w:tab/>
          </w:r>
          <w:r>
            <w:rPr>
              <w:sz w:val="32"/>
              <w:szCs w:val="32"/>
            </w:rPr>
            <w:fldChar w:fldCharType="begin"/>
          </w:r>
          <w:r>
            <w:rPr>
              <w:sz w:val="32"/>
              <w:szCs w:val="32"/>
            </w:rPr>
            <w:instrText xml:space="preserve"> PAGEREF _Toc160605121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"_Toc160605122" </w:instrText>
          </w:r>
          <w:r>
            <w:fldChar w:fldCharType="separate"/>
          </w:r>
          <w:r>
            <w:rPr>
              <w:rStyle w:val="11"/>
              <w:rFonts w:hint="eastAsia" w:ascii="方正楷体简体" w:eastAsia="方正楷体简体"/>
              <w:sz w:val="32"/>
              <w:szCs w:val="32"/>
            </w:rPr>
            <w:t>第二节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提升风险防范能力</w:t>
          </w:r>
          <w:r>
            <w:rPr>
              <w:sz w:val="32"/>
              <w:szCs w:val="32"/>
            </w:rPr>
            <w:tab/>
          </w:r>
          <w:r>
            <w:rPr>
              <w:sz w:val="32"/>
              <w:szCs w:val="32"/>
            </w:rPr>
            <w:fldChar w:fldCharType="begin"/>
          </w:r>
          <w:r>
            <w:rPr>
              <w:sz w:val="32"/>
              <w:szCs w:val="32"/>
            </w:rPr>
            <w:instrText xml:space="preserve"> PAGEREF _Toc160605122 \h </w:instrText>
          </w:r>
          <w:r>
            <w:rPr>
              <w:sz w:val="32"/>
              <w:szCs w:val="32"/>
            </w:rPr>
            <w:fldChar w:fldCharType="separate"/>
          </w:r>
          <w:r>
            <w:rPr>
              <w:sz w:val="32"/>
              <w:szCs w:val="32"/>
            </w:rPr>
            <w:t>30</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"_Toc160605123" </w:instrText>
          </w:r>
          <w:r>
            <w:fldChar w:fldCharType="separate"/>
          </w:r>
          <w:r>
            <w:rPr>
              <w:rStyle w:val="11"/>
              <w:rFonts w:hint="eastAsia" w:ascii="方正楷体简体" w:eastAsia="方正楷体简体"/>
              <w:sz w:val="32"/>
              <w:szCs w:val="32"/>
            </w:rPr>
            <w:t>第三节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提升依法管理能力</w:t>
          </w:r>
          <w:r>
            <w:rPr>
              <w:sz w:val="32"/>
              <w:szCs w:val="32"/>
            </w:rPr>
            <w:tab/>
          </w:r>
          <w:r>
            <w:rPr>
              <w:sz w:val="32"/>
              <w:szCs w:val="32"/>
            </w:rPr>
            <w:fldChar w:fldCharType="begin"/>
          </w:r>
          <w:r>
            <w:rPr>
              <w:sz w:val="32"/>
              <w:szCs w:val="32"/>
            </w:rPr>
            <w:instrText xml:space="preserve"> PAGEREF _Toc160605123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"_Toc160605124" </w:instrText>
          </w:r>
          <w:r>
            <w:fldChar w:fldCharType="separate"/>
          </w:r>
          <w:r>
            <w:rPr>
              <w:rStyle w:val="11"/>
              <w:rFonts w:hint="eastAsia" w:eastAsia="方正楷体简体"/>
              <w:sz w:val="32"/>
              <w:szCs w:val="32"/>
            </w:rPr>
            <w:t>第四节</w:t>
          </w:r>
          <w:r>
            <w:rPr>
              <w:rStyle w:val="11"/>
              <w:rFonts w:eastAsia="方正楷体简体"/>
              <w:sz w:val="32"/>
              <w:szCs w:val="32"/>
            </w:rPr>
            <w:t xml:space="preserve">  </w:t>
          </w:r>
          <w:r>
            <w:rPr>
              <w:rStyle w:val="11"/>
              <w:rFonts w:hint="eastAsia" w:eastAsia="方正楷体简体"/>
              <w:sz w:val="32"/>
              <w:szCs w:val="32"/>
            </w:rPr>
            <w:t>提升安全生产行政执法案件质量</w:t>
          </w:r>
          <w:r>
            <w:rPr>
              <w:sz w:val="32"/>
              <w:szCs w:val="32"/>
            </w:rPr>
            <w:tab/>
          </w:r>
          <w:r>
            <w:rPr>
              <w:sz w:val="32"/>
              <w:szCs w:val="32"/>
            </w:rPr>
            <w:fldChar w:fldCharType="begin"/>
          </w:r>
          <w:r>
            <w:rPr>
              <w:sz w:val="32"/>
              <w:szCs w:val="32"/>
            </w:rPr>
            <w:instrText xml:space="preserve"> PAGEREF _Toc160605124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"_Toc160605125" </w:instrText>
          </w:r>
          <w:r>
            <w:fldChar w:fldCharType="separate"/>
          </w:r>
          <w:r>
            <w:rPr>
              <w:rStyle w:val="11"/>
              <w:rFonts w:hint="eastAsia" w:ascii="方正楷体简体" w:eastAsia="方正楷体简体"/>
              <w:sz w:val="32"/>
              <w:szCs w:val="32"/>
            </w:rPr>
            <w:t>第五节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提升监管执法能力</w:t>
          </w:r>
          <w:r>
            <w:rPr>
              <w:sz w:val="32"/>
              <w:szCs w:val="32"/>
            </w:rPr>
            <w:tab/>
          </w:r>
          <w:r>
            <w:rPr>
              <w:sz w:val="32"/>
              <w:szCs w:val="32"/>
            </w:rPr>
            <w:fldChar w:fldCharType="begin"/>
          </w:r>
          <w:r>
            <w:rPr>
              <w:sz w:val="32"/>
              <w:szCs w:val="32"/>
            </w:rPr>
            <w:instrText xml:space="preserve"> PAGEREF _Toc160605125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"_Toc160605126" </w:instrText>
          </w:r>
          <w:r>
            <w:fldChar w:fldCharType="separate"/>
          </w:r>
          <w:r>
            <w:rPr>
              <w:rStyle w:val="11"/>
              <w:rFonts w:hint="eastAsia" w:ascii="方正楷体简体" w:eastAsia="方正楷体简体"/>
              <w:sz w:val="32"/>
              <w:szCs w:val="32"/>
            </w:rPr>
            <w:t>第六节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提升监测预警能力</w:t>
          </w:r>
          <w:r>
            <w:rPr>
              <w:sz w:val="32"/>
              <w:szCs w:val="32"/>
            </w:rPr>
            <w:tab/>
          </w:r>
          <w:r>
            <w:rPr>
              <w:sz w:val="32"/>
              <w:szCs w:val="32"/>
            </w:rPr>
            <w:fldChar w:fldCharType="begin"/>
          </w:r>
          <w:r>
            <w:rPr>
              <w:sz w:val="32"/>
              <w:szCs w:val="32"/>
            </w:rPr>
            <w:instrText xml:space="preserve"> PAGEREF _Toc160605126 \h </w:instrText>
          </w:r>
          <w:r>
            <w:rPr>
              <w:sz w:val="32"/>
              <w:szCs w:val="32"/>
            </w:rPr>
            <w:fldChar w:fldCharType="separate"/>
          </w:r>
          <w:r>
            <w:rPr>
              <w:sz w:val="32"/>
              <w:szCs w:val="32"/>
            </w:rPr>
            <w:t>33</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"_Toc160605127" </w:instrText>
          </w:r>
          <w:r>
            <w:fldChar w:fldCharType="separate"/>
          </w:r>
          <w:r>
            <w:rPr>
              <w:rStyle w:val="11"/>
              <w:rFonts w:hint="eastAsia" w:ascii="方正楷体简体" w:eastAsia="方正楷体简体"/>
              <w:sz w:val="32"/>
              <w:szCs w:val="32"/>
            </w:rPr>
            <w:t>第七节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提升快速响应能力</w:t>
          </w:r>
          <w:r>
            <w:rPr>
              <w:sz w:val="32"/>
              <w:szCs w:val="32"/>
            </w:rPr>
            <w:tab/>
          </w:r>
          <w:r>
            <w:rPr>
              <w:sz w:val="32"/>
              <w:szCs w:val="32"/>
            </w:rPr>
            <w:fldChar w:fldCharType="begin"/>
          </w:r>
          <w:r>
            <w:rPr>
              <w:sz w:val="32"/>
              <w:szCs w:val="32"/>
            </w:rPr>
            <w:instrText xml:space="preserve"> PAGEREF _Toc160605127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"_Toc160605128" </w:instrText>
          </w:r>
          <w:r>
            <w:fldChar w:fldCharType="separate"/>
          </w:r>
          <w:r>
            <w:rPr>
              <w:rStyle w:val="11"/>
              <w:rFonts w:hint="eastAsia" w:ascii="方正楷体简体" w:eastAsia="方正楷体简体"/>
              <w:sz w:val="32"/>
              <w:szCs w:val="32"/>
            </w:rPr>
            <w:t>第八节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提升灾害救助能力</w:t>
          </w:r>
          <w:r>
            <w:rPr>
              <w:sz w:val="32"/>
              <w:szCs w:val="32"/>
            </w:rPr>
            <w:tab/>
          </w:r>
          <w:r>
            <w:rPr>
              <w:sz w:val="32"/>
              <w:szCs w:val="32"/>
            </w:rPr>
            <w:fldChar w:fldCharType="begin"/>
          </w:r>
          <w:r>
            <w:rPr>
              <w:sz w:val="32"/>
              <w:szCs w:val="32"/>
            </w:rPr>
            <w:instrText xml:space="preserve"> PAGEREF _Toc160605128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"_Toc160605129" </w:instrText>
          </w:r>
          <w:r>
            <w:fldChar w:fldCharType="separate"/>
          </w:r>
          <w:r>
            <w:rPr>
              <w:rStyle w:val="11"/>
              <w:rFonts w:hint="eastAsia" w:ascii="方正楷体简体" w:eastAsia="方正楷体简体"/>
              <w:sz w:val="32"/>
              <w:szCs w:val="32"/>
            </w:rPr>
            <w:t>第九节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提升社会协同能力</w:t>
          </w:r>
          <w:r>
            <w:rPr>
              <w:sz w:val="32"/>
              <w:szCs w:val="32"/>
            </w:rPr>
            <w:tab/>
          </w:r>
          <w:r>
            <w:rPr>
              <w:sz w:val="32"/>
              <w:szCs w:val="32"/>
            </w:rPr>
            <w:fldChar w:fldCharType="begin"/>
          </w:r>
          <w:r>
            <w:rPr>
              <w:sz w:val="32"/>
              <w:szCs w:val="32"/>
            </w:rPr>
            <w:instrText xml:space="preserve"> PAGEREF _Toc160605129 \h </w:instrText>
          </w:r>
          <w:r>
            <w:rPr>
              <w:sz w:val="32"/>
              <w:szCs w:val="32"/>
            </w:rPr>
            <w:fldChar w:fldCharType="separate"/>
          </w:r>
          <w:r>
            <w:rPr>
              <w:sz w:val="32"/>
              <w:szCs w:val="32"/>
            </w:rPr>
            <w:t>37</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"_Toc160605130" </w:instrText>
          </w:r>
          <w:r>
            <w:fldChar w:fldCharType="separate"/>
          </w:r>
          <w:r>
            <w:rPr>
              <w:rStyle w:val="11"/>
              <w:rFonts w:hint="eastAsia" w:ascii="方正楷体简体" w:eastAsia="方正楷体简体"/>
              <w:sz w:val="32"/>
              <w:szCs w:val="32"/>
            </w:rPr>
            <w:t>第十节</w:t>
          </w:r>
          <w:r>
            <w:rPr>
              <w:rStyle w:val="11"/>
              <w:rFonts w:ascii="方正楷体简体" w:eastAsia="方正楷体简体"/>
              <w:sz w:val="32"/>
              <w:szCs w:val="32"/>
            </w:rPr>
            <w:t xml:space="preserve">  </w:t>
          </w:r>
          <w:r>
            <w:rPr>
              <w:rStyle w:val="11"/>
              <w:rFonts w:hint="eastAsia" w:ascii="方正楷体简体" w:eastAsia="方正楷体简体"/>
              <w:sz w:val="32"/>
              <w:szCs w:val="32"/>
            </w:rPr>
            <w:t>提升基层应急能力</w:t>
          </w:r>
          <w:r>
            <w:rPr>
              <w:sz w:val="32"/>
              <w:szCs w:val="32"/>
            </w:rPr>
            <w:tab/>
          </w:r>
          <w:r>
            <w:rPr>
              <w:sz w:val="32"/>
              <w:szCs w:val="32"/>
            </w:rPr>
            <w:fldChar w:fldCharType="begin"/>
          </w:r>
          <w:r>
            <w:rPr>
              <w:sz w:val="32"/>
              <w:szCs w:val="32"/>
            </w:rPr>
            <w:instrText xml:space="preserve"> PAGEREF _Toc160605130 \h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6"/>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"_Toc160605131" </w:instrText>
          </w:r>
          <w:r>
            <w:fldChar w:fldCharType="separate"/>
          </w:r>
          <w:r>
            <w:rPr>
              <w:rStyle w:val="11"/>
              <w:rFonts w:hint="eastAsia" w:eastAsia="方正小标宋简体"/>
              <w:sz w:val="32"/>
              <w:szCs w:val="32"/>
            </w:rPr>
            <w:t>第五章</w:t>
          </w:r>
          <w:r>
            <w:rPr>
              <w:rStyle w:val="11"/>
              <w:rFonts w:eastAsia="方正小标宋简体"/>
              <w:sz w:val="32"/>
              <w:szCs w:val="32"/>
            </w:rPr>
            <w:t xml:space="preserve">  </w:t>
          </w:r>
          <w:r>
            <w:rPr>
              <w:rStyle w:val="11"/>
              <w:rFonts w:hint="eastAsia" w:eastAsia="方正小标宋简体"/>
              <w:sz w:val="32"/>
              <w:szCs w:val="32"/>
            </w:rPr>
            <w:t>重点工程</w:t>
          </w:r>
          <w:r>
            <w:rPr>
              <w:sz w:val="32"/>
              <w:szCs w:val="32"/>
            </w:rPr>
            <w:tab/>
          </w:r>
          <w:r>
            <w:rPr>
              <w:sz w:val="32"/>
              <w:szCs w:val="32"/>
            </w:rPr>
            <w:fldChar w:fldCharType="begin"/>
          </w:r>
          <w:r>
            <w:rPr>
              <w:sz w:val="32"/>
              <w:szCs w:val="32"/>
            </w:rPr>
            <w:instrText xml:space="preserve"> PAGEREF _Toc160605131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"_Toc160605132" </w:instrText>
          </w:r>
          <w:r>
            <w:fldChar w:fldCharType="separate"/>
          </w:r>
          <w:r>
            <w:rPr>
              <w:rStyle w:val="11"/>
              <w:rFonts w:hint="eastAsia" w:eastAsia="方正楷体简体"/>
              <w:sz w:val="32"/>
              <w:szCs w:val="32"/>
            </w:rPr>
            <w:t>第一节</w:t>
          </w:r>
          <w:r>
            <w:rPr>
              <w:rStyle w:val="11"/>
              <w:rFonts w:eastAsia="方正楷体简体"/>
              <w:sz w:val="32"/>
              <w:szCs w:val="32"/>
            </w:rPr>
            <w:t xml:space="preserve">  </w:t>
          </w:r>
          <w:r>
            <w:rPr>
              <w:rStyle w:val="11"/>
              <w:rFonts w:hint="eastAsia" w:eastAsia="方正楷体简体"/>
              <w:sz w:val="32"/>
              <w:szCs w:val="32"/>
            </w:rPr>
            <w:t>智慧应急信息化建设工程</w:t>
          </w:r>
          <w:r>
            <w:rPr>
              <w:sz w:val="32"/>
              <w:szCs w:val="32"/>
            </w:rPr>
            <w:tab/>
          </w:r>
          <w:r>
            <w:rPr>
              <w:sz w:val="32"/>
              <w:szCs w:val="32"/>
            </w:rPr>
            <w:fldChar w:fldCharType="begin"/>
          </w:r>
          <w:r>
            <w:rPr>
              <w:sz w:val="32"/>
              <w:szCs w:val="32"/>
            </w:rPr>
            <w:instrText xml:space="preserve"> PAGEREF _Toc160605132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"_Toc160605133" </w:instrText>
          </w:r>
          <w:r>
            <w:fldChar w:fldCharType="separate"/>
          </w:r>
          <w:r>
            <w:rPr>
              <w:rStyle w:val="11"/>
              <w:rFonts w:hint="eastAsia" w:eastAsia="方正楷体简体"/>
              <w:sz w:val="32"/>
              <w:szCs w:val="32"/>
            </w:rPr>
            <w:t>第二节</w:t>
          </w:r>
          <w:r>
            <w:rPr>
              <w:rStyle w:val="11"/>
              <w:rFonts w:eastAsia="方正楷体简体"/>
              <w:sz w:val="32"/>
              <w:szCs w:val="32"/>
            </w:rPr>
            <w:t xml:space="preserve">  </w:t>
          </w:r>
          <w:r>
            <w:rPr>
              <w:rStyle w:val="11"/>
              <w:rFonts w:hint="eastAsia" w:eastAsia="方正楷体简体"/>
              <w:sz w:val="32"/>
              <w:szCs w:val="32"/>
            </w:rPr>
            <w:t>应急救援队伍能力提升工程</w:t>
          </w:r>
          <w:r>
            <w:rPr>
              <w:sz w:val="32"/>
              <w:szCs w:val="32"/>
            </w:rPr>
            <w:tab/>
          </w:r>
          <w:r>
            <w:rPr>
              <w:sz w:val="32"/>
              <w:szCs w:val="32"/>
            </w:rPr>
            <w:fldChar w:fldCharType="begin"/>
          </w:r>
          <w:r>
            <w:rPr>
              <w:sz w:val="32"/>
              <w:szCs w:val="32"/>
            </w:rPr>
            <w:instrText xml:space="preserve"> PAGEREF _Toc160605133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"_Toc160605134" </w:instrText>
          </w:r>
          <w:r>
            <w:fldChar w:fldCharType="separate"/>
          </w:r>
          <w:r>
            <w:rPr>
              <w:rStyle w:val="11"/>
              <w:rFonts w:hint="eastAsia" w:ascii="方正楷体简体" w:eastAsia="方正楷体简体"/>
              <w:sz w:val="32"/>
              <w:szCs w:val="32"/>
            </w:rPr>
            <w:t>第三节</w:t>
          </w:r>
          <w:r>
            <w:rPr>
              <w:rStyle w:val="11"/>
              <w:rFonts w:ascii="方正楷体简体" w:eastAsia="方正楷体简体"/>
              <w:sz w:val="32"/>
              <w:szCs w:val="32"/>
            </w:rPr>
            <w:t xml:space="preserve">  </w:t>
          </w:r>
          <w:r>
            <w:rPr>
              <w:rStyle w:val="11"/>
              <w:rFonts w:hint="eastAsia" w:ascii="方正楷体简体" w:eastAsia="方正楷体简体"/>
              <w:sz w:val="32"/>
              <w:szCs w:val="32"/>
            </w:rPr>
            <w:t>自然灾害防治能力提升工程</w:t>
          </w:r>
          <w:r>
            <w:rPr>
              <w:sz w:val="32"/>
              <w:szCs w:val="32"/>
            </w:rPr>
            <w:tab/>
          </w:r>
          <w:r>
            <w:rPr>
              <w:sz w:val="32"/>
              <w:szCs w:val="32"/>
            </w:rPr>
            <w:fldChar w:fldCharType="begin"/>
          </w:r>
          <w:r>
            <w:rPr>
              <w:sz w:val="32"/>
              <w:szCs w:val="32"/>
            </w:rPr>
            <w:instrText xml:space="preserve"> PAGEREF _Toc160605134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"_Toc160605135" </w:instrText>
          </w:r>
          <w:r>
            <w:fldChar w:fldCharType="separate"/>
          </w:r>
          <w:r>
            <w:rPr>
              <w:rStyle w:val="11"/>
              <w:rFonts w:hint="eastAsia" w:ascii="方正楷体简体" w:eastAsia="方正楷体简体"/>
              <w:sz w:val="32"/>
              <w:szCs w:val="32"/>
            </w:rPr>
            <w:t>第四节</w:t>
          </w:r>
          <w:r>
            <w:rPr>
              <w:rStyle w:val="11"/>
              <w:rFonts w:ascii="方正楷体简体" w:eastAsia="方正楷体简体"/>
              <w:sz w:val="32"/>
              <w:szCs w:val="32"/>
            </w:rPr>
            <w:t xml:space="preserve">  </w:t>
          </w:r>
          <w:r>
            <w:rPr>
              <w:rStyle w:val="11"/>
              <w:rFonts w:hint="eastAsia" w:ascii="方正楷体简体" w:eastAsia="方正楷体简体"/>
              <w:sz w:val="32"/>
              <w:szCs w:val="32"/>
            </w:rPr>
            <w:t>基层应急管理能力提升工程</w:t>
          </w:r>
          <w:r>
            <w:rPr>
              <w:sz w:val="32"/>
              <w:szCs w:val="32"/>
            </w:rPr>
            <w:tab/>
          </w:r>
          <w:r>
            <w:rPr>
              <w:sz w:val="32"/>
              <w:szCs w:val="32"/>
            </w:rPr>
            <w:fldChar w:fldCharType="begin"/>
          </w:r>
          <w:r>
            <w:rPr>
              <w:sz w:val="32"/>
              <w:szCs w:val="32"/>
            </w:rPr>
            <w:instrText xml:space="preserve"> PAGEREF _Toc160605135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6"/>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"_Toc160605136" </w:instrText>
          </w:r>
          <w:r>
            <w:fldChar w:fldCharType="separate"/>
          </w:r>
          <w:r>
            <w:rPr>
              <w:rStyle w:val="11"/>
              <w:rFonts w:hint="eastAsia" w:eastAsia="方正小标宋简体"/>
              <w:sz w:val="32"/>
              <w:szCs w:val="32"/>
            </w:rPr>
            <w:t>第六章</w:t>
          </w:r>
          <w:r>
            <w:rPr>
              <w:rStyle w:val="11"/>
              <w:rFonts w:eastAsia="方正小标宋简体"/>
              <w:sz w:val="32"/>
              <w:szCs w:val="32"/>
            </w:rPr>
            <w:t xml:space="preserve">  </w:t>
          </w:r>
          <w:r>
            <w:rPr>
              <w:rStyle w:val="11"/>
              <w:rFonts w:hint="eastAsia" w:eastAsia="方正小标宋简体"/>
              <w:sz w:val="32"/>
              <w:szCs w:val="32"/>
            </w:rPr>
            <w:t>保障措施</w:t>
          </w:r>
          <w:r>
            <w:rPr>
              <w:sz w:val="32"/>
              <w:szCs w:val="32"/>
            </w:rPr>
            <w:tab/>
          </w:r>
          <w:r>
            <w:rPr>
              <w:sz w:val="32"/>
              <w:szCs w:val="32"/>
            </w:rPr>
            <w:fldChar w:fldCharType="begin"/>
          </w:r>
          <w:r>
            <w:rPr>
              <w:sz w:val="32"/>
              <w:szCs w:val="32"/>
            </w:rPr>
            <w:instrText xml:space="preserve"> PAGEREF _Toc160605136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"_Toc160605137" </w:instrText>
          </w:r>
          <w:r>
            <w:fldChar w:fldCharType="separate"/>
          </w:r>
          <w:r>
            <w:rPr>
              <w:rStyle w:val="11"/>
              <w:rFonts w:hint="eastAsia" w:ascii="方正楷体简体" w:eastAsia="方正楷体简体"/>
              <w:sz w:val="32"/>
              <w:szCs w:val="32"/>
            </w:rPr>
            <w:t>第一节</w:t>
          </w:r>
          <w:r>
            <w:rPr>
              <w:rStyle w:val="11"/>
              <w:rFonts w:ascii="方正楷体简体" w:eastAsia="方正楷体简体"/>
              <w:sz w:val="32"/>
              <w:szCs w:val="32"/>
            </w:rPr>
            <w:t xml:space="preserve">  </w:t>
          </w:r>
          <w:r>
            <w:rPr>
              <w:rStyle w:val="11"/>
              <w:rFonts w:hint="eastAsia" w:ascii="方正楷体简体" w:eastAsia="方正楷体简体"/>
              <w:sz w:val="32"/>
              <w:szCs w:val="32"/>
            </w:rPr>
            <w:t>强化组织领导</w:t>
          </w:r>
          <w:r>
            <w:rPr>
              <w:sz w:val="32"/>
              <w:szCs w:val="32"/>
            </w:rPr>
            <w:tab/>
          </w:r>
          <w:r>
            <w:rPr>
              <w:sz w:val="32"/>
              <w:szCs w:val="32"/>
            </w:rPr>
            <w:fldChar w:fldCharType="begin"/>
          </w:r>
          <w:r>
            <w:rPr>
              <w:sz w:val="32"/>
              <w:szCs w:val="32"/>
            </w:rPr>
            <w:instrText xml:space="preserve"> PAGEREF _Toc160605137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"_Toc160605138" </w:instrText>
          </w:r>
          <w:r>
            <w:fldChar w:fldCharType="separate"/>
          </w:r>
          <w:r>
            <w:rPr>
              <w:rStyle w:val="11"/>
              <w:rFonts w:hint="eastAsia" w:ascii="方正楷体简体" w:eastAsia="方正楷体简体"/>
              <w:sz w:val="32"/>
              <w:szCs w:val="32"/>
            </w:rPr>
            <w:t>第二节</w:t>
          </w:r>
          <w:r>
            <w:rPr>
              <w:rStyle w:val="11"/>
              <w:rFonts w:ascii="方正楷体简体" w:eastAsia="方正楷体简体"/>
              <w:sz w:val="32"/>
              <w:szCs w:val="32"/>
            </w:rPr>
            <w:t xml:space="preserve">  </w:t>
          </w:r>
          <w:r>
            <w:rPr>
              <w:rStyle w:val="11"/>
              <w:rFonts w:hint="eastAsia" w:ascii="方正楷体简体" w:eastAsia="方正楷体简体"/>
              <w:sz w:val="32"/>
              <w:szCs w:val="32"/>
            </w:rPr>
            <w:t>强化要素保障</w:t>
          </w:r>
          <w:r>
            <w:rPr>
              <w:sz w:val="32"/>
              <w:szCs w:val="32"/>
            </w:rPr>
            <w:tab/>
          </w:r>
          <w:r>
            <w:rPr>
              <w:sz w:val="32"/>
              <w:szCs w:val="32"/>
            </w:rPr>
            <w:fldChar w:fldCharType="begin"/>
          </w:r>
          <w:r>
            <w:rPr>
              <w:sz w:val="32"/>
              <w:szCs w:val="32"/>
            </w:rPr>
            <w:instrText xml:space="preserve"> PAGEREF _Toc160605138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"_Toc160605139" </w:instrText>
          </w:r>
          <w:r>
            <w:fldChar w:fldCharType="separate"/>
          </w:r>
          <w:r>
            <w:rPr>
              <w:rStyle w:val="11"/>
              <w:rFonts w:hint="eastAsia" w:ascii="方正楷体简体" w:eastAsia="方正楷体简体"/>
              <w:sz w:val="32"/>
              <w:szCs w:val="32"/>
            </w:rPr>
            <w:t>第三节</w:t>
          </w:r>
          <w:r>
            <w:rPr>
              <w:rStyle w:val="11"/>
              <w:rFonts w:ascii="方正楷体简体" w:eastAsia="方正楷体简体"/>
              <w:sz w:val="32"/>
              <w:szCs w:val="32"/>
            </w:rPr>
            <w:t xml:space="preserve">  </w:t>
          </w:r>
          <w:r>
            <w:rPr>
              <w:rStyle w:val="11"/>
              <w:rFonts w:hint="eastAsia" w:ascii="方正楷体简体" w:eastAsia="方正楷体简体"/>
              <w:sz w:val="32"/>
              <w:szCs w:val="32"/>
            </w:rPr>
            <w:t>强化规划实施</w:t>
          </w:r>
          <w:r>
            <w:rPr>
              <w:sz w:val="32"/>
              <w:szCs w:val="32"/>
            </w:rPr>
            <w:tab/>
          </w:r>
          <w:r>
            <w:rPr>
              <w:sz w:val="32"/>
              <w:szCs w:val="32"/>
            </w:rPr>
            <w:fldChar w:fldCharType="begin"/>
          </w:r>
          <w:r>
            <w:rPr>
              <w:sz w:val="32"/>
              <w:szCs w:val="32"/>
            </w:rPr>
            <w:instrText xml:space="preserve"> PAGEREF _Toc160605139 \h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7"/>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"_Toc160605140" </w:instrText>
          </w:r>
          <w:r>
            <w:fldChar w:fldCharType="separate"/>
          </w:r>
          <w:r>
            <w:rPr>
              <w:rStyle w:val="11"/>
              <w:rFonts w:hint="eastAsia" w:ascii="方正楷体简体" w:eastAsia="方正楷体简体"/>
              <w:sz w:val="32"/>
              <w:szCs w:val="32"/>
            </w:rPr>
            <w:t>第四节</w:t>
          </w:r>
          <w:r>
            <w:rPr>
              <w:rStyle w:val="11"/>
              <w:rFonts w:ascii="方正楷体简体" w:eastAsia="方正楷体简体"/>
              <w:sz w:val="32"/>
              <w:szCs w:val="32"/>
            </w:rPr>
            <w:t xml:space="preserve">  </w:t>
          </w:r>
          <w:r>
            <w:rPr>
              <w:rStyle w:val="11"/>
              <w:rFonts w:hint="eastAsia" w:ascii="方正楷体简体" w:eastAsia="方正楷体简体"/>
              <w:sz w:val="32"/>
              <w:szCs w:val="32"/>
            </w:rPr>
            <w:t>强化监督评估</w:t>
          </w:r>
          <w:r>
            <w:rPr>
              <w:sz w:val="32"/>
              <w:szCs w:val="32"/>
            </w:rPr>
            <w:tab/>
          </w:r>
          <w:r>
            <w:rPr>
              <w:sz w:val="32"/>
              <w:szCs w:val="32"/>
            </w:rPr>
            <w:fldChar w:fldCharType="begin"/>
          </w:r>
          <w:r>
            <w:rPr>
              <w:sz w:val="32"/>
              <w:szCs w:val="32"/>
            </w:rPr>
            <w:instrText xml:space="preserve"> PAGEREF _Toc160605140 \h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6"/>
            <w:tabs>
              <w:tab w:val="right" w:leader="dot" w:pos="8834"/>
            </w:tabs>
            <w:spacing w:line="500" w:lineRule="exact"/>
            <w:rPr>
              <w:rFonts w:asciiTheme="minorHAnsi" w:hAnsiTheme="minorHAnsi" w:eastAsiaTheme="minorEastAsia" w:cstheme="minorBidi"/>
              <w:sz w:val="32"/>
              <w:szCs w:val="32"/>
            </w:rPr>
          </w:pPr>
          <w:r>
            <w:fldChar w:fldCharType="begin"/>
          </w:r>
          <w:r>
            <w:instrText xml:space="preserve"> HYPERLINK \l "_Toc160605141" </w:instrText>
          </w:r>
          <w:r>
            <w:fldChar w:fldCharType="separate"/>
          </w:r>
          <w:r>
            <w:rPr>
              <w:rStyle w:val="11"/>
              <w:rFonts w:hint="eastAsia" w:eastAsia="方正小标宋简体"/>
              <w:sz w:val="32"/>
              <w:szCs w:val="32"/>
            </w:rPr>
            <w:t>名词解释</w:t>
          </w:r>
          <w:r>
            <w:rPr>
              <w:sz w:val="32"/>
              <w:szCs w:val="32"/>
            </w:rPr>
            <w:tab/>
          </w:r>
          <w:r>
            <w:rPr>
              <w:sz w:val="32"/>
              <w:szCs w:val="32"/>
            </w:rPr>
            <w:fldChar w:fldCharType="begin"/>
          </w:r>
          <w:r>
            <w:rPr>
              <w:sz w:val="32"/>
              <w:szCs w:val="32"/>
            </w:rPr>
            <w:instrText xml:space="preserve"> PAGEREF _Toc160605141 \h </w:instrText>
          </w:r>
          <w:r>
            <w:rPr>
              <w:sz w:val="32"/>
              <w:szCs w:val="32"/>
            </w:rPr>
            <w:fldChar w:fldCharType="separate"/>
          </w:r>
          <w:r>
            <w:rPr>
              <w:sz w:val="32"/>
              <w:szCs w:val="32"/>
            </w:rPr>
            <w:t>46</w:t>
          </w:r>
          <w:r>
            <w:rPr>
              <w:sz w:val="32"/>
              <w:szCs w:val="32"/>
            </w:rPr>
            <w:fldChar w:fldCharType="end"/>
          </w:r>
          <w:r>
            <w:rPr>
              <w:sz w:val="32"/>
              <w:szCs w:val="32"/>
            </w:rPr>
            <w:fldChar w:fldCharType="end"/>
          </w:r>
        </w:p>
        <w:p>
          <w:pPr>
            <w:spacing w:line="500" w:lineRule="exact"/>
            <w:rPr>
              <w:sz w:val="32"/>
              <w:szCs w:val="32"/>
            </w:rPr>
          </w:pPr>
          <w:r>
            <w:rPr>
              <w:b/>
              <w:bCs/>
              <w:sz w:val="32"/>
              <w:szCs w:val="32"/>
              <w:lang w:val="zh-CN"/>
            </w:rPr>
            <w:fldChar w:fldCharType="end"/>
          </w:r>
        </w:p>
      </w:sdtContent>
    </w:sdt>
    <w:p>
      <w:pPr>
        <w:spacing w:line="570" w:lineRule="exact"/>
        <w:ind w:firstLine="640" w:firstLineChars="200"/>
        <w:rPr>
          <w:rFonts w:eastAsia="方正仿宋简体"/>
          <w:sz w:val="32"/>
        </w:rPr>
        <w:sectPr>
          <w:footerReference r:id="rId3" w:type="default"/>
          <w:pgSz w:w="11906" w:h="16838"/>
          <w:pgMar w:top="1814" w:right="1531" w:bottom="1814" w:left="1531" w:header="567" w:footer="1531" w:gutter="0"/>
          <w:cols w:space="425" w:num="1"/>
          <w:titlePg/>
          <w:docGrid w:type="lines" w:linePitch="312" w:charSpace="0"/>
        </w:sectPr>
      </w:pPr>
    </w:p>
    <w:p>
      <w:pPr>
        <w:spacing w:line="570" w:lineRule="exact"/>
        <w:ind w:firstLine="640" w:firstLineChars="200"/>
        <w:rPr>
          <w:rFonts w:eastAsia="方正仿宋简体"/>
          <w:sz w:val="32"/>
        </w:rPr>
        <w:sectPr>
          <w:pgSz w:w="11906" w:h="16838"/>
          <w:pgMar w:top="1814" w:right="1531" w:bottom="1814" w:left="1531" w:header="567" w:footer="1531" w:gutter="0"/>
          <w:cols w:space="425" w:num="1"/>
          <w:titlePg/>
          <w:docGrid w:type="lines" w:linePitch="312" w:charSpace="0"/>
        </w:sectPr>
      </w:pPr>
    </w:p>
    <w:p>
      <w:pPr>
        <w:spacing w:line="570" w:lineRule="exact"/>
        <w:ind w:firstLine="640" w:firstLineChars="200"/>
        <w:rPr>
          <w:rFonts w:eastAsia="方正仿宋简体"/>
          <w:sz w:val="32"/>
          <w:szCs w:val="32"/>
        </w:rPr>
      </w:pPr>
      <w:r>
        <w:rPr>
          <w:rFonts w:hint="eastAsia" w:eastAsia="方正仿宋简体"/>
          <w:sz w:val="32"/>
          <w:szCs w:val="32"/>
        </w:rPr>
        <w:t>为大力推进“十四五”时期全区应急管理事业发展，有效防范化解重大安全风险，全面提高应对处置各类灾害事故能力，依据《广东省突发事件应对条例》《广东省安全生产条例》《广东省应急管理“十四五”规划》《阳江市应急管理“十四五”规划》《阳江市阳东区国民经济和社会发展第十四个五年规划和二</w:t>
      </w:r>
      <w:r>
        <w:rPr>
          <w:rFonts w:hint="eastAsia" w:ascii="宋体" w:hAnsi="宋体" w:cs="宋体"/>
          <w:sz w:val="32"/>
          <w:szCs w:val="32"/>
        </w:rPr>
        <w:t>〇</w:t>
      </w:r>
      <w:r>
        <w:rPr>
          <w:rFonts w:hint="eastAsia" w:eastAsia="方正仿宋简体"/>
          <w:sz w:val="32"/>
          <w:szCs w:val="32"/>
        </w:rPr>
        <w:t>三五年远景目标纲要》等文件要求，制定本规划。</w:t>
      </w:r>
    </w:p>
    <w:p>
      <w:pPr>
        <w:spacing w:line="570" w:lineRule="exact"/>
        <w:ind w:firstLine="640" w:firstLineChars="200"/>
        <w:rPr>
          <w:rFonts w:eastAsia="方正仿宋简体"/>
          <w:sz w:val="32"/>
          <w:szCs w:val="32"/>
        </w:rPr>
      </w:pPr>
    </w:p>
    <w:p>
      <w:pPr>
        <w:adjustRightInd w:val="0"/>
        <w:snapToGrid w:val="0"/>
        <w:spacing w:line="570" w:lineRule="exact"/>
        <w:jc w:val="center"/>
        <w:outlineLvl w:val="0"/>
        <w:rPr>
          <w:rFonts w:eastAsia="方正小标宋简体"/>
          <w:sz w:val="32"/>
          <w:szCs w:val="32"/>
        </w:rPr>
      </w:pPr>
      <w:bookmarkStart w:id="0" w:name="_Toc160605102"/>
      <w:r>
        <w:rPr>
          <w:rFonts w:hint="eastAsia" w:eastAsia="方正小标宋简体"/>
          <w:sz w:val="32"/>
          <w:szCs w:val="32"/>
        </w:rPr>
        <w:t>第一章  现状与形势</w:t>
      </w:r>
      <w:bookmarkEnd w:id="0"/>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十三五”期间，全区应急管理工作坚持以习近平新时代中国特色社会主义思想为指导，全面贯彻落实习近平总书记关于安全生产、防灾减灾救灾、应急救援等重要指示精神，按照区委、区政府的统一部署和要求，在区委、区政府的正确领导下，围绕省、市安全生产、应急管理和防灾减灾救灾规划及阳东区各项规划，强化组织领导、明确层级责任、狠抓工作落实，全面提升防范化解重大风险能力，筑牢安全防线，不断深化应急管理改革，积极推进应急管理理念创新、实践创新、制度创新，打下了新时代阳东区应急管理事业发展的坚实基础。</w:t>
      </w:r>
    </w:p>
    <w:p>
      <w:pPr>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1" w:name="_Toc160605103"/>
      <w:r>
        <w:rPr>
          <w:rFonts w:hint="eastAsia" w:eastAsia="方正楷体简体"/>
          <w:sz w:val="32"/>
          <w:szCs w:val="32"/>
        </w:rPr>
        <w:t>第一节  改革进展</w:t>
      </w:r>
      <w:bookmarkEnd w:id="1"/>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十三五”时期，阳东区应急管理体制改革不断深化，全区安全生产和综合防灾减灾形势趋稳向好，生产安全事故总量持续下降，较大以上事故得到有效遏制，统筹推进新冠肺炎疫情防控和安全风险防范工作“十三五”时期安全生产、防灾减灾和应急管理控制指标全面达标。</w:t>
      </w:r>
    </w:p>
    <w:p>
      <w:pPr>
        <w:spacing w:line="570" w:lineRule="exact"/>
        <w:ind w:firstLine="642" w:firstLineChars="200"/>
        <w:rPr>
          <w:rFonts w:eastAsia="方正仿宋简体"/>
          <w:b/>
          <w:sz w:val="32"/>
          <w:szCs w:val="32"/>
        </w:rPr>
      </w:pPr>
      <w:r>
        <w:rPr>
          <w:rFonts w:hint="eastAsia" w:eastAsia="方正仿宋简体"/>
          <w:b/>
          <w:sz w:val="32"/>
          <w:szCs w:val="32"/>
        </w:rPr>
        <w:t>1、应急管理体制改革不断深化。</w:t>
      </w:r>
    </w:p>
    <w:p>
      <w:pPr>
        <w:spacing w:line="570" w:lineRule="exact"/>
        <w:ind w:firstLine="640" w:firstLineChars="200"/>
        <w:rPr>
          <w:rFonts w:eastAsia="方正仿宋简体"/>
          <w:sz w:val="32"/>
          <w:szCs w:val="32"/>
        </w:rPr>
      </w:pPr>
      <w:r>
        <w:rPr>
          <w:rFonts w:hint="eastAsia" w:eastAsia="方正仿宋简体"/>
          <w:sz w:val="32"/>
          <w:szCs w:val="32"/>
        </w:rPr>
        <w:t>全面落实《中共广东省委广东省人民政府关于推进安全生产领域改革发展的实施意见关于推进防灾减灾救灾体制机制改革的实施意见》，全区安全生产领域制度不断完善，制度建设工作不断加强。全区深入推进应急管理机构改革，综合性消防救援队伍建设全面完成，镇级应急管理机构全部设立，逐步构建起防灾、减灾、救灾、指挥、救援、监管、执法、保障等职能分工清晰、互为衔接的应急管理格局。按照《广东省党政领导干部安全生产责任制实施细则》，区、镇级党委和政府主要负责人同时担任安全生产委员会主任的“双主任”制实现全覆盖。灾害事故全灾种统筹应对、全链条有效覆盖、全过程综合管理基本实现。</w:t>
      </w:r>
    </w:p>
    <w:p>
      <w:pPr>
        <w:spacing w:line="570" w:lineRule="exact"/>
        <w:ind w:firstLine="642" w:firstLineChars="200"/>
        <w:rPr>
          <w:rFonts w:eastAsia="方正仿宋简体"/>
          <w:b/>
          <w:sz w:val="32"/>
          <w:szCs w:val="32"/>
        </w:rPr>
      </w:pPr>
      <w:r>
        <w:rPr>
          <w:rFonts w:hint="eastAsia" w:eastAsia="方正仿宋简体"/>
          <w:b/>
          <w:sz w:val="32"/>
          <w:szCs w:val="32"/>
        </w:rPr>
        <w:t>2、应急管理法治制度逐步健全。</w:t>
      </w:r>
    </w:p>
    <w:p>
      <w:pPr>
        <w:spacing w:line="570" w:lineRule="exact"/>
        <w:ind w:firstLine="640" w:firstLineChars="200"/>
        <w:rPr>
          <w:rFonts w:eastAsia="方正仿宋简体"/>
          <w:sz w:val="32"/>
          <w:szCs w:val="32"/>
        </w:rPr>
      </w:pPr>
      <w:r>
        <w:rPr>
          <w:rFonts w:hint="eastAsia" w:eastAsia="方正仿宋简体"/>
          <w:sz w:val="32"/>
          <w:szCs w:val="32"/>
        </w:rPr>
        <w:t>为推进严格规范公正文明执法，阳东区应急管理局先后制定《阳江市阳东区应急管理局行政执法公示制度》《阳江市阳东区应急管理局行政执法全过程记录制度》《阳江市阳东区应急管理局重大执法决定法制审核制度》等政策文件，进一步推进行业监管部门和镇级监管机构队伍建设、企业主体责任、企业安全准入、事故隐患排查治理、职业危害监督检查与防控、安全生产专业技术服务机构监管等方面的制度建设，各相关部门制定或完善各项相关制度和工作措施。</w:t>
      </w:r>
    </w:p>
    <w:p>
      <w:pPr>
        <w:spacing w:line="570" w:lineRule="exact"/>
        <w:ind w:firstLine="642" w:firstLineChars="200"/>
        <w:rPr>
          <w:rFonts w:eastAsia="方正仿宋简体"/>
          <w:b/>
          <w:sz w:val="32"/>
          <w:szCs w:val="32"/>
        </w:rPr>
      </w:pPr>
      <w:r>
        <w:rPr>
          <w:rFonts w:hint="eastAsia" w:eastAsia="方正仿宋简体"/>
          <w:b/>
          <w:sz w:val="32"/>
          <w:szCs w:val="32"/>
        </w:rPr>
        <w:t>3、应急预案建设逐步完善。</w:t>
      </w:r>
    </w:p>
    <w:p>
      <w:pPr>
        <w:spacing w:line="570" w:lineRule="exact"/>
        <w:ind w:firstLine="640" w:firstLineChars="200"/>
        <w:rPr>
          <w:rFonts w:eastAsia="方正仿宋简体"/>
          <w:sz w:val="32"/>
          <w:szCs w:val="32"/>
        </w:rPr>
      </w:pPr>
      <w:r>
        <w:rPr>
          <w:rFonts w:hint="eastAsia" w:eastAsia="方正仿宋简体"/>
          <w:sz w:val="32"/>
          <w:szCs w:val="32"/>
        </w:rPr>
        <w:t>结合阳东区实际情况，制定、修订完善《阳江市阳东区防汛防旱防风防冻应急预案》《阳江市阳东区自然灾害救助应急预案》《阳江市阳东区森林火灾应急预案》等预案、规划、机制。应急预案管理全面强化，各级政府及其部门应急预案、单位和基层组织应急预案修订工作全面有序推进，各级各类应急演练工作全面落实“实战中有推演，推演中有实战”，形成了“五立足、五结合”的实战推演模式。</w:t>
      </w:r>
    </w:p>
    <w:p>
      <w:pPr>
        <w:spacing w:line="570" w:lineRule="exact"/>
        <w:ind w:firstLine="642" w:firstLineChars="200"/>
        <w:rPr>
          <w:rFonts w:eastAsia="方正仿宋简体"/>
          <w:b/>
          <w:sz w:val="32"/>
          <w:szCs w:val="32"/>
        </w:rPr>
      </w:pPr>
      <w:r>
        <w:rPr>
          <w:rFonts w:hint="eastAsia" w:eastAsia="方正仿宋简体"/>
          <w:b/>
          <w:sz w:val="32"/>
          <w:szCs w:val="32"/>
        </w:rPr>
        <w:t>4、安全风险防范化解成效明显。</w:t>
      </w:r>
    </w:p>
    <w:p>
      <w:pPr>
        <w:spacing w:line="570" w:lineRule="exact"/>
        <w:ind w:firstLine="640" w:firstLineChars="200"/>
        <w:rPr>
          <w:rFonts w:eastAsia="方正仿宋简体"/>
          <w:sz w:val="32"/>
          <w:szCs w:val="32"/>
        </w:rPr>
      </w:pPr>
      <w:r>
        <w:rPr>
          <w:rFonts w:hint="eastAsia" w:eastAsia="方正仿宋简体"/>
          <w:sz w:val="32"/>
          <w:szCs w:val="32"/>
        </w:rPr>
        <w:t>全面推行安全生产“一线三排”工作机制，全面推进安全生产专项整治三年行动和安全生产领域八大专项整治，全面实施化工行业特殊作业 “四令三制”、动火作业“三个一律”、有限空间作业“七个不准”、渔船“六个100%”、海上砂石船“六禁”、房屋市政危大工程“六不施工”等措施。全区危险化学品生产企业100%实施在线监控和可视化管理，“两客一危一重货”重点车辆纳入智能监控平台，安全风险严格实施精准化、常态化、制度化管控。安全生产治理整治持续推进，落实《阳江市阳东区安全生产责任保险工作实施方案》，形成各级各部门齐抓共管安全生产的良好局面。</w:t>
      </w:r>
    </w:p>
    <w:p>
      <w:pPr>
        <w:spacing w:line="570" w:lineRule="exact"/>
        <w:ind w:firstLine="642" w:firstLineChars="200"/>
        <w:rPr>
          <w:rFonts w:eastAsia="方正仿宋简体"/>
          <w:b/>
          <w:sz w:val="32"/>
          <w:szCs w:val="32"/>
        </w:rPr>
      </w:pPr>
      <w:r>
        <w:rPr>
          <w:rFonts w:hint="eastAsia" w:eastAsia="方正仿宋简体"/>
          <w:b/>
          <w:sz w:val="32"/>
          <w:szCs w:val="32"/>
        </w:rPr>
        <w:t>5、自然灾害防治能力稳步增强。</w:t>
      </w:r>
    </w:p>
    <w:p>
      <w:pPr>
        <w:spacing w:line="570" w:lineRule="exact"/>
        <w:ind w:firstLine="640" w:firstLineChars="200"/>
        <w:rPr>
          <w:rFonts w:eastAsia="方正仿宋简体"/>
          <w:sz w:val="32"/>
          <w:szCs w:val="32"/>
        </w:rPr>
      </w:pPr>
      <w:r>
        <w:rPr>
          <w:rFonts w:hint="eastAsia" w:eastAsia="方正仿宋简体"/>
          <w:sz w:val="32"/>
          <w:szCs w:val="32"/>
        </w:rPr>
        <w:t>贯彻实施《广东省自然灾害防治能力建设行动方案》，逐步完善全区防灾减灾救灾机制，基本建立横向到边、纵向到底的救灾应急联动机制。加强台风等极端天气、汛情旱情和地质灾害监测预警，推动开展自然灾害多灾种和灾害链综合监测预警。城乡灾害防御能力不断提升，推进三防标准化建设，推动全区行政村（社区）全面开展防灾减灾救灾能力“十个有”建设。“十三五”以来，阳东区有效应对2016年台风“妮妞”、2017年台风“天鸽”“帕卡”“卡努”、2018年超强台风“山竹”、2019 年暴雨洪涝及“十三五”期间低温冷冻等自然灾害，最大限度减轻灾害损失，救灾复产工作顺利完成，受灾群众基本生活得到及时有效保障。</w:t>
      </w:r>
    </w:p>
    <w:p>
      <w:pPr>
        <w:spacing w:line="570" w:lineRule="exact"/>
        <w:ind w:firstLine="642" w:firstLineChars="200"/>
        <w:rPr>
          <w:rFonts w:eastAsia="方正仿宋简体"/>
          <w:b/>
          <w:sz w:val="32"/>
          <w:szCs w:val="32"/>
        </w:rPr>
      </w:pPr>
      <w:r>
        <w:rPr>
          <w:rFonts w:hint="eastAsia" w:eastAsia="方正仿宋简体"/>
          <w:b/>
          <w:sz w:val="32"/>
          <w:szCs w:val="32"/>
        </w:rPr>
        <w:t>6、应急救援力量建设有力推进。</w:t>
      </w:r>
    </w:p>
    <w:p>
      <w:pPr>
        <w:spacing w:line="570" w:lineRule="exact"/>
        <w:ind w:firstLine="640" w:firstLineChars="200"/>
        <w:rPr>
          <w:rFonts w:eastAsia="方正仿宋简体"/>
          <w:sz w:val="32"/>
          <w:szCs w:val="32"/>
        </w:rPr>
      </w:pPr>
      <w:r>
        <w:rPr>
          <w:rFonts w:hint="eastAsia" w:eastAsia="方正仿宋简体"/>
          <w:sz w:val="32"/>
          <w:szCs w:val="32"/>
        </w:rPr>
        <w:t>综合性消防应急救援队伍从 “单一灾种”向“全灾种”应对全面转型，非煤矿山、危险化学品、抗洪抢险、森林防火、海上搜救等专业应急力量建设得到强化。</w:t>
      </w:r>
    </w:p>
    <w:p>
      <w:pPr>
        <w:spacing w:line="570" w:lineRule="exact"/>
        <w:ind w:firstLine="642" w:firstLineChars="200"/>
        <w:rPr>
          <w:rFonts w:eastAsia="方正仿宋简体"/>
          <w:b/>
          <w:sz w:val="32"/>
          <w:szCs w:val="32"/>
        </w:rPr>
      </w:pPr>
      <w:r>
        <w:rPr>
          <w:rFonts w:hint="eastAsia" w:eastAsia="方正仿宋简体"/>
          <w:b/>
          <w:sz w:val="32"/>
          <w:szCs w:val="32"/>
        </w:rPr>
        <w:t>7、应急科技支撑能力明显提升。</w:t>
      </w:r>
    </w:p>
    <w:p>
      <w:pPr>
        <w:spacing w:line="570" w:lineRule="exact"/>
        <w:ind w:firstLine="640" w:firstLineChars="200"/>
        <w:rPr>
          <w:rFonts w:eastAsia="方正仿宋简体"/>
          <w:sz w:val="32"/>
          <w:szCs w:val="32"/>
        </w:rPr>
      </w:pPr>
      <w:r>
        <w:rPr>
          <w:rFonts w:hint="eastAsia" w:eastAsia="方正仿宋简体"/>
          <w:sz w:val="32"/>
          <w:szCs w:val="32"/>
        </w:rPr>
        <w:t>建立健全三防、气象、地震、地质灾害、森林防灭火、环境卫生、重大动物疫情等监控监测预警体系。建设区应急指挥中心，对接市委应急指挥中心，同时与全区11个镇建立互联互通，打造信息通畅、反应灵敏、指挥有力、手段先进、运转高效的应急指挥平台。全面使用区应急管理值班值守系统、应急“一键通”、安全生产执法监管系统和危险化学品安全生产风险监测预警系统，实现应急值班、应急指挥、安全生产执法全区“一张网”，实现对危化品企业生产安全风险动态监控预警，构建起全区应急管理智慧大脑。</w:t>
      </w:r>
    </w:p>
    <w:p>
      <w:pPr>
        <w:spacing w:line="570" w:lineRule="exact"/>
        <w:ind w:firstLine="642" w:firstLineChars="200"/>
        <w:rPr>
          <w:rFonts w:eastAsia="方正仿宋简体"/>
          <w:b/>
          <w:sz w:val="32"/>
          <w:szCs w:val="32"/>
        </w:rPr>
      </w:pPr>
      <w:r>
        <w:rPr>
          <w:rFonts w:hint="eastAsia" w:eastAsia="方正仿宋简体"/>
          <w:b/>
          <w:sz w:val="32"/>
          <w:szCs w:val="32"/>
        </w:rPr>
        <w:t>8、应急综合保障能力逐步强化。</w:t>
      </w:r>
    </w:p>
    <w:p>
      <w:pPr>
        <w:spacing w:line="570" w:lineRule="exact"/>
        <w:ind w:firstLine="640" w:firstLineChars="200"/>
        <w:rPr>
          <w:rFonts w:eastAsia="方正仿宋简体"/>
          <w:sz w:val="32"/>
          <w:szCs w:val="32"/>
        </w:rPr>
      </w:pPr>
      <w:r>
        <w:rPr>
          <w:rFonts w:hint="eastAsia" w:eastAsia="方正仿宋简体"/>
          <w:sz w:val="32"/>
          <w:szCs w:val="32"/>
        </w:rPr>
        <w:t>全面落实灾害救助资金快速下拨机制。镇、村二级物资储备网络基本建成。推进应急避难场所建设，建立健全区、镇、村三级应急避难体系。应急通信保障队伍初步建立，基层应急通信保障能力不断提升。区突发事件预警信息发布中心，可通过天气预报、高频收音机和大喇叭、短信、微信等渠道直接向全区11个镇发布预警灾害信息。</w:t>
      </w:r>
    </w:p>
    <w:p>
      <w:pPr>
        <w:spacing w:line="570" w:lineRule="exact"/>
        <w:ind w:firstLine="642" w:firstLineChars="200"/>
        <w:rPr>
          <w:rFonts w:eastAsia="方正仿宋简体"/>
          <w:b/>
          <w:sz w:val="32"/>
          <w:szCs w:val="32"/>
        </w:rPr>
      </w:pPr>
      <w:r>
        <w:rPr>
          <w:rFonts w:hint="eastAsia" w:eastAsia="方正仿宋简体"/>
          <w:b/>
          <w:sz w:val="32"/>
          <w:szCs w:val="32"/>
        </w:rPr>
        <w:t>9、应急宣教培训工作扎实开展。</w:t>
      </w:r>
    </w:p>
    <w:p>
      <w:pPr>
        <w:spacing w:line="570" w:lineRule="exact"/>
        <w:ind w:firstLine="640" w:firstLineChars="200"/>
        <w:rPr>
          <w:rFonts w:eastAsia="方正仿宋简体"/>
          <w:sz w:val="32"/>
          <w:szCs w:val="32"/>
        </w:rPr>
      </w:pPr>
      <w:r>
        <w:rPr>
          <w:rFonts w:hint="eastAsia" w:eastAsia="方正仿宋简体"/>
          <w:sz w:val="32"/>
          <w:szCs w:val="32"/>
        </w:rPr>
        <w:t>为将安全生产、防灾减灾救灾等方面法制宣传常态化，营造浓厚的安全生产氛围。一是积极开展“安全生产月”“安全生产南粤行”和《安全生产法》宣传活动，通过安全法律法规宣传车巡游、摆设普法摊位、到企业、社区等发放法律读本、悬挂横幅标语等形式，不断向社会公众普及安全生产法律法规、防灾救灾减灾等基本知识。二是创新宣传途径，通过在我区京源城、星港汇等公共场所大型电子屏投放安全生产月公益广告、利用阳江市应急管理局微信公众号发布公开内容等形式创新宣传方式。三是扎实推进安全生产“五进”活动，深入推进安全生产宣传教育进企业、农村、社区、学校、家庭等基层单元，开展安全宣传教育，并结合《安全生产法》宣传周等活动进行宣传。四是深入学习法律法规，提高法治意识，全面提高全民安全意识，树立安全发展的理念，营造全社会关注安全生产的良好氛围，采取多渠道、多途径、多形式开展学习、宣传，深入贯彻落实新《安全生产法》，营造浓厚的安全生产宣传氛围。“十三五”期间，全区安全生产和综合防灾减灾形势稳定好转。安全生产主要指标均较大幅度下降，事故死亡人数同比值和较大事故起数均在考核参考指标范围内，没有发生重大及以上生产安全事故，“十三五”规划控制指标全面达标。</w:t>
      </w:r>
      <w:r>
        <w:rPr>
          <w:rFonts w:hint="eastAsia" w:eastAsia="方正仿宋简体"/>
          <w:sz w:val="32"/>
          <w:szCs w:val="32"/>
        </w:rPr>
        <w:cr/>
      </w:r>
    </w:p>
    <w:p>
      <w:pPr>
        <w:spacing w:line="570" w:lineRule="exact"/>
        <w:jc w:val="center"/>
        <w:outlineLvl w:val="1"/>
        <w:rPr>
          <w:rFonts w:eastAsia="方正楷体简体"/>
          <w:sz w:val="32"/>
          <w:szCs w:val="32"/>
        </w:rPr>
      </w:pPr>
      <w:bookmarkStart w:id="2" w:name="_Toc160605104"/>
      <w:r>
        <w:rPr>
          <w:rFonts w:hint="eastAsia" w:eastAsia="方正楷体简体"/>
          <w:sz w:val="32"/>
          <w:szCs w:val="32"/>
        </w:rPr>
        <w:t>第二节  问题挑战</w:t>
      </w:r>
      <w:bookmarkEnd w:id="2"/>
    </w:p>
    <w:p>
      <w:pPr>
        <w:pStyle w:val="2"/>
        <w:spacing w:line="570" w:lineRule="exact"/>
        <w:ind w:firstLine="640" w:firstLineChars="200"/>
        <w:rPr>
          <w:rFonts w:eastAsia="方正仿宋简体"/>
          <w:sz w:val="32"/>
          <w:szCs w:val="32"/>
        </w:rPr>
      </w:pPr>
    </w:p>
    <w:p>
      <w:pPr>
        <w:spacing w:line="580" w:lineRule="exact"/>
        <w:ind w:firstLine="640" w:firstLineChars="200"/>
        <w:rPr>
          <w:rFonts w:eastAsia="方正仿宋简体"/>
          <w:sz w:val="32"/>
          <w:szCs w:val="32"/>
        </w:rPr>
      </w:pPr>
      <w:r>
        <w:rPr>
          <w:rFonts w:hint="eastAsia" w:eastAsia="方正仿宋简体"/>
          <w:sz w:val="32"/>
          <w:szCs w:val="32"/>
        </w:rPr>
        <w:t>“十四五”时期，阳东区发展将进入具有新的历史特点的关键时期，安全生产形势仍处于脆弱期、爬坡期、过坎期，自然灾害种类多、分布地域广、发生频率高，各类灾害事故风险叠加带来的不稳定不确定因素明显增多，应急管理工作仍面临严峻挑战。主要表现在：</w:t>
      </w:r>
    </w:p>
    <w:p>
      <w:pPr>
        <w:spacing w:line="580" w:lineRule="exact"/>
        <w:ind w:firstLine="642" w:firstLineChars="200"/>
        <w:rPr>
          <w:rFonts w:eastAsia="方正仿宋简体"/>
          <w:sz w:val="32"/>
          <w:szCs w:val="32"/>
        </w:rPr>
      </w:pPr>
      <w:r>
        <w:rPr>
          <w:rFonts w:hint="eastAsia" w:eastAsia="方正仿宋简体"/>
          <w:b/>
          <w:sz w:val="32"/>
          <w:szCs w:val="32"/>
        </w:rPr>
        <w:t>一是事故灾难防控压力大。</w:t>
      </w:r>
      <w:r>
        <w:rPr>
          <w:rFonts w:hint="eastAsia" w:eastAsia="方正仿宋简体"/>
          <w:sz w:val="32"/>
          <w:szCs w:val="32"/>
        </w:rPr>
        <w:t>随着经济社会的发展，城市规模日益扩大，结构日趋复杂，城市建设、油气输送管道、危旧房屋、玻璃幕墙、电梯设备以及人员密集场所等安全风险突出，城市安全管理难度增大。“十三五”期间，生产安全事故死亡人数、事故起数、负伤人数、亿元GDP生产安全事故死亡率虽呈现逐年下降趋势，但数据基数仍然较大，事故风险防控存在压力。经济下行造成企业安全保障条件欠缺，特别是中小企业在追求效益最大化中，安全生产主体责任落实得不够，安全基础工作不扎实、管理不到位，建筑施工、道路运输、消防火灾等行业领域较大安全事故仍时有发生。</w:t>
      </w:r>
    </w:p>
    <w:p>
      <w:pPr>
        <w:spacing w:line="580" w:lineRule="exact"/>
        <w:ind w:firstLine="642" w:firstLineChars="200"/>
        <w:rPr>
          <w:rFonts w:eastAsia="方正仿宋简体"/>
          <w:sz w:val="32"/>
          <w:szCs w:val="32"/>
        </w:rPr>
      </w:pPr>
      <w:r>
        <w:rPr>
          <w:rFonts w:hint="eastAsia" w:eastAsia="方正仿宋简体"/>
          <w:b/>
          <w:sz w:val="32"/>
          <w:szCs w:val="32"/>
        </w:rPr>
        <w:t>二是自然灾害防御任务繁重。</w:t>
      </w:r>
      <w:r>
        <w:rPr>
          <w:rFonts w:hint="eastAsia" w:eastAsia="方正仿宋简体"/>
          <w:sz w:val="32"/>
          <w:szCs w:val="32"/>
        </w:rPr>
        <w:t>阳东区是全市自然灾害多发地之一，台风、暴雨、洪涝、强对流天气、高温等自然灾害频繁发生，低温霜冻、干旱等局地性灾害时有发生。风暴潮、海浪及海岸侵蚀、赤潮等海洋水患趋向多发，丘陵山地多，地质构造较为复杂，崩塌、滑坡、泥石流等地质灾害的发生概率较大。洪涝灾害、山洪灾害、森林火灾等发生的可能性大。</w:t>
      </w:r>
    </w:p>
    <w:p>
      <w:pPr>
        <w:spacing w:line="580" w:lineRule="exact"/>
        <w:ind w:firstLine="642" w:firstLineChars="200"/>
        <w:rPr>
          <w:rFonts w:eastAsia="方正仿宋简体"/>
          <w:sz w:val="32"/>
          <w:szCs w:val="32"/>
        </w:rPr>
      </w:pPr>
      <w:r>
        <w:rPr>
          <w:rFonts w:hint="eastAsia" w:eastAsia="方正仿宋简体"/>
          <w:b/>
          <w:sz w:val="32"/>
          <w:szCs w:val="32"/>
        </w:rPr>
        <w:t>三是应急管理体制机制改革仍有待深化。</w:t>
      </w:r>
      <w:r>
        <w:rPr>
          <w:rFonts w:hint="eastAsia" w:eastAsia="方正仿宋简体"/>
          <w:sz w:val="32"/>
          <w:szCs w:val="32"/>
        </w:rPr>
        <w:t>各级政府应急管理事权划分尚未明晰，部分行业领域应急管理权责边界仍不明确。全区镇级应急管理机构改革和综合行政执法改革还需进一步深化。应急救援力量不足，各方协同联动机制不够顺畅。地方政策制度体系仍不完善，应急预案可操作性不强。应急物资管理机制不够健全，物资储备不足、效能不高。风险防控、监测预警、应急指挥等关键环节智能化程度不高。防灾科普宣传覆盖面不足，安全教育培训效果不明显，社会公众风险防范观念和自救互救能力薄弱等问题仍比较突出。</w:t>
      </w:r>
    </w:p>
    <w:p>
      <w:pPr>
        <w:spacing w:line="580" w:lineRule="exact"/>
        <w:ind w:firstLine="642" w:firstLineChars="200"/>
        <w:rPr>
          <w:rFonts w:eastAsia="方正仿宋简体"/>
          <w:sz w:val="32"/>
          <w:szCs w:val="32"/>
        </w:rPr>
      </w:pPr>
      <w:r>
        <w:rPr>
          <w:rFonts w:hint="eastAsia" w:eastAsia="方正仿宋简体"/>
          <w:b/>
          <w:sz w:val="32"/>
          <w:szCs w:val="32"/>
        </w:rPr>
        <w:t>四是应急保障、管理能力依然薄弱。</w:t>
      </w:r>
      <w:r>
        <w:rPr>
          <w:rFonts w:hint="eastAsia" w:eastAsia="方正仿宋简体"/>
          <w:sz w:val="32"/>
          <w:szCs w:val="32"/>
        </w:rPr>
        <w:t>重大安全风险防范手段单一，“认不清、想不到、管不到”的问题依然存在。科技手段应用还不够深入，应急装备不足，应急管理人才培养、技术装备等存在短板。应急避难场所配套设施建设有待加强。应急管理监管执法专业人员配备不足，执法权配置不够清晰。基层应急管理能力较为薄弱，经费保障机制还不完善。社会协同机制尚不适应救援救助需求，社会力量参与渠道不够畅通。</w:t>
      </w:r>
    </w:p>
    <w:p>
      <w:pPr>
        <w:pStyle w:val="2"/>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3" w:name="_Toc160605105"/>
      <w:r>
        <w:rPr>
          <w:rFonts w:hint="eastAsia" w:eastAsia="方正楷体简体"/>
          <w:sz w:val="32"/>
          <w:szCs w:val="32"/>
        </w:rPr>
        <w:t>第三节  发展机遇</w:t>
      </w:r>
      <w:bookmarkEnd w:id="3"/>
    </w:p>
    <w:p>
      <w:pPr>
        <w:pStyle w:val="2"/>
        <w:spacing w:line="580" w:lineRule="exact"/>
        <w:ind w:firstLine="640" w:firstLineChars="200"/>
        <w:rPr>
          <w:rFonts w:eastAsia="方正仿宋简体"/>
          <w:sz w:val="32"/>
          <w:szCs w:val="32"/>
        </w:rPr>
      </w:pPr>
    </w:p>
    <w:p>
      <w:pPr>
        <w:spacing w:line="580" w:lineRule="exact"/>
        <w:ind w:firstLine="640" w:firstLineChars="200"/>
        <w:rPr>
          <w:rFonts w:eastAsia="方正仿宋简体"/>
          <w:sz w:val="32"/>
          <w:szCs w:val="32"/>
        </w:rPr>
      </w:pPr>
      <w:r>
        <w:rPr>
          <w:rFonts w:hint="eastAsia" w:eastAsia="方正仿宋简体"/>
          <w:sz w:val="32"/>
          <w:szCs w:val="32"/>
        </w:rPr>
        <w:t>“十四五”时期是我国在全面建成小康社会、实现第一个百年奋斗目标之后，乘势而上开启全面建设社会主义现代化国家新征程、向第二个百年奋斗目标进军的第一个五年，也是应急管理体系和能力现代化建设全面推进的第一个五年，阳东区进入具有新的历史特点的战略机遇期。</w:t>
      </w:r>
    </w:p>
    <w:p>
      <w:pPr>
        <w:spacing w:line="580" w:lineRule="exact"/>
        <w:ind w:firstLine="642" w:firstLineChars="200"/>
        <w:rPr>
          <w:rFonts w:eastAsia="方正仿宋简体"/>
          <w:sz w:val="32"/>
          <w:szCs w:val="32"/>
        </w:rPr>
      </w:pPr>
      <w:r>
        <w:rPr>
          <w:rFonts w:hint="eastAsia" w:eastAsia="方正仿宋简体"/>
          <w:b/>
          <w:sz w:val="32"/>
          <w:szCs w:val="32"/>
        </w:rPr>
        <w:t>一是统筹发展和安全两件大事为新时代应急管理工作提供了重大历史机遇。</w:t>
      </w:r>
      <w:r>
        <w:rPr>
          <w:rFonts w:hint="eastAsia" w:eastAsia="方正仿宋简体"/>
          <w:sz w:val="32"/>
          <w:szCs w:val="32"/>
        </w:rPr>
        <w:t>以习近平同志为核心的党中央着眼于党和国家事业发展全局，强调坚持以人民为中心的发展思想和总体国家安全观，统筹发展和安全两件大事，建设更高水平的平安中国，为全面深化应急管理重点领域改革、提高公共安全保障能力、提高安全生产水平、提高防灾减灾救灾能力，推进新时代应急管理体系和能力现代化提供了重大机遇。区委、区政府高度重视应急管理事业发展，在区委、区政府的坚强领导下，统筹发展和安全，应急管理体制机制不断完善，为推进阳东区应急管理工作提供了有力保障。</w:t>
      </w:r>
    </w:p>
    <w:p>
      <w:pPr>
        <w:spacing w:line="580" w:lineRule="exact"/>
        <w:ind w:firstLine="642" w:firstLineChars="200"/>
        <w:rPr>
          <w:rFonts w:eastAsia="方正仿宋简体"/>
          <w:sz w:val="32"/>
          <w:szCs w:val="32"/>
        </w:rPr>
      </w:pPr>
      <w:r>
        <w:rPr>
          <w:rFonts w:hint="eastAsia" w:eastAsia="方正仿宋简体"/>
          <w:b/>
          <w:sz w:val="32"/>
          <w:szCs w:val="32"/>
        </w:rPr>
        <w:t>二是人民群众日益增长的安全需求为应急管理共建共治共享提供了更大牵引力。</w:t>
      </w:r>
      <w:r>
        <w:rPr>
          <w:rFonts w:hint="eastAsia" w:eastAsia="方正仿宋简体"/>
          <w:sz w:val="32"/>
          <w:szCs w:val="32"/>
        </w:rPr>
        <w:t>经济社会安全发展理念日益深入人心，人民群众对幸福感、获得感、安全感的需求更加迫切，对应急管理基本公共服务的要求越来越高，为推动应急管理体系和能力建设凝聚共识、汇聚合力，建设人人有责、人人尽责、人人享有的社会治理共同体提供更大牵引力。</w:t>
      </w:r>
    </w:p>
    <w:p>
      <w:pPr>
        <w:spacing w:line="580" w:lineRule="exact"/>
        <w:ind w:firstLine="642" w:firstLineChars="200"/>
        <w:rPr>
          <w:rFonts w:eastAsia="方正仿宋简体"/>
          <w:sz w:val="32"/>
          <w:szCs w:val="32"/>
        </w:rPr>
      </w:pPr>
      <w:r>
        <w:rPr>
          <w:rFonts w:hint="eastAsia" w:eastAsia="方正仿宋简体"/>
          <w:b/>
          <w:sz w:val="32"/>
          <w:szCs w:val="32"/>
        </w:rPr>
        <w:t>三是创新驱动发展战略深入实施为推动应急管理跨越式发展提供了有力支撑。</w:t>
      </w:r>
      <w:r>
        <w:rPr>
          <w:rFonts w:hint="eastAsia" w:eastAsia="方正仿宋简体"/>
          <w:sz w:val="32"/>
          <w:szCs w:val="32"/>
        </w:rPr>
        <w:t>阳东区制造业高质量发展和产业集群发展战略深入实施，高风险工艺、技术、装备和产能加快淘汰，企业本质安全水平日益提高。“数字政府”建设全面推进，信息技术在应急管理领域的深度应用，大数据、云计算、物联网、人工智能、区块链技术的快速发展，为提高应急管理的科学化、专业化、智能化、精细化水平提供了有力支撑。</w:t>
      </w:r>
    </w:p>
    <w:p>
      <w:pPr>
        <w:spacing w:line="580" w:lineRule="exact"/>
        <w:ind w:firstLine="642" w:firstLineChars="200"/>
        <w:rPr>
          <w:rFonts w:eastAsia="方正仿宋简体"/>
          <w:sz w:val="32"/>
          <w:szCs w:val="32"/>
        </w:rPr>
      </w:pPr>
      <w:r>
        <w:rPr>
          <w:rFonts w:hint="eastAsia" w:eastAsia="方正仿宋简体"/>
          <w:b/>
          <w:sz w:val="32"/>
          <w:szCs w:val="32"/>
        </w:rPr>
        <w:t>四是新冠肺炎疫情防控重大战略成果为应急管理体系和能力现代化建设提供了强大推进力。</w:t>
      </w:r>
      <w:r>
        <w:rPr>
          <w:rFonts w:hint="eastAsia" w:eastAsia="方正仿宋简体"/>
          <w:sz w:val="32"/>
          <w:szCs w:val="32"/>
        </w:rPr>
        <w:t>在党的坚强领导、人民群众的积极参与、社会各界的联合发力下，阳东区取得了抗击新冠肺炎疫情的阶段性胜利。疫情防控过程中，全区“一盘棋”应急响应机制、跨区域跨部门应急协调联动机制进一步完善，应急科技信息化运用水平和应急物资保障能力进一步提升。应急意识进一步强化，助推应急管理体系和能力现代化建设步伐全面加快。</w:t>
      </w:r>
    </w:p>
    <w:p>
      <w:pPr>
        <w:spacing w:line="580" w:lineRule="exact"/>
        <w:ind w:firstLine="640" w:firstLineChars="200"/>
        <w:rPr>
          <w:rFonts w:eastAsia="方正仿宋简体"/>
          <w:sz w:val="32"/>
          <w:szCs w:val="32"/>
        </w:rPr>
      </w:pPr>
      <w:r>
        <w:rPr>
          <w:rFonts w:hint="eastAsia" w:eastAsia="方正仿宋简体"/>
          <w:sz w:val="32"/>
          <w:szCs w:val="32"/>
        </w:rPr>
        <w:t>综合研判，“十四五”期间，阳东区经济社会发展环境更加复杂，灾害事故防治形势将更加严峻，应急管理工作进入挑战机遇并存的新发展时期。加强应急管理体系和能力建设，既是一项紧迫任务，又是一项长期任务，必须以习近平总书记关于应急管理重要论述为方向指引，增强风险意识和机遇意识，善于把握规律和抢抓机遇，把内外部压力转化为改革动力，努力开创阳东区应急管理事业改革发展的新局面。</w:t>
      </w:r>
    </w:p>
    <w:p>
      <w:pPr>
        <w:adjustRightInd w:val="0"/>
        <w:snapToGrid w:val="0"/>
        <w:spacing w:line="570" w:lineRule="exact"/>
        <w:jc w:val="center"/>
        <w:outlineLvl w:val="0"/>
        <w:rPr>
          <w:rFonts w:eastAsia="方正小标宋简体"/>
          <w:sz w:val="32"/>
          <w:szCs w:val="32"/>
        </w:rPr>
      </w:pPr>
      <w:bookmarkStart w:id="4" w:name="_Toc160605106"/>
      <w:r>
        <w:rPr>
          <w:rFonts w:hint="eastAsia" w:eastAsia="方正小标宋简体"/>
          <w:sz w:val="32"/>
          <w:szCs w:val="32"/>
        </w:rPr>
        <w:t>第二章 总体要求</w:t>
      </w:r>
      <w:bookmarkEnd w:id="4"/>
    </w:p>
    <w:p>
      <w:pPr>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围绕“十四五”时期阳东区经济和社会发展规划部署，立足新发展阶段，完整、准确、全面贯彻新发展理念，构建新发展格局，持续深化应急管理改革发展，全力推进应急管理体系和能力现代化建设，实现安全风险防范化解机制更加健全，自然灾害防御水平明显提升，灾害事故应急能力显著增强，发展安全保障更加有力。</w:t>
      </w:r>
    </w:p>
    <w:p>
      <w:pPr>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5" w:name="_Toc160605107"/>
      <w:r>
        <w:rPr>
          <w:rFonts w:hint="eastAsia" w:eastAsia="方正楷体简体"/>
          <w:sz w:val="32"/>
          <w:szCs w:val="32"/>
        </w:rPr>
        <w:t>第一节  指导思想</w:t>
      </w:r>
      <w:bookmarkEnd w:id="5"/>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坚持以习近平新时代中国特色社会主义思想为指导，全面贯彻党的二十大和二十届二中全会精神，深入贯彻习近平总书记关于应急管理重要论述，深入贯彻习近平总书记对广东系列重要讲话和重要指示精神，坚持总体国家安全观，立足新发展阶段，完整、准确、全面贯彻新发展理念，构建新发展格局，统筹发展和安全，按照省第十三次党代会精神和省委“</w:t>
      </w:r>
      <w:bookmarkStart w:id="40" w:name="_GoBack"/>
      <w:bookmarkEnd w:id="40"/>
      <w:r>
        <w:rPr>
          <w:rFonts w:hint="eastAsia" w:eastAsia="方正仿宋简体"/>
          <w:sz w:val="32"/>
          <w:szCs w:val="32"/>
        </w:rPr>
        <w:t>1310”</w:t>
      </w:r>
      <w:r>
        <w:rPr>
          <w:rFonts w:hint="eastAsia" w:eastAsia="方正仿宋简体"/>
          <w:sz w:val="32"/>
          <w:szCs w:val="32"/>
          <w:lang w:eastAsia="zh-CN"/>
        </w:rPr>
        <w:t>具体</w:t>
      </w:r>
      <w:r>
        <w:rPr>
          <w:rFonts w:hint="eastAsia" w:eastAsia="方正仿宋简体"/>
          <w:sz w:val="32"/>
          <w:szCs w:val="32"/>
        </w:rPr>
        <w:t>部署，贯彻落实市第八次党代会精神和区委、区政府“1+3个3”工作思路，以应急管理改革创新为根本动力，以满足人民日益增长的安全需要为根本目的，以防范化解重大安全风险为主线，以推进应急管理体系和能力现代化建设为核心，强化底线思维，着力防风险、建机制、固根基、扬优势、补短板、强弱项，全力保护人民群众。</w:t>
      </w:r>
    </w:p>
    <w:p>
      <w:pPr>
        <w:spacing w:line="570" w:lineRule="exact"/>
        <w:jc w:val="center"/>
        <w:outlineLvl w:val="1"/>
        <w:rPr>
          <w:rFonts w:ascii="方正楷体简体" w:eastAsia="方正楷体简体"/>
          <w:sz w:val="32"/>
          <w:szCs w:val="32"/>
        </w:rPr>
      </w:pPr>
      <w:bookmarkStart w:id="6" w:name="_Toc160605108"/>
      <w:r>
        <w:rPr>
          <w:rFonts w:hint="eastAsia" w:ascii="方正楷体简体" w:eastAsia="方正楷体简体"/>
          <w:sz w:val="32"/>
          <w:szCs w:val="32"/>
        </w:rPr>
        <w:t>第二节  基本原则</w:t>
      </w:r>
      <w:bookmarkEnd w:id="6"/>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“十四五”时期，推动应急管理体系和能力现代化建设，必须遵循以下原则。</w:t>
      </w:r>
    </w:p>
    <w:p>
      <w:pPr>
        <w:spacing w:line="570" w:lineRule="exact"/>
        <w:ind w:firstLine="642" w:firstLineChars="200"/>
        <w:rPr>
          <w:rFonts w:eastAsia="方正仿宋简体"/>
          <w:b/>
          <w:sz w:val="32"/>
          <w:szCs w:val="32"/>
        </w:rPr>
      </w:pPr>
      <w:r>
        <w:rPr>
          <w:rFonts w:hint="eastAsia" w:eastAsia="方正仿宋简体"/>
          <w:b/>
          <w:sz w:val="32"/>
          <w:szCs w:val="32"/>
        </w:rPr>
        <w:t>1、坚持党的领导、统分结合。</w:t>
      </w:r>
      <w:r>
        <w:rPr>
          <w:rFonts w:hint="eastAsia" w:eastAsia="方正仿宋简体"/>
          <w:sz w:val="32"/>
          <w:szCs w:val="32"/>
        </w:rPr>
        <w:t>全面加强党的集中统一领导，把党的政治优势、组织优势和社会主义集中力量办大事的体制优势转化为坚强保障。发挥应急管理部门的综合优势和各相关部门的专业优势，衔接好“防”和“救”的责任链条，形成整体合力。</w:t>
      </w:r>
    </w:p>
    <w:p>
      <w:pPr>
        <w:spacing w:line="570" w:lineRule="exact"/>
        <w:ind w:firstLine="642" w:firstLineChars="200"/>
        <w:rPr>
          <w:rFonts w:eastAsia="方正仿宋简体"/>
          <w:sz w:val="32"/>
          <w:szCs w:val="32"/>
        </w:rPr>
      </w:pPr>
      <w:r>
        <w:rPr>
          <w:rFonts w:hint="eastAsia" w:eastAsia="方正仿宋简体"/>
          <w:b/>
          <w:sz w:val="32"/>
          <w:szCs w:val="32"/>
        </w:rPr>
        <w:t>2、坚持人民至上、生命至上。</w:t>
      </w:r>
      <w:r>
        <w:rPr>
          <w:rFonts w:hint="eastAsia" w:eastAsia="方正仿宋简体"/>
          <w:sz w:val="32"/>
          <w:szCs w:val="32"/>
        </w:rPr>
        <w:t xml:space="preserve">坚持以人民为中心的发展思想，把保护人民生命安全摆在首位，牢固树立发展决不能以牺牲人的生命为代价的红线意识，最大限度降低灾害事故风险，减少人员伤亡和财产损失。 </w:t>
      </w:r>
    </w:p>
    <w:p>
      <w:pPr>
        <w:spacing w:line="570" w:lineRule="exact"/>
        <w:ind w:firstLine="642" w:firstLineChars="200"/>
        <w:rPr>
          <w:rFonts w:eastAsia="方正仿宋简体"/>
          <w:sz w:val="32"/>
          <w:szCs w:val="32"/>
        </w:rPr>
      </w:pPr>
      <w:r>
        <w:rPr>
          <w:rFonts w:hint="eastAsia" w:eastAsia="方正仿宋简体"/>
          <w:b/>
          <w:sz w:val="32"/>
          <w:szCs w:val="32"/>
        </w:rPr>
        <w:t>3、坚持风险防控、精准治理。</w:t>
      </w:r>
      <w:r>
        <w:rPr>
          <w:rFonts w:hint="eastAsia" w:eastAsia="方正仿宋简体"/>
          <w:sz w:val="32"/>
          <w:szCs w:val="32"/>
        </w:rPr>
        <w:t>坚持以防为主，防抗救相结合。深化源头治理，强化风险意识，健全风险防范化解机制，从根本上消除隐患、从根本上解决问题。实施精准治理，精准发布预警，精准抢险救援，精准恢复重建，精准监管执法。</w:t>
      </w:r>
    </w:p>
    <w:p>
      <w:pPr>
        <w:spacing w:line="570" w:lineRule="exact"/>
        <w:ind w:firstLine="642" w:firstLineChars="200"/>
        <w:rPr>
          <w:rFonts w:eastAsia="方正仿宋简体"/>
          <w:sz w:val="32"/>
          <w:szCs w:val="32"/>
        </w:rPr>
      </w:pPr>
      <w:r>
        <w:rPr>
          <w:rFonts w:hint="eastAsia" w:eastAsia="方正仿宋简体"/>
          <w:b/>
          <w:sz w:val="32"/>
          <w:szCs w:val="32"/>
        </w:rPr>
        <w:t>4、坚持改革创新、科技引领。</w:t>
      </w:r>
      <w:r>
        <w:rPr>
          <w:rFonts w:hint="eastAsia" w:eastAsia="方正仿宋简体"/>
          <w:sz w:val="32"/>
          <w:szCs w:val="32"/>
        </w:rPr>
        <w:t>以更大魄力在更高起点上推进应急管理改革创新，有效破解制约应急管理体系和能力建设的体制机制障碍。强化科技支撑引领，以科技信息化推动应急管理科学化、专业化、智能化、精细化。</w:t>
      </w:r>
    </w:p>
    <w:p>
      <w:pPr>
        <w:spacing w:line="570" w:lineRule="exact"/>
        <w:ind w:firstLine="642" w:firstLineChars="200"/>
        <w:rPr>
          <w:rFonts w:eastAsia="方正仿宋简体"/>
          <w:sz w:val="32"/>
          <w:szCs w:val="32"/>
        </w:rPr>
      </w:pPr>
      <w:r>
        <w:rPr>
          <w:rFonts w:hint="eastAsia" w:eastAsia="方正仿宋简体"/>
          <w:b/>
          <w:sz w:val="32"/>
          <w:szCs w:val="32"/>
        </w:rPr>
        <w:t>5、坚持系统观念、共建共治。</w:t>
      </w:r>
      <w:r>
        <w:rPr>
          <w:rFonts w:hint="eastAsia" w:eastAsia="方正仿宋简体"/>
          <w:sz w:val="32"/>
          <w:szCs w:val="32"/>
        </w:rPr>
        <w:t>加强全周期应急管理，落实全方位应急责任，提升全要素应急水平，强化全灾种应急能力，做好全天候应急准备。把群众观点和群众路线贯穿工作始终，强化群测群防群治，筑牢防灾减灾救灾的人民防线，构建共建共治共享格局。</w:t>
      </w:r>
    </w:p>
    <w:p>
      <w:pPr>
        <w:pStyle w:val="2"/>
        <w:spacing w:line="594" w:lineRule="exact"/>
        <w:ind w:firstLine="640" w:firstLineChars="200"/>
        <w:rPr>
          <w:rFonts w:eastAsia="方正仿宋简体"/>
          <w:sz w:val="32"/>
          <w:szCs w:val="32"/>
        </w:rPr>
      </w:pPr>
    </w:p>
    <w:p>
      <w:pPr>
        <w:spacing w:line="594" w:lineRule="exact"/>
        <w:jc w:val="center"/>
        <w:outlineLvl w:val="1"/>
        <w:rPr>
          <w:rFonts w:eastAsia="方正楷体简体"/>
          <w:sz w:val="32"/>
          <w:szCs w:val="32"/>
        </w:rPr>
      </w:pPr>
      <w:bookmarkStart w:id="7" w:name="_Toc160605109"/>
      <w:r>
        <w:rPr>
          <w:rFonts w:hint="eastAsia" w:eastAsia="方正楷体简体"/>
          <w:sz w:val="32"/>
          <w:szCs w:val="32"/>
        </w:rPr>
        <w:t>第三节  发展目标</w:t>
      </w:r>
      <w:bookmarkEnd w:id="7"/>
    </w:p>
    <w:p>
      <w:pPr>
        <w:pStyle w:val="2"/>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到2025年,全区应急管理工作实现如下主要目标：全面形成统一指挥、专常兼备、反应灵敏、上下联动的应急管理体制，基本建成统一领导、权责一致、权威高效的应急能力体系，应急管理系统性、整体性、协同性显著增强，防灾减灾抗灾救灾能力全面提高。安全生产和综合防灾减灾形势趋稳向好，生产安全事故总量持续下降，重特大事故有效遏制。安全风险防范化解机制更加健全，自然灾害防御水平明显提升，灾害事故应急能力显著增强，发展安全保障更加有力。</w:t>
      </w:r>
    </w:p>
    <w:p>
      <w:pPr>
        <w:spacing w:line="594" w:lineRule="exact"/>
        <w:ind w:firstLine="642" w:firstLineChars="200"/>
        <w:rPr>
          <w:rFonts w:eastAsia="方正仿宋简体"/>
          <w:sz w:val="32"/>
          <w:szCs w:val="32"/>
        </w:rPr>
      </w:pPr>
      <w:r>
        <w:rPr>
          <w:rFonts w:hint="eastAsia" w:eastAsia="方正仿宋简体"/>
          <w:b/>
          <w:sz w:val="32"/>
          <w:szCs w:val="32"/>
        </w:rPr>
        <w:t>1、应急管理体制机制更加完善。</w:t>
      </w:r>
      <w:r>
        <w:rPr>
          <w:rFonts w:hint="eastAsia" w:eastAsia="方正仿宋简体"/>
          <w:sz w:val="32"/>
          <w:szCs w:val="32"/>
        </w:rPr>
        <w:t>应急管理领导责任制全面强化，应急管理领导体制、指挥体制、协同机制进一步健全，机构设置、职能配置更趋合理，基础设施、装备条件明显改善，工作效能、履职能力全面提升。</w:t>
      </w:r>
    </w:p>
    <w:p>
      <w:pPr>
        <w:spacing w:line="594" w:lineRule="exact"/>
        <w:ind w:firstLine="642" w:firstLineChars="200"/>
        <w:rPr>
          <w:rFonts w:eastAsia="方正仿宋简体"/>
          <w:sz w:val="32"/>
          <w:szCs w:val="32"/>
        </w:rPr>
      </w:pPr>
      <w:r>
        <w:rPr>
          <w:rFonts w:hint="eastAsia" w:eastAsia="方正仿宋简体"/>
          <w:b/>
          <w:sz w:val="32"/>
          <w:szCs w:val="32"/>
        </w:rPr>
        <w:t>2、安全风险防范化解机制更加健全。</w:t>
      </w:r>
      <w:r>
        <w:rPr>
          <w:rFonts w:hint="eastAsia" w:eastAsia="方正仿宋简体"/>
          <w:sz w:val="32"/>
          <w:szCs w:val="32"/>
        </w:rPr>
        <w:t>安全生产责任全面压实，重点行业领域安全生产水平、城市安全发展水平显著提升，风险分级管控与隐患排查治理机制持续健全，安全风险系统治理、依法治理、综合治理、源头治理能力明显增强。</w:t>
      </w:r>
    </w:p>
    <w:p>
      <w:pPr>
        <w:spacing w:line="594" w:lineRule="exact"/>
        <w:ind w:firstLine="642" w:firstLineChars="200"/>
        <w:rPr>
          <w:rFonts w:eastAsia="方正仿宋简体"/>
          <w:sz w:val="32"/>
          <w:szCs w:val="32"/>
        </w:rPr>
      </w:pPr>
      <w:r>
        <w:rPr>
          <w:rFonts w:hint="eastAsia" w:eastAsia="方正仿宋简体"/>
          <w:b/>
          <w:sz w:val="32"/>
          <w:szCs w:val="32"/>
        </w:rPr>
        <w:t>3、自然灾害防御水平明显提升。</w:t>
      </w:r>
      <w:r>
        <w:rPr>
          <w:rFonts w:hint="eastAsia" w:eastAsia="方正仿宋简体"/>
          <w:sz w:val="32"/>
          <w:szCs w:val="32"/>
        </w:rPr>
        <w:t>自然灾害综合风险普查高质量完成，灾害风险隐患底数全面摸清。多灾种和灾害链综合监测、风险早期识别和短临精准预警能力大幅提升，城乡灾害防御能力显著增强，台风、暴雨、洪水、地震、森林火灾等风险监测预警能力和水平明显提升。</w:t>
      </w:r>
    </w:p>
    <w:p>
      <w:pPr>
        <w:spacing w:line="594" w:lineRule="exact"/>
        <w:ind w:firstLine="642" w:firstLineChars="200"/>
        <w:rPr>
          <w:rFonts w:eastAsia="方正仿宋简体"/>
          <w:sz w:val="32"/>
          <w:szCs w:val="32"/>
        </w:rPr>
      </w:pPr>
      <w:r>
        <w:rPr>
          <w:rFonts w:hint="eastAsia" w:eastAsia="方正仿宋简体"/>
          <w:b/>
          <w:sz w:val="32"/>
          <w:szCs w:val="32"/>
        </w:rPr>
        <w:t>4、灾害事故应急能力明显增强。</w:t>
      </w:r>
      <w:r>
        <w:rPr>
          <w:rFonts w:hint="eastAsia" w:eastAsia="方正仿宋简体"/>
          <w:sz w:val="32"/>
          <w:szCs w:val="32"/>
        </w:rPr>
        <w:t>配置科学、体系完备、指挥顺畅、技能精湛的救援力量体系全面建成，依托全市区域应急救援中心推动建成本区救援基地，森林防灭火、危险化学品、防汛抢险、抗震救灾、矿山等专业应急救援队伍应急处置能力明显增强，应急物资储备网络全面建成，应急物流时效大幅提升。</w:t>
      </w:r>
    </w:p>
    <w:p>
      <w:pPr>
        <w:spacing w:line="594" w:lineRule="exact"/>
        <w:ind w:firstLine="642" w:firstLineChars="200"/>
        <w:rPr>
          <w:rFonts w:eastAsia="方正仿宋简体"/>
          <w:sz w:val="32"/>
          <w:szCs w:val="32"/>
        </w:rPr>
      </w:pPr>
      <w:r>
        <w:rPr>
          <w:rFonts w:hint="eastAsia" w:eastAsia="方正仿宋简体"/>
          <w:b/>
          <w:sz w:val="32"/>
          <w:szCs w:val="32"/>
        </w:rPr>
        <w:t>5、发展安全保障更加有力。</w:t>
      </w:r>
      <w:r>
        <w:rPr>
          <w:rFonts w:hint="eastAsia" w:eastAsia="方正仿宋简体"/>
          <w:sz w:val="32"/>
          <w:szCs w:val="32"/>
        </w:rPr>
        <w:t>应急管理政策和预案体系更加完善，应急管理部门准军事化管理和职业保障机制基本健全，科技信息化支撑能力明显增强，应急管理专业人才充实，社会协同应对灾害事故能力显著提高。</w:t>
      </w:r>
    </w:p>
    <w:p>
      <w:pPr>
        <w:spacing w:line="594" w:lineRule="exact"/>
        <w:ind w:firstLine="640" w:firstLineChars="200"/>
        <w:rPr>
          <w:rFonts w:eastAsia="方正仿宋简体"/>
          <w:sz w:val="32"/>
          <w:szCs w:val="32"/>
        </w:rPr>
      </w:pPr>
      <w:r>
        <w:rPr>
          <w:rFonts w:hint="eastAsia" w:eastAsia="方正仿宋简体"/>
          <w:sz w:val="32"/>
          <w:szCs w:val="32"/>
        </w:rPr>
        <w:t>展望2035年，逐步建立起与阳东区新发展阶段总定位总目标相适应的应急管理体系，实现依法应急、科学应急、智慧应急，使阳东应急管理成为彰显高效能治理的关键标志。安全风险防范化解能力全面提高、自然灾害防御水平全面提升、灾害事故应急能力全面增强、应急管理体系和能力现代化全面实现。</w:t>
      </w:r>
    </w:p>
    <w:p>
      <w:pPr>
        <w:spacing w:line="594" w:lineRule="exact"/>
        <w:ind w:firstLine="640" w:firstLineChars="200"/>
        <w:rPr>
          <w:rFonts w:eastAsia="方正仿宋简体"/>
          <w:sz w:val="32"/>
          <w:szCs w:val="32"/>
        </w:rPr>
      </w:pPr>
    </w:p>
    <w:p>
      <w:pPr>
        <w:spacing w:line="594" w:lineRule="exact"/>
        <w:jc w:val="center"/>
        <w:outlineLvl w:val="1"/>
        <w:rPr>
          <w:rFonts w:ascii="方正楷体简体" w:eastAsia="方正楷体简体"/>
          <w:sz w:val="32"/>
          <w:szCs w:val="32"/>
        </w:rPr>
      </w:pPr>
      <w:bookmarkStart w:id="8" w:name="_Toc160605110"/>
      <w:r>
        <w:rPr>
          <w:rFonts w:hint="eastAsia" w:ascii="方正楷体简体" w:eastAsia="方正楷体简体"/>
          <w:sz w:val="32"/>
          <w:szCs w:val="32"/>
        </w:rPr>
        <w:t>第四节  实施策略</w:t>
      </w:r>
      <w:bookmarkEnd w:id="8"/>
    </w:p>
    <w:p>
      <w:pPr>
        <w:pStyle w:val="2"/>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以科学应备、时时应变、统一应战、精准应灾、及时应验的应急管理“五应”方法，通过系统闭环运行，螺旋式提升应急管理效能，推动实现应急管理体系和能力现代化。</w:t>
      </w:r>
    </w:p>
    <w:p>
      <w:pPr>
        <w:spacing w:line="594" w:lineRule="exact"/>
        <w:ind w:firstLine="642" w:firstLineChars="200"/>
        <w:rPr>
          <w:rFonts w:eastAsia="方正仿宋简体"/>
          <w:sz w:val="32"/>
          <w:szCs w:val="32"/>
        </w:rPr>
      </w:pPr>
      <w:r>
        <w:rPr>
          <w:rFonts w:hint="eastAsia" w:eastAsia="方正仿宋简体"/>
          <w:b/>
          <w:sz w:val="32"/>
          <w:szCs w:val="32"/>
        </w:rPr>
        <w:t>1、科学应备。</w:t>
      </w:r>
      <w:r>
        <w:rPr>
          <w:rFonts w:hint="eastAsia" w:eastAsia="方正仿宋简体"/>
          <w:sz w:val="32"/>
          <w:szCs w:val="32"/>
        </w:rPr>
        <w:t>坚持底线思维，源头预防，关口前移，常备不懈，全面做好思想准备、工作准备、法治准备、科技准备、力量准备、物资准备、动员准备。</w:t>
      </w:r>
    </w:p>
    <w:p>
      <w:pPr>
        <w:spacing w:line="594" w:lineRule="exact"/>
        <w:ind w:firstLine="642" w:firstLineChars="200"/>
        <w:rPr>
          <w:rFonts w:eastAsia="方正仿宋简体"/>
          <w:sz w:val="32"/>
          <w:szCs w:val="32"/>
        </w:rPr>
      </w:pPr>
      <w:r>
        <w:rPr>
          <w:rFonts w:hint="eastAsia" w:eastAsia="方正仿宋简体"/>
          <w:b/>
          <w:sz w:val="32"/>
          <w:szCs w:val="32"/>
        </w:rPr>
        <w:t>2、时时应变。</w:t>
      </w:r>
      <w:r>
        <w:rPr>
          <w:rFonts w:hint="eastAsia" w:eastAsia="方正仿宋简体"/>
          <w:sz w:val="32"/>
          <w:szCs w:val="32"/>
        </w:rPr>
        <w:t>时刻保持应急状态，提升见微知著能力。准确识变、科学应变、主动求变，对安全风险早发现、早研判、早处理、早预防，下好先手棋，打好主动仗，努力做到“在危机中育新机、于变局中开新局”。</w:t>
      </w:r>
    </w:p>
    <w:p>
      <w:pPr>
        <w:spacing w:line="594" w:lineRule="exact"/>
        <w:ind w:firstLine="642" w:firstLineChars="200"/>
        <w:rPr>
          <w:rFonts w:eastAsia="方正仿宋简体"/>
          <w:sz w:val="32"/>
          <w:szCs w:val="32"/>
        </w:rPr>
      </w:pPr>
      <w:r>
        <w:rPr>
          <w:rFonts w:hint="eastAsia" w:eastAsia="方正仿宋简体"/>
          <w:b/>
          <w:sz w:val="32"/>
          <w:szCs w:val="32"/>
        </w:rPr>
        <w:t>3、统一应战。</w:t>
      </w:r>
      <w:r>
        <w:rPr>
          <w:rFonts w:hint="eastAsia" w:eastAsia="方正仿宋简体"/>
          <w:sz w:val="32"/>
          <w:szCs w:val="32"/>
        </w:rPr>
        <w:t>强化以应急管理“统”的权威推动“战”的高效，做到应急响应统一发布、灾害事故统一调度、应急处置统一指挥、救援力量统一行动、应对措施统筹落实。</w:t>
      </w:r>
    </w:p>
    <w:p>
      <w:pPr>
        <w:spacing w:line="594" w:lineRule="exact"/>
        <w:ind w:firstLine="642" w:firstLineChars="200"/>
        <w:rPr>
          <w:rFonts w:eastAsia="方正仿宋简体"/>
          <w:sz w:val="32"/>
          <w:szCs w:val="32"/>
        </w:rPr>
      </w:pPr>
      <w:r>
        <w:rPr>
          <w:rFonts w:hint="eastAsia" w:eastAsia="方正仿宋简体"/>
          <w:b/>
          <w:sz w:val="32"/>
          <w:szCs w:val="32"/>
        </w:rPr>
        <w:t>4、精准应灾。</w:t>
      </w:r>
      <w:r>
        <w:rPr>
          <w:rFonts w:hint="eastAsia" w:eastAsia="方正仿宋简体"/>
          <w:sz w:val="32"/>
          <w:szCs w:val="32"/>
        </w:rPr>
        <w:t>推动救灾工作精准化，精准安置保障，精准调拨款物，精准掌握灾情，精准恢复重建，精准配置保险，努力将灾害损失降到最低。</w:t>
      </w:r>
    </w:p>
    <w:p>
      <w:pPr>
        <w:spacing w:line="594" w:lineRule="exact"/>
        <w:ind w:firstLine="642" w:firstLineChars="200"/>
        <w:rPr>
          <w:rFonts w:eastAsia="方正仿宋简体"/>
          <w:sz w:val="32"/>
          <w:szCs w:val="32"/>
        </w:rPr>
      </w:pPr>
      <w:r>
        <w:rPr>
          <w:rFonts w:hint="eastAsia" w:eastAsia="方正仿宋简体"/>
          <w:b/>
          <w:sz w:val="32"/>
          <w:szCs w:val="32"/>
        </w:rPr>
        <w:t>5、及时应验。</w:t>
      </w:r>
      <w:r>
        <w:rPr>
          <w:rFonts w:hint="eastAsia" w:eastAsia="方正仿宋简体"/>
          <w:sz w:val="32"/>
          <w:szCs w:val="32"/>
        </w:rPr>
        <w:t>强化问题导向、目标导向和效果导向，及时总结与各类灾害事故斗争经验，并在实践中不断应验、固化、提升，补短板、堵漏洞、强弱项，把短时治理效能转化为长期治理机制。</w:t>
      </w:r>
    </w:p>
    <w:p>
      <w:pPr>
        <w:widowControl/>
        <w:jc w:val="left"/>
        <w:rPr>
          <w:rFonts w:eastAsia="方正仿宋简体"/>
          <w:sz w:val="32"/>
          <w:szCs w:val="32"/>
        </w:rPr>
      </w:pPr>
      <w:r>
        <w:rPr>
          <w:rFonts w:eastAsia="方正仿宋简体"/>
          <w:sz w:val="32"/>
          <w:szCs w:val="32"/>
        </w:rPr>
        <w:br w:type="page"/>
      </w:r>
    </w:p>
    <w:p>
      <w:pPr>
        <w:adjustRightInd w:val="0"/>
        <w:snapToGrid w:val="0"/>
        <w:spacing w:line="570" w:lineRule="exact"/>
        <w:jc w:val="center"/>
        <w:outlineLvl w:val="0"/>
        <w:rPr>
          <w:rFonts w:eastAsia="方正小标宋简体"/>
          <w:sz w:val="32"/>
          <w:szCs w:val="32"/>
        </w:rPr>
      </w:pPr>
      <w:bookmarkStart w:id="9" w:name="_Toc160605111"/>
      <w:r>
        <w:rPr>
          <w:rFonts w:hint="eastAsia" w:eastAsia="方正小标宋简体"/>
          <w:sz w:val="32"/>
          <w:szCs w:val="32"/>
        </w:rPr>
        <w:t>第三章  深入推进应急管理体系建设</w:t>
      </w:r>
      <w:bookmarkEnd w:id="9"/>
    </w:p>
    <w:p>
      <w:pPr>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围绕应急管理体制机制创新，推动安全生产监管与自然灾害防治融合，强化救援力量、应急物资、智慧应急、安全文化等关键要素支撑，深入推进应急管理体系建设。</w:t>
      </w:r>
    </w:p>
    <w:p>
      <w:pPr>
        <w:spacing w:line="594" w:lineRule="exact"/>
        <w:ind w:firstLine="640" w:firstLineChars="200"/>
        <w:rPr>
          <w:rFonts w:eastAsia="方正仿宋简体"/>
          <w:sz w:val="32"/>
          <w:szCs w:val="32"/>
        </w:rPr>
      </w:pPr>
    </w:p>
    <w:p>
      <w:pPr>
        <w:spacing w:line="594" w:lineRule="exact"/>
        <w:jc w:val="center"/>
        <w:outlineLvl w:val="1"/>
        <w:rPr>
          <w:rFonts w:eastAsia="方正楷体简体"/>
          <w:sz w:val="32"/>
          <w:szCs w:val="32"/>
        </w:rPr>
      </w:pPr>
      <w:bookmarkStart w:id="10" w:name="_Toc160605112"/>
      <w:r>
        <w:rPr>
          <w:rFonts w:hint="eastAsia" w:eastAsia="方正楷体简体"/>
          <w:sz w:val="32"/>
          <w:szCs w:val="32"/>
        </w:rPr>
        <w:t>第一节  构建统分结合的应急组织体系</w:t>
      </w:r>
      <w:bookmarkEnd w:id="10"/>
    </w:p>
    <w:p>
      <w:pPr>
        <w:pStyle w:val="2"/>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坚持党的统一领导，健全完善突发事件应急委员会统筹协调机制。坚持统分结合、无缝衔接应急管理部门和行业监管部门“防”和“救”的责任链条，落实明晰各层级应急管理职责。完善领导指挥体制。牢固树立党在应急管理事业中总揽全局、协调各方的领导地位。健全阳东区突发事件应急委员会体制，制定突发事件应急委员会工作规则和突发事件应急委员会办公室工作职责。优化完善减灾、安全生产、消防安全等议事协调机构和防汛防旱防风、森林防灭火、抗震救灾等专项指挥机构，健全完善各类机构办公室工作职责。健全核安全协调机制，提升核应急能力水平。完善功能区应急管理体制机制，实现应急管理职责全覆盖。</w:t>
      </w:r>
    </w:p>
    <w:p>
      <w:pPr>
        <w:spacing w:line="594" w:lineRule="exact"/>
        <w:ind w:firstLine="642" w:firstLineChars="200"/>
        <w:rPr>
          <w:rFonts w:eastAsia="方正仿宋简体"/>
          <w:sz w:val="32"/>
          <w:szCs w:val="32"/>
        </w:rPr>
      </w:pPr>
      <w:r>
        <w:rPr>
          <w:rFonts w:hint="eastAsia" w:eastAsia="方正仿宋简体"/>
          <w:b/>
          <w:sz w:val="32"/>
          <w:szCs w:val="32"/>
        </w:rPr>
        <w:t>1、健全应急指挥机制。</w:t>
      </w:r>
      <w:r>
        <w:rPr>
          <w:rFonts w:hint="eastAsia" w:eastAsia="方正仿宋简体"/>
          <w:sz w:val="32"/>
          <w:szCs w:val="32"/>
        </w:rPr>
        <w:t>健全应急处置机制，建立全灾种应急处置工作流程。建立应对重大灾害事故统筹协调和综合保障机制，规范现场指挥部的开设和运作,建立应急管理部门以及各行业主管部门与相应专业救援队伍间的指挥调度机制。建立分级指挥和专业指挥相结合的综合性消防救援队伍指挥模式。实施应急管理专业指挥员队伍建设工程,提升灾害事故现场处置指挥能力。</w:t>
      </w:r>
    </w:p>
    <w:p>
      <w:pPr>
        <w:spacing w:line="594" w:lineRule="exact"/>
        <w:ind w:firstLine="642" w:firstLineChars="200"/>
        <w:rPr>
          <w:rFonts w:eastAsia="方正仿宋简体"/>
          <w:sz w:val="32"/>
          <w:szCs w:val="32"/>
        </w:rPr>
      </w:pPr>
      <w:r>
        <w:rPr>
          <w:rFonts w:hint="eastAsia" w:eastAsia="方正仿宋简体"/>
          <w:b/>
          <w:sz w:val="32"/>
          <w:szCs w:val="32"/>
        </w:rPr>
        <w:t>2、推动灾害事故应急响应规范化。</w:t>
      </w:r>
      <w:r>
        <w:rPr>
          <w:rFonts w:hint="eastAsia" w:eastAsia="方正仿宋简体"/>
          <w:sz w:val="32"/>
          <w:szCs w:val="32"/>
        </w:rPr>
        <w:t>健全完善全国全省全市全区“一盘棋”应急响应机制，建立健全灾害事故统一响应、分级响应、提级响应等应急响应制度，落实突发事件应对处置属地责任。编制危险化学品、矿山、火灾、交通、地震、地质、台风、洪涝、森林火灾等灾害事故应急响应手册，实施应急响应过程标准化、规范化管理。建立健全应急响应社会动员机制，发挥社会公众在信息报告和协助救援等方面的作用。</w:t>
      </w:r>
    </w:p>
    <w:p>
      <w:pPr>
        <w:spacing w:line="594" w:lineRule="exact"/>
        <w:ind w:firstLine="642" w:firstLineChars="200"/>
        <w:rPr>
          <w:rFonts w:eastAsia="方正仿宋简体"/>
          <w:sz w:val="32"/>
          <w:szCs w:val="32"/>
        </w:rPr>
      </w:pPr>
      <w:r>
        <w:rPr>
          <w:rFonts w:hint="eastAsia" w:eastAsia="方正仿宋简体"/>
          <w:b/>
          <w:sz w:val="32"/>
          <w:szCs w:val="32"/>
        </w:rPr>
        <w:t>3、强化应急值班值守。</w:t>
      </w:r>
      <w:r>
        <w:rPr>
          <w:rFonts w:hint="eastAsia" w:eastAsia="方正仿宋简体"/>
          <w:sz w:val="32"/>
          <w:szCs w:val="32"/>
        </w:rPr>
        <w:t>严格落实领导带班和关键岗位24小时专人值班值守、节假日“五个一”值班值守、特别防护期值班制度。健全完善应急联合值守机制，建立统一指挥、即时研判、及时反馈工作制度。推动建立高风险时段应急备勤分级响应机制，完善专业应急救援队伍应急备勤值守机制。</w:t>
      </w:r>
    </w:p>
    <w:p>
      <w:pPr>
        <w:spacing w:line="594" w:lineRule="exact"/>
        <w:ind w:firstLine="642" w:firstLineChars="200"/>
        <w:rPr>
          <w:rFonts w:eastAsia="方正仿宋简体"/>
          <w:sz w:val="32"/>
          <w:szCs w:val="32"/>
        </w:rPr>
      </w:pPr>
      <w:r>
        <w:rPr>
          <w:rFonts w:hint="eastAsia" w:eastAsia="方正仿宋简体"/>
          <w:b/>
          <w:sz w:val="32"/>
          <w:szCs w:val="32"/>
        </w:rPr>
        <w:t>4、规范应急响应信息管理。</w:t>
      </w:r>
      <w:r>
        <w:rPr>
          <w:rFonts w:hint="eastAsia" w:eastAsia="方正仿宋简体"/>
          <w:sz w:val="32"/>
          <w:szCs w:val="32"/>
        </w:rPr>
        <w:t>加强信息互通共享，建立健全涉灾害事故部门和各种救援力量之间信息互动机制。完善信息接报处置工作制度，建立健全突发事件多渠道信息报送机制，灾害事故信息上报及时率达到100%。健全灾害事故信息发布制度，严格重特大灾害事故发布时效，统一快速、准确权威发布灾害事故信息。</w:t>
      </w:r>
    </w:p>
    <w:p>
      <w:pPr>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11" w:name="_Toc160605113"/>
      <w:r>
        <w:rPr>
          <w:rFonts w:hint="eastAsia" w:eastAsia="方正楷体简体"/>
          <w:sz w:val="32"/>
          <w:szCs w:val="32"/>
        </w:rPr>
        <w:t>第二节  构建系统完备的法规预案体系</w:t>
      </w:r>
      <w:bookmarkEnd w:id="11"/>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坚持依法应急，运用法治思维和法治方式提高应急管理的法治化、规范化水平。坚持预案先行，创新应急预案管理机制，全方位构建新时代应急预案体系。</w:t>
      </w:r>
    </w:p>
    <w:p>
      <w:pPr>
        <w:spacing w:line="570" w:lineRule="exact"/>
        <w:ind w:firstLine="642" w:firstLineChars="200"/>
        <w:rPr>
          <w:rFonts w:eastAsia="方正仿宋简体"/>
          <w:sz w:val="32"/>
          <w:szCs w:val="32"/>
        </w:rPr>
      </w:pPr>
      <w:r>
        <w:rPr>
          <w:rFonts w:hint="eastAsia" w:eastAsia="方正仿宋简体"/>
          <w:b/>
          <w:sz w:val="32"/>
          <w:szCs w:val="32"/>
        </w:rPr>
        <w:t>1、健全应急预案管理机制。</w:t>
      </w:r>
      <w:r>
        <w:rPr>
          <w:rFonts w:hint="eastAsia" w:eastAsia="方正仿宋简体"/>
          <w:sz w:val="32"/>
          <w:szCs w:val="32"/>
        </w:rPr>
        <w:t>制定应急预案管理规范化文件，推进预案管理规范化，明确各类预案编制、评审、评估、发布、备案、实施、监督等管理工作程序。建立应急预案定期评估机制，实现应急预案的动态优化。依照事件分类与分级明确相关各方职责任务，强化各级各类预案有效衔接。实施应急预案大演练，加强多灾种、规模化的多部门、跨区域综合应急演练，鼓励采用形式多样、节约高效的演练形式，推动常态化开展重大灾害事故应急预案演练。</w:t>
      </w:r>
    </w:p>
    <w:p>
      <w:pPr>
        <w:spacing w:line="570" w:lineRule="exact"/>
        <w:ind w:firstLine="642" w:firstLineChars="200"/>
        <w:rPr>
          <w:rFonts w:eastAsia="方正仿宋简体"/>
          <w:sz w:val="32"/>
          <w:szCs w:val="32"/>
        </w:rPr>
      </w:pPr>
      <w:r>
        <w:rPr>
          <w:rFonts w:hint="eastAsia" w:eastAsia="方正仿宋简体"/>
          <w:b/>
          <w:sz w:val="32"/>
          <w:szCs w:val="32"/>
        </w:rPr>
        <w:t>2、实施应急预案制修订计划。</w:t>
      </w:r>
      <w:r>
        <w:rPr>
          <w:rFonts w:hint="eastAsia" w:eastAsia="方正仿宋简体"/>
          <w:sz w:val="32"/>
          <w:szCs w:val="32"/>
        </w:rPr>
        <w:t>加快制修订各级突发事件总体应急预案和专项应急预案，推动编制重要目标、重大危险源、重大活动、重大基础设施应急预案。推动涉及公共区域应急预案编制简明操作手册和应急指南，推进企业应急预案简明化、图表化，提升预案实用性、可操作性。</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12" w:name="_Toc160605114"/>
      <w:r>
        <w:rPr>
          <w:rFonts w:hint="eastAsia" w:ascii="方正楷体简体" w:eastAsia="方正楷体简体"/>
          <w:sz w:val="32"/>
          <w:szCs w:val="32"/>
        </w:rPr>
        <w:t>第三节  构建精准严密的安全监管体系</w:t>
      </w:r>
      <w:bookmarkEnd w:id="12"/>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把牢把实安全生产基本盘，强化更为精准的安全生产源头管控，实施更为有力的重点行业领域专项整治行动，构建更加严密的安全生产责任体系，推动安全生产治理体系和治理能力现代化。</w:t>
      </w:r>
    </w:p>
    <w:p>
      <w:pPr>
        <w:spacing w:line="570" w:lineRule="exact"/>
        <w:ind w:firstLine="642" w:firstLineChars="200"/>
        <w:rPr>
          <w:rFonts w:eastAsia="方正仿宋简体"/>
          <w:sz w:val="32"/>
          <w:szCs w:val="32"/>
        </w:rPr>
      </w:pPr>
      <w:r>
        <w:rPr>
          <w:rFonts w:hint="eastAsia" w:eastAsia="方正仿宋简体"/>
          <w:b/>
          <w:sz w:val="32"/>
          <w:szCs w:val="32"/>
        </w:rPr>
        <w:t>1、压实企业主体责任。</w:t>
      </w:r>
      <w:r>
        <w:rPr>
          <w:rFonts w:hint="eastAsia" w:eastAsia="方正仿宋简体"/>
          <w:sz w:val="32"/>
          <w:szCs w:val="32"/>
        </w:rPr>
        <w:t>健全企业全员安全生产责任制，落实企业法定代表人、实际控制人、主要负责人等“关键少数”安全管理责任。推动高危行业领域企业和规模以上企业建立安全生产技术和管理团队，提高企业履行主体责任的专业能力。推进安全风险分级管控和隐患排查治理双重预防机制建设，健全向负有安全生产监督管理职责的部门和企业职代会“双报告”制度。推进企业安全文化建设，完善全员覆盖的企业安全教育培训制度，推行以信用监管为基础的企业安全生产主体责任承诺制度。</w:t>
      </w:r>
    </w:p>
    <w:p>
      <w:pPr>
        <w:spacing w:line="570" w:lineRule="exact"/>
        <w:ind w:firstLine="642" w:firstLineChars="200"/>
        <w:rPr>
          <w:rFonts w:eastAsia="方正仿宋简体"/>
          <w:sz w:val="32"/>
          <w:szCs w:val="32"/>
        </w:rPr>
      </w:pPr>
      <w:r>
        <w:rPr>
          <w:rFonts w:hint="eastAsia" w:eastAsia="方正仿宋简体"/>
          <w:b/>
          <w:sz w:val="32"/>
          <w:szCs w:val="32"/>
        </w:rPr>
        <w:t>2、提升本质安全水平。</w:t>
      </w:r>
      <w:r>
        <w:rPr>
          <w:rFonts w:hint="eastAsia" w:eastAsia="方正仿宋简体"/>
          <w:sz w:val="32"/>
          <w:szCs w:val="32"/>
        </w:rPr>
        <w:t>推进“工业互联网+安全生产”行动计划，加快重点行业工业互联网平台建设，提升工业安全生产的感知、监测、预警、处置和评估能力，加快形成工业互联网与安全生产协同推进发展格局。开展绿色智能安全生产专项行动，大力推广新技术、新工艺、新材料和新装备，开展智能化作业和危险岗位的机器人替代示范。推进企业安全生产标准化创建，实现安全管理、操作行为、设备设施和作业环境规范化。制订并定期更新落后技术、工艺、材料和设备淘汰、限制目录。</w:t>
      </w:r>
    </w:p>
    <w:p>
      <w:pPr>
        <w:spacing w:line="570" w:lineRule="exact"/>
        <w:ind w:firstLine="642" w:firstLineChars="200"/>
        <w:rPr>
          <w:rFonts w:eastAsia="方正仿宋简体"/>
          <w:sz w:val="32"/>
          <w:szCs w:val="32"/>
        </w:rPr>
      </w:pPr>
      <w:r>
        <w:rPr>
          <w:rFonts w:hint="eastAsia" w:eastAsia="方正仿宋简体"/>
          <w:b/>
          <w:sz w:val="32"/>
          <w:szCs w:val="32"/>
        </w:rPr>
        <w:t>3、实施重点行业领域专项整治行动。</w:t>
      </w:r>
      <w:r>
        <w:rPr>
          <w:rFonts w:hint="eastAsia" w:eastAsia="方正仿宋简体"/>
          <w:sz w:val="32"/>
          <w:szCs w:val="32"/>
        </w:rPr>
        <w:t>依法建立不具备安全生产条件的企业强制退出机制，实施重点行业领域安全生产专项整治行动，加强非煤矿山、涉爆粉尘、有限空间作业、涉氨制冷、工业园区等重点行业领域安全监管，全面增强较大及以上生产安全事故防范能力。</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13" w:name="_Toc160605115"/>
      <w:r>
        <w:rPr>
          <w:rFonts w:hint="eastAsia" w:ascii="方正楷体简体" w:eastAsia="方正楷体简体"/>
          <w:sz w:val="32"/>
          <w:szCs w:val="32"/>
        </w:rPr>
        <w:t>第四节  构建严格的执法管理体系</w:t>
      </w:r>
      <w:bookmarkEnd w:id="13"/>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为深化应急管理综合行政执法改革，整合执法职责，完善执法队伍，优化执法资源，强化协作联动，加快构建权责统一、权威高效的应急管理综合行政执法体系。</w:t>
      </w:r>
    </w:p>
    <w:p>
      <w:pPr>
        <w:spacing w:line="570" w:lineRule="exact"/>
        <w:ind w:firstLine="642" w:firstLineChars="200"/>
        <w:rPr>
          <w:rFonts w:eastAsia="方正仿宋简体"/>
          <w:sz w:val="32"/>
          <w:szCs w:val="32"/>
        </w:rPr>
      </w:pPr>
      <w:r>
        <w:rPr>
          <w:rFonts w:hint="eastAsia" w:eastAsia="方正仿宋简体"/>
          <w:b/>
          <w:sz w:val="32"/>
          <w:szCs w:val="32"/>
        </w:rPr>
        <w:t>1、加强应急管理监管执法。</w:t>
      </w:r>
      <w:r>
        <w:rPr>
          <w:rFonts w:hint="eastAsia" w:eastAsia="方正仿宋简体"/>
          <w:sz w:val="32"/>
          <w:szCs w:val="32"/>
        </w:rPr>
        <w:t>深化应急管理综合行政执法改革、全面推行行政执法公示、执法全过程记录、重大执法决定法制审核等执法制度。健全完善“双随机、一公开”监管制度，全面推进监管执法标准化、规范化、信息化。实施风险分级分类监管,探索非现场监管执法方式,推动安全生产监管方式“三个转变”，全面强化监管执法精准性。加强行政执法与司法衔接、健全完善督查、巡查、联合执法制度。</w:t>
      </w:r>
    </w:p>
    <w:p>
      <w:pPr>
        <w:spacing w:line="570" w:lineRule="exact"/>
        <w:ind w:firstLine="642" w:firstLineChars="200"/>
        <w:rPr>
          <w:rFonts w:eastAsia="方正仿宋简体"/>
          <w:sz w:val="32"/>
          <w:szCs w:val="32"/>
        </w:rPr>
      </w:pPr>
      <w:r>
        <w:rPr>
          <w:rFonts w:hint="eastAsia" w:eastAsia="方正仿宋简体"/>
          <w:b/>
          <w:sz w:val="32"/>
          <w:szCs w:val="32"/>
        </w:rPr>
        <w:t>2、提升执法监察力度。</w:t>
      </w:r>
      <w:r>
        <w:rPr>
          <w:rFonts w:hint="eastAsia" w:eastAsia="方正仿宋简体"/>
          <w:sz w:val="32"/>
          <w:szCs w:val="32"/>
        </w:rPr>
        <w:t>规范监管执法行为，编制统一执法目录、执法事项清单。完善各级执法装备配备标准，强化执法工作条件保障，推进执法监察一体化。强化行政执法全过程监督，鼓励各地建立完善行政执法监督员制度。加强行政执法与刑事司法衔接，依法规范收集、固定相关证据材料，严格执行移送标准和程序。</w:t>
      </w:r>
    </w:p>
    <w:p>
      <w:pPr>
        <w:spacing w:line="570" w:lineRule="exact"/>
        <w:ind w:firstLine="642" w:firstLineChars="200"/>
        <w:rPr>
          <w:rFonts w:eastAsia="方正仿宋简体"/>
          <w:sz w:val="32"/>
          <w:szCs w:val="32"/>
        </w:rPr>
      </w:pPr>
      <w:r>
        <w:rPr>
          <w:rFonts w:hint="eastAsia" w:eastAsia="方正仿宋简体"/>
          <w:b/>
          <w:sz w:val="32"/>
          <w:szCs w:val="32"/>
        </w:rPr>
        <w:t>3、压实企业主体责任。</w:t>
      </w:r>
      <w:r>
        <w:rPr>
          <w:rFonts w:hint="eastAsia" w:eastAsia="方正仿宋简体"/>
          <w:sz w:val="32"/>
          <w:szCs w:val="32"/>
        </w:rPr>
        <w:t>健全企业全员安全生产责任制，落实企业法定代表人、实际控制人、主要负责人等“关键少数”安全管理责任。推动高危行业领域企业和规模以上企业建立安全生产技术和管理团队，提高企业履行主体责任的专业能力，推进安全风险分级管控和隐患排查治理双重预防机制建设。联合其他相关部门开展安全生产专项联合执法检查，防范和杜绝特大、重特大安全事故发生，促进全区安全生产形势平稳发展。</w:t>
      </w:r>
    </w:p>
    <w:p>
      <w:pPr>
        <w:spacing w:line="570" w:lineRule="exact"/>
        <w:ind w:firstLine="642" w:firstLineChars="200"/>
        <w:rPr>
          <w:rFonts w:eastAsia="方正仿宋简体"/>
          <w:sz w:val="32"/>
          <w:szCs w:val="32"/>
        </w:rPr>
      </w:pPr>
      <w:r>
        <w:rPr>
          <w:rFonts w:hint="eastAsia" w:eastAsia="方正仿宋简体"/>
          <w:b/>
          <w:sz w:val="32"/>
          <w:szCs w:val="32"/>
        </w:rPr>
        <w:t>4、突出监管行业执法重点。</w:t>
      </w:r>
      <w:r>
        <w:rPr>
          <w:rFonts w:hint="eastAsia" w:eastAsia="方正仿宋简体"/>
          <w:sz w:val="32"/>
          <w:szCs w:val="32"/>
        </w:rPr>
        <w:t>为确保全面依法履行安全生产监督管理职责，进一步规范安全生产监督检查行为、提升监督检查效能，实现依法科学监管，持续深化安全责任体系建设，突出非煤矿山、金属冶炼、危险化学品等重点领域行业，创新执法监察亮点。</w:t>
      </w:r>
    </w:p>
    <w:p>
      <w:pPr>
        <w:spacing w:line="570" w:lineRule="exact"/>
        <w:ind w:firstLine="642" w:firstLineChars="200"/>
        <w:rPr>
          <w:rFonts w:eastAsia="方正仿宋简体"/>
          <w:sz w:val="32"/>
          <w:szCs w:val="32"/>
        </w:rPr>
      </w:pPr>
      <w:r>
        <w:rPr>
          <w:rFonts w:hint="eastAsia" w:eastAsia="方正仿宋简体"/>
          <w:b/>
          <w:sz w:val="32"/>
          <w:szCs w:val="32"/>
        </w:rPr>
        <w:t>5、严格执法队伍建设，推进执法标准化建设。</w:t>
      </w:r>
      <w:r>
        <w:rPr>
          <w:rFonts w:hint="eastAsia" w:eastAsia="方正仿宋简体"/>
          <w:sz w:val="32"/>
          <w:szCs w:val="32"/>
        </w:rPr>
        <w:t>加强执法队伍思想和作风建设,加强执法人员执法知识和能力培训,推进执法标准化建设。通过执法业务轮训、外出交流学习等方式，促进执法队伍素质能力快速提升，努力建设一支专业化、规范化高素质的执法队伍。</w:t>
      </w:r>
    </w:p>
    <w:p>
      <w:pPr>
        <w:spacing w:line="570" w:lineRule="exact"/>
        <w:ind w:firstLine="642" w:firstLineChars="200"/>
        <w:rPr>
          <w:rFonts w:eastAsia="方正仿宋简体"/>
          <w:sz w:val="32"/>
          <w:szCs w:val="32"/>
        </w:rPr>
      </w:pPr>
      <w:r>
        <w:rPr>
          <w:rFonts w:hint="eastAsia" w:eastAsia="方正仿宋简体"/>
          <w:b/>
          <w:sz w:val="32"/>
          <w:szCs w:val="32"/>
        </w:rPr>
        <w:t>6、优化案件审查机制。</w:t>
      </w:r>
      <w:r>
        <w:rPr>
          <w:rFonts w:hint="eastAsia" w:eastAsia="方正仿宋简体"/>
          <w:sz w:val="32"/>
          <w:szCs w:val="32"/>
        </w:rPr>
        <w:t>关于对行政执法案件必须进行法制审查审理的要求，要高度重视，进一步建立健全案件审理制度，进一步规范行政处罚案件审理工作，提高行政处罚案件办理水平。专门成立了局案件审理委员会，切实加强对案件的监督管理，运用制度思维和法治方式不断提高应急管理的规范化、法治化水平，切实加强和规范了对行政处罚案件的审理审查工作。大力推进“互联网+政务服务”，推动审批服务事项“网上办”，进一步提高办事效率。同时为确保每件安全生产行政审批事项符合规定，在审核过程中严格对照相关法律法规办理各项行政许可的审查、审核和备案事项。持续推进《安全生产领域信用承诺制度》，并针对行业自律型、行政处罚信用修复型、审批代替型等信用承诺类型编制不同的承诺书，进一步强化市场主体的责任意识，促进市场主体依法诚信经营。</w:t>
      </w:r>
    </w:p>
    <w:p>
      <w:pPr>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14" w:name="_Toc160605116"/>
      <w:r>
        <w:rPr>
          <w:rFonts w:hint="eastAsia" w:eastAsia="方正楷体简体"/>
          <w:sz w:val="32"/>
          <w:szCs w:val="32"/>
        </w:rPr>
        <w:t>第五节  构建专常兼备的救援力量系统</w:t>
      </w:r>
      <w:bookmarkEnd w:id="14"/>
    </w:p>
    <w:p>
      <w:pPr>
        <w:pStyle w:val="2"/>
        <w:spacing w:line="570"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围绕“专常兼备”建设目标，着力构建消防综合救援与专业应急救援互为补充、政府力量与社会力量共同发展、区域应急救援中心与应急救援基地相互衔接的救援力量体系。建强综合性消防救援队伍。科学编制和严格落实阳东区消防规划，消防救援站建设与阳东区城市基础建设同步发展。优化完善综合性消防救援队伍布局和编成，按有关规定和标准配齐配全消防站点和专业消防员。推进基层消防队站硬件达标建设，规范营区布局、统一营区标识、完善场库室设置，2025年前全区基层消防队站达到正规化建设标准。开展消防专业救援装备达标创建行动，配齐配强空勤救援、高层建筑、轨道交通、核生化、石油化工、地震、水域、山岳（高空）等救援装备。推进“一镇一队”消防力量建设，推动行政村（社区）建立微型消防站。</w:t>
      </w:r>
    </w:p>
    <w:p>
      <w:pPr>
        <w:spacing w:line="594" w:lineRule="exact"/>
        <w:ind w:firstLine="642" w:firstLineChars="200"/>
        <w:rPr>
          <w:rFonts w:eastAsia="方正仿宋简体"/>
          <w:sz w:val="32"/>
          <w:szCs w:val="32"/>
        </w:rPr>
      </w:pPr>
      <w:r>
        <w:rPr>
          <w:rFonts w:hint="eastAsia" w:eastAsia="方正仿宋简体"/>
          <w:b/>
          <w:sz w:val="32"/>
          <w:szCs w:val="32"/>
        </w:rPr>
        <w:t>1、建优专业应急救援队伍。</w:t>
      </w:r>
      <w:r>
        <w:rPr>
          <w:rFonts w:hint="eastAsia" w:eastAsia="方正仿宋简体"/>
          <w:sz w:val="32"/>
          <w:szCs w:val="32"/>
        </w:rPr>
        <w:t>按照“统一形象标识、着装要求、训练大纲、战斗力标准”“四个统一”原则，重点建设森林防灭火、危险化学品、防汛抢险、抗震救灾、矿山、电力、交通、通信、物资保障等专业应急救援队伍。推动重点地区、重点行业领域建成本地区、本行业领域突发事件应急处置所需的应急救援队伍。加强专业应急救援队伍力量配置、装备配备、技能培训和实战化演练等，推进应急救援队伍的标准化建设。</w:t>
      </w:r>
    </w:p>
    <w:p>
      <w:pPr>
        <w:spacing w:line="594" w:lineRule="exact"/>
        <w:ind w:firstLine="642" w:firstLineChars="200"/>
        <w:rPr>
          <w:rFonts w:eastAsia="方正仿宋简体"/>
          <w:sz w:val="32"/>
          <w:szCs w:val="32"/>
        </w:rPr>
      </w:pPr>
      <w:r>
        <w:rPr>
          <w:rFonts w:hint="eastAsia" w:eastAsia="方正仿宋简体"/>
          <w:b/>
          <w:sz w:val="32"/>
          <w:szCs w:val="32"/>
        </w:rPr>
        <w:t>2、建立基层综合应急救援队伍。</w:t>
      </w:r>
      <w:r>
        <w:rPr>
          <w:rFonts w:hint="eastAsia" w:eastAsia="方正仿宋简体"/>
          <w:sz w:val="32"/>
          <w:szCs w:val="32"/>
        </w:rPr>
        <w:t>按照专业化组建、集中管理、综合使用的原则，整合基层民兵、治安员、消防安全员、护林员、医务人员、志愿者等现有工作力量，组建“一队多能”的基层综合应急救援服务队伍。负责传递预警信息、开展自救互救、转移安置人员，协助做好防灾救灾等工作。</w:t>
      </w:r>
    </w:p>
    <w:p>
      <w:pPr>
        <w:spacing w:line="594" w:lineRule="exact"/>
        <w:ind w:firstLine="642" w:firstLineChars="200"/>
        <w:rPr>
          <w:rFonts w:eastAsia="方正仿宋简体"/>
          <w:sz w:val="32"/>
          <w:szCs w:val="32"/>
        </w:rPr>
      </w:pPr>
      <w:r>
        <w:rPr>
          <w:rFonts w:hint="eastAsia" w:eastAsia="方正仿宋简体"/>
          <w:b/>
          <w:sz w:val="32"/>
          <w:szCs w:val="32"/>
        </w:rPr>
        <w:t>3、发展社会应急力量。</w:t>
      </w:r>
      <w:r>
        <w:rPr>
          <w:rFonts w:hint="eastAsia" w:eastAsia="方正仿宋简体"/>
          <w:sz w:val="32"/>
          <w:szCs w:val="32"/>
        </w:rPr>
        <w:t>开展社会应急力量摸底调查，实施应急社会力量扶持计划，重点培育城市搜救、高空绳索救援、山地救援、水上搜救和潜水救援、应急医疗、环境应急等社会应急力量。健全社会应急力量调用机制，完善调用补偿补助及保险保障等政策。推进建立社会应急力量管理服务平台，有序引导社会力量参与防灾减灾和应急处置工作。建立健全社会应急力量激励机制，按国家有关规定表彰或奖励作出重要贡献的社会应急力量。依托“i志愿”平台应急志愿者认证体系推动应急志愿者队伍组织化运作、专业化建设、信息化管理。</w:t>
      </w:r>
    </w:p>
    <w:p>
      <w:pPr>
        <w:spacing w:line="594" w:lineRule="exact"/>
        <w:ind w:firstLine="642" w:firstLineChars="200"/>
        <w:rPr>
          <w:rFonts w:eastAsia="方正仿宋简体"/>
          <w:sz w:val="32"/>
          <w:szCs w:val="32"/>
        </w:rPr>
      </w:pPr>
      <w:r>
        <w:rPr>
          <w:rFonts w:hint="eastAsia" w:eastAsia="方正仿宋简体"/>
          <w:b/>
          <w:sz w:val="32"/>
          <w:szCs w:val="32"/>
        </w:rPr>
        <w:t>4、创新共训共练共战机制。</w:t>
      </w:r>
      <w:r>
        <w:rPr>
          <w:rFonts w:hint="eastAsia" w:eastAsia="方正仿宋简体"/>
          <w:sz w:val="32"/>
          <w:szCs w:val="32"/>
        </w:rPr>
        <w:t>推动建立综合消防救援力量、专业应急救援队伍、社会应急力量和志愿者队伍交流合作机制，推动共训共练。定期开展训练和演练，强化应急救援联合作战能力建设，提升应急救援能力和水平。打破部门和建制界限，推动建立健全统一调度、快速集结、密切协作、优势互补的战时协同合作机制。</w:t>
      </w:r>
    </w:p>
    <w:p>
      <w:pPr>
        <w:spacing w:line="570" w:lineRule="exact"/>
        <w:jc w:val="center"/>
        <w:outlineLvl w:val="1"/>
        <w:rPr>
          <w:rFonts w:eastAsia="方正楷体简体"/>
          <w:sz w:val="32"/>
          <w:szCs w:val="32"/>
        </w:rPr>
      </w:pPr>
      <w:bookmarkStart w:id="15" w:name="_Toc160605117"/>
      <w:r>
        <w:rPr>
          <w:rFonts w:hint="eastAsia" w:eastAsia="方正楷体简体"/>
          <w:sz w:val="32"/>
          <w:szCs w:val="32"/>
        </w:rPr>
        <w:t>第六节  构建集中统一的物资保障体系</w:t>
      </w:r>
      <w:bookmarkEnd w:id="15"/>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坚持集中管理、统一协调、平时服务、灾时应急、采储结合、节约高效的原则，以纵向衔接、横向支撑的分类分级负责制为抓手，以采购供应、统筹储备、产能动员、调度运输一体化网络为支撑，建立集中统一的应急物资保障体系。</w:t>
      </w:r>
    </w:p>
    <w:p>
      <w:pPr>
        <w:spacing w:line="570" w:lineRule="exact"/>
        <w:ind w:firstLine="642" w:firstLineChars="200"/>
        <w:rPr>
          <w:rFonts w:eastAsia="方正仿宋简体"/>
          <w:sz w:val="32"/>
          <w:szCs w:val="32"/>
        </w:rPr>
      </w:pPr>
      <w:r>
        <w:rPr>
          <w:rFonts w:hint="eastAsia" w:eastAsia="方正仿宋简体"/>
          <w:b/>
          <w:sz w:val="32"/>
          <w:szCs w:val="32"/>
        </w:rPr>
        <w:t>1、健全应急物资保障管理机制。</w:t>
      </w:r>
      <w:r>
        <w:rPr>
          <w:rFonts w:hint="eastAsia" w:eastAsia="方正仿宋简体"/>
          <w:sz w:val="32"/>
          <w:szCs w:val="32"/>
        </w:rPr>
        <w:t>编制全区应急物资保障规划，建成上下联动、协同配合、调度高效的应急物资保障体系。实行应急物资保障分类分级负责制，强化各级政府主体责任。建立跨部门应急物资保障联动机制，健全完善特需物资储备制度。推动建立全生命周期应急物资管理标准体系，推行“一物一码”精细化管理，实现物资管理标准化、规范化。</w:t>
      </w:r>
    </w:p>
    <w:p>
      <w:pPr>
        <w:spacing w:line="570" w:lineRule="exact"/>
        <w:ind w:firstLine="642" w:firstLineChars="200"/>
        <w:rPr>
          <w:rFonts w:eastAsia="方正仿宋简体"/>
          <w:sz w:val="32"/>
          <w:szCs w:val="32"/>
        </w:rPr>
      </w:pPr>
      <w:r>
        <w:rPr>
          <w:rFonts w:hint="eastAsia" w:eastAsia="方正仿宋简体"/>
          <w:b/>
          <w:sz w:val="32"/>
          <w:szCs w:val="32"/>
        </w:rPr>
        <w:t>2、建立应急物资采购供应体系。</w:t>
      </w:r>
      <w:r>
        <w:rPr>
          <w:rFonts w:hint="eastAsia" w:eastAsia="方正仿宋简体"/>
          <w:sz w:val="32"/>
          <w:szCs w:val="32"/>
        </w:rPr>
        <w:t>建立平战结合的物资采购机制，依法完善灾害事故应急处置期间政府紧急采购制度。畅通物资采购渠道，分类制订应急物资清单。</w:t>
      </w:r>
    </w:p>
    <w:p>
      <w:pPr>
        <w:spacing w:line="570" w:lineRule="exact"/>
        <w:ind w:firstLine="642" w:firstLineChars="200"/>
        <w:rPr>
          <w:rFonts w:eastAsia="方正仿宋简体"/>
          <w:sz w:val="32"/>
          <w:szCs w:val="32"/>
        </w:rPr>
      </w:pPr>
      <w:r>
        <w:rPr>
          <w:rFonts w:hint="eastAsia" w:eastAsia="方正仿宋简体"/>
          <w:b/>
          <w:sz w:val="32"/>
          <w:szCs w:val="32"/>
        </w:rPr>
        <w:t>3、完善应急物资统筹储备体系。</w:t>
      </w:r>
      <w:r>
        <w:rPr>
          <w:rFonts w:hint="eastAsia" w:eastAsia="方正仿宋简体"/>
          <w:sz w:val="32"/>
          <w:szCs w:val="32"/>
        </w:rPr>
        <w:t>建立健全政府储备与社会储备、实物储备与产能储备相结合的储备模式，科学确定储备品种、规模、结构，对储备计划目录实行动态管理。发展物资协议储备，提高协议存储比例。加强社区、企事业单位、社会组织和家庭应急物资储备，探索建立差异化储备和社会责任储备。建立健全物资轮换、核销机制。按照灾害事故的应急物资保障峰值需求，推进应急物资保障基地网络建设。加强高风险地区的物资储备，加强交通不便或风险等级较高的镇级应急物资储备点建设。</w:t>
      </w:r>
    </w:p>
    <w:p>
      <w:pPr>
        <w:spacing w:line="570" w:lineRule="exact"/>
        <w:ind w:firstLine="642" w:firstLineChars="200"/>
        <w:rPr>
          <w:rFonts w:eastAsia="方正仿宋简体"/>
          <w:sz w:val="32"/>
          <w:szCs w:val="32"/>
        </w:rPr>
      </w:pPr>
      <w:r>
        <w:rPr>
          <w:rFonts w:hint="eastAsia" w:eastAsia="方正仿宋简体"/>
          <w:b/>
          <w:sz w:val="32"/>
          <w:szCs w:val="32"/>
        </w:rPr>
        <w:t>4、优化应急物资产能动员体系。</w:t>
      </w:r>
      <w:r>
        <w:rPr>
          <w:rFonts w:hint="eastAsia" w:eastAsia="方正仿宋简体"/>
          <w:sz w:val="32"/>
          <w:szCs w:val="32"/>
        </w:rPr>
        <w:t>对各类应急物资及其关键原材料生产企业实行名单制管理，分类掌握重要物资企业供应链分布，加强生产能力动态监控。建立应急物资产能保障机制，通过行政协议和政府补贴等方式，大力扶持应急物资产能储备企业。发挥市场投入主导作用，完善重点应急物资产能储备企业扩能转产激励政策，持续完善应急物资产业链。</w:t>
      </w:r>
    </w:p>
    <w:p>
      <w:pPr>
        <w:spacing w:line="570" w:lineRule="exact"/>
        <w:ind w:firstLine="642" w:firstLineChars="200"/>
        <w:rPr>
          <w:rFonts w:eastAsia="方正仿宋简体"/>
          <w:sz w:val="32"/>
          <w:szCs w:val="32"/>
        </w:rPr>
      </w:pPr>
      <w:r>
        <w:rPr>
          <w:rFonts w:hint="eastAsia" w:eastAsia="方正仿宋简体"/>
          <w:b/>
          <w:sz w:val="32"/>
          <w:szCs w:val="32"/>
        </w:rPr>
        <w:t>5、健全应急物资调度运输机制。</w:t>
      </w:r>
      <w:r>
        <w:rPr>
          <w:rFonts w:hint="eastAsia" w:eastAsia="方正仿宋简体"/>
          <w:sz w:val="32"/>
          <w:szCs w:val="32"/>
        </w:rPr>
        <w:t>统筹紧急运输资源，健全多方参与、协同配合的紧急运输机制，完善应急物资统一调度制度，健全应急物资紧急征用和跨区域调度机制。推动建设覆盖区、镇二级的应急物资综合管理信息化平台，实现信息共享。强化铁路、公路、海（水）运等应急运输保障，发挥邮政系统、物流企业配送优势，提升物资紧急运输配送能力。建立健全应急车船“绿色通行”制度，推广运用高新技术配送装备，提升运输时效。</w:t>
      </w:r>
    </w:p>
    <w:p>
      <w:pPr>
        <w:pStyle w:val="2"/>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16" w:name="_Toc160605118"/>
      <w:r>
        <w:rPr>
          <w:rFonts w:hint="eastAsia" w:ascii="方正楷体简体" w:eastAsia="方正楷体简体"/>
          <w:sz w:val="32"/>
          <w:szCs w:val="32"/>
        </w:rPr>
        <w:t>第七节  构建科学高效的灾害防治体系</w:t>
      </w:r>
      <w:bookmarkEnd w:id="16"/>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牢固树立灾害风险管理和综合减灾理念，着力构建统筹应对各灾种、有效覆盖各环节、综合协调各方面的自然灾害防治体系，推进自然灾害防治体系和防治能力现代化。</w:t>
      </w:r>
    </w:p>
    <w:p>
      <w:pPr>
        <w:spacing w:line="570" w:lineRule="exact"/>
        <w:ind w:firstLine="640" w:firstLineChars="200"/>
        <w:rPr>
          <w:rFonts w:eastAsia="方正仿宋简体"/>
          <w:sz w:val="32"/>
          <w:szCs w:val="32"/>
        </w:rPr>
      </w:pPr>
      <w:r>
        <w:rPr>
          <w:rFonts w:hint="eastAsia" w:eastAsia="方正仿宋简体"/>
          <w:sz w:val="32"/>
          <w:szCs w:val="32"/>
        </w:rPr>
        <w:t>推进自然灾害防治机制创新。健全完善自然灾害“一体三预”工作机制。健全自然灾害防治工作协同机制，完善应急管理、自然资源、交通运输、水利、气象、林业等部门的灾害信息互联互通机制，构建统一的灾害综合信息共享服务平台。深入实施《广东省自然灾害防治能力建设行动方案》，全面提升防范化解系统性重大灾害风险能力。</w:t>
      </w:r>
    </w:p>
    <w:p>
      <w:pPr>
        <w:spacing w:line="570" w:lineRule="exact"/>
        <w:ind w:firstLine="640" w:firstLineChars="200"/>
        <w:rPr>
          <w:rFonts w:eastAsia="方正仿宋简体"/>
          <w:sz w:val="32"/>
          <w:szCs w:val="32"/>
        </w:rPr>
      </w:pPr>
      <w:r>
        <w:rPr>
          <w:rFonts w:hint="eastAsia" w:eastAsia="方正仿宋简体"/>
          <w:sz w:val="32"/>
          <w:szCs w:val="32"/>
        </w:rPr>
        <w:t>最大限度减少水旱、台风、冰冻、地震、地质等自然灾害损失，确保防汛防旱防风工作安全。</w:t>
      </w:r>
    </w:p>
    <w:p>
      <w:pPr>
        <w:spacing w:line="570" w:lineRule="exact"/>
        <w:ind w:firstLine="642" w:firstLineChars="200"/>
        <w:rPr>
          <w:rFonts w:eastAsia="方正仿宋简体"/>
          <w:sz w:val="32"/>
          <w:szCs w:val="32"/>
        </w:rPr>
      </w:pPr>
      <w:r>
        <w:rPr>
          <w:rFonts w:hint="eastAsia" w:eastAsia="方正仿宋简体"/>
          <w:b/>
          <w:sz w:val="32"/>
          <w:szCs w:val="32"/>
        </w:rPr>
        <w:t>1、汛旱风灾害。</w:t>
      </w:r>
      <w:r>
        <w:rPr>
          <w:rFonts w:hint="eastAsia" w:eastAsia="方正仿宋简体"/>
          <w:sz w:val="32"/>
          <w:szCs w:val="32"/>
        </w:rPr>
        <w:t>健全完善防汛防旱防风通信网络系统、防汛防旱防风减灾大数据地图、防洪调度系统，构建精细化防御体系。加强水文应急监测能力建设，拓展江河湖库潮的感知面，提升防汛防旱防风的水文预警预报和决策支持能力。加强中小河流治理、病险水库除险加固和山洪灾害防治，全面提高城市防洪排涝标准。加强重点水源和城市应急备用水源工程建设，发挥人工影响天气作业在抗旱防雹、雨量调节中的积极作用。</w:t>
      </w:r>
    </w:p>
    <w:p>
      <w:pPr>
        <w:spacing w:line="570" w:lineRule="exact"/>
        <w:ind w:firstLine="642" w:firstLineChars="200"/>
        <w:rPr>
          <w:rFonts w:eastAsia="方正仿宋简体"/>
          <w:sz w:val="32"/>
          <w:szCs w:val="32"/>
        </w:rPr>
      </w:pPr>
      <w:r>
        <w:rPr>
          <w:rFonts w:hint="eastAsia" w:eastAsia="方正仿宋简体"/>
          <w:b/>
          <w:sz w:val="32"/>
          <w:szCs w:val="32"/>
        </w:rPr>
        <w:t>2、地震灾害。</w:t>
      </w:r>
      <w:r>
        <w:rPr>
          <w:rFonts w:hint="eastAsia" w:eastAsia="方正仿宋简体"/>
          <w:sz w:val="32"/>
          <w:szCs w:val="32"/>
        </w:rPr>
        <w:t>建设覆盖阳东陆地及近海海域的地震监测网络，提升地震监测预报预警能力。实施全区地震灾害风险普查工程，建设地震灾害风险模型与数据库。完善防震减灾公共服务体系，健全公共服务事项清单动态管理机制。强化地震科技创新能力，加快实施透明地壳、解剖地震、韧性城乡和智慧服务工程。</w:t>
      </w:r>
    </w:p>
    <w:p>
      <w:pPr>
        <w:spacing w:line="570" w:lineRule="exact"/>
        <w:ind w:firstLine="642" w:firstLineChars="200"/>
        <w:rPr>
          <w:rFonts w:eastAsia="方正仿宋简体"/>
          <w:sz w:val="32"/>
          <w:szCs w:val="32"/>
        </w:rPr>
      </w:pPr>
      <w:r>
        <w:rPr>
          <w:rFonts w:hint="eastAsia" w:eastAsia="方正仿宋简体"/>
          <w:b/>
          <w:sz w:val="32"/>
          <w:szCs w:val="32"/>
        </w:rPr>
        <w:t>3、地质灾害。</w:t>
      </w:r>
      <w:r>
        <w:rPr>
          <w:rFonts w:hint="eastAsia" w:eastAsia="方正仿宋简体"/>
          <w:sz w:val="32"/>
          <w:szCs w:val="32"/>
        </w:rPr>
        <w:t>加大地质灾害隐患点综合治理力度，基本完成全区在册威胁100人以上大型及以上地质灾害隐患点综合治理。规范农村削坡建房综合整治，基本完成农村削坡建房风险点综合治理。利用高精度光学遥感、广域电磁法等新手段推进地质灾害风险调查。推动建设地质灾害大数据管理平台，实现地质灾害防治标准化、信息化、精准化、便捷化管理。建成群测群防体系，发挥区地质灾害应急抢险技术中心力量，全面提高地质灾害防治能力。</w:t>
      </w:r>
    </w:p>
    <w:p>
      <w:pPr>
        <w:spacing w:line="570" w:lineRule="exact"/>
        <w:ind w:firstLine="642" w:firstLineChars="200"/>
        <w:rPr>
          <w:rFonts w:eastAsia="方正仿宋简体"/>
          <w:sz w:val="32"/>
          <w:szCs w:val="32"/>
        </w:rPr>
      </w:pPr>
      <w:r>
        <w:rPr>
          <w:rFonts w:hint="eastAsia" w:eastAsia="方正仿宋简体"/>
          <w:b/>
          <w:sz w:val="32"/>
          <w:szCs w:val="32"/>
        </w:rPr>
        <w:t>4、森林火灾。</w:t>
      </w:r>
      <w:r>
        <w:rPr>
          <w:rFonts w:hint="eastAsia" w:eastAsia="方正仿宋简体"/>
          <w:sz w:val="32"/>
          <w:szCs w:val="32"/>
        </w:rPr>
        <w:t>依托广东省森林火险预报预警系统，积极构建高空卫星监测、低空直升机和无人机巡查、地面视频监控和护林员巡护的森林火灾立体化监测体系。开展森林火灾综合治理工程，在重点地区建设林区应急道路、蓄水池、生物防火林带、视频监控设施、H素望塔（台）、林区重要路口防灭火检查站等基础设施，提高森林火灾防控能力。</w:t>
      </w:r>
    </w:p>
    <w:p>
      <w:pPr>
        <w:spacing w:line="570" w:lineRule="exact"/>
        <w:ind w:firstLine="642" w:firstLineChars="200"/>
        <w:rPr>
          <w:rFonts w:eastAsia="方正仿宋简体"/>
          <w:sz w:val="32"/>
          <w:szCs w:val="32"/>
        </w:rPr>
      </w:pPr>
      <w:r>
        <w:rPr>
          <w:rFonts w:hint="eastAsia" w:eastAsia="方正仿宋简体"/>
          <w:b/>
          <w:sz w:val="32"/>
          <w:szCs w:val="32"/>
        </w:rPr>
        <w:t>5、海洋灾害。</w:t>
      </w:r>
      <w:r>
        <w:rPr>
          <w:rFonts w:hint="eastAsia" w:eastAsia="方正仿宋简体"/>
          <w:sz w:val="32"/>
          <w:szCs w:val="32"/>
        </w:rPr>
        <w:t>依托全省海洋立体观测网，提升海洋灾害观测能力，推进验潮站、浮标、潜标、雷达、卫星、志愿船等综合观测设施建设。依托全省沿海地区的海洋智能网格预报系统，提升海洋灾害风险早期识别、预警预报精细化水平。开展沿海县（区）的海洋灾害风险评估和区划、海洋灾害重点防御区划定、沿海大型工程海洋灾害风险隐患和裂流灾害排查等工作，全面掌握海洋灾害承灾体信息。探索开展海洋生态灾害防治和生态系统减灾能力评价。</w:t>
      </w:r>
    </w:p>
    <w:p>
      <w:pPr>
        <w:spacing w:line="570" w:lineRule="exact"/>
        <w:ind w:firstLine="642" w:firstLineChars="200"/>
        <w:rPr>
          <w:rFonts w:eastAsia="方正仿宋简体"/>
          <w:sz w:val="32"/>
          <w:szCs w:val="32"/>
        </w:rPr>
      </w:pPr>
      <w:r>
        <w:rPr>
          <w:rFonts w:hint="eastAsia" w:eastAsia="方正仿宋简体"/>
          <w:b/>
          <w:sz w:val="32"/>
          <w:szCs w:val="32"/>
        </w:rPr>
        <w:t>6、气象灾害。</w:t>
      </w:r>
      <w:r>
        <w:rPr>
          <w:rFonts w:hint="eastAsia" w:eastAsia="方正仿宋简体"/>
          <w:sz w:val="32"/>
          <w:szCs w:val="32"/>
        </w:rPr>
        <w:t>逐步建成布局合理、规模适当的自动气象站和水文（雨量）站站网监测体系，实现全区行政村（社区）自动气象站和水文（雨量）站全覆盖。强化多尺度灾害性、极端性、高影响天气预报预警业务，提升预警准确率，延长预警时效。实施“智慧气象”综合防灾保障工程，依托省气象灾害智能探测系统（“天穹”系统）、智能预报系统（“天聪”系统）、智慧服务系统（“知天”系统）、智慧防灾系统（“御天”系统），提升阳东区城乡气象灾害精密化监测、精准化预警、精细化服务能力。</w:t>
      </w:r>
    </w:p>
    <w:p>
      <w:pPr>
        <w:spacing w:line="594" w:lineRule="exact"/>
        <w:jc w:val="center"/>
        <w:outlineLvl w:val="1"/>
        <w:rPr>
          <w:rFonts w:ascii="方正楷体简体" w:eastAsia="方正楷体简体"/>
          <w:sz w:val="32"/>
          <w:szCs w:val="32"/>
        </w:rPr>
      </w:pPr>
      <w:bookmarkStart w:id="17" w:name="_Toc160605119"/>
      <w:r>
        <w:rPr>
          <w:rFonts w:hint="eastAsia" w:ascii="方正楷体简体" w:eastAsia="方正楷体简体"/>
          <w:sz w:val="32"/>
          <w:szCs w:val="32"/>
        </w:rPr>
        <w:t>第八节  构建示范引领的安全文化体系</w:t>
      </w:r>
      <w:bookmarkEnd w:id="17"/>
    </w:p>
    <w:p>
      <w:pPr>
        <w:pStyle w:val="2"/>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坚持文化引领，加强新闻宣传和舆论引导，推动安全宣传进企业、进农村、进社区、进学校、进家庭普及安全知识。完善公民安全教育体系，打造应急管理宣教平台，实施全民安全素养提升行动。</w:t>
      </w:r>
    </w:p>
    <w:p>
      <w:pPr>
        <w:spacing w:line="594" w:lineRule="exact"/>
        <w:ind w:firstLine="642" w:firstLineChars="200"/>
        <w:rPr>
          <w:rFonts w:eastAsia="方正仿宋简体"/>
          <w:sz w:val="32"/>
          <w:szCs w:val="32"/>
        </w:rPr>
      </w:pPr>
      <w:r>
        <w:rPr>
          <w:rFonts w:hint="eastAsia" w:eastAsia="方正仿宋简体"/>
          <w:b/>
          <w:sz w:val="32"/>
          <w:szCs w:val="32"/>
        </w:rPr>
        <w:t>1、建设应急管理融媒体矩阵。</w:t>
      </w:r>
      <w:r>
        <w:rPr>
          <w:rFonts w:hint="eastAsia" w:eastAsia="方正仿宋简体"/>
          <w:sz w:val="32"/>
          <w:szCs w:val="32"/>
        </w:rPr>
        <w:t>加强新闻宣传骨干培养与队伍建设，建立健全区应急管理新闻发言人制度。健全重大舆情快速反应和应对处置机制，提升突发事件舆论引导能力。推进镇、行政村二级贯通的应急广播系统建设，提升面向公众的突发事件应急信息传播能力。广泛应用利用政务新媒体，不断拓展和巩固宣传阵地。</w:t>
      </w:r>
    </w:p>
    <w:p>
      <w:pPr>
        <w:spacing w:line="594" w:lineRule="exact"/>
        <w:ind w:firstLine="642" w:firstLineChars="200"/>
        <w:rPr>
          <w:rFonts w:eastAsia="方正仿宋简体"/>
          <w:sz w:val="32"/>
          <w:szCs w:val="32"/>
        </w:rPr>
      </w:pPr>
      <w:r>
        <w:rPr>
          <w:rFonts w:hint="eastAsia" w:eastAsia="方正仿宋简体"/>
          <w:b/>
          <w:sz w:val="32"/>
          <w:szCs w:val="32"/>
        </w:rPr>
        <w:t>2、开展安全宣传活动。</w:t>
      </w:r>
      <w:r>
        <w:rPr>
          <w:rFonts w:hint="eastAsia" w:eastAsia="方正仿宋简体"/>
          <w:sz w:val="32"/>
          <w:szCs w:val="32"/>
        </w:rPr>
        <w:t>积极开展“安全生产月”“安全生产南粤行”和《安全生产法》宣传活动，深入推动安全宣传进企业、进农村、进社区、进学校、进家庭。鼓励制作应急和安全电影电视、微（短）视频、公益广告等文化产品，拓展安全文化展现形式和渠道。加大对应急管理先进事例、人物报道，提升应急管理职业荣誉感。</w:t>
      </w:r>
    </w:p>
    <w:p>
      <w:pPr>
        <w:spacing w:line="594" w:lineRule="exact"/>
        <w:ind w:firstLine="642" w:firstLineChars="200"/>
        <w:rPr>
          <w:rFonts w:eastAsia="方正仿宋简体"/>
          <w:sz w:val="32"/>
          <w:szCs w:val="32"/>
        </w:rPr>
      </w:pPr>
      <w:r>
        <w:rPr>
          <w:rFonts w:hint="eastAsia" w:eastAsia="方正仿宋简体"/>
          <w:b/>
          <w:sz w:val="32"/>
          <w:szCs w:val="32"/>
        </w:rPr>
        <w:t>3、深化应急管理宣教平台建设。</w:t>
      </w:r>
      <w:r>
        <w:rPr>
          <w:rFonts w:hint="eastAsia" w:eastAsia="方正仿宋简体"/>
          <w:sz w:val="32"/>
          <w:szCs w:val="32"/>
        </w:rPr>
        <w:t>推动建设一批区级高品质的安全文化体验场馆，形成“一区一场馆、一镇一场所、一行政村（社区）一宣传栏”和地震、气象、水文、海洋、消防等行业领域特色宣教基地。创新线上宣教手段，建设智能化宣教载体。鼓励各地结合实际，建设应急安全文化示范工业园区、特色小镇、商品街区、主题公园等示范点，打造应急安全文化示范品牌。</w:t>
      </w:r>
    </w:p>
    <w:p>
      <w:pPr>
        <w:spacing w:line="594" w:lineRule="exact"/>
        <w:ind w:firstLine="642" w:firstLineChars="200"/>
        <w:rPr>
          <w:rFonts w:eastAsia="方正仿宋简体"/>
          <w:sz w:val="32"/>
          <w:szCs w:val="32"/>
        </w:rPr>
      </w:pPr>
      <w:r>
        <w:rPr>
          <w:rFonts w:hint="eastAsia" w:eastAsia="方正仿宋简体"/>
          <w:b/>
          <w:sz w:val="32"/>
          <w:szCs w:val="32"/>
        </w:rPr>
        <w:t>4、实施全民安全素养提升行动。</w:t>
      </w:r>
      <w:r>
        <w:rPr>
          <w:rFonts w:hint="eastAsia" w:eastAsia="方正仿宋简体"/>
          <w:sz w:val="32"/>
          <w:szCs w:val="32"/>
        </w:rPr>
        <w:t>实施安全技能提升工程，加强企业安全人才培养，推动高危行业领域企业集中的地区建设一批安全生产和技能实训基地，提升从业人员防灾避险和自救互救能力。培育和推动安全生产培训和考核机构建设，实现企业全员安全培训和考核网络化。健全完善公民安全教育体系，强化社会公众应急救护能力培训，提升全民安全素质。推动区内高等院校应急管理类学科建设，加强应急管理人才培养。</w:t>
      </w:r>
    </w:p>
    <w:p>
      <w:pPr>
        <w:widowControl/>
        <w:jc w:val="left"/>
        <w:rPr>
          <w:rFonts w:eastAsia="方正仿宋简体"/>
          <w:sz w:val="32"/>
          <w:szCs w:val="32"/>
        </w:rPr>
      </w:pPr>
      <w:r>
        <w:rPr>
          <w:rFonts w:eastAsia="方正仿宋简体"/>
          <w:sz w:val="32"/>
          <w:szCs w:val="32"/>
        </w:rPr>
        <w:br w:type="page"/>
      </w:r>
    </w:p>
    <w:p>
      <w:pPr>
        <w:adjustRightInd w:val="0"/>
        <w:snapToGrid w:val="0"/>
        <w:spacing w:line="570" w:lineRule="exact"/>
        <w:jc w:val="center"/>
        <w:outlineLvl w:val="0"/>
        <w:rPr>
          <w:rFonts w:eastAsia="方正小标宋简体"/>
          <w:sz w:val="32"/>
          <w:szCs w:val="32"/>
        </w:rPr>
      </w:pPr>
      <w:bookmarkStart w:id="18" w:name="_Toc160605120"/>
      <w:r>
        <w:rPr>
          <w:rFonts w:hint="eastAsia" w:eastAsia="方正小标宋简体"/>
          <w:sz w:val="32"/>
          <w:szCs w:val="32"/>
        </w:rPr>
        <w:t>第四章  全面提升应急管理能力</w:t>
      </w:r>
      <w:bookmarkEnd w:id="18"/>
    </w:p>
    <w:p>
      <w:pPr>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围绕应急管理事前科学准备、事中及时响应、事后精准救助全流程，着力推动风险防范、依法管理、安全生产行政执法案件质量、监管执法能力、监测预警、快速响应、现场处置、灾害救助能力建设。围绕应急管理基础条件支撑，着力推动社会协同、科技支撑、队伍保障、监管执法、基层应急能力建设。</w:t>
      </w:r>
    </w:p>
    <w:p>
      <w:pPr>
        <w:spacing w:line="594" w:lineRule="exact"/>
        <w:ind w:firstLine="640" w:firstLineChars="200"/>
        <w:rPr>
          <w:rFonts w:eastAsia="方正仿宋简体"/>
          <w:sz w:val="32"/>
          <w:szCs w:val="32"/>
        </w:rPr>
      </w:pPr>
    </w:p>
    <w:p>
      <w:pPr>
        <w:spacing w:line="594" w:lineRule="exact"/>
        <w:jc w:val="center"/>
        <w:outlineLvl w:val="1"/>
        <w:rPr>
          <w:rFonts w:eastAsia="方正楷体简体"/>
          <w:sz w:val="32"/>
          <w:szCs w:val="32"/>
        </w:rPr>
      </w:pPr>
      <w:bookmarkStart w:id="19" w:name="_Toc160605121"/>
      <w:r>
        <w:rPr>
          <w:rFonts w:hint="eastAsia" w:eastAsia="方正楷体简体"/>
          <w:sz w:val="32"/>
          <w:szCs w:val="32"/>
        </w:rPr>
        <w:t>第一节  提高思想认识，高度重视法治政府建设</w:t>
      </w:r>
      <w:bookmarkEnd w:id="19"/>
    </w:p>
    <w:p>
      <w:pPr>
        <w:pStyle w:val="2"/>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切实把法治政府建设工作作为一项重点工作来抓，局主要领导认真履行推进法治政府建设第一责任人的职责，时刻坚持以依法执政为核心，以普法教育为先导，以制度建设为保障，以强化内控机制为手段，全面贯彻落实中央全面依法治国工作会议精神，深入推进依法行政，为建设法治政府创造良好的环境。认真学习贯彻习近平总书记在中央全面依法治国委员会历次会议上的重要讲话精神，定期组织研究安全生产、应急管理、防灾救灾减灾等方面的法治建设工作，听取局法治政府建设工作情况汇报，及时解决工作中遇到的困难和问题，确保法治政府建设各项工作顺利推进。</w:t>
      </w:r>
    </w:p>
    <w:p>
      <w:pPr>
        <w:spacing w:line="570" w:lineRule="exact"/>
        <w:ind w:firstLine="640" w:firstLineChars="200"/>
        <w:rPr>
          <w:rFonts w:eastAsia="方正仿宋简体"/>
          <w:sz w:val="32"/>
          <w:szCs w:val="32"/>
        </w:rPr>
      </w:pPr>
    </w:p>
    <w:p>
      <w:pPr>
        <w:pStyle w:val="2"/>
        <w:rPr>
          <w:sz w:val="32"/>
          <w:szCs w:val="32"/>
        </w:rPr>
      </w:pPr>
    </w:p>
    <w:p>
      <w:pPr>
        <w:spacing w:line="570" w:lineRule="exact"/>
        <w:jc w:val="center"/>
        <w:outlineLvl w:val="1"/>
        <w:rPr>
          <w:rFonts w:ascii="方正楷体简体" w:eastAsia="方正楷体简体"/>
          <w:sz w:val="32"/>
          <w:szCs w:val="32"/>
        </w:rPr>
      </w:pPr>
      <w:bookmarkStart w:id="20" w:name="_Toc160605122"/>
      <w:r>
        <w:rPr>
          <w:rFonts w:hint="eastAsia" w:ascii="方正楷体简体" w:eastAsia="方正楷体简体"/>
          <w:sz w:val="32"/>
          <w:szCs w:val="32"/>
        </w:rPr>
        <w:t>第二节  提升风险防范能力</w:t>
      </w:r>
      <w:bookmarkEnd w:id="20"/>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健全风险防范化解机制，坚持从源头上防范化解重大安全风险，推进全区自然灾害综合风险普查，实施常态化安全风险评估和隐患排查，真正把问题解决在萌芽之时、成灾之前。</w:t>
      </w:r>
    </w:p>
    <w:p>
      <w:pPr>
        <w:spacing w:line="570" w:lineRule="exact"/>
        <w:ind w:firstLine="642" w:firstLineChars="200"/>
        <w:rPr>
          <w:rFonts w:eastAsia="方正仿宋简体"/>
          <w:sz w:val="32"/>
          <w:szCs w:val="32"/>
        </w:rPr>
      </w:pPr>
      <w:r>
        <w:rPr>
          <w:rFonts w:hint="eastAsia" w:eastAsia="方正仿宋简体"/>
          <w:b/>
          <w:sz w:val="32"/>
          <w:szCs w:val="32"/>
        </w:rPr>
        <w:t>1、强化安全风险源头治理。</w:t>
      </w:r>
      <w:r>
        <w:rPr>
          <w:rFonts w:hint="eastAsia" w:eastAsia="方正仿宋简体"/>
          <w:sz w:val="32"/>
          <w:szCs w:val="32"/>
        </w:rPr>
        <w:t>加强风险源头治理，推动自然灾害、安全生产和城市安全风险动态化、规范化管理。推动建立国土空间、产业发展等规划安全论证制度，强化自然灾害风险区划与各级各类规划融合。合理确定城乡开发强度，严格控制区域风险等级及风险容量。推动风险管理支撑平台建设，提升风险治理能力。提前研判化解新技术、新产业、新业态带来的新风险，防止认不清、想不到、管不到等问题的发生。科学规划国土空间布局，严格控制新增高风险功能区，提升现有高风险功能区安全保障能力。明确高危行业领域、重点控制区域企业安全准入条件，建立招商引资、项目建设安全风险评估制度。</w:t>
      </w:r>
    </w:p>
    <w:p>
      <w:pPr>
        <w:spacing w:line="570" w:lineRule="exact"/>
        <w:ind w:firstLine="642" w:firstLineChars="200"/>
        <w:rPr>
          <w:rFonts w:eastAsia="方正仿宋简体"/>
          <w:sz w:val="32"/>
          <w:szCs w:val="32"/>
        </w:rPr>
      </w:pPr>
      <w:r>
        <w:rPr>
          <w:rFonts w:hint="eastAsia" w:eastAsia="方正仿宋简体"/>
          <w:b/>
          <w:sz w:val="32"/>
          <w:szCs w:val="32"/>
        </w:rPr>
        <w:t>2、强化风险评估和隐患排查。</w:t>
      </w:r>
      <w:r>
        <w:rPr>
          <w:rFonts w:hint="eastAsia" w:eastAsia="方正仿宋简体"/>
          <w:sz w:val="32"/>
          <w:szCs w:val="32"/>
        </w:rPr>
        <w:t>推进全区自然灾害综合风险普查，完成自然灾害风险调查和灾害风险评估。实施常态化安全风险评估和隐患排查工作，完善风险隐患清单数据库，绘制安全风险“一张图”。完善城镇重点功能区综合风险评估制度，开展重点区域开发、重大工程建设综合风险评估试点工作。建立安全风险评估制度，适时发布评估结果。健全安全风险分级管控制度，细化各行业领域、各灾种风险分级管控工作规范及标准。完善重大风险隐患逐级挂牌警示督办、公开公示、整改效果评价等制度，落实风险管控“四早”和隐患整治“五到位”制度，重大风险隐患实时监控率达到100%。</w:t>
      </w:r>
    </w:p>
    <w:p>
      <w:pPr>
        <w:spacing w:line="570" w:lineRule="exact"/>
        <w:ind w:firstLine="640" w:firstLineChars="200"/>
        <w:rPr>
          <w:rFonts w:eastAsia="方正仿宋简体"/>
          <w:sz w:val="32"/>
          <w:szCs w:val="32"/>
        </w:rPr>
      </w:pPr>
    </w:p>
    <w:p>
      <w:pPr>
        <w:spacing w:line="540" w:lineRule="exact"/>
        <w:jc w:val="center"/>
        <w:outlineLvl w:val="1"/>
        <w:rPr>
          <w:rFonts w:ascii="方正楷体简体" w:eastAsia="方正楷体简体"/>
          <w:sz w:val="32"/>
          <w:szCs w:val="32"/>
        </w:rPr>
      </w:pPr>
      <w:bookmarkStart w:id="21" w:name="_Toc160605123"/>
      <w:r>
        <w:rPr>
          <w:rFonts w:hint="eastAsia" w:ascii="方正楷体简体" w:eastAsia="方正楷体简体"/>
          <w:sz w:val="32"/>
          <w:szCs w:val="32"/>
        </w:rPr>
        <w:t>第三节  提升依法管理能力</w:t>
      </w:r>
      <w:bookmarkEnd w:id="21"/>
    </w:p>
    <w:p>
      <w:pPr>
        <w:pStyle w:val="2"/>
        <w:spacing w:line="540" w:lineRule="exact"/>
        <w:ind w:firstLine="640" w:firstLineChars="200"/>
        <w:rPr>
          <w:rFonts w:eastAsia="方正仿宋简体"/>
          <w:sz w:val="32"/>
          <w:szCs w:val="32"/>
        </w:rPr>
      </w:pPr>
    </w:p>
    <w:p>
      <w:pPr>
        <w:spacing w:line="540" w:lineRule="exact"/>
        <w:ind w:firstLine="642" w:firstLineChars="200"/>
        <w:rPr>
          <w:rFonts w:eastAsia="方正仿宋简体"/>
          <w:sz w:val="32"/>
          <w:szCs w:val="32"/>
        </w:rPr>
      </w:pPr>
      <w:r>
        <w:rPr>
          <w:rFonts w:hint="eastAsia" w:eastAsia="方正仿宋简体"/>
          <w:b/>
          <w:sz w:val="32"/>
          <w:szCs w:val="32"/>
        </w:rPr>
        <w:t>一是</w:t>
      </w:r>
      <w:r>
        <w:rPr>
          <w:rFonts w:hint="eastAsia" w:eastAsia="方正仿宋简体"/>
          <w:sz w:val="32"/>
          <w:szCs w:val="32"/>
        </w:rPr>
        <w:t>继续推进《阳江市阳东区应急管理局领导干部集体学法制度》，将普法工作列为部门单位党政主要负责人职责，把尊法学法守法用法情况作为国家工作人员年度考核重要内容。建立全面学法制度，确保学法到位、工作安排到位、责任明确到位、工作落实到位。</w:t>
      </w:r>
      <w:r>
        <w:rPr>
          <w:rFonts w:hint="eastAsia" w:eastAsia="方正仿宋简体"/>
          <w:b/>
          <w:sz w:val="32"/>
          <w:szCs w:val="32"/>
        </w:rPr>
        <w:t>二是</w:t>
      </w:r>
      <w:r>
        <w:rPr>
          <w:rFonts w:hint="eastAsia" w:eastAsia="方正仿宋简体"/>
          <w:sz w:val="32"/>
          <w:szCs w:val="32"/>
        </w:rPr>
        <w:t>继续推动《阳江市阳东区应急管理局法律顾问和公职律师制度》，规范局法律顾问工作，进行依法管理，加快法治政府建设。</w:t>
      </w:r>
      <w:r>
        <w:rPr>
          <w:rFonts w:hint="eastAsia" w:eastAsia="方正仿宋简体"/>
          <w:b/>
          <w:sz w:val="32"/>
          <w:szCs w:val="32"/>
        </w:rPr>
        <w:t>三是</w:t>
      </w:r>
      <w:r>
        <w:rPr>
          <w:rFonts w:hint="eastAsia" w:eastAsia="方正仿宋简体"/>
          <w:sz w:val="32"/>
          <w:szCs w:val="32"/>
        </w:rPr>
        <w:t>强化应急管理系统人才队伍建设，通过线上与线下培训方式相结合的方式对党的规章制度、习近平总书记关于安全生产、应急管理等重要论述进行学习，组织参加广东省应急管理干部网络学院中的“大培训”课程，并结合通过纪律警示教育、定期党课等现场方式进行党风建设活动，不断提高党员干部思想站位和政治素养。</w:t>
      </w:r>
      <w:r>
        <w:rPr>
          <w:rFonts w:hint="eastAsia" w:eastAsia="方正仿宋简体"/>
          <w:b/>
          <w:sz w:val="32"/>
          <w:szCs w:val="32"/>
        </w:rPr>
        <w:t>四是</w:t>
      </w:r>
      <w:r>
        <w:rPr>
          <w:rFonts w:hint="eastAsia" w:eastAsia="方正仿宋简体"/>
          <w:sz w:val="32"/>
          <w:szCs w:val="32"/>
        </w:rPr>
        <w:t>落实行政执法人员持证上岗制度，推进全国统一行政执法证件换发工作，为强化安全生产行政执法力度提供前进动力。</w:t>
      </w:r>
      <w:r>
        <w:rPr>
          <w:rFonts w:hint="eastAsia" w:eastAsia="方正仿宋简体"/>
          <w:b/>
          <w:sz w:val="32"/>
          <w:szCs w:val="32"/>
        </w:rPr>
        <w:t>五是</w:t>
      </w:r>
      <w:r>
        <w:rPr>
          <w:rFonts w:hint="eastAsia" w:eastAsia="方正仿宋简体"/>
          <w:sz w:val="32"/>
          <w:szCs w:val="32"/>
        </w:rPr>
        <w:t>树立责任执法的理念，推行行政执法责任制，紧紧抓住容易发生执法问题的重点岗位和薄弱环节，依照“谁执法、谁负责”“谁分管、谁负责”的原则，细化岗位执法责任，坚持实事求是，有错必究，行政执法监督与群众监督相结合，责任追究与改进工作相结合，惩处与教育相结合，不断完善责任追究制度。</w:t>
      </w:r>
    </w:p>
    <w:p>
      <w:pPr>
        <w:spacing w:line="570" w:lineRule="exact"/>
        <w:jc w:val="center"/>
        <w:outlineLvl w:val="1"/>
        <w:rPr>
          <w:rFonts w:eastAsia="方正楷体简体"/>
          <w:sz w:val="32"/>
          <w:szCs w:val="32"/>
        </w:rPr>
      </w:pPr>
      <w:bookmarkStart w:id="22" w:name="_Toc160605124"/>
      <w:r>
        <w:rPr>
          <w:rFonts w:hint="eastAsia" w:eastAsia="方正楷体简体"/>
          <w:sz w:val="32"/>
          <w:szCs w:val="32"/>
        </w:rPr>
        <w:t>第四节  提升安全生产行政执法案件质量</w:t>
      </w:r>
      <w:bookmarkEnd w:id="22"/>
    </w:p>
    <w:p>
      <w:pPr>
        <w:pStyle w:val="2"/>
        <w:rPr>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规范管理行政执法行为，提升我区安全生产行政执法案件质量。一是贯彻落实行政执法“三项制度”。依法将行政执法行为公示到广东省行政执法公示平台、“两法衔接”信息平台等系统，加强对行政执法行为进行监督。为落实行政执法全过程记录，启用广东省安全生产移动执法系统，将执法过程以行政执法文书、图片、录像等形式进行全过程记录，执法过程有痕迹可循。二是将“双随机、一公开”监管常态化，为全面推进“双随机、一公开”工作。</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23" w:name="_Toc160605125"/>
      <w:r>
        <w:rPr>
          <w:rFonts w:hint="eastAsia" w:ascii="方正楷体简体" w:eastAsia="方正楷体简体"/>
          <w:sz w:val="32"/>
          <w:szCs w:val="32"/>
        </w:rPr>
        <w:t>第五节  提升监管执法能力</w:t>
      </w:r>
      <w:bookmarkEnd w:id="23"/>
    </w:p>
    <w:p>
      <w:pPr>
        <w:pStyle w:val="2"/>
        <w:spacing w:line="570" w:lineRule="exact"/>
        <w:ind w:firstLine="640" w:firstLineChars="200"/>
        <w:rPr>
          <w:rFonts w:eastAsia="方正仿宋简体"/>
          <w:sz w:val="32"/>
          <w:szCs w:val="32"/>
        </w:rPr>
      </w:pPr>
    </w:p>
    <w:p>
      <w:pPr>
        <w:spacing w:line="570" w:lineRule="exact"/>
        <w:ind w:firstLine="642" w:firstLineChars="200"/>
        <w:rPr>
          <w:rFonts w:eastAsia="方正仿宋简体"/>
          <w:sz w:val="32"/>
          <w:szCs w:val="32"/>
        </w:rPr>
      </w:pPr>
      <w:r>
        <w:rPr>
          <w:rFonts w:hint="eastAsia" w:eastAsia="方正仿宋简体"/>
          <w:b/>
          <w:sz w:val="32"/>
          <w:szCs w:val="32"/>
        </w:rPr>
        <w:t>一是</w:t>
      </w:r>
      <w:r>
        <w:rPr>
          <w:rFonts w:hint="eastAsia" w:eastAsia="方正仿宋简体"/>
          <w:sz w:val="32"/>
          <w:szCs w:val="32"/>
        </w:rPr>
        <w:t>强化安全生产普法宣传，营造我区安全生产普法良好氛围。在开展普法宣传活动时，需要创新工作思维，借鉴其他先进单位的做法，提前制定计划，重视规划，完善普法志愿者队伍等，将宣传活动以“一盘棋”的形式系统性开展工作，不断营造浓厚的安全生产普法氛围。</w:t>
      </w:r>
    </w:p>
    <w:p>
      <w:pPr>
        <w:spacing w:line="570" w:lineRule="exact"/>
        <w:ind w:firstLine="642" w:firstLineChars="200"/>
        <w:rPr>
          <w:rFonts w:eastAsia="方正仿宋简体"/>
          <w:sz w:val="32"/>
          <w:szCs w:val="32"/>
        </w:rPr>
      </w:pPr>
      <w:r>
        <w:rPr>
          <w:rFonts w:hint="eastAsia" w:eastAsia="方正仿宋简体"/>
          <w:b/>
          <w:sz w:val="32"/>
          <w:szCs w:val="32"/>
        </w:rPr>
        <w:t>二是</w:t>
      </w:r>
      <w:r>
        <w:rPr>
          <w:rFonts w:hint="eastAsia" w:eastAsia="方正仿宋简体"/>
          <w:sz w:val="32"/>
          <w:szCs w:val="32"/>
        </w:rPr>
        <w:t>强化安全生产行政执法建设，必须强化“双随机、一公开”在安全生产执法的深入，加大监察执法一体化力度，加强对安全生产违法行为案件的执法监督，做到严格公正文明廉洁执法，加强督促整改事故问题，确保整改措施落实到位，规范执法检查行为，切实推动提升安全生产水平。</w:t>
      </w:r>
    </w:p>
    <w:p>
      <w:pPr>
        <w:spacing w:line="570" w:lineRule="exact"/>
        <w:ind w:firstLine="642" w:firstLineChars="200"/>
        <w:rPr>
          <w:rFonts w:eastAsia="方正仿宋简体"/>
          <w:sz w:val="32"/>
          <w:szCs w:val="32"/>
        </w:rPr>
      </w:pPr>
      <w:r>
        <w:rPr>
          <w:rFonts w:hint="eastAsia" w:eastAsia="方正仿宋简体"/>
          <w:b/>
          <w:sz w:val="32"/>
          <w:szCs w:val="32"/>
        </w:rPr>
        <w:t>三是</w:t>
      </w:r>
      <w:r>
        <w:rPr>
          <w:rFonts w:hint="eastAsia" w:eastAsia="方正仿宋简体"/>
          <w:sz w:val="32"/>
          <w:szCs w:val="32"/>
        </w:rPr>
        <w:t>强化执法制度建设。认真总结经验，形成制度机制，扎实推进执法工作制度化、规范化建设，不断提升全系统执法干部的法律素养和业务能力。</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24" w:name="_Toc160605126"/>
      <w:r>
        <w:rPr>
          <w:rFonts w:hint="eastAsia" w:ascii="方正楷体简体" w:eastAsia="方正楷体简体"/>
          <w:sz w:val="32"/>
          <w:szCs w:val="32"/>
        </w:rPr>
        <w:t>第六节  提升监测预警能力</w:t>
      </w:r>
      <w:bookmarkEnd w:id="24"/>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构建全城覆盖的风险智能监测感知网络，加强多灾种和灾害链综合监测。精准会商预判风险，提升风险早期识别能力。加强高风险致灾因素的预测预报预警，提高预警信息发布覆盖面和时效性。</w:t>
      </w:r>
    </w:p>
    <w:p>
      <w:pPr>
        <w:spacing w:line="570" w:lineRule="exact"/>
        <w:ind w:firstLine="642" w:firstLineChars="200"/>
        <w:rPr>
          <w:rFonts w:eastAsia="方正仿宋简体"/>
          <w:sz w:val="32"/>
          <w:szCs w:val="32"/>
        </w:rPr>
      </w:pPr>
      <w:r>
        <w:rPr>
          <w:rFonts w:hint="eastAsia" w:eastAsia="方正仿宋简体"/>
          <w:b/>
          <w:sz w:val="32"/>
          <w:szCs w:val="32"/>
        </w:rPr>
        <w:t>1、加强多灾种和灾害链综合监测。</w:t>
      </w:r>
      <w:r>
        <w:rPr>
          <w:rFonts w:hint="eastAsia" w:eastAsia="方正仿宋简体"/>
          <w:sz w:val="32"/>
          <w:szCs w:val="32"/>
        </w:rPr>
        <w:t>推动风险监测预警机构建设，强化区域安全风险监测数据管控和预警信息发布。运用大数据、人工智能、云计算等数字技术，优化加密监测核心基础站点和常规观测站点布局，实现江河洪水、山洪、台风、暴雨、内涝、风暴潮、海浪、地震、地质灾害、森林火灾等灾害风险和危险化学品、火灾、道路运输、建设施工等事故风险的动态监测。推进城市电力、燃气、供水、排水管网和桥梁等城市生命线安全监测预警网络建设。推动重大病虫害疫情监测预警网络化、数字化和智能化，加强农作物病虫害疫情应急防控、联防联控、专业化防治，全面提升动物疫病监测预警能力。</w:t>
      </w:r>
    </w:p>
    <w:p>
      <w:pPr>
        <w:spacing w:line="570" w:lineRule="exact"/>
        <w:ind w:firstLine="642" w:firstLineChars="200"/>
        <w:rPr>
          <w:rFonts w:eastAsia="方正仿宋简体"/>
          <w:sz w:val="32"/>
          <w:szCs w:val="32"/>
        </w:rPr>
      </w:pPr>
      <w:r>
        <w:rPr>
          <w:rFonts w:hint="eastAsia" w:eastAsia="方正仿宋简体"/>
          <w:b/>
          <w:sz w:val="32"/>
          <w:szCs w:val="32"/>
        </w:rPr>
        <w:t>2、提升风险会商研判能力。</w:t>
      </w:r>
      <w:r>
        <w:rPr>
          <w:rFonts w:hint="eastAsia" w:eastAsia="方正仿宋简体"/>
          <w:sz w:val="32"/>
          <w:szCs w:val="32"/>
        </w:rPr>
        <w:t>健全研判工作机制，定期开展安全生产、自然灾害风险形势综合研判，落实汛期、节假日、高森林火险期等重要节点加密会商制度。发挥行业部门专业技术优势，开展灾害事故发生规律、分布特点及衍生关系研究，及时预测趋势，精准预判风险。</w:t>
      </w:r>
    </w:p>
    <w:p>
      <w:pPr>
        <w:spacing w:line="570" w:lineRule="exact"/>
        <w:ind w:firstLine="642" w:firstLineChars="200"/>
        <w:rPr>
          <w:rFonts w:eastAsia="方正仿宋简体"/>
          <w:sz w:val="32"/>
          <w:szCs w:val="32"/>
        </w:rPr>
      </w:pPr>
      <w:r>
        <w:rPr>
          <w:rFonts w:hint="eastAsia" w:eastAsia="方正仿宋简体"/>
          <w:b/>
          <w:sz w:val="32"/>
          <w:szCs w:val="32"/>
        </w:rPr>
        <w:t>3、提升预报预警能力。</w:t>
      </w:r>
      <w:r>
        <w:rPr>
          <w:rFonts w:hint="eastAsia" w:eastAsia="方正仿宋简体"/>
          <w:sz w:val="32"/>
          <w:szCs w:val="32"/>
        </w:rPr>
        <w:t>加强高风险致灾因素的预测预报预警，提高事前智能分析判断能力。依托市突发事件预警信息发布平台，实现跨部门、跨地域的灾害事故预警信息共享。健全预警信息推送机制，完善应急联动“一键通”。建立重大活动风险提示告知机制，完善重大灾害性天气停工停课停业制度。拓宽预警信息发布渠道，提高预警信息发布覆盖面和时效性，灾害预警信息公众覆盖率达到95%以上。</w:t>
      </w:r>
    </w:p>
    <w:p>
      <w:pPr>
        <w:spacing w:line="570" w:lineRule="exact"/>
        <w:ind w:firstLine="642" w:firstLineChars="200"/>
        <w:rPr>
          <w:rFonts w:eastAsia="方正仿宋简体"/>
          <w:sz w:val="32"/>
          <w:szCs w:val="32"/>
        </w:rPr>
      </w:pPr>
      <w:r>
        <w:rPr>
          <w:rFonts w:hint="eastAsia" w:eastAsia="方正仿宋简体"/>
          <w:b/>
          <w:sz w:val="32"/>
          <w:szCs w:val="32"/>
        </w:rPr>
        <w:t>4、提升气象预警服务能力。</w:t>
      </w:r>
      <w:r>
        <w:rPr>
          <w:rFonts w:hint="eastAsia" w:eastAsia="方正仿宋简体"/>
          <w:sz w:val="32"/>
          <w:szCs w:val="32"/>
        </w:rPr>
        <w:t>强化气象灾害风险管理和综合减灾意识，健全“党委领导、政府主导、社会参与”的气象防灾减灾机制。加强气象防灾减灾融入地方部门、基层网格治理体系，坚持城市和农村防灾减灾并重。加强智能化决策服务支撑技术研究，健全突发事件预警信息发布系统，实现基于灾害特点和防御重点个性化定制决策辅助系统“一张图”。提升气象灾害链综合监测预警能力，开展气象灾害风险普查、气象灾害风险区划，完善城市与海洋气象安全标准。加强防灾减灾救灾科普宣传教育和基地建设。提高阳东区气象灾害预警的针对性，推进精准预警气象服务。提升气象服务能力，包括面向手机、网络、电视用户提供个性化、专业化气象服务产品，提高灾害风险区域人群获取防灾信息的及时性和便利性。运用互联网传播气象科普知识，提升公众参与度和覆盖面。增强气象社会动员能力，加强气象科普宣传，让气象灾害防御体系“进农村、进社区、进企业、进学校”。</w:t>
      </w:r>
    </w:p>
    <w:p>
      <w:pPr>
        <w:spacing w:line="570" w:lineRule="exact"/>
        <w:jc w:val="center"/>
        <w:outlineLvl w:val="1"/>
        <w:rPr>
          <w:rFonts w:ascii="方正楷体简体" w:eastAsia="方正楷体简体"/>
          <w:sz w:val="32"/>
          <w:szCs w:val="32"/>
        </w:rPr>
      </w:pPr>
      <w:bookmarkStart w:id="25" w:name="_Toc160605127"/>
      <w:r>
        <w:rPr>
          <w:rFonts w:hint="eastAsia" w:ascii="方正楷体简体" w:eastAsia="方正楷体简体"/>
          <w:sz w:val="32"/>
          <w:szCs w:val="32"/>
        </w:rPr>
        <w:t>第七节  提升快速响应能力</w:t>
      </w:r>
      <w:bookmarkEnd w:id="25"/>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健全完善全省全市全区“一盘棋”应急响应机制，推动灾害事故应急响应规范化。完善应急值班值守制度，健全应急信息报送机制。</w:t>
      </w:r>
    </w:p>
    <w:p>
      <w:pPr>
        <w:spacing w:line="570" w:lineRule="exact"/>
        <w:ind w:firstLine="640" w:firstLineChars="200"/>
        <w:rPr>
          <w:rFonts w:eastAsia="方正仿宋简体"/>
          <w:sz w:val="32"/>
          <w:szCs w:val="32"/>
        </w:rPr>
      </w:pPr>
      <w:r>
        <w:rPr>
          <w:rFonts w:hint="eastAsia" w:eastAsia="方正仿宋简体"/>
          <w:sz w:val="32"/>
          <w:szCs w:val="32"/>
        </w:rPr>
        <w:t>推动灾害事故应急响应规范化。健全完善全省全市全区“一盘棋”应急响应机制，建立健全灾害事故统一响应、分级响应、提级响应等应急响应制度，落实突发事件应对处置属地责任。编制危险化学品、矿山、火灾、交通、地震、地质、台风、洪涝、森林火灾等灾害事故应急响应手册实施应急响应过程标准化、规范化管理。建立健全应急响应社会动员机制，发挥社会公众在信息报告和协助救援等方面的作用。规范应急响应信息管理。加强信息互通共享，建立健全涉灾害事故部门和各种救援力量之间信息互动机制。完善信息接报处置工作制度，建立健全突发事件多渠道信息报送机制，灾害事故信息上报及时率达到100%。健全灾害事故信息发布制度，严格重特大灾害事故发布时效，统一快速、准确权威发布灾害事故信息。</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26" w:name="_Toc160605128"/>
      <w:r>
        <w:rPr>
          <w:rFonts w:hint="eastAsia" w:ascii="方正楷体简体" w:eastAsia="方正楷体简体"/>
          <w:sz w:val="32"/>
          <w:szCs w:val="32"/>
        </w:rPr>
        <w:t>第八节  提升灾害救助能力</w:t>
      </w:r>
      <w:bookmarkEnd w:id="26"/>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健全灾害救助工作机制，强化易受灾人群救助，加大医学救援及公共卫生保障能力建设，全面提升救助效率。实施应急避难场所建设工程，推进应急避难场所管理规范化、标准化。健全受灾群众过渡性安置和救助机制，规范灾后恢复重建。</w:t>
      </w:r>
    </w:p>
    <w:p>
      <w:pPr>
        <w:spacing w:line="570" w:lineRule="exact"/>
        <w:ind w:firstLine="642" w:firstLineChars="200"/>
        <w:rPr>
          <w:rFonts w:eastAsia="方正仿宋简体"/>
          <w:sz w:val="32"/>
          <w:szCs w:val="32"/>
        </w:rPr>
      </w:pPr>
      <w:r>
        <w:rPr>
          <w:rFonts w:hint="eastAsia" w:eastAsia="方正仿宋简体"/>
          <w:b/>
          <w:sz w:val="32"/>
          <w:szCs w:val="32"/>
        </w:rPr>
        <w:t>1、提升灾后紧急救助能力。</w:t>
      </w:r>
      <w:r>
        <w:rPr>
          <w:rFonts w:hint="eastAsia" w:eastAsia="方正仿宋简体"/>
          <w:sz w:val="32"/>
          <w:szCs w:val="32"/>
        </w:rPr>
        <w:t>健全灾害救助资金快速下拨机制、救灾物资预置保障机制、受灾人群提前转移机制，提升救助时效，受灾群众基本生活初步救助时间不超过8小时。逐步建立与经济社会发展水平相适应的自然灾害救助标准调整机制，完善受灾人员救助标准。健全特殊群体人员临灾转移“四个一”工作机制，强化易受灾人群救助。实施灾害信息员队伍专业能力提升工程，提高灾情信息报送及时性、准确性和规范性。推广政府与社会资本、社会组织、企业合作模式，支持红十字会、慈善组织等依法参与灾害救援救助工作。</w:t>
      </w:r>
    </w:p>
    <w:p>
      <w:pPr>
        <w:spacing w:line="570" w:lineRule="exact"/>
        <w:ind w:firstLine="642" w:firstLineChars="200"/>
        <w:rPr>
          <w:rFonts w:eastAsia="方正仿宋简体"/>
          <w:sz w:val="32"/>
          <w:szCs w:val="32"/>
        </w:rPr>
      </w:pPr>
      <w:r>
        <w:rPr>
          <w:rFonts w:hint="eastAsia" w:eastAsia="方正仿宋简体"/>
          <w:b/>
          <w:sz w:val="32"/>
          <w:szCs w:val="32"/>
        </w:rPr>
        <w:t>2、提升医学救援及公共卫生保障能力。</w:t>
      </w:r>
      <w:r>
        <w:rPr>
          <w:rFonts w:hint="eastAsia" w:eastAsia="方正仿宋简体"/>
          <w:sz w:val="32"/>
          <w:szCs w:val="32"/>
        </w:rPr>
        <w:t>提升灾害事故现场检伤分类救治和大批量伤员快速安全转运能力。推进区级紧急医学救援站点建设，配备急救单元，提升第一时间现场医学救援处置能力和伤员救治能力。强化灾区公共卫生服务保障，防范灾区发生公共卫生次生灾害。</w:t>
      </w:r>
    </w:p>
    <w:p>
      <w:pPr>
        <w:spacing w:line="570" w:lineRule="exact"/>
        <w:ind w:firstLine="642" w:firstLineChars="200"/>
        <w:rPr>
          <w:rFonts w:eastAsia="方正仿宋简体"/>
          <w:sz w:val="32"/>
          <w:szCs w:val="32"/>
        </w:rPr>
      </w:pPr>
      <w:r>
        <w:rPr>
          <w:rFonts w:hint="eastAsia" w:eastAsia="方正仿宋简体"/>
          <w:b/>
          <w:sz w:val="32"/>
          <w:szCs w:val="32"/>
        </w:rPr>
        <w:t>3、实施应急避难场所建设工程。</w:t>
      </w:r>
      <w:r>
        <w:rPr>
          <w:rFonts w:hint="eastAsia" w:eastAsia="方正仿宋简体"/>
          <w:sz w:val="32"/>
          <w:szCs w:val="32"/>
        </w:rPr>
        <w:t>开展应急避难场所普查，建立应急避难场所信息数据库和电子地图，提高智能化精细化水平。完善应急避难场所运行管理规范，推进综合性应急避难场所和示范性应急避难场所建设实现区综合应急避难场所建设全覆盖。建立应急避难场所备案和动态评估机制，实现对应急避难场所功能区、应急物资、人员安置和运行状态等动态管理。</w:t>
      </w:r>
    </w:p>
    <w:p>
      <w:pPr>
        <w:spacing w:line="570" w:lineRule="exact"/>
        <w:ind w:firstLine="642" w:firstLineChars="200"/>
        <w:rPr>
          <w:rFonts w:eastAsia="方正仿宋简体"/>
          <w:sz w:val="32"/>
          <w:szCs w:val="32"/>
        </w:rPr>
      </w:pPr>
      <w:r>
        <w:rPr>
          <w:rFonts w:hint="eastAsia" w:eastAsia="方正仿宋简体"/>
          <w:b/>
          <w:sz w:val="32"/>
          <w:szCs w:val="32"/>
        </w:rPr>
        <w:t>4、规范灾后恢复重建。</w:t>
      </w:r>
      <w:r>
        <w:rPr>
          <w:rFonts w:hint="eastAsia" w:eastAsia="方正仿宋简体"/>
          <w:sz w:val="32"/>
          <w:szCs w:val="32"/>
        </w:rPr>
        <w:t>健全受灾群众过渡性安置和救助机制，完善灾后恢复重建规程。科学开展灾害损失评估、次生衍生灾害隐患排查及危险性评估、住房及建筑物受损鉴定和资源环境承载能力评价，统筹制定恢复重建规划和配套政策，提升灾后恢复重建能力。鼓励、引导企业事业单位、社会团体、城乡基层群众性自治组织和个人参与救助捐赠、志愿服务等活动，依法规范捐赠、受赠行为。</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27" w:name="_Toc160605129"/>
      <w:r>
        <w:rPr>
          <w:rFonts w:hint="eastAsia" w:ascii="方正楷体简体" w:eastAsia="方正楷体简体"/>
          <w:sz w:val="32"/>
          <w:szCs w:val="32"/>
        </w:rPr>
        <w:t>第九节  提升社会协同能力</w:t>
      </w:r>
      <w:bookmarkEnd w:id="27"/>
    </w:p>
    <w:p>
      <w:pPr>
        <w:pStyle w:val="2"/>
        <w:spacing w:line="594" w:lineRule="exact"/>
        <w:ind w:firstLine="640" w:firstLineChars="200"/>
        <w:rPr>
          <w:rFonts w:eastAsia="方正仿宋简体"/>
          <w:sz w:val="32"/>
          <w:szCs w:val="32"/>
        </w:rPr>
      </w:pPr>
    </w:p>
    <w:p>
      <w:pPr>
        <w:spacing w:line="594" w:lineRule="exact"/>
        <w:ind w:firstLine="640" w:firstLineChars="200"/>
        <w:rPr>
          <w:rFonts w:eastAsia="方正仿宋简体"/>
          <w:sz w:val="32"/>
          <w:szCs w:val="32"/>
        </w:rPr>
      </w:pPr>
      <w:r>
        <w:rPr>
          <w:rFonts w:hint="eastAsia" w:eastAsia="方正仿宋简体"/>
          <w:sz w:val="32"/>
          <w:szCs w:val="32"/>
        </w:rPr>
        <w:t>坚持社会共治，积极推动应急管理社会化服务能力建设，进一步强化社会监督作用，建立保险风险分担机制，发挥专家队伍智力支撑，形成全社会应急管理整体合力。</w:t>
      </w:r>
    </w:p>
    <w:p>
      <w:pPr>
        <w:spacing w:line="594" w:lineRule="exact"/>
        <w:ind w:firstLine="642" w:firstLineChars="200"/>
        <w:rPr>
          <w:rFonts w:eastAsia="方正仿宋简体"/>
          <w:sz w:val="32"/>
          <w:szCs w:val="32"/>
        </w:rPr>
      </w:pPr>
      <w:r>
        <w:rPr>
          <w:rFonts w:hint="eastAsia" w:eastAsia="方正仿宋简体"/>
          <w:b/>
          <w:sz w:val="32"/>
          <w:szCs w:val="32"/>
        </w:rPr>
        <w:t>1、提升社会化服务能力。</w:t>
      </w:r>
      <w:r>
        <w:rPr>
          <w:rFonts w:hint="eastAsia" w:eastAsia="方正仿宋简体"/>
          <w:sz w:val="32"/>
          <w:szCs w:val="32"/>
        </w:rPr>
        <w:t>健全完善政府购买应急管理社会化服务目录，鼓励工业园区、中小微企业和高危行业领域企业购买应急管理社会化服务。建立社会化服务机构管理机制，完善警示、约谈、诚信等监管方式。实行安全评价报告公开制度，从严约束安全中介机构执业行为。充分发挥行业协会商会作用，引导加强行业自律自管，提升行业安全共治水平。</w:t>
      </w:r>
    </w:p>
    <w:p>
      <w:pPr>
        <w:spacing w:line="594" w:lineRule="exact"/>
        <w:ind w:firstLine="642" w:firstLineChars="200"/>
        <w:rPr>
          <w:rFonts w:eastAsia="方正仿宋简体"/>
          <w:sz w:val="32"/>
          <w:szCs w:val="32"/>
        </w:rPr>
      </w:pPr>
      <w:r>
        <w:rPr>
          <w:rFonts w:hint="eastAsia" w:eastAsia="方正仿宋简体"/>
          <w:b/>
          <w:sz w:val="32"/>
          <w:szCs w:val="32"/>
        </w:rPr>
        <w:t>2、强化社会监督作用。</w:t>
      </w:r>
      <w:r>
        <w:rPr>
          <w:rFonts w:hint="eastAsia" w:eastAsia="方正仿宋简体"/>
          <w:sz w:val="32"/>
          <w:szCs w:val="32"/>
        </w:rPr>
        <w:t>推行企业“自我声明+信用管理”模式，将企业安全承诺履行情况纳入市场主体信用记录平台。健全应急管理诚信体系，完善联合奖惩、信用承诺、“黑名单”等制度，提升信用监管效能。实行企业安全生产信用风险分类管理制度，健全企业安全生产动态信用评价机制和信用修复机制。畅通社会监督渠道，完善“12350”“吹哨人”、内部举报人等制度，健全群众举报奖励机制。强化舆论监督，加大曝光重大事故隐患和安全生产违法典型案例力度。</w:t>
      </w:r>
    </w:p>
    <w:p>
      <w:pPr>
        <w:spacing w:line="594" w:lineRule="exact"/>
        <w:ind w:firstLine="642" w:firstLineChars="200"/>
        <w:rPr>
          <w:rFonts w:eastAsia="方正仿宋简体"/>
          <w:sz w:val="32"/>
          <w:szCs w:val="32"/>
        </w:rPr>
      </w:pPr>
      <w:r>
        <w:rPr>
          <w:rFonts w:hint="eastAsia" w:eastAsia="方正仿宋简体"/>
          <w:b/>
          <w:sz w:val="32"/>
          <w:szCs w:val="32"/>
        </w:rPr>
        <w:t>3、推动保险风险分担。</w:t>
      </w:r>
      <w:r>
        <w:rPr>
          <w:rFonts w:hint="eastAsia" w:eastAsia="方正仿宋简体"/>
          <w:sz w:val="32"/>
          <w:szCs w:val="32"/>
        </w:rPr>
        <w:t>推动保险机构开发各类涉灾商业型险种，提升市场机制下灾前预防、灾中减损、灾后补偿的保险服务水平。在矿山、危险化学品、烟花爆竹、交通运输、建筑施工、民用爆炸物品、金属冶炼、渔业生产等八大高危行业领域全面实施安全生产责任保险。建立健全安全生产责任保险信息化管理平台，健全行业主管部门、专业服务机构、保险机构参与保险服务机制。发展巨灾保险，探索建立多渠道多层次的巨灾风险分担机制。实施工伤预防行动计划，按规定合理确定工伤保险基金中工伤预防费的比例。建立完善火灾公众责任保险管理机制。积极推行农业保险和农村住房保险等惠民保险政策。</w:t>
      </w:r>
    </w:p>
    <w:p>
      <w:pPr>
        <w:spacing w:line="594" w:lineRule="exact"/>
        <w:ind w:firstLine="642" w:firstLineChars="200"/>
        <w:rPr>
          <w:rFonts w:eastAsia="方正仿宋简体"/>
          <w:sz w:val="32"/>
          <w:szCs w:val="32"/>
        </w:rPr>
      </w:pPr>
      <w:r>
        <w:rPr>
          <w:rFonts w:hint="eastAsia" w:eastAsia="方正仿宋简体"/>
          <w:b/>
          <w:sz w:val="32"/>
          <w:szCs w:val="32"/>
        </w:rPr>
        <w:t>4、推进应急管理专家队伍建设。</w:t>
      </w:r>
      <w:r>
        <w:rPr>
          <w:rFonts w:hint="eastAsia" w:eastAsia="方正仿宋简体"/>
          <w:sz w:val="32"/>
          <w:szCs w:val="32"/>
        </w:rPr>
        <w:t>加强阳东区应急管理智库建设，推动建立应急管理专家咨询委员会和突发事件首席专家制度。强化各级各类应急管理专家队伍建设，形成规模适度、配备科学、资源共享的应急管理专家体系。完善应急专家管理制度，健全组织形式和工作机制，推动专家有序有效参与应急管理体系建设和突发事件应对工作。健全行政决策和专家论证相结合的应急决策机制，发挥专家队伍在应急决策中的技术支撑作用。</w:t>
      </w:r>
    </w:p>
    <w:p>
      <w:pPr>
        <w:spacing w:line="570" w:lineRule="exact"/>
        <w:ind w:firstLine="640" w:firstLineChars="200"/>
        <w:rPr>
          <w:rFonts w:eastAsia="方正仿宋简体"/>
          <w:sz w:val="32"/>
          <w:szCs w:val="32"/>
        </w:rPr>
      </w:pPr>
    </w:p>
    <w:p>
      <w:pPr>
        <w:pStyle w:val="2"/>
        <w:rPr>
          <w:sz w:val="32"/>
          <w:szCs w:val="32"/>
        </w:rPr>
      </w:pPr>
    </w:p>
    <w:p>
      <w:pPr>
        <w:spacing w:line="570" w:lineRule="exact"/>
        <w:jc w:val="center"/>
        <w:outlineLvl w:val="1"/>
        <w:rPr>
          <w:rFonts w:ascii="方正楷体简体" w:eastAsia="方正楷体简体"/>
          <w:sz w:val="32"/>
          <w:szCs w:val="32"/>
        </w:rPr>
      </w:pPr>
      <w:bookmarkStart w:id="28" w:name="_Toc160605130"/>
      <w:r>
        <w:rPr>
          <w:rFonts w:hint="eastAsia" w:ascii="方正楷体简体" w:eastAsia="方正楷体简体"/>
          <w:sz w:val="32"/>
          <w:szCs w:val="32"/>
        </w:rPr>
        <w:t>第十节  提升基层应急能力</w:t>
      </w:r>
      <w:bookmarkEnd w:id="28"/>
    </w:p>
    <w:p>
      <w:pPr>
        <w:pStyle w:val="2"/>
        <w:spacing w:line="590" w:lineRule="exact"/>
        <w:ind w:firstLine="640" w:firstLineChars="200"/>
        <w:rPr>
          <w:rFonts w:eastAsia="方正仿宋简体"/>
          <w:sz w:val="32"/>
          <w:szCs w:val="32"/>
        </w:rPr>
      </w:pPr>
    </w:p>
    <w:p>
      <w:pPr>
        <w:spacing w:line="590" w:lineRule="exact"/>
        <w:ind w:firstLine="640" w:firstLineChars="200"/>
        <w:rPr>
          <w:rFonts w:eastAsia="方正仿宋简体"/>
          <w:sz w:val="32"/>
          <w:szCs w:val="32"/>
        </w:rPr>
      </w:pPr>
      <w:r>
        <w:rPr>
          <w:rFonts w:hint="eastAsia" w:eastAsia="方正仿宋简体"/>
          <w:sz w:val="32"/>
          <w:szCs w:val="32"/>
        </w:rPr>
        <w:t>建立健全基层应急管理工作机构，深入推进镇级“四个一”应急管理体系和行政村（社区）防灾减灾救灾能力“十个有”建设，推进应急管理工作融入基层社会治理“一张网”，实现基层安全风险网格全覆盖。</w:t>
      </w:r>
    </w:p>
    <w:p>
      <w:pPr>
        <w:spacing w:line="590" w:lineRule="exact"/>
        <w:ind w:firstLine="642" w:firstLineChars="200"/>
        <w:rPr>
          <w:rFonts w:eastAsia="方正仿宋简体"/>
          <w:sz w:val="32"/>
          <w:szCs w:val="32"/>
        </w:rPr>
      </w:pPr>
      <w:r>
        <w:rPr>
          <w:rFonts w:hint="eastAsia" w:eastAsia="方正仿宋简体"/>
          <w:b/>
          <w:sz w:val="32"/>
          <w:szCs w:val="32"/>
        </w:rPr>
        <w:t>1、推进基层应急管理机构建设。</w:t>
      </w:r>
      <w:r>
        <w:rPr>
          <w:rFonts w:hint="eastAsia" w:eastAsia="方正仿宋简体"/>
          <w:sz w:val="32"/>
          <w:szCs w:val="32"/>
        </w:rPr>
        <w:t>建立健全基层应急管理工作机构，强化基层应急管理人才、资金、装备、基础设施建设等保障。深入推进镇级“四个一”应急管理体系建设，推广应用应急管理智慧终端，提升办公条件、技术装备、人员配置水平。积极推进行政村（社区）应急服务站（点）规范化建设。</w:t>
      </w:r>
    </w:p>
    <w:p>
      <w:pPr>
        <w:spacing w:line="590" w:lineRule="exact"/>
        <w:ind w:firstLine="642" w:firstLineChars="200"/>
        <w:rPr>
          <w:rFonts w:eastAsia="方正仿宋简体"/>
          <w:sz w:val="32"/>
          <w:szCs w:val="32"/>
        </w:rPr>
      </w:pPr>
      <w:r>
        <w:rPr>
          <w:rFonts w:hint="eastAsia" w:eastAsia="方正仿宋简体"/>
          <w:b/>
          <w:sz w:val="32"/>
          <w:szCs w:val="32"/>
        </w:rPr>
        <w:t>2、推进防灾减灾救灾能力“十个有”建设。</w:t>
      </w:r>
      <w:r>
        <w:rPr>
          <w:rFonts w:hint="eastAsia" w:eastAsia="方正仿宋简体"/>
          <w:sz w:val="32"/>
          <w:szCs w:val="32"/>
        </w:rPr>
        <w:t>完成镇级至少1个或者多个全国综合减灾示范社区创建目标，加快推进行政村（社区）防灾减灾救灾能力“十个有”建设。建立社区应急制度，完善行政村（社区）安全隐患、灾害信息报送发布机制。把安全责任向单位、向家庭、向个人延伸，分类别推动工厂、学校、医院、家庭等社会基础单元应急能力和物资储备标准化建设，提升基层自救互救能力。</w:t>
      </w:r>
    </w:p>
    <w:p>
      <w:pPr>
        <w:spacing w:line="590" w:lineRule="exact"/>
        <w:ind w:firstLine="642" w:firstLineChars="200"/>
        <w:rPr>
          <w:rFonts w:eastAsia="方正仿宋简体"/>
          <w:sz w:val="32"/>
          <w:szCs w:val="32"/>
        </w:rPr>
      </w:pPr>
      <w:r>
        <w:rPr>
          <w:rFonts w:hint="eastAsia" w:eastAsia="方正仿宋简体"/>
          <w:b/>
          <w:sz w:val="32"/>
          <w:szCs w:val="32"/>
        </w:rPr>
        <w:t>3、强化基层安全风险网格化管理。</w:t>
      </w:r>
      <w:r>
        <w:rPr>
          <w:rFonts w:hint="eastAsia" w:eastAsia="方正仿宋简体"/>
          <w:sz w:val="32"/>
          <w:szCs w:val="32"/>
        </w:rPr>
        <w:t>推进应急管理工作融入基层社会治理“一张网”，推动实现基层安全风险网格化全覆盖。健全安全风险网格化管理制度，推动网格化监管工作的规范化、长效化。整合基层安全员、气象信息员、灾害信息员、地质灾害群测群防员、森林护林员、防汛防旱防风责任人、专职消防员等资源，建立“一岗多能”的安全风险网格员队伍，完善网格员考核管理办法，提升业务素质和工作能力。加强应急、民政、气象、水利、自然资源等单位横向联系，实现救灾资源共享，确保大灾之时的信息传递及时、准确和畅通。</w:t>
      </w:r>
    </w:p>
    <w:p>
      <w:pPr>
        <w:widowControl/>
        <w:jc w:val="left"/>
        <w:rPr>
          <w:rFonts w:eastAsia="方正仿宋简体"/>
          <w:sz w:val="32"/>
          <w:szCs w:val="32"/>
        </w:rPr>
      </w:pPr>
      <w:r>
        <w:rPr>
          <w:rFonts w:eastAsia="方正仿宋简体"/>
          <w:sz w:val="32"/>
          <w:szCs w:val="32"/>
        </w:rPr>
        <w:br w:type="page"/>
      </w:r>
    </w:p>
    <w:p>
      <w:pPr>
        <w:adjustRightInd w:val="0"/>
        <w:snapToGrid w:val="0"/>
        <w:spacing w:line="570" w:lineRule="exact"/>
        <w:jc w:val="center"/>
        <w:outlineLvl w:val="0"/>
        <w:rPr>
          <w:rFonts w:eastAsia="方正小标宋简体"/>
          <w:sz w:val="32"/>
          <w:szCs w:val="32"/>
        </w:rPr>
      </w:pPr>
      <w:bookmarkStart w:id="29" w:name="_Toc160605131"/>
      <w:r>
        <w:rPr>
          <w:rFonts w:hint="eastAsia" w:eastAsia="方正小标宋简体"/>
          <w:sz w:val="32"/>
          <w:szCs w:val="32"/>
        </w:rPr>
        <w:t>第五章  重点工程</w:t>
      </w:r>
      <w:bookmarkEnd w:id="29"/>
    </w:p>
    <w:p>
      <w:pPr>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围绕“十四五”时期应急管理发展目标和主要任务，着力固根基、扬优势、补短板、强弱项以重点工程项目实施带动应急管理体系和能力现代化建设。</w:t>
      </w:r>
    </w:p>
    <w:p>
      <w:pPr>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30" w:name="_Toc160605132"/>
      <w:r>
        <w:rPr>
          <w:rFonts w:hint="eastAsia" w:eastAsia="方正楷体简体"/>
          <w:sz w:val="32"/>
          <w:szCs w:val="32"/>
        </w:rPr>
        <w:t>第一节  智慧应急信息化建设工程</w:t>
      </w:r>
      <w:bookmarkEnd w:id="30"/>
    </w:p>
    <w:p>
      <w:pPr>
        <w:pStyle w:val="2"/>
        <w:rPr>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推进“智慧大应急”信息化建设，推进安全生产风险监测预警系统智能化，升级应急指挥系统，建设移动应急指挥平台，强化应急通信保障。推进智慧平台建设，加强对安全生产、防灾减灾抗灾救灾、城市综合监测、交通道路运输监管、森林火灾防治监测预警系统建设。</w:t>
      </w:r>
    </w:p>
    <w:p>
      <w:pPr>
        <w:spacing w:line="570" w:lineRule="exact"/>
        <w:ind w:firstLine="640" w:firstLineChars="200"/>
        <w:rPr>
          <w:rFonts w:eastAsia="方正仿宋简体"/>
          <w:sz w:val="32"/>
          <w:szCs w:val="32"/>
        </w:rPr>
      </w:pPr>
    </w:p>
    <w:p>
      <w:pPr>
        <w:spacing w:line="570" w:lineRule="exact"/>
        <w:jc w:val="center"/>
        <w:outlineLvl w:val="1"/>
        <w:rPr>
          <w:rFonts w:eastAsia="方正楷体简体"/>
          <w:sz w:val="32"/>
          <w:szCs w:val="32"/>
        </w:rPr>
      </w:pPr>
      <w:bookmarkStart w:id="31" w:name="_Toc160605133"/>
      <w:r>
        <w:rPr>
          <w:rFonts w:hint="eastAsia" w:eastAsia="方正楷体简体"/>
          <w:sz w:val="32"/>
          <w:szCs w:val="32"/>
        </w:rPr>
        <w:t>第二节  应急救援队伍能力提升工程</w:t>
      </w:r>
      <w:bookmarkEnd w:id="31"/>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建设综合性消防救援队伍空勤救援、高层建筑、石油化工、地震、水域、山岳等专业队。建设森林防灭火、危险化学品、防汛抢险、抗震救灾、地质救灾、矿山、电力、交通、通信、物资保障等专业应急救援队伍。实施专业应急救援队伍准军事化管理，完善营房、训练场所等基础设施。实施应急救援装备现代化提升工程，配备新型应急指挥通信技术装备、智能无人机应急救援技术装备、跨区域救援特种设备、专用工程抢险救援技术装备、自然灾害特种救援装备、森林灭火技术装备、非煤矿山抢险救援技术装备等。</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32" w:name="_Toc160605134"/>
      <w:r>
        <w:rPr>
          <w:rFonts w:hint="eastAsia" w:ascii="方正楷体简体" w:eastAsia="方正楷体简体"/>
          <w:sz w:val="32"/>
          <w:szCs w:val="32"/>
        </w:rPr>
        <w:t>第三节  自然灾害防治能力提升工程</w:t>
      </w:r>
      <w:bookmarkEnd w:id="32"/>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实施自然灾害风险调查和重点隐患排查工程，配合绘制自然灾害风险区划图。实施重点生态功能区生态修复工程，恢复森林、草原、河湖、湿地、荒漠、海洋生态系统功能。实施海岸带保护修复工程，提高抵御台风、风暴潮等海洋灾害能力。实施地震易发区房屋设施加固工程，提升抗震减灾能力。实施防汛抗旱水利提升工程，完善防洪抗旱工程体系。实施地质灾害综合治理工程，提升地质灾害防御能力。实施村村自动雨量（气象）站建设项目，实现全区行政村自动气象站和水文（雨量）站全覆盖。实施森林火灾综合治理工程，实施森林火灾应急能力建设项目，提升森林火灾防治基础能力。实施气象灾害监测能力提升工程，建设完善行业气象观测站和多源信息监测网，建设海洋综合气象立体监测网和X波段相控阵双线偏振雷达网，建设防止船舶碰撞海上风机预警系统项目。</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33" w:name="_Toc160605135"/>
      <w:r>
        <w:rPr>
          <w:rFonts w:hint="eastAsia" w:ascii="方正楷体简体" w:eastAsia="方正楷体简体"/>
          <w:sz w:val="32"/>
          <w:szCs w:val="32"/>
        </w:rPr>
        <w:t>第四节  基层应急管理能力提升工程</w:t>
      </w:r>
      <w:bookmarkEnd w:id="33"/>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实施基层应急管理能力提升工程，镇级应急管理体系“四个一”建设达标率达到100%。开展综合减灾示范创建行动。实施基层防灾减灾救灾能力建设工程，充实镇、村基层防灾减灾物资储备，实现区、镇综合应急避难场所和防灾减灾宣传教育基地（体验馆）建设全覆盖，实现镇级应急管理体系“四个一”全覆盖，实现行政村（社区）防灾减灾救灾能力“十个有”全覆盖。</w:t>
      </w:r>
    </w:p>
    <w:p>
      <w:pPr>
        <w:widowControl/>
        <w:jc w:val="left"/>
        <w:rPr>
          <w:rFonts w:eastAsia="方正仿宋简体"/>
          <w:sz w:val="32"/>
          <w:szCs w:val="32"/>
        </w:rPr>
      </w:pPr>
      <w:r>
        <w:rPr>
          <w:rFonts w:eastAsia="方正仿宋简体"/>
          <w:sz w:val="32"/>
          <w:szCs w:val="32"/>
        </w:rPr>
        <w:br w:type="page"/>
      </w:r>
    </w:p>
    <w:p>
      <w:pPr>
        <w:adjustRightInd w:val="0"/>
        <w:snapToGrid w:val="0"/>
        <w:spacing w:line="570" w:lineRule="exact"/>
        <w:jc w:val="center"/>
        <w:outlineLvl w:val="0"/>
        <w:rPr>
          <w:rFonts w:eastAsia="方正小标宋简体"/>
          <w:sz w:val="32"/>
          <w:szCs w:val="32"/>
        </w:rPr>
      </w:pPr>
      <w:bookmarkStart w:id="34" w:name="_Toc160605136"/>
      <w:r>
        <w:rPr>
          <w:rFonts w:hint="eastAsia" w:eastAsia="方正小标宋简体"/>
          <w:sz w:val="32"/>
          <w:szCs w:val="32"/>
        </w:rPr>
        <w:t>第六章  保障措施</w:t>
      </w:r>
      <w:bookmarkEnd w:id="34"/>
    </w:p>
    <w:p>
      <w:pPr>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强化规划组织领导，加强部门协作，形成规划实施整体合力。强化应急管理的人、财、物投入保障，扩宽多元化筹资渠道。建立健全规划实施协调与衔接机制强化监督评估确保规划有效实施。</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35" w:name="_Toc160605137"/>
      <w:r>
        <w:rPr>
          <w:rFonts w:hint="eastAsia" w:ascii="方正楷体简体" w:eastAsia="方正楷体简体"/>
          <w:sz w:val="32"/>
          <w:szCs w:val="32"/>
        </w:rPr>
        <w:t>第一节  强化组织领导</w:t>
      </w:r>
      <w:bookmarkEnd w:id="35"/>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始终坚持“安全第一、预防为主、综合治理”的方针，全面贯彻落实科学发展观、安全发展观，坚持以法律法规为先导、以依法行政为依托、以依法监管执法为抓手，不断完善监管执法体系，有效预防和减少了安全生产事故的发生，为区经济社会高质量发展创造了安全、稳定、和谐的良好环境。</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36" w:name="_Toc160605138"/>
      <w:r>
        <w:rPr>
          <w:rFonts w:hint="eastAsia" w:ascii="方正楷体简体" w:eastAsia="方正楷体简体"/>
          <w:sz w:val="32"/>
          <w:szCs w:val="32"/>
        </w:rPr>
        <w:t>第二节  强化要素保障</w:t>
      </w:r>
      <w:bookmarkEnd w:id="36"/>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各地要结合工作实际，将规划作为政府优先实施项目和财政重点支持对象，强化应急管理人、财、物投入保障，建立与辖区经济社会发展水平相适应的应急管理资金动态增长机制。要加强应急管理财政支出政策研究，积极争取上级投资支持。开辟社会化、市场化渠道，鼓励金融机构积极参与应急管理工作，扩宽多元化筹资渠道。</w:t>
      </w:r>
    </w:p>
    <w:p>
      <w:pPr>
        <w:spacing w:line="570" w:lineRule="exact"/>
        <w:jc w:val="center"/>
        <w:outlineLvl w:val="1"/>
        <w:rPr>
          <w:rFonts w:ascii="方正楷体简体" w:eastAsia="方正楷体简体"/>
          <w:sz w:val="32"/>
          <w:szCs w:val="32"/>
        </w:rPr>
      </w:pPr>
      <w:bookmarkStart w:id="37" w:name="_Toc160605139"/>
      <w:r>
        <w:rPr>
          <w:rFonts w:hint="eastAsia" w:ascii="方正楷体简体" w:eastAsia="方正楷体简体"/>
          <w:sz w:val="32"/>
          <w:szCs w:val="32"/>
        </w:rPr>
        <w:t>第三节  强化规划实施</w:t>
      </w:r>
      <w:bookmarkEnd w:id="37"/>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建立健全规划实施协调与衔接机制，强化规划对全区应急管理工作的引领和战略导向作用。加强应急管理重大政策、重点工程项目与国民经济和社会发展规划、国土空间规划的衔接，以及与各专项规划的衔接，提高规划的科学性和前瞻性。各级应急管理部门要针对规划建设内容科学制订计划进度，明确重点工程、重点项目建设责任，合理配置资源，全力推进实施。</w:t>
      </w:r>
    </w:p>
    <w:p>
      <w:pPr>
        <w:spacing w:line="570" w:lineRule="exact"/>
        <w:ind w:firstLine="640" w:firstLineChars="200"/>
        <w:rPr>
          <w:rFonts w:eastAsia="方正仿宋简体"/>
          <w:sz w:val="32"/>
          <w:szCs w:val="32"/>
        </w:rPr>
      </w:pPr>
    </w:p>
    <w:p>
      <w:pPr>
        <w:spacing w:line="570" w:lineRule="exact"/>
        <w:jc w:val="center"/>
        <w:outlineLvl w:val="1"/>
        <w:rPr>
          <w:rFonts w:ascii="方正楷体简体" w:eastAsia="方正楷体简体"/>
          <w:sz w:val="32"/>
          <w:szCs w:val="32"/>
        </w:rPr>
      </w:pPr>
      <w:bookmarkStart w:id="38" w:name="_Toc160605140"/>
      <w:r>
        <w:rPr>
          <w:rFonts w:hint="eastAsia" w:ascii="方正楷体简体" w:eastAsia="方正楷体简体"/>
          <w:sz w:val="32"/>
          <w:szCs w:val="32"/>
        </w:rPr>
        <w:t>第四节  强化监督评估</w:t>
      </w:r>
      <w:bookmarkEnd w:id="38"/>
    </w:p>
    <w:p>
      <w:pPr>
        <w:pStyle w:val="2"/>
        <w:spacing w:line="570" w:lineRule="exact"/>
        <w:ind w:firstLine="640" w:firstLineChars="200"/>
        <w:rPr>
          <w:rFonts w:eastAsia="方正仿宋简体"/>
          <w:sz w:val="32"/>
          <w:szCs w:val="32"/>
        </w:rPr>
      </w:pPr>
    </w:p>
    <w:p>
      <w:pPr>
        <w:spacing w:line="570" w:lineRule="exact"/>
        <w:ind w:firstLine="640" w:firstLineChars="200"/>
        <w:rPr>
          <w:rFonts w:eastAsia="方正仿宋简体"/>
          <w:sz w:val="32"/>
          <w:szCs w:val="32"/>
        </w:rPr>
      </w:pPr>
      <w:r>
        <w:rPr>
          <w:rFonts w:hint="eastAsia" w:eastAsia="方正仿宋简体"/>
          <w:sz w:val="32"/>
          <w:szCs w:val="32"/>
        </w:rPr>
        <w:t>建立规划实施评估机制，加强目标管理和过程管控。区有关部门要组织开展规划实施年度监测分析、中期评估和终期评估，重点评估实施进展情况及存在问题。要强化监测评估结果应用，将规划实施情况作为对部门和地方工作督查、检查和考核评价的重要内容。</w:t>
      </w:r>
    </w:p>
    <w:p>
      <w:pPr>
        <w:pStyle w:val="2"/>
        <w:rPr>
          <w:sz w:val="32"/>
          <w:szCs w:val="32"/>
        </w:rPr>
      </w:pPr>
      <w:r>
        <w:rPr>
          <w:sz w:val="32"/>
          <w:szCs w:val="32"/>
        </w:rPr>
        <w:br w:type="page"/>
      </w:r>
    </w:p>
    <w:p>
      <w:pPr>
        <w:spacing w:line="570" w:lineRule="exact"/>
        <w:ind w:firstLine="640" w:firstLineChars="200"/>
        <w:rPr>
          <w:rFonts w:eastAsia="黑体"/>
          <w:sz w:val="32"/>
          <w:szCs w:val="32"/>
        </w:rPr>
      </w:pPr>
      <w:r>
        <w:rPr>
          <w:rFonts w:eastAsia="黑体"/>
          <w:sz w:val="32"/>
          <w:szCs w:val="32"/>
        </w:rPr>
        <w:t>附件</w:t>
      </w:r>
    </w:p>
    <w:p>
      <w:pPr>
        <w:pStyle w:val="2"/>
        <w:spacing w:line="570" w:lineRule="exact"/>
        <w:ind w:firstLine="640" w:firstLineChars="200"/>
        <w:rPr>
          <w:rFonts w:eastAsia="方正仿宋简体"/>
          <w:sz w:val="32"/>
          <w:szCs w:val="32"/>
        </w:rPr>
      </w:pPr>
    </w:p>
    <w:p>
      <w:pPr>
        <w:adjustRightInd w:val="0"/>
        <w:snapToGrid w:val="0"/>
        <w:spacing w:line="570" w:lineRule="exact"/>
        <w:jc w:val="center"/>
        <w:outlineLvl w:val="0"/>
        <w:rPr>
          <w:rFonts w:eastAsia="方正小标宋简体"/>
          <w:sz w:val="32"/>
          <w:szCs w:val="32"/>
        </w:rPr>
      </w:pPr>
      <w:bookmarkStart w:id="39" w:name="_Toc160605141"/>
      <w:r>
        <w:rPr>
          <w:rFonts w:hint="eastAsia" w:eastAsia="方正小标宋简体"/>
          <w:sz w:val="32"/>
          <w:szCs w:val="32"/>
        </w:rPr>
        <w:t>名词解释</w:t>
      </w:r>
      <w:bookmarkEnd w:id="39"/>
    </w:p>
    <w:p>
      <w:pPr>
        <w:pStyle w:val="2"/>
        <w:spacing w:line="570" w:lineRule="exact"/>
        <w:ind w:firstLine="640" w:firstLineChars="200"/>
        <w:rPr>
          <w:rFonts w:eastAsia="方正仿宋简体"/>
          <w:sz w:val="32"/>
          <w:szCs w:val="32"/>
        </w:rPr>
      </w:pPr>
    </w:p>
    <w:p>
      <w:pPr>
        <w:spacing w:line="570" w:lineRule="exact"/>
        <w:ind w:firstLine="642" w:firstLineChars="200"/>
        <w:rPr>
          <w:rFonts w:eastAsia="方正仿宋简体"/>
          <w:sz w:val="32"/>
          <w:szCs w:val="32"/>
        </w:rPr>
      </w:pPr>
      <w:r>
        <w:rPr>
          <w:rFonts w:hint="eastAsia" w:eastAsia="方正仿宋简体"/>
          <w:b/>
          <w:sz w:val="32"/>
          <w:szCs w:val="32"/>
        </w:rPr>
        <w:t>1.镇级“四个一”应急管理体系：</w:t>
      </w:r>
      <w:r>
        <w:rPr>
          <w:rFonts w:hint="eastAsia" w:eastAsia="方正仿宋简体"/>
          <w:sz w:val="32"/>
          <w:szCs w:val="32"/>
        </w:rPr>
        <w:t>有一个负责应急管理工作的机构，有一支负责应急救援的队伍，有一个启动应急响应的平台，有一个储备应急物资的仓库。</w:t>
      </w:r>
    </w:p>
    <w:p>
      <w:pPr>
        <w:spacing w:line="570" w:lineRule="exact"/>
        <w:ind w:firstLine="642" w:firstLineChars="200"/>
        <w:rPr>
          <w:rFonts w:eastAsia="方正仿宋简体"/>
          <w:sz w:val="32"/>
          <w:szCs w:val="32"/>
        </w:rPr>
      </w:pPr>
      <w:r>
        <w:rPr>
          <w:rFonts w:hint="eastAsia" w:eastAsia="方正仿宋简体"/>
          <w:b/>
          <w:sz w:val="32"/>
          <w:szCs w:val="32"/>
        </w:rPr>
        <w:t>2.“四个一”应急处置机制：</w:t>
      </w:r>
      <w:r>
        <w:rPr>
          <w:rFonts w:hint="eastAsia" w:eastAsia="方正仿宋简体"/>
          <w:sz w:val="32"/>
          <w:szCs w:val="32"/>
        </w:rPr>
        <w:t>应急处置实行一个指挥中心、一个前方指挥部、一套工作机制、一个窗口发布。</w:t>
      </w:r>
    </w:p>
    <w:p>
      <w:pPr>
        <w:spacing w:line="570" w:lineRule="exact"/>
        <w:ind w:firstLine="642" w:firstLineChars="200"/>
        <w:rPr>
          <w:rFonts w:eastAsia="方正仿宋简体"/>
          <w:sz w:val="32"/>
          <w:szCs w:val="32"/>
        </w:rPr>
      </w:pPr>
      <w:r>
        <w:rPr>
          <w:rFonts w:hint="eastAsia" w:eastAsia="方正仿宋简体"/>
          <w:b/>
          <w:sz w:val="32"/>
          <w:szCs w:val="32"/>
        </w:rPr>
        <w:t>3.“四合一”应急指挥保障机制：</w:t>
      </w:r>
      <w:r>
        <w:rPr>
          <w:rFonts w:hint="eastAsia" w:eastAsia="方正仿宋简体"/>
          <w:sz w:val="32"/>
          <w:szCs w:val="32"/>
        </w:rPr>
        <w:t>应急指挥实行卫星电话、无人机、指挥车、智能单兵终端的标准配备。</w:t>
      </w:r>
    </w:p>
    <w:p>
      <w:pPr>
        <w:spacing w:line="570" w:lineRule="exact"/>
        <w:ind w:firstLine="642" w:firstLineChars="200"/>
        <w:rPr>
          <w:rFonts w:eastAsia="方正仿宋简体"/>
          <w:sz w:val="32"/>
          <w:szCs w:val="32"/>
        </w:rPr>
      </w:pPr>
      <w:r>
        <w:rPr>
          <w:rFonts w:hint="eastAsia" w:eastAsia="方正仿宋简体"/>
          <w:b/>
          <w:sz w:val="32"/>
          <w:szCs w:val="32"/>
        </w:rPr>
        <w:t>4.“五个一”应急值守机制：</w:t>
      </w:r>
      <w:r>
        <w:rPr>
          <w:rFonts w:hint="eastAsia" w:eastAsia="方正仿宋简体"/>
          <w:sz w:val="32"/>
          <w:szCs w:val="32"/>
        </w:rPr>
        <w:t>一日一研判、一日一报告、一日一调度、一日一抽查、一事一处理。</w:t>
      </w:r>
    </w:p>
    <w:p>
      <w:pPr>
        <w:spacing w:line="570" w:lineRule="exact"/>
        <w:ind w:firstLine="642" w:firstLineChars="200"/>
        <w:rPr>
          <w:rFonts w:eastAsia="方正仿宋简体"/>
          <w:sz w:val="32"/>
          <w:szCs w:val="32"/>
        </w:rPr>
      </w:pPr>
      <w:r>
        <w:rPr>
          <w:rFonts w:hint="eastAsia" w:eastAsia="方正仿宋简体"/>
          <w:b/>
          <w:sz w:val="32"/>
          <w:szCs w:val="32"/>
        </w:rPr>
        <w:t>5.“四个一”临灾转移机制：</w:t>
      </w:r>
      <w:r>
        <w:rPr>
          <w:rFonts w:hint="eastAsia" w:eastAsia="方正仿宋简体"/>
          <w:sz w:val="32"/>
          <w:szCs w:val="32"/>
        </w:rPr>
        <w:t>“每户一对接”转移责任、“每村（居）一台账”转移清单、“每镇一张网”转移体系、“每灾一行动”转移启动机制。</w:t>
      </w:r>
    </w:p>
    <w:p>
      <w:pPr>
        <w:spacing w:line="570" w:lineRule="exact"/>
        <w:ind w:firstLine="642" w:firstLineChars="200"/>
        <w:rPr>
          <w:rFonts w:eastAsia="方正仿宋简体"/>
          <w:sz w:val="32"/>
          <w:szCs w:val="32"/>
        </w:rPr>
      </w:pPr>
      <w:r>
        <w:rPr>
          <w:rFonts w:hint="eastAsia" w:eastAsia="方正仿宋简体"/>
          <w:b/>
          <w:sz w:val="32"/>
          <w:szCs w:val="32"/>
        </w:rPr>
        <w:t>6.安全生产“一线三排”工作机制：</w:t>
      </w:r>
      <w:r>
        <w:rPr>
          <w:rFonts w:hint="eastAsia" w:eastAsia="方正仿宋简体"/>
          <w:sz w:val="32"/>
          <w:szCs w:val="32"/>
        </w:rPr>
        <w:t>“一线”是指坚守发展决不能以牺牲人的生命为代价这条不可逾越的红线;“三排”是指对风险隐患全面排查、科学排序、有效排除。</w:t>
      </w:r>
    </w:p>
    <w:p>
      <w:pPr>
        <w:spacing w:line="570" w:lineRule="exact"/>
        <w:ind w:firstLine="642" w:firstLineChars="200"/>
        <w:rPr>
          <w:rFonts w:eastAsia="方正仿宋简体"/>
          <w:sz w:val="32"/>
          <w:szCs w:val="32"/>
        </w:rPr>
      </w:pPr>
      <w:r>
        <w:rPr>
          <w:rFonts w:hint="eastAsia" w:eastAsia="方正仿宋简体"/>
          <w:b/>
          <w:sz w:val="32"/>
          <w:szCs w:val="32"/>
        </w:rPr>
        <w:t>7.自然灾害防治“一体三预”工作机制：</w:t>
      </w:r>
      <w:r>
        <w:rPr>
          <w:rFonts w:hint="eastAsia" w:eastAsia="方正仿宋简体"/>
          <w:sz w:val="32"/>
          <w:szCs w:val="32"/>
        </w:rPr>
        <w:t>“一体”是指科学有效、从上到下、左右贯通的应急指挥体系;“三预”是指事前预判、临灾预告、短临预警。</w:t>
      </w:r>
    </w:p>
    <w:p>
      <w:pPr>
        <w:spacing w:line="570" w:lineRule="exact"/>
        <w:ind w:firstLine="642" w:firstLineChars="200"/>
        <w:rPr>
          <w:rFonts w:eastAsia="方正仿宋简体"/>
          <w:sz w:val="32"/>
          <w:szCs w:val="32"/>
        </w:rPr>
      </w:pPr>
      <w:r>
        <w:rPr>
          <w:rFonts w:hint="eastAsia" w:eastAsia="方正仿宋简体"/>
          <w:b/>
          <w:sz w:val="32"/>
          <w:szCs w:val="32"/>
        </w:rPr>
        <w:t>8.“五立足、五结合”演练模式：</w:t>
      </w:r>
      <w:r>
        <w:rPr>
          <w:rFonts w:hint="eastAsia" w:eastAsia="方正仿宋简体"/>
          <w:sz w:val="32"/>
          <w:szCs w:val="32"/>
        </w:rPr>
        <w:t>立足全灾种全链条，平时预防与战时抗救相结合;立足规范应对，情景复盘与流程再造相结合;立足上下联动，上级指挥协调与基层落细落实相结合;立足问题导向，固化长效机制与解决突出问题相结合;立足以练促建，演练培训与能力建设相结合。</w:t>
      </w:r>
    </w:p>
    <w:p>
      <w:pPr>
        <w:spacing w:line="570" w:lineRule="exact"/>
        <w:ind w:firstLine="642" w:firstLineChars="200"/>
        <w:rPr>
          <w:rFonts w:eastAsia="方正仿宋简体"/>
          <w:sz w:val="32"/>
          <w:szCs w:val="32"/>
        </w:rPr>
      </w:pPr>
      <w:r>
        <w:rPr>
          <w:rFonts w:hint="eastAsia" w:eastAsia="方正仿宋简体"/>
          <w:b/>
          <w:sz w:val="32"/>
          <w:szCs w:val="32"/>
        </w:rPr>
        <w:t>9.安全监管“三个转变”：</w:t>
      </w:r>
      <w:r>
        <w:rPr>
          <w:rFonts w:hint="eastAsia" w:eastAsia="方正仿宋简体"/>
          <w:sz w:val="32"/>
          <w:szCs w:val="32"/>
        </w:rPr>
        <w:t>从重点检查企业员工向重点检查企业负责人履责情况转变，从事后吸取教训向事前防范化解安全生产风险转变，从客观查原因向主观查不足转变。</w:t>
      </w:r>
    </w:p>
    <w:p>
      <w:pPr>
        <w:spacing w:line="570" w:lineRule="exact"/>
        <w:ind w:firstLine="642" w:firstLineChars="200"/>
        <w:rPr>
          <w:rFonts w:eastAsia="方正仿宋简体"/>
          <w:sz w:val="32"/>
          <w:szCs w:val="32"/>
        </w:rPr>
      </w:pPr>
      <w:r>
        <w:rPr>
          <w:rFonts w:hint="eastAsia" w:eastAsia="方正仿宋简体"/>
          <w:b/>
          <w:sz w:val="32"/>
          <w:szCs w:val="32"/>
        </w:rPr>
        <w:t>10.行政村（社区）防灾减灾救灾能力“十个有”：</w:t>
      </w:r>
      <w:r>
        <w:rPr>
          <w:rFonts w:hint="eastAsia" w:eastAsia="方正仿宋简体"/>
          <w:sz w:val="32"/>
          <w:szCs w:val="32"/>
        </w:rPr>
        <w:t>有组织体系、有大喇叭、有警报器、有避难场所、有风险地图、有明白卡、有应急值守、有应急照明、有小册子、有宣传栏。</w:t>
      </w:r>
    </w:p>
    <w:p>
      <w:pPr>
        <w:spacing w:line="570" w:lineRule="exact"/>
        <w:ind w:firstLine="642" w:firstLineChars="200"/>
        <w:rPr>
          <w:rFonts w:eastAsia="方正仿宋简体"/>
          <w:sz w:val="32"/>
          <w:szCs w:val="32"/>
        </w:rPr>
      </w:pPr>
      <w:r>
        <w:rPr>
          <w:rFonts w:hint="eastAsia" w:eastAsia="方正仿宋简体"/>
          <w:b/>
          <w:sz w:val="32"/>
          <w:szCs w:val="32"/>
        </w:rPr>
        <w:t>11.“一核一带一区”区域发展新格局：</w:t>
      </w:r>
      <w:r>
        <w:rPr>
          <w:rFonts w:hint="eastAsia" w:eastAsia="方正仿宋简体"/>
          <w:sz w:val="32"/>
          <w:szCs w:val="32"/>
        </w:rPr>
        <w:t>“一核”即珠三角地区，“一带”即沿海经济带，“一区”即北部生态发展区。</w:t>
      </w:r>
    </w:p>
    <w:p>
      <w:pPr>
        <w:spacing w:line="570" w:lineRule="exact"/>
        <w:ind w:firstLine="642" w:firstLineChars="200"/>
        <w:rPr>
          <w:rFonts w:eastAsia="方正仿宋简体"/>
          <w:sz w:val="32"/>
          <w:szCs w:val="32"/>
        </w:rPr>
      </w:pPr>
      <w:r>
        <w:rPr>
          <w:rFonts w:hint="eastAsia" w:eastAsia="方正仿宋简体"/>
          <w:b/>
          <w:sz w:val="32"/>
          <w:szCs w:val="32"/>
        </w:rPr>
        <w:t>12.安全生产“三个必须”：</w:t>
      </w:r>
      <w:r>
        <w:rPr>
          <w:rFonts w:hint="eastAsia" w:eastAsia="方正仿宋简体"/>
          <w:sz w:val="32"/>
          <w:szCs w:val="32"/>
        </w:rPr>
        <w:t>管行业必须管安全、管业务必须管安全、管生产经营必须管安全。</w:t>
      </w:r>
    </w:p>
    <w:p>
      <w:pPr>
        <w:spacing w:line="570" w:lineRule="exact"/>
        <w:ind w:firstLine="642" w:firstLineChars="200"/>
        <w:rPr>
          <w:rFonts w:eastAsia="方正仿宋简体"/>
          <w:sz w:val="32"/>
          <w:szCs w:val="32"/>
        </w:rPr>
      </w:pPr>
      <w:r>
        <w:rPr>
          <w:rFonts w:hint="eastAsia" w:eastAsia="方正仿宋简体"/>
          <w:b/>
          <w:sz w:val="32"/>
          <w:szCs w:val="32"/>
        </w:rPr>
        <w:t>13.应急管理队伍“五个特别”：</w:t>
      </w:r>
      <w:r>
        <w:rPr>
          <w:rFonts w:hint="eastAsia" w:eastAsia="方正仿宋简体"/>
          <w:sz w:val="32"/>
          <w:szCs w:val="32"/>
        </w:rPr>
        <w:t>特别讲政治、特别讲纪律、特别讲科学、特别讲认真、特别讲精神。</w:t>
      </w:r>
    </w:p>
    <w:p>
      <w:pPr>
        <w:spacing w:line="570" w:lineRule="exact"/>
        <w:ind w:firstLine="642" w:firstLineChars="200"/>
        <w:rPr>
          <w:rFonts w:eastAsia="方正仿宋简体"/>
          <w:sz w:val="32"/>
          <w:szCs w:val="32"/>
        </w:rPr>
      </w:pPr>
      <w:r>
        <w:rPr>
          <w:rFonts w:hint="eastAsia" w:eastAsia="方正仿宋简体"/>
          <w:b/>
          <w:sz w:val="32"/>
          <w:szCs w:val="32"/>
        </w:rPr>
        <w:t>14.应急管理队伍“六条具体要求”：</w:t>
      </w:r>
      <w:r>
        <w:rPr>
          <w:rFonts w:hint="eastAsia" w:eastAsia="方正仿宋简体"/>
          <w:sz w:val="32"/>
          <w:szCs w:val="32"/>
        </w:rPr>
        <w:t>对党绝对忠诚、生命高于一切、工作见叶知秋、时刻应急准备、纪律挺在前面、坚决服从指挥。</w:t>
      </w:r>
    </w:p>
    <w:p>
      <w:pPr>
        <w:spacing w:line="570" w:lineRule="exact"/>
        <w:ind w:firstLine="642" w:firstLineChars="200"/>
        <w:rPr>
          <w:rFonts w:eastAsia="方正仿宋简体"/>
          <w:sz w:val="32"/>
          <w:szCs w:val="32"/>
        </w:rPr>
      </w:pPr>
      <w:r>
        <w:rPr>
          <w:rFonts w:hint="eastAsia" w:eastAsia="方正仿宋简体"/>
          <w:b/>
          <w:sz w:val="32"/>
          <w:szCs w:val="32"/>
        </w:rPr>
        <w:t>15.“双随机、一公开”监管：</w:t>
      </w:r>
      <w:r>
        <w:rPr>
          <w:rFonts w:hint="eastAsia" w:eastAsia="方正仿宋简体"/>
          <w:sz w:val="32"/>
          <w:szCs w:val="32"/>
        </w:rPr>
        <w:t>在监管过程中随机抽取检查对象，随机选派执法检查人员，抽查情况及查处结果及时向社会公开。</w:t>
      </w:r>
    </w:p>
    <w:p>
      <w:pPr>
        <w:spacing w:line="570" w:lineRule="exact"/>
        <w:ind w:firstLine="642" w:firstLineChars="200"/>
        <w:rPr>
          <w:rFonts w:eastAsia="方正仿宋简体"/>
          <w:sz w:val="32"/>
          <w:szCs w:val="32"/>
        </w:rPr>
      </w:pPr>
      <w:r>
        <w:rPr>
          <w:rFonts w:hint="eastAsia" w:eastAsia="方正仿宋简体"/>
          <w:b/>
          <w:sz w:val="32"/>
          <w:szCs w:val="32"/>
        </w:rPr>
        <w:t>16.安全宣传“五进”：</w:t>
      </w:r>
      <w:r>
        <w:rPr>
          <w:rFonts w:hint="eastAsia" w:eastAsia="方正仿宋简体"/>
          <w:sz w:val="32"/>
          <w:szCs w:val="32"/>
        </w:rPr>
        <w:t>安全宣传进企业、进农村、进社区、进学校、进家庭。</w:t>
      </w:r>
    </w:p>
    <w:p>
      <w:pPr>
        <w:spacing w:line="570" w:lineRule="exact"/>
        <w:ind w:firstLine="642" w:firstLineChars="200"/>
        <w:rPr>
          <w:rFonts w:eastAsia="方正仿宋简体"/>
          <w:sz w:val="32"/>
          <w:szCs w:val="32"/>
        </w:rPr>
      </w:pPr>
      <w:r>
        <w:rPr>
          <w:rFonts w:hint="eastAsia" w:eastAsia="方正仿宋简体"/>
          <w:b/>
          <w:sz w:val="32"/>
          <w:szCs w:val="32"/>
        </w:rPr>
        <w:t>17.化工行业特殊作业“四令三制”：</w:t>
      </w:r>
      <w:r>
        <w:rPr>
          <w:rFonts w:hint="eastAsia" w:eastAsia="方正仿宋简体"/>
          <w:sz w:val="32"/>
          <w:szCs w:val="32"/>
        </w:rPr>
        <w:t>“四令”即动火令、动工令、复工令、停工令;“三制”即有限空间作业票制、值班室（中控室）24小时值班制、企业领导带班值班制。</w:t>
      </w:r>
    </w:p>
    <w:p>
      <w:pPr>
        <w:spacing w:line="570" w:lineRule="exact"/>
        <w:ind w:firstLine="642" w:firstLineChars="200"/>
        <w:rPr>
          <w:rFonts w:eastAsia="方正仿宋简体"/>
          <w:sz w:val="32"/>
          <w:szCs w:val="32"/>
        </w:rPr>
      </w:pPr>
      <w:r>
        <w:rPr>
          <w:rFonts w:hint="eastAsia" w:eastAsia="方正仿宋简体"/>
          <w:b/>
          <w:sz w:val="32"/>
          <w:szCs w:val="32"/>
        </w:rPr>
        <w:t>18.“两重点一重大”：</w:t>
      </w:r>
      <w:r>
        <w:rPr>
          <w:rFonts w:hint="eastAsia" w:eastAsia="方正仿宋简体"/>
          <w:sz w:val="32"/>
          <w:szCs w:val="32"/>
        </w:rPr>
        <w:t>重点监管危险化学品、重点监管危险化工工艺、危险化学品重大危险源。</w:t>
      </w:r>
    </w:p>
    <w:p>
      <w:pPr>
        <w:spacing w:line="570" w:lineRule="exact"/>
        <w:ind w:firstLine="642" w:firstLineChars="200"/>
        <w:rPr>
          <w:rFonts w:eastAsia="方正仿宋简体"/>
          <w:sz w:val="32"/>
          <w:szCs w:val="32"/>
        </w:rPr>
      </w:pPr>
      <w:r>
        <w:rPr>
          <w:rFonts w:hint="eastAsia" w:eastAsia="方正仿宋简体"/>
          <w:b/>
          <w:sz w:val="32"/>
          <w:szCs w:val="32"/>
        </w:rPr>
        <w:t>19.“两客一危一重货”：</w:t>
      </w:r>
      <w:r>
        <w:rPr>
          <w:rFonts w:hint="eastAsia" w:eastAsia="方正仿宋简体"/>
          <w:sz w:val="32"/>
          <w:szCs w:val="32"/>
        </w:rPr>
        <w:t>“两客”是指客运班车、旅游包车;“一危”是指危险货物运输车辆;“一重货”是指重型货车。</w:t>
      </w:r>
    </w:p>
    <w:p>
      <w:pPr>
        <w:spacing w:line="570" w:lineRule="exact"/>
        <w:ind w:firstLine="642" w:firstLineChars="200"/>
        <w:rPr>
          <w:rFonts w:eastAsia="方正仿宋简体"/>
          <w:sz w:val="32"/>
          <w:szCs w:val="32"/>
        </w:rPr>
      </w:pPr>
      <w:r>
        <w:rPr>
          <w:rFonts w:hint="eastAsia" w:eastAsia="方正仿宋简体"/>
          <w:b/>
          <w:sz w:val="32"/>
          <w:szCs w:val="32"/>
        </w:rPr>
        <w:t>20.风险管控“四早”：</w:t>
      </w:r>
      <w:r>
        <w:rPr>
          <w:rFonts w:hint="eastAsia" w:eastAsia="方正仿宋简体"/>
          <w:sz w:val="32"/>
          <w:szCs w:val="32"/>
        </w:rPr>
        <w:t>早发现、早研判、早预警、早控制。</w:t>
      </w:r>
    </w:p>
    <w:p>
      <w:pPr>
        <w:spacing w:line="570" w:lineRule="exact"/>
        <w:ind w:firstLine="642" w:firstLineChars="200"/>
        <w:rPr>
          <w:rFonts w:eastAsia="方正仿宋简体"/>
          <w:sz w:val="32"/>
          <w:szCs w:val="32"/>
        </w:rPr>
      </w:pPr>
      <w:r>
        <w:rPr>
          <w:rFonts w:hint="eastAsia" w:eastAsia="方正仿宋简体"/>
          <w:b/>
          <w:sz w:val="32"/>
          <w:szCs w:val="32"/>
        </w:rPr>
        <w:t>21.隐患整治“五到位”：</w:t>
      </w:r>
      <w:r>
        <w:rPr>
          <w:rFonts w:hint="eastAsia" w:eastAsia="方正仿宋简体"/>
          <w:sz w:val="32"/>
          <w:szCs w:val="32"/>
        </w:rPr>
        <w:t>责任到位、措施到位、时限到位、资金到位、预案到位。</w:t>
      </w:r>
    </w:p>
    <w:p>
      <w:pPr>
        <w:spacing w:line="570" w:lineRule="exact"/>
        <w:ind w:firstLine="642" w:firstLineChars="200"/>
        <w:rPr>
          <w:rFonts w:eastAsia="方正仿宋简体"/>
          <w:sz w:val="32"/>
          <w:szCs w:val="32"/>
        </w:rPr>
      </w:pPr>
      <w:r>
        <w:rPr>
          <w:rFonts w:hint="eastAsia" w:eastAsia="方正仿宋简体"/>
          <w:b/>
          <w:sz w:val="32"/>
          <w:szCs w:val="32"/>
        </w:rPr>
        <w:t>22.动火作业“三个一律”：</w:t>
      </w:r>
      <w:r>
        <w:rPr>
          <w:rFonts w:hint="eastAsia" w:eastAsia="方正仿宋简体"/>
          <w:sz w:val="32"/>
          <w:szCs w:val="32"/>
        </w:rPr>
        <w:t>动火前，一律不准进行交叉作业，一律清除现场可燃物质，一律检测可燃气体含量、保持良好通风，严防交叉作业动火引发爆炸、火灾事故。</w:t>
      </w:r>
    </w:p>
    <w:p>
      <w:pPr>
        <w:spacing w:line="570" w:lineRule="exact"/>
        <w:ind w:firstLine="642" w:firstLineChars="200"/>
        <w:rPr>
          <w:rFonts w:eastAsia="方正仿宋简体"/>
          <w:sz w:val="32"/>
          <w:szCs w:val="32"/>
        </w:rPr>
      </w:pPr>
      <w:r>
        <w:rPr>
          <w:rFonts w:hint="eastAsia" w:eastAsia="方正仿宋简体"/>
          <w:b/>
          <w:sz w:val="32"/>
          <w:szCs w:val="32"/>
        </w:rPr>
        <w:t>23.有限空间作业“七个不准”：</w:t>
      </w:r>
      <w:r>
        <w:rPr>
          <w:rFonts w:hint="eastAsia" w:eastAsia="方正仿宋简体"/>
          <w:sz w:val="32"/>
          <w:szCs w:val="32"/>
        </w:rPr>
        <w:t>未经风险辨识不准作业、未经通风和检测合格不准作业、不佩戴劳动防护用品不准作业、没有监护不准作业、电气设备不符合规定不准作业、未经审批不准作业、未经培训演练不准作业。</w:t>
      </w:r>
    </w:p>
    <w:p>
      <w:pPr>
        <w:spacing w:line="570" w:lineRule="exact"/>
        <w:ind w:firstLine="642" w:firstLineChars="200"/>
        <w:rPr>
          <w:rFonts w:eastAsia="方正仿宋简体"/>
          <w:sz w:val="32"/>
          <w:szCs w:val="32"/>
        </w:rPr>
      </w:pPr>
      <w:r>
        <w:rPr>
          <w:rFonts w:hint="eastAsia" w:eastAsia="方正仿宋简体"/>
          <w:b/>
          <w:sz w:val="32"/>
          <w:szCs w:val="32"/>
        </w:rPr>
        <w:t>24.渔船“六个100%”：</w:t>
      </w:r>
      <w:r>
        <w:rPr>
          <w:rFonts w:hint="eastAsia" w:eastAsia="方正仿宋简体"/>
          <w:sz w:val="32"/>
          <w:szCs w:val="32"/>
        </w:rPr>
        <w:t>出海渔船100%检验、出海船员100%持证上岗、安全检查100%实施、安全规程100%执行、防台风要求100%落实、涉渔“三无”船舶100%清理。</w:t>
      </w:r>
    </w:p>
    <w:p>
      <w:pPr>
        <w:spacing w:line="570" w:lineRule="exact"/>
        <w:ind w:firstLine="642" w:firstLineChars="200"/>
        <w:rPr>
          <w:rFonts w:eastAsia="方正仿宋简体"/>
          <w:sz w:val="32"/>
          <w:szCs w:val="32"/>
        </w:rPr>
      </w:pPr>
      <w:r>
        <w:rPr>
          <w:rFonts w:hint="eastAsia" w:eastAsia="方正仿宋简体"/>
          <w:b/>
          <w:sz w:val="32"/>
          <w:szCs w:val="32"/>
        </w:rPr>
        <w:t>25.海上砂石船“六禁”：</w:t>
      </w:r>
      <w:r>
        <w:rPr>
          <w:rFonts w:hint="eastAsia" w:eastAsia="方正仿宋简体"/>
          <w:sz w:val="32"/>
          <w:szCs w:val="32"/>
        </w:rPr>
        <w:t>禁止非法开采、装卸海砂，禁止未经批准从事海上采砂运砂活动，禁止违反规范航行作业，禁止配员不足航行作业，禁止采用私自改装船舶，禁止恶劣天气海况冒险航行作业。</w:t>
      </w:r>
    </w:p>
    <w:p>
      <w:pPr>
        <w:spacing w:line="570" w:lineRule="exact"/>
        <w:ind w:firstLine="642" w:firstLineChars="200"/>
        <w:rPr>
          <w:rFonts w:eastAsia="方正仿宋简体"/>
          <w:sz w:val="32"/>
        </w:rPr>
      </w:pPr>
      <w:r>
        <w:rPr>
          <w:rFonts w:hint="eastAsia" w:eastAsia="方正仿宋简体"/>
          <w:b/>
          <w:sz w:val="32"/>
          <w:szCs w:val="32"/>
        </w:rPr>
        <w:t>26.房屋市政危大工程“六不施工”：</w:t>
      </w:r>
      <w:r>
        <w:rPr>
          <w:rFonts w:hint="eastAsia" w:eastAsia="方正仿宋简体"/>
          <w:sz w:val="32"/>
          <w:szCs w:val="32"/>
        </w:rPr>
        <w:t>未落实前期保障措施不施工，未编制专项施工方案、未按规定审批或论证方案、未按方案落实有关措施不施工，未进行安全技术交底不施工，未进行现场监督不施工。</w:t>
      </w:r>
      <w:r>
        <w:rPr>
          <w:rFonts w:hint="eastAsia" w:eastAsia="方正仿宋简体"/>
          <w:sz w:val="32"/>
        </w:rPr>
        <w:t xml:space="preserve"> </w:t>
      </w:r>
    </w:p>
    <w:p>
      <w:pPr>
        <w:wordWrap w:val="0"/>
        <w:spacing w:line="570" w:lineRule="exact"/>
        <w:ind w:firstLine="640" w:firstLineChars="200"/>
        <w:jc w:val="right"/>
        <w:rPr>
          <w:rFonts w:eastAsia="方正仿宋简体"/>
          <w:sz w:val="32"/>
        </w:rPr>
        <w:sectPr>
          <w:footerReference r:id="rId5" w:type="first"/>
          <w:footerReference r:id="rId4" w:type="default"/>
          <w:pgSz w:w="11906" w:h="16838"/>
          <w:pgMar w:top="1814" w:right="1531" w:bottom="1814" w:left="1531" w:header="567" w:footer="1531" w:gutter="0"/>
          <w:pgNumType w:start="1"/>
          <w:cols w:space="425" w:num="1"/>
          <w:titlePg/>
          <w:docGrid w:type="lines" w:linePitch="312" w:charSpace="0"/>
        </w:sect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spacing w:line="570" w:lineRule="exact"/>
        <w:ind w:firstLine="640" w:firstLineChars="200"/>
        <w:rPr>
          <w:rFonts w:eastAsia="方正仿宋简体"/>
          <w:sz w:val="32"/>
        </w:rPr>
      </w:pPr>
    </w:p>
    <w:p>
      <w:pPr>
        <w:spacing w:line="570" w:lineRule="exact"/>
        <w:ind w:firstLine="640" w:firstLineChars="200"/>
        <w:rPr>
          <w:rFonts w:eastAsia="方正仿宋简体"/>
          <w:sz w:val="32"/>
        </w:rPr>
      </w:pPr>
    </w:p>
    <w:p>
      <w:pPr>
        <w:pStyle w:val="2"/>
      </w:pPr>
    </w:p>
    <w:p/>
    <w:p>
      <w:pPr>
        <w:pStyle w:val="2"/>
        <w:spacing w:line="570" w:lineRule="exact"/>
        <w:ind w:firstLine="640" w:firstLineChars="200"/>
        <w:rPr>
          <w:rFonts w:eastAsia="方正仿宋简体"/>
          <w:sz w:val="32"/>
        </w:rPr>
      </w:pPr>
    </w:p>
    <w:p>
      <w:pPr>
        <w:adjustRightInd w:val="0"/>
        <w:snapToGrid w:val="0"/>
        <w:spacing w:line="570" w:lineRule="exact"/>
        <w:rPr>
          <w:rFonts w:eastAsia="方正仿宋简体"/>
          <w:sz w:val="32"/>
          <w:szCs w:val="28"/>
        </w:rPr>
      </w:pPr>
      <w:r>
        <w:rPr>
          <w:rFonts w:hint="eastAsia" w:eastAsia="黑体"/>
          <w:sz w:val="32"/>
          <w:szCs w:val="28"/>
        </w:rPr>
        <w:t>公开方式：</w:t>
      </w:r>
      <w:r>
        <w:rPr>
          <w:rFonts w:hint="eastAsia" w:eastAsia="方正仿宋简体"/>
          <w:sz w:val="32"/>
          <w:szCs w:val="28"/>
        </w:rPr>
        <w:t>主动公开</w:t>
      </w:r>
    </w:p>
    <w:p>
      <w:pPr>
        <w:adjustRightInd w:val="0"/>
        <w:snapToGrid w:val="0"/>
        <w:spacing w:line="570" w:lineRule="exact"/>
        <w:rPr>
          <w:rFonts w:eastAsia="仿宋" w:cs="仿宋"/>
          <w:szCs w:val="32"/>
        </w:rPr>
      </w:pPr>
    </w:p>
    <w:p>
      <w:pPr>
        <w:adjustRightInd w:val="0"/>
        <w:snapToGrid w:val="0"/>
        <w:spacing w:line="570" w:lineRule="exact"/>
        <w:rPr>
          <w:rFonts w:eastAsia="仿宋" w:cs="仿宋"/>
          <w:szCs w:val="32"/>
        </w:rPr>
      </w:pPr>
    </w:p>
    <w:p>
      <w:pPr>
        <w:adjustRightInd w:val="0"/>
        <w:snapToGrid w:val="0"/>
        <w:spacing w:line="400" w:lineRule="exact"/>
        <w:ind w:left="1025" w:leftChars="88" w:hanging="840" w:hangingChars="300"/>
        <w:rPr>
          <w:rFonts w:eastAsia="方正仿宋简体"/>
          <w:color w:val="000000"/>
          <w:sz w:val="28"/>
          <w:szCs w:val="28"/>
        </w:rPr>
      </w:pPr>
      <w:r>
        <w:rPr>
          <w:rFonts w:eastAsia="方正仿宋简体"/>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-1270</wp:posOffset>
                </wp:positionV>
                <wp:extent cx="5715000" cy="0"/>
                <wp:effectExtent l="10160" t="7620" r="8890" b="1143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0.1pt;height:0pt;width:450pt;z-index:251659264;mso-width-relative:page;mso-height-relative:page;" filled="f" stroked="t" coordsize="21600,21600" o:gfxdata="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3ASRc0QAAAAQBAAAPAAAAAAAA&#10;AAEAIAAAADgAAABkcnMvZG93bnJldi54bWxQSwECFAAUAAAACACHTuJAsKJr9soBAABfAwAADgAA&#10;AAAAAAABACAAAAA2AQAAZHJzL2Uyb0RvYy54bWxQSwUGAAAAAAYABgBZAQAAcgUAAAAA&#10;">
                <v:fill on="f" focussize="0,0"/>
                <v:stroke color="#000000" joinstyle="round"/>
                <v:imagedata o:title=""/>
                <o:lock v:ext="edit" aspectratio="f"/>
              </v:line>
            </w:pict>
          </mc:Fallback>
        </mc:AlternateContent>
      </w:r>
      <w:r>
        <w:rPr>
          <w:rFonts w:hint="eastAsia" w:eastAsia="方正仿宋简体"/>
          <w:color w:val="000000"/>
          <w:sz w:val="28"/>
          <w:szCs w:val="28"/>
        </w:rPr>
        <w:t>抄送：区委有关部委办局，区人大办，区政协办，区纪委监委办，区人武部，区法院，区检察院，省、市驻阳东有关单位。</w:t>
      </w:r>
    </w:p>
    <w:p>
      <w:pPr>
        <w:tabs>
          <w:tab w:val="left" w:pos="8730"/>
        </w:tabs>
        <w:adjustRightInd w:val="0"/>
        <w:snapToGrid w:val="0"/>
        <w:spacing w:line="400" w:lineRule="exact"/>
        <w:ind w:firstLine="280" w:firstLineChars="100"/>
        <w:rPr>
          <w:rFonts w:eastAsia="仿宋"/>
          <w:szCs w:val="32"/>
        </w:rPr>
      </w:pPr>
      <w:r>
        <w:rPr>
          <w:rFonts w:eastAsia="方正仿宋简体"/>
          <w:sz w:val="28"/>
          <w:szCs w:val="28"/>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245110</wp:posOffset>
                </wp:positionV>
                <wp:extent cx="5715000" cy="0"/>
                <wp:effectExtent l="10160" t="9525" r="8890" b="952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715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3.75pt;margin-top:19.3pt;height:0pt;width:450pt;z-index:251660288;mso-width-relative:page;mso-height-relative:page;" filled="f" stroked="t" coordsize="21600,21600" o:gfxdata="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OwGVd3TAAAABwEAAA8AAAAA&#10;AAAAAQAgAAAAOAAAAGRycy9kb3ducmV2LnhtbFBLAQIUABQAAAAIAIdO4kCe2cGwygEAAF8DAAAO&#10;AAAAAAAAAAEAIAAAADgBAABkcnMvZTJvRG9jLnhtbFBLBQYAAAAABgAGAFkBAAB0BQAAAAA=&#10;">
                <v:fill on="f" focussize="0,0"/>
                <v:stroke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3360" behindDoc="0" locked="0" layoutInCell="1" allowOverlap="1">
                <wp:simplePos x="0" y="0"/>
                <wp:positionH relativeFrom="column">
                  <wp:posOffset>5600700</wp:posOffset>
                </wp:positionH>
                <wp:positionV relativeFrom="paragraph">
                  <wp:posOffset>635</wp:posOffset>
                </wp:positionV>
                <wp:extent cx="635" cy="0"/>
                <wp:effectExtent l="10160" t="12700" r="8255" b="6350"/>
                <wp:wrapNone/>
                <wp:docPr id="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05pt;height:0pt;width:0.05pt;z-index:251663360;mso-width-relative:page;mso-height-relative:page;" filled="f" stroked="t" coordsize="21600,21600" o:gfxdata="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K6GSyXRAAAABQEAAA8AAAAAAAAAAQAg&#10;AAAAOAAAAGRycy9kb3ducmV2LnhtbFBLAQIUABQAAAAIAIdO4kCil94exgEAAFsDAAAOAAAAAAAA&#10;AAEAIAAAADYBAABkcnMvZTJvRG9jLnhtbFBLBQYAAAAABgAGAFkBAABuBQAAAAA=&#10;">
                <v:fill on="f" focussize="0,0"/>
                <v:stroke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2336" behindDoc="0" locked="0" layoutInCell="1" allowOverlap="1">
                <wp:simplePos x="0" y="0"/>
                <wp:positionH relativeFrom="column">
                  <wp:posOffset>5600700</wp:posOffset>
                </wp:positionH>
                <wp:positionV relativeFrom="paragraph">
                  <wp:posOffset>635</wp:posOffset>
                </wp:positionV>
                <wp:extent cx="114300" cy="0"/>
                <wp:effectExtent l="10160" t="12700" r="8890" b="635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114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05pt;height:0pt;width:9pt;z-index:251662336;mso-width-relative:page;mso-height-relative:page;" filled="f" stroked="t" coordsize="21600,21600" o:gfxdata="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Ydr1W0QAAAAUBAAAPAAAAAAAA&#10;AAEAIAAAADgAAABkcnMvZG93bnJldi54bWxQSwECFAAUAAAACACHTuJA5mA+ycoBAABeAwAADgAA&#10;AAAAAAABACAAAAA2AQAAZHJzL2Uyb0RvYy54bWxQSwUGAAAAAAYABgBZAQAAcgUAAAAA&#10;">
                <v:fill on="f" focussize="0,0"/>
                <v:stroke color="#000000" joinstyle="round"/>
                <v:imagedata o:title=""/>
                <o:lock v:ext="edit" aspectratio="f"/>
              </v:line>
            </w:pict>
          </mc:Fallback>
        </mc:AlternateContent>
      </w:r>
      <w:r>
        <w:rPr>
          <w:rFonts w:eastAsia="方正仿宋简体"/>
          <w:sz w:val="28"/>
          <w:szCs w:val="28"/>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635</wp:posOffset>
                </wp:positionV>
                <wp:extent cx="5600700" cy="0"/>
                <wp:effectExtent l="6985" t="12700" r="12065" b="63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pt;margin-top:0.05pt;height:0pt;width:441pt;z-index:251661312;mso-width-relative:page;mso-height-relative:page;" filled="f" stroked="t" coordsize="21600,21600" o:gfxdata="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o0+7a0QAAAAQBAAAPAAAAAAAA&#10;AAEAIAAAADgAAABkcnMvZG93bnJldi54bWxQSwECFAAUAAAACACHTuJAGBBdSMoBAABfAwAADgAA&#10;AAAAAAABACAAAAA2AQAAZHJzL2Uyb0RvYy54bWxQSwUGAAAAAAYABgBZAQAAcgUAAAAA&#10;">
                <v:fill on="f" focussize="0,0"/>
                <v:stroke color="#000000" joinstyle="round"/>
                <v:imagedata o:title=""/>
                <o:lock v:ext="edit" aspectratio="f"/>
              </v:line>
            </w:pict>
          </mc:Fallback>
        </mc:AlternateContent>
      </w:r>
      <w:r>
        <w:rPr>
          <w:rFonts w:eastAsia="方正仿宋简体"/>
          <w:color w:val="000000"/>
          <w:sz w:val="28"/>
          <w:szCs w:val="28"/>
        </w:rPr>
        <w:t>阳江市阳东区人民政府办公室</w:t>
      </w:r>
      <w:r>
        <w:rPr>
          <w:rFonts w:hint="eastAsia" w:eastAsia="方正仿宋简体"/>
          <w:color w:val="000000"/>
          <w:sz w:val="28"/>
          <w:szCs w:val="28"/>
        </w:rPr>
        <w:t xml:space="preserve">          </w:t>
      </w:r>
      <w:r>
        <w:rPr>
          <w:rFonts w:eastAsia="方正仿宋简体"/>
          <w:color w:val="000000"/>
          <w:sz w:val="28"/>
          <w:szCs w:val="28"/>
        </w:rPr>
        <w:t xml:space="preserve">   202</w:t>
      </w:r>
      <w:r>
        <w:rPr>
          <w:rFonts w:hint="eastAsia" w:eastAsia="方正仿宋简体"/>
          <w:color w:val="000000"/>
          <w:sz w:val="28"/>
          <w:szCs w:val="28"/>
        </w:rPr>
        <w:t>4</w:t>
      </w:r>
      <w:r>
        <w:rPr>
          <w:rFonts w:eastAsia="方正仿宋简体"/>
          <w:color w:val="000000"/>
          <w:sz w:val="28"/>
          <w:szCs w:val="28"/>
        </w:rPr>
        <w:t>年</w:t>
      </w:r>
      <w:r>
        <w:rPr>
          <w:rFonts w:hint="eastAsia" w:eastAsia="方正仿宋简体"/>
          <w:color w:val="000000"/>
          <w:sz w:val="28"/>
          <w:szCs w:val="28"/>
        </w:rPr>
        <w:t>3</w:t>
      </w:r>
      <w:r>
        <w:rPr>
          <w:rFonts w:eastAsia="方正仿宋简体"/>
          <w:color w:val="000000"/>
          <w:sz w:val="28"/>
          <w:szCs w:val="28"/>
        </w:rPr>
        <w:t>月</w:t>
      </w:r>
      <w:r>
        <w:rPr>
          <w:rFonts w:hint="eastAsia" w:eastAsia="方正仿宋简体"/>
          <w:color w:val="000000"/>
          <w:sz w:val="28"/>
          <w:szCs w:val="28"/>
        </w:rPr>
        <w:t>5</w:t>
      </w:r>
      <w:r>
        <w:rPr>
          <w:rFonts w:eastAsia="方正仿宋简体"/>
          <w:color w:val="000000"/>
          <w:sz w:val="28"/>
          <w:szCs w:val="28"/>
        </w:rPr>
        <w:t>日印发</w:t>
      </w:r>
    </w:p>
    <w:sectPr>
      <w:footerReference r:id="rId6" w:type="first"/>
      <w:pgSz w:w="11906" w:h="16838"/>
      <w:pgMar w:top="1814" w:right="1531" w:bottom="1814" w:left="1531" w:header="567" w:footer="153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803050406030204"/>
    <w:charset w:val="00"/>
    <w:family w:val="roman"/>
    <w:pitch w:val="default"/>
    <w:sig w:usb0="E00002FF" w:usb1="4000045F" w:usb2="00000000"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spacing w:line="570" w:lineRule="exact"/>
      <w:ind w:left="210" w:right="210"/>
      <w:rPr>
        <w:rStyle w:val="10"/>
        <w:rFonts w:asciiTheme="minorEastAsia" w:hAnsiTheme="minorEastAsia"/>
        <w:sz w:val="28"/>
      </w:rPr>
    </w:pPr>
    <w:r>
      <w:rPr>
        <w:rStyle w:val="10"/>
        <w:rFonts w:hint="eastAsia" w:asciiTheme="minorEastAsia" w:hAnsiTheme="minorEastAsia"/>
        <w:sz w:val="28"/>
      </w:rPr>
      <w:t xml:space="preserve">- </w:t>
    </w: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49</w:t>
    </w:r>
    <w:r>
      <w:rPr>
        <w:rStyle w:val="10"/>
        <w:rFonts w:asciiTheme="minorEastAsia" w:hAnsiTheme="minorEastAsia"/>
        <w:sz w:val="28"/>
      </w:rPr>
      <w:fldChar w:fldCharType="end"/>
    </w:r>
    <w:r>
      <w:rPr>
        <w:rStyle w:val="10"/>
        <w:rFonts w:hint="eastAsia" w:asciiTheme="minorEastAsia" w:hAnsiTheme="minorEastAsia"/>
        <w:sz w:val="28"/>
      </w:rPr>
      <w:t xml:space="preserve"> -</w: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adjustRightInd w:val="0"/>
      <w:spacing w:line="570" w:lineRule="exact"/>
      <w:ind w:left="210" w:right="210"/>
      <w:rPr>
        <w:rStyle w:val="10"/>
        <w:rFonts w:asciiTheme="minorEastAsia" w:hAnsiTheme="minorEastAsia"/>
        <w:sz w:val="28"/>
      </w:rPr>
    </w:pPr>
    <w:r>
      <w:rPr>
        <w:rStyle w:val="10"/>
        <w:rFonts w:hint="eastAsia" w:asciiTheme="minorEastAsia" w:hAnsiTheme="minorEastAsia"/>
        <w:sz w:val="28"/>
      </w:rPr>
      <w:t xml:space="preserve">- </w:t>
    </w:r>
    <w:r>
      <w:rPr>
        <w:rStyle w:val="10"/>
        <w:rFonts w:asciiTheme="minorEastAsia" w:hAnsiTheme="minorEastAsia"/>
        <w:sz w:val="28"/>
      </w:rPr>
      <w:fldChar w:fldCharType="begin"/>
    </w:r>
    <w:r>
      <w:rPr>
        <w:rStyle w:val="10"/>
        <w:rFonts w:asciiTheme="minorEastAsia" w:hAnsiTheme="minorEastAsia"/>
        <w:sz w:val="28"/>
      </w:rPr>
      <w:instrText xml:space="preserve">PAGE  </w:instrText>
    </w:r>
    <w:r>
      <w:rPr>
        <w:rStyle w:val="10"/>
        <w:rFonts w:asciiTheme="minorEastAsia" w:hAnsiTheme="minorEastAsia"/>
        <w:sz w:val="28"/>
      </w:rPr>
      <w:fldChar w:fldCharType="separate"/>
    </w:r>
    <w:r>
      <w:rPr>
        <w:rStyle w:val="10"/>
        <w:rFonts w:asciiTheme="minorEastAsia" w:hAnsiTheme="minorEastAsia"/>
        <w:sz w:val="28"/>
      </w:rPr>
      <w:t>1</w:t>
    </w:r>
    <w:r>
      <w:rPr>
        <w:rStyle w:val="10"/>
        <w:rFonts w:asciiTheme="minorEastAsia" w:hAnsiTheme="minorEastAsia"/>
        <w:sz w:val="28"/>
      </w:rPr>
      <w:fldChar w:fldCharType="end"/>
    </w:r>
    <w:r>
      <w:rPr>
        <w:rStyle w:val="10"/>
        <w:rFonts w:hint="eastAsia" w:asciiTheme="minorEastAsia" w:hAnsiTheme="minorEastAsia"/>
        <w:sz w:val="28"/>
      </w:rPr>
      <w:t xml:space="preserve"> -</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09"/>
    <w:rsid w:val="00001B76"/>
    <w:rsid w:val="0000278A"/>
    <w:rsid w:val="00280B74"/>
    <w:rsid w:val="002C6992"/>
    <w:rsid w:val="00394574"/>
    <w:rsid w:val="0054065E"/>
    <w:rsid w:val="00576F74"/>
    <w:rsid w:val="005E7D42"/>
    <w:rsid w:val="006326B1"/>
    <w:rsid w:val="00745449"/>
    <w:rsid w:val="0075380C"/>
    <w:rsid w:val="007A33D9"/>
    <w:rsid w:val="00AB4EC4"/>
    <w:rsid w:val="00AD0E3B"/>
    <w:rsid w:val="00B24DF6"/>
    <w:rsid w:val="00B54A20"/>
    <w:rsid w:val="00BE400B"/>
    <w:rsid w:val="00C16111"/>
    <w:rsid w:val="00C4009E"/>
    <w:rsid w:val="00C5696D"/>
    <w:rsid w:val="00CF1A4D"/>
    <w:rsid w:val="00D65C3A"/>
    <w:rsid w:val="00E24271"/>
    <w:rsid w:val="00E742E4"/>
    <w:rsid w:val="00F11C69"/>
    <w:rsid w:val="00F23634"/>
    <w:rsid w:val="00FA4209"/>
    <w:rsid w:val="00FA6CA1"/>
    <w:rsid w:val="36FF7F47"/>
    <w:rsid w:val="5FDF9EF4"/>
    <w:rsid w:val="77FFDB7F"/>
    <w:rsid w:val="D99EC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qFormat/>
    <w:uiPriority w:val="0"/>
    <w:rPr>
      <w:szCs w:val="20"/>
    </w:rPr>
  </w:style>
  <w:style w:type="paragraph" w:styleId="4">
    <w:name w:val="footer"/>
    <w:basedOn w:val="1"/>
    <w:link w:val="12"/>
    <w:unhideWhenUsed/>
    <w:qFormat/>
    <w:uiPriority w:val="0"/>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unhideWhenUsed/>
    <w:qFormat/>
    <w:uiPriority w:val="39"/>
    <w:pPr>
      <w:ind w:left="420" w:leftChars="200"/>
    </w:pPr>
  </w:style>
  <w:style w:type="character" w:styleId="10">
    <w:name w:val="page number"/>
    <w:basedOn w:val="9"/>
    <w:unhideWhenUsed/>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customStyle="1" w:styleId="12">
    <w:name w:val="页脚 Char"/>
    <w:basedOn w:val="9"/>
    <w:link w:val="4"/>
    <w:qFormat/>
    <w:uiPriority w:val="0"/>
    <w:rPr>
      <w:rFonts w:ascii="Times New Roman" w:hAnsi="Times New Roman" w:eastAsia="宋体" w:cs="Times New Roman"/>
      <w:sz w:val="18"/>
      <w:szCs w:val="18"/>
    </w:rPr>
  </w:style>
  <w:style w:type="character" w:customStyle="1" w:styleId="13">
    <w:name w:val="正文文本 Char"/>
    <w:basedOn w:val="9"/>
    <w:link w:val="2"/>
    <w:qFormat/>
    <w:uiPriority w:val="0"/>
    <w:rPr>
      <w:rFonts w:ascii="Times New Roman" w:hAnsi="Times New Roman" w:eastAsia="宋体" w:cs="Times New Roman"/>
      <w:szCs w:val="20"/>
    </w:rPr>
  </w:style>
  <w:style w:type="character" w:customStyle="1" w:styleId="14">
    <w:name w:val="页眉 Char"/>
    <w:basedOn w:val="9"/>
    <w:link w:val="5"/>
    <w:qFormat/>
    <w:uiPriority w:val="99"/>
    <w:rPr>
      <w:rFonts w:ascii="Times New Roman" w:hAnsi="Times New Roman" w:eastAsia="宋体" w:cs="Times New Roman"/>
      <w:sz w:val="18"/>
      <w:szCs w:val="18"/>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6">
    <w:name w:val="标题 1 Char"/>
    <w:basedOn w:val="9"/>
    <w:link w:val="3"/>
    <w:qFormat/>
    <w:uiPriority w:val="9"/>
    <w:rPr>
      <w:rFonts w:ascii="Times New Roman" w:hAnsi="Times New Roman" w:eastAsia="宋体" w:cs="Times New Roman"/>
      <w:b/>
      <w:bCs/>
      <w:kern w:val="44"/>
      <w:sz w:val="44"/>
      <w:szCs w:val="44"/>
    </w:rPr>
  </w:style>
  <w:style w:type="paragraph" w:customStyle="1" w:styleId="17">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4162</Words>
  <Characters>23726</Characters>
  <Lines>197</Lines>
  <Paragraphs>55</Paragraphs>
  <TotalTime>124</TotalTime>
  <ScaleCrop>false</ScaleCrop>
  <LinksUpToDate>false</LinksUpToDate>
  <CharactersWithSpaces>27833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2024-01-26T07:03:00Z</dcterms:created>
  <dc:creator>Windows 用户</dc:creator>
  <cp:lastModifiedBy>kylin</cp:lastModifiedBy>
  <cp:lastPrinted>2024-03-07T06:30:00Z</cp:lastPrinted>
  <dcterms:modified xsi:type="dcterms:W3CDTF">2024-04-08T11:17:51Z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