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cs="Times New Roman"/>
          <w:sz w:val="30"/>
          <w:szCs w:val="30"/>
        </w:rPr>
      </w:pPr>
      <w:r>
        <w:rPr>
          <w:rFonts w:hint="eastAsia" w:ascii="黑体" w:hAnsi="黑体" w:eastAsia="黑体" w:cs="Times New Roman"/>
          <w:sz w:val="30"/>
          <w:szCs w:val="30"/>
        </w:rPr>
        <w:t>附件</w:t>
      </w:r>
    </w:p>
    <w:p>
      <w:pPr>
        <w:widowControl w:val="0"/>
        <w:jc w:val="both"/>
        <w:rPr>
          <w:rFonts w:ascii="Cambria" w:hAnsi="Cambria" w:eastAsia="宋体" w:cs="Times New Roman"/>
          <w:b/>
          <w:bCs/>
          <w:kern w:val="2"/>
          <w:sz w:val="21"/>
          <w:lang w:val="en-US" w:eastAsia="zh-CN" w:bidi="ar-SA"/>
        </w:rPr>
      </w:pPr>
    </w:p>
    <w:p>
      <w:pPr>
        <w:spacing w:line="500" w:lineRule="exact"/>
        <w:jc w:val="center"/>
        <w:rPr>
          <w:rFonts w:ascii="黑体" w:hAnsi="黑体" w:eastAsia="黑体" w:cs="Times New Roman"/>
          <w:sz w:val="30"/>
          <w:szCs w:val="30"/>
        </w:rPr>
      </w:pPr>
      <w:r>
        <w:rPr>
          <w:rFonts w:hint="eastAsia" w:ascii="方正小标宋简体" w:hAnsi="Times New Roman" w:eastAsia="方正小标宋简体" w:cs="Times New Roman"/>
          <w:sz w:val="44"/>
          <w:szCs w:val="44"/>
        </w:rPr>
        <w:t>2024年阳江市阳东区十件民生实事第一季度完成情况表</w:t>
      </w:r>
    </w:p>
    <w:p>
      <w:pPr>
        <w:spacing w:line="40" w:lineRule="exact"/>
        <w:rPr>
          <w:rFonts w:ascii="Times New Roman" w:hAnsi="Times New Roman" w:eastAsia="宋体" w:cs="Times New Roman"/>
          <w:szCs w:val="20"/>
        </w:rPr>
      </w:pPr>
    </w:p>
    <w:p>
      <w:pPr>
        <w:spacing w:line="40" w:lineRule="exact"/>
        <w:rPr>
          <w:rFonts w:ascii="Times New Roman" w:hAnsi="Times New Roman" w:eastAsia="宋体" w:cs="Times New Roman"/>
          <w:szCs w:val="20"/>
        </w:rPr>
      </w:pPr>
    </w:p>
    <w:tbl>
      <w:tblPr>
        <w:tblStyle w:val="2"/>
        <w:tblW w:w="15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1001"/>
        <w:gridCol w:w="838"/>
        <w:gridCol w:w="1366"/>
        <w:gridCol w:w="2182"/>
        <w:gridCol w:w="2551"/>
        <w:gridCol w:w="793"/>
        <w:gridCol w:w="3436"/>
        <w:gridCol w:w="2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32" w:type="dxa"/>
            <w:shd w:val="clear" w:color="auto" w:fill="FFFFFF"/>
            <w:vAlign w:val="center"/>
          </w:tcPr>
          <w:p>
            <w:pPr>
              <w:autoSpaceDN w:val="0"/>
              <w:spacing w:line="300" w:lineRule="exact"/>
              <w:jc w:val="center"/>
              <w:textAlignment w:val="center"/>
              <w:rPr>
                <w:rFonts w:ascii="黑体" w:hAnsi="黑体" w:eastAsia="黑体" w:cs="Times New Roman"/>
                <w:sz w:val="24"/>
                <w:szCs w:val="24"/>
              </w:rPr>
            </w:pPr>
            <w:r>
              <w:rPr>
                <w:rFonts w:hint="eastAsia" w:ascii="黑体" w:hAnsi="黑体" w:eastAsia="黑体" w:cs="Times New Roman"/>
                <w:sz w:val="24"/>
                <w:szCs w:val="24"/>
              </w:rPr>
              <w:t>实事项目</w:t>
            </w:r>
          </w:p>
        </w:tc>
        <w:tc>
          <w:tcPr>
            <w:tcW w:w="1001" w:type="dxa"/>
            <w:shd w:val="clear" w:color="auto" w:fill="FFFFFF"/>
            <w:vAlign w:val="center"/>
          </w:tcPr>
          <w:p>
            <w:pPr>
              <w:autoSpaceDN w:val="0"/>
              <w:spacing w:line="300" w:lineRule="exact"/>
              <w:jc w:val="center"/>
              <w:textAlignment w:val="center"/>
              <w:rPr>
                <w:rFonts w:ascii="黑体" w:hAnsi="黑体" w:eastAsia="黑体" w:cs="Times New Roman"/>
                <w:sz w:val="24"/>
                <w:szCs w:val="24"/>
              </w:rPr>
            </w:pPr>
            <w:r>
              <w:rPr>
                <w:rFonts w:hint="eastAsia" w:ascii="黑体" w:hAnsi="黑体" w:eastAsia="黑体" w:cs="Times New Roman"/>
                <w:sz w:val="24"/>
                <w:szCs w:val="24"/>
              </w:rPr>
              <w:t>分管区领导</w:t>
            </w:r>
          </w:p>
        </w:tc>
        <w:tc>
          <w:tcPr>
            <w:tcW w:w="838" w:type="dxa"/>
            <w:shd w:val="clear" w:color="auto" w:fill="FFFFFF"/>
            <w:vAlign w:val="center"/>
          </w:tcPr>
          <w:p>
            <w:pPr>
              <w:autoSpaceDN w:val="0"/>
              <w:spacing w:line="300" w:lineRule="exact"/>
              <w:jc w:val="center"/>
              <w:textAlignment w:val="center"/>
              <w:rPr>
                <w:rFonts w:ascii="黑体" w:hAnsi="黑体" w:eastAsia="黑体" w:cs="Times New Roman"/>
                <w:sz w:val="24"/>
                <w:szCs w:val="24"/>
              </w:rPr>
            </w:pPr>
            <w:r>
              <w:rPr>
                <w:rFonts w:hint="eastAsia" w:ascii="黑体" w:hAnsi="黑体" w:eastAsia="黑体" w:cs="Times New Roman"/>
                <w:sz w:val="24"/>
                <w:szCs w:val="24"/>
              </w:rPr>
              <w:t>牵头单位</w:t>
            </w:r>
          </w:p>
        </w:tc>
        <w:tc>
          <w:tcPr>
            <w:tcW w:w="0" w:type="auto"/>
            <w:shd w:val="clear" w:color="auto" w:fill="FFFFFF"/>
            <w:vAlign w:val="center"/>
          </w:tcPr>
          <w:p>
            <w:pPr>
              <w:autoSpaceDN w:val="0"/>
              <w:spacing w:line="300" w:lineRule="exact"/>
              <w:jc w:val="center"/>
              <w:textAlignment w:val="center"/>
              <w:rPr>
                <w:rFonts w:ascii="黑体" w:hAnsi="黑体" w:eastAsia="黑体" w:cs="Times New Roman"/>
                <w:sz w:val="24"/>
                <w:szCs w:val="24"/>
              </w:rPr>
            </w:pPr>
            <w:r>
              <w:rPr>
                <w:rFonts w:hint="eastAsia" w:ascii="黑体" w:hAnsi="黑体" w:eastAsia="黑体" w:cs="Times New Roman"/>
                <w:sz w:val="24"/>
                <w:szCs w:val="24"/>
              </w:rPr>
              <w:t>配合单位</w:t>
            </w:r>
          </w:p>
        </w:tc>
        <w:tc>
          <w:tcPr>
            <w:tcW w:w="2182" w:type="dxa"/>
            <w:shd w:val="clear" w:color="auto" w:fill="FFFFFF"/>
            <w:vAlign w:val="center"/>
          </w:tcPr>
          <w:p>
            <w:pPr>
              <w:autoSpaceDN w:val="0"/>
              <w:spacing w:line="300" w:lineRule="exact"/>
              <w:jc w:val="center"/>
              <w:textAlignment w:val="center"/>
              <w:rPr>
                <w:rFonts w:ascii="黑体" w:hAnsi="黑体" w:eastAsia="黑体" w:cs="Times New Roman"/>
                <w:sz w:val="24"/>
                <w:szCs w:val="24"/>
              </w:rPr>
            </w:pPr>
            <w:r>
              <w:rPr>
                <w:rFonts w:hint="eastAsia" w:ascii="黑体" w:hAnsi="黑体" w:eastAsia="黑体" w:cs="Times New Roman"/>
                <w:sz w:val="24"/>
                <w:szCs w:val="24"/>
              </w:rPr>
              <w:t>工作任务</w:t>
            </w:r>
          </w:p>
        </w:tc>
        <w:tc>
          <w:tcPr>
            <w:tcW w:w="2551" w:type="dxa"/>
            <w:shd w:val="clear" w:color="auto" w:fill="FFFFFF"/>
            <w:vAlign w:val="center"/>
          </w:tcPr>
          <w:p>
            <w:pPr>
              <w:autoSpaceDN w:val="0"/>
              <w:spacing w:line="300" w:lineRule="exact"/>
              <w:jc w:val="center"/>
              <w:textAlignment w:val="center"/>
              <w:rPr>
                <w:rFonts w:ascii="黑体" w:hAnsi="黑体" w:eastAsia="黑体" w:cs="Times New Roman"/>
                <w:sz w:val="24"/>
                <w:szCs w:val="24"/>
              </w:rPr>
            </w:pPr>
            <w:r>
              <w:rPr>
                <w:rFonts w:hint="eastAsia" w:ascii="黑体" w:hAnsi="黑体" w:eastAsia="黑体" w:cs="Times New Roman"/>
                <w:sz w:val="24"/>
                <w:szCs w:val="24"/>
              </w:rPr>
              <w:t>工作进展情况</w:t>
            </w:r>
          </w:p>
        </w:tc>
        <w:tc>
          <w:tcPr>
            <w:tcW w:w="793" w:type="dxa"/>
            <w:shd w:val="clear" w:color="auto" w:fill="FFFFFF"/>
            <w:vAlign w:val="center"/>
          </w:tcPr>
          <w:p>
            <w:pPr>
              <w:autoSpaceDN w:val="0"/>
              <w:spacing w:line="300" w:lineRule="exact"/>
              <w:jc w:val="center"/>
              <w:textAlignment w:val="center"/>
              <w:rPr>
                <w:rFonts w:ascii="黑体" w:hAnsi="黑体" w:eastAsia="黑体" w:cs="Times New Roman"/>
                <w:sz w:val="24"/>
                <w:szCs w:val="24"/>
              </w:rPr>
            </w:pPr>
            <w:r>
              <w:rPr>
                <w:rFonts w:hint="eastAsia" w:ascii="黑体" w:hAnsi="黑体" w:eastAsia="黑体" w:cs="Times New Roman"/>
                <w:sz w:val="24"/>
                <w:szCs w:val="24"/>
              </w:rPr>
              <w:t>完成</w:t>
            </w:r>
          </w:p>
          <w:p>
            <w:pPr>
              <w:autoSpaceDN w:val="0"/>
              <w:spacing w:line="300" w:lineRule="exact"/>
              <w:jc w:val="center"/>
              <w:textAlignment w:val="center"/>
              <w:rPr>
                <w:rFonts w:ascii="黑体" w:hAnsi="黑体" w:eastAsia="黑体" w:cs="Times New Roman"/>
                <w:sz w:val="24"/>
                <w:szCs w:val="24"/>
              </w:rPr>
            </w:pPr>
            <w:r>
              <w:rPr>
                <w:rFonts w:hint="eastAsia" w:ascii="黑体" w:hAnsi="黑体" w:eastAsia="黑体" w:cs="Times New Roman"/>
                <w:sz w:val="24"/>
                <w:szCs w:val="24"/>
              </w:rPr>
              <w:t>情况</w:t>
            </w:r>
          </w:p>
        </w:tc>
        <w:tc>
          <w:tcPr>
            <w:tcW w:w="3436" w:type="dxa"/>
            <w:shd w:val="clear" w:color="auto" w:fill="FFFFFF"/>
            <w:vAlign w:val="center"/>
          </w:tcPr>
          <w:p>
            <w:pPr>
              <w:autoSpaceDN w:val="0"/>
              <w:spacing w:line="300" w:lineRule="exact"/>
              <w:jc w:val="center"/>
              <w:textAlignment w:val="center"/>
              <w:rPr>
                <w:rFonts w:ascii="黑体" w:hAnsi="黑体" w:eastAsia="黑体" w:cs="Times New Roman"/>
                <w:sz w:val="24"/>
                <w:szCs w:val="24"/>
              </w:rPr>
            </w:pPr>
            <w:r>
              <w:rPr>
                <w:rFonts w:hint="eastAsia" w:ascii="黑体" w:hAnsi="黑体" w:eastAsia="黑体" w:cs="Times New Roman"/>
                <w:sz w:val="24"/>
                <w:szCs w:val="24"/>
              </w:rPr>
              <w:t>存在问题</w:t>
            </w:r>
          </w:p>
        </w:tc>
        <w:tc>
          <w:tcPr>
            <w:tcW w:w="2433" w:type="dxa"/>
            <w:shd w:val="clear" w:color="auto" w:fill="FFFFFF"/>
            <w:vAlign w:val="center"/>
          </w:tcPr>
          <w:p>
            <w:pPr>
              <w:autoSpaceDN w:val="0"/>
              <w:spacing w:line="300" w:lineRule="exact"/>
              <w:jc w:val="center"/>
              <w:textAlignment w:val="center"/>
              <w:rPr>
                <w:rFonts w:ascii="黑体" w:hAnsi="黑体" w:eastAsia="黑体" w:cs="Times New Roman"/>
                <w:sz w:val="24"/>
                <w:szCs w:val="24"/>
              </w:rPr>
            </w:pPr>
            <w:r>
              <w:rPr>
                <w:rFonts w:hint="eastAsia" w:ascii="黑体" w:hAnsi="黑体" w:eastAsia="黑体" w:cs="Times New Roman"/>
                <w:sz w:val="24"/>
                <w:szCs w:val="24"/>
              </w:rPr>
              <w:t>下步计划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3" w:hRule="atLeast"/>
          <w:jc w:val="center"/>
        </w:trPr>
        <w:tc>
          <w:tcPr>
            <w:tcW w:w="1232" w:type="dxa"/>
            <w:vMerge w:val="restart"/>
            <w:shd w:val="clear" w:color="auto" w:fill="FFFFFF"/>
            <w:vAlign w:val="center"/>
          </w:tcPr>
          <w:p>
            <w:pPr>
              <w:autoSpaceDN w:val="0"/>
              <w:spacing w:line="300" w:lineRule="exact"/>
              <w:textAlignment w:val="center"/>
              <w:rPr>
                <w:rFonts w:ascii="Times New Roman" w:hAnsi="Times New Roman" w:eastAsia="方正仿宋简体" w:cs="Times New Roman"/>
                <w:b/>
                <w:sz w:val="24"/>
                <w:szCs w:val="24"/>
              </w:rPr>
            </w:pPr>
            <w:r>
              <w:rPr>
                <w:rFonts w:ascii="Times New Roman" w:hAnsi="Times New Roman" w:eastAsia="方正仿宋简体" w:cs="Times New Roman"/>
                <w:b/>
                <w:sz w:val="24"/>
                <w:szCs w:val="24"/>
              </w:rPr>
              <w:t>一、提升医养服务水平</w:t>
            </w:r>
          </w:p>
        </w:tc>
        <w:tc>
          <w:tcPr>
            <w:tcW w:w="1001" w:type="dxa"/>
            <w:vMerge w:val="restart"/>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李南轼</w:t>
            </w:r>
          </w:p>
        </w:tc>
        <w:tc>
          <w:tcPr>
            <w:tcW w:w="838" w:type="dxa"/>
            <w:shd w:val="clear" w:color="auto" w:fill="FFFFFF"/>
            <w:vAlign w:val="center"/>
          </w:tcPr>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区卫生健康局</w:t>
            </w:r>
          </w:p>
        </w:tc>
        <w:tc>
          <w:tcPr>
            <w:tcW w:w="0" w:type="auto"/>
            <w:shd w:val="clear" w:color="auto" w:fill="FFFFFF"/>
            <w:vAlign w:val="center"/>
          </w:tcPr>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红丰镇政府</w:t>
            </w:r>
          </w:p>
        </w:tc>
        <w:tc>
          <w:tcPr>
            <w:tcW w:w="2182" w:type="dxa"/>
            <w:shd w:val="clear" w:color="auto" w:fill="FFFFFF"/>
            <w:vAlign w:val="center"/>
          </w:tcPr>
          <w:p>
            <w:pPr>
              <w:autoSpaceDN w:val="0"/>
              <w:spacing w:line="300" w:lineRule="exac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1.在红丰镇卫生院建设区第一家公立医</w:t>
            </w:r>
            <w:bookmarkStart w:id="0" w:name="_GoBack"/>
            <w:bookmarkEnd w:id="0"/>
            <w:r>
              <w:rPr>
                <w:rFonts w:ascii="Times New Roman" w:hAnsi="Times New Roman" w:eastAsia="方正仿宋简体" w:cs="Times New Roman"/>
                <w:sz w:val="24"/>
                <w:szCs w:val="24"/>
              </w:rPr>
              <w:t>院医养结合服务中心。</w:t>
            </w:r>
          </w:p>
        </w:tc>
        <w:tc>
          <w:tcPr>
            <w:tcW w:w="2551"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bCs/>
                <w:sz w:val="24"/>
                <w:szCs w:val="24"/>
              </w:rPr>
              <w:t>建设已完成，新增养老护理型床位27张。</w:t>
            </w:r>
          </w:p>
        </w:tc>
        <w:tc>
          <w:tcPr>
            <w:tcW w:w="793" w:type="dxa"/>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80%</w:t>
            </w:r>
          </w:p>
        </w:tc>
        <w:tc>
          <w:tcPr>
            <w:tcW w:w="3436" w:type="dxa"/>
            <w:shd w:val="clear" w:color="auto" w:fill="FFFFFF"/>
            <w:vAlign w:val="center"/>
          </w:tcPr>
          <w:p>
            <w:pPr>
              <w:widowControl/>
              <w:spacing w:line="3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（1）红丰镇卫生院设置住院病床40张，核定编制数为52名，未达到应设编制数。编外人员数额大，人员流动性大。</w:t>
            </w:r>
          </w:p>
          <w:p>
            <w:pPr>
              <w:widowControl/>
              <w:spacing w:line="3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（2）现有民政部门五保户补贴政策与医养结合实际收费差额大，如收住辖区五保户，极可能产生负收入。</w:t>
            </w:r>
          </w:p>
        </w:tc>
        <w:tc>
          <w:tcPr>
            <w:tcW w:w="2433" w:type="dxa"/>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准备开业。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5" w:hRule="atLeast"/>
          <w:jc w:val="center"/>
        </w:trPr>
        <w:tc>
          <w:tcPr>
            <w:tcW w:w="1232" w:type="dxa"/>
            <w:vMerge w:val="continue"/>
            <w:shd w:val="clear" w:color="auto" w:fill="FFFFFF"/>
            <w:vAlign w:val="center"/>
          </w:tcPr>
          <w:p>
            <w:pPr>
              <w:autoSpaceDN w:val="0"/>
              <w:spacing w:line="300" w:lineRule="exact"/>
              <w:textAlignment w:val="center"/>
              <w:rPr>
                <w:rFonts w:ascii="Times New Roman" w:hAnsi="Times New Roman" w:eastAsia="方正仿宋简体" w:cs="Times New Roman"/>
                <w:b/>
                <w:sz w:val="24"/>
                <w:szCs w:val="24"/>
              </w:rPr>
            </w:pPr>
          </w:p>
        </w:tc>
        <w:tc>
          <w:tcPr>
            <w:tcW w:w="1001" w:type="dxa"/>
            <w:vMerge w:val="continue"/>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p>
        </w:tc>
        <w:tc>
          <w:tcPr>
            <w:tcW w:w="838" w:type="dxa"/>
            <w:vMerge w:val="restart"/>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区民政局、区残联</w:t>
            </w:r>
          </w:p>
        </w:tc>
        <w:tc>
          <w:tcPr>
            <w:tcW w:w="0" w:type="auto"/>
            <w:vMerge w:val="restart"/>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各镇政府</w:t>
            </w:r>
          </w:p>
        </w:tc>
        <w:tc>
          <w:tcPr>
            <w:tcW w:w="2182" w:type="dxa"/>
            <w:vMerge w:val="restart"/>
            <w:shd w:val="clear" w:color="auto" w:fill="FFFFFF"/>
            <w:vAlign w:val="center"/>
          </w:tcPr>
          <w:p>
            <w:pPr>
              <w:autoSpaceDN w:val="0"/>
              <w:spacing w:line="300" w:lineRule="exac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2.做好我区分散供养特困老人、建档立卡贫困高龄和失能人员、困难重度残疾人家庭适老化改造和无障碍改造，其中适老化改造完成200户，无障碍改造完成100户。</w:t>
            </w:r>
          </w:p>
        </w:tc>
        <w:tc>
          <w:tcPr>
            <w:tcW w:w="2551" w:type="dxa"/>
            <w:shd w:val="clear" w:color="auto" w:fill="FFFFFF"/>
            <w:vAlign w:val="center"/>
          </w:tcPr>
          <w:p>
            <w:pPr>
              <w:spacing w:line="300" w:lineRule="exact"/>
              <w:rPr>
                <w:rFonts w:ascii="Times New Roman" w:hAnsi="Times New Roman" w:eastAsia="方正仿宋简体" w:cs="Times New Roman"/>
                <w:sz w:val="24"/>
                <w:szCs w:val="24"/>
              </w:rPr>
            </w:pPr>
            <w:r>
              <w:rPr>
                <w:rFonts w:ascii="Times New Roman" w:hAnsi="Times New Roman" w:eastAsia="方正仿宋简体" w:cs="Times New Roman"/>
                <w:bCs/>
                <w:sz w:val="24"/>
                <w:szCs w:val="24"/>
              </w:rPr>
              <w:t>正在核查符合适老化改造条件对象信息，已收集改造对象资料100户。</w:t>
            </w:r>
          </w:p>
        </w:tc>
        <w:tc>
          <w:tcPr>
            <w:tcW w:w="793" w:type="dxa"/>
            <w:shd w:val="clear" w:color="auto" w:fill="FFFFFF"/>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bCs/>
                <w:sz w:val="24"/>
                <w:szCs w:val="24"/>
              </w:rPr>
              <w:t>20%</w:t>
            </w:r>
          </w:p>
        </w:tc>
        <w:tc>
          <w:tcPr>
            <w:tcW w:w="3436" w:type="dxa"/>
            <w:shd w:val="clear" w:color="auto" w:fill="FFFFFF"/>
            <w:vAlign w:val="center"/>
          </w:tcPr>
          <w:p>
            <w:pPr>
              <w:autoSpaceDN w:val="0"/>
              <w:spacing w:line="300" w:lineRule="exac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由于改造对象多数散居在村，需要大量的人力入户调查、核实，造成核查收集情况进度较慢。</w:t>
            </w:r>
          </w:p>
        </w:tc>
        <w:tc>
          <w:tcPr>
            <w:tcW w:w="2433" w:type="dxa"/>
            <w:shd w:val="clear" w:color="auto" w:fill="FFFFFF"/>
            <w:vAlign w:val="center"/>
          </w:tcPr>
          <w:p>
            <w:pPr>
              <w:autoSpaceDN w:val="0"/>
              <w:spacing w:line="300" w:lineRule="exact"/>
              <w:textAlignment w:val="center"/>
              <w:rPr>
                <w:rFonts w:ascii="Times New Roman" w:hAnsi="Times New Roman" w:eastAsia="方正仿宋简体" w:cs="Times New Roman"/>
                <w:sz w:val="24"/>
                <w:szCs w:val="24"/>
              </w:rPr>
            </w:pPr>
            <w:r>
              <w:rPr>
                <w:rFonts w:ascii="Times New Roman" w:hAnsi="Times New Roman" w:eastAsia="方正仿宋简体" w:cs="Times New Roman"/>
                <w:color w:val="000000"/>
                <w:sz w:val="24"/>
                <w:szCs w:val="24"/>
              </w:rPr>
              <w:t>确定改造名单后，加快项目招标进度，力争在10月底完成改造任务。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jc w:val="center"/>
        </w:trPr>
        <w:tc>
          <w:tcPr>
            <w:tcW w:w="1232" w:type="dxa"/>
            <w:vMerge w:val="continue"/>
            <w:shd w:val="clear" w:color="auto" w:fill="FFFFFF"/>
            <w:vAlign w:val="center"/>
          </w:tcPr>
          <w:p>
            <w:pPr>
              <w:spacing w:line="300" w:lineRule="exact"/>
              <w:rPr>
                <w:rFonts w:ascii="Times New Roman" w:hAnsi="Times New Roman" w:eastAsia="方正仿宋简体" w:cs="Times New Roman"/>
                <w:sz w:val="24"/>
                <w:szCs w:val="24"/>
              </w:rPr>
            </w:pPr>
          </w:p>
        </w:tc>
        <w:tc>
          <w:tcPr>
            <w:tcW w:w="1001" w:type="dxa"/>
            <w:vMerge w:val="continue"/>
            <w:shd w:val="clear" w:color="auto" w:fill="FFFFFF"/>
            <w:vAlign w:val="center"/>
          </w:tcPr>
          <w:p>
            <w:pPr>
              <w:spacing w:line="300" w:lineRule="exact"/>
              <w:rPr>
                <w:rFonts w:ascii="Times New Roman" w:hAnsi="Times New Roman" w:eastAsia="方正仿宋简体" w:cs="Times New Roman"/>
                <w:sz w:val="24"/>
                <w:szCs w:val="24"/>
              </w:rPr>
            </w:pPr>
          </w:p>
        </w:tc>
        <w:tc>
          <w:tcPr>
            <w:tcW w:w="838" w:type="dxa"/>
            <w:vMerge w:val="continue"/>
            <w:shd w:val="clear" w:color="auto" w:fill="FFFFFF"/>
            <w:vAlign w:val="center"/>
          </w:tcPr>
          <w:p>
            <w:pPr>
              <w:spacing w:line="300" w:lineRule="exact"/>
              <w:rPr>
                <w:rFonts w:ascii="Times New Roman" w:hAnsi="Times New Roman" w:eastAsia="方正仿宋简体" w:cs="Times New Roman"/>
                <w:sz w:val="24"/>
                <w:szCs w:val="24"/>
              </w:rPr>
            </w:pPr>
          </w:p>
        </w:tc>
        <w:tc>
          <w:tcPr>
            <w:tcW w:w="0" w:type="auto"/>
            <w:vMerge w:val="continue"/>
            <w:shd w:val="clear" w:color="auto" w:fill="FFFFFF"/>
            <w:vAlign w:val="center"/>
          </w:tcPr>
          <w:p>
            <w:pPr>
              <w:spacing w:line="300" w:lineRule="exact"/>
              <w:rPr>
                <w:rFonts w:ascii="Times New Roman" w:hAnsi="Times New Roman" w:eastAsia="方正仿宋简体" w:cs="Times New Roman"/>
                <w:sz w:val="24"/>
                <w:szCs w:val="24"/>
              </w:rPr>
            </w:pPr>
          </w:p>
        </w:tc>
        <w:tc>
          <w:tcPr>
            <w:tcW w:w="2182" w:type="dxa"/>
            <w:vMerge w:val="continue"/>
            <w:shd w:val="clear" w:color="auto" w:fill="FFFFFF"/>
            <w:vAlign w:val="center"/>
          </w:tcPr>
          <w:p>
            <w:pPr>
              <w:spacing w:line="300" w:lineRule="exact"/>
              <w:rPr>
                <w:rFonts w:ascii="Times New Roman" w:hAnsi="Times New Roman" w:eastAsia="方正仿宋简体" w:cs="Times New Roman"/>
                <w:sz w:val="24"/>
                <w:szCs w:val="24"/>
              </w:rPr>
            </w:pPr>
          </w:p>
        </w:tc>
        <w:tc>
          <w:tcPr>
            <w:tcW w:w="2551" w:type="dxa"/>
            <w:shd w:val="clear" w:color="auto" w:fill="FFFFFF"/>
            <w:vAlign w:val="center"/>
          </w:tcPr>
          <w:p>
            <w:pPr>
              <w:spacing w:line="300" w:lineRule="exact"/>
              <w:rPr>
                <w:rFonts w:ascii="Times New Roman" w:hAnsi="Times New Roman" w:eastAsia="方正仿宋简体" w:cs="Times New Roman"/>
                <w:sz w:val="24"/>
                <w:szCs w:val="24"/>
              </w:rPr>
            </w:pPr>
            <w:r>
              <w:rPr>
                <w:rFonts w:ascii="Times New Roman" w:hAnsi="Times New Roman" w:eastAsia="方正仿宋简体" w:cs="Times New Roman"/>
                <w:bCs/>
                <w:sz w:val="24"/>
                <w:szCs w:val="24"/>
              </w:rPr>
              <w:t>已在各镇开展困难重度残疾人摸底筛查工作，已上报93户至区残联。</w:t>
            </w:r>
          </w:p>
        </w:tc>
        <w:tc>
          <w:tcPr>
            <w:tcW w:w="793" w:type="dxa"/>
            <w:shd w:val="clear" w:color="auto" w:fill="FFFFFF"/>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bCs/>
                <w:sz w:val="24"/>
                <w:szCs w:val="24"/>
              </w:rPr>
              <w:t>5%</w:t>
            </w:r>
          </w:p>
        </w:tc>
        <w:tc>
          <w:tcPr>
            <w:tcW w:w="3436" w:type="dxa"/>
            <w:shd w:val="clear" w:color="auto" w:fill="FFFFFF"/>
            <w:vAlign w:val="center"/>
          </w:tcPr>
          <w:p>
            <w:pPr>
              <w:autoSpaceDN w:val="0"/>
              <w:spacing w:line="300" w:lineRule="exac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个别镇工作滞后，影响后期工作推进。</w:t>
            </w:r>
          </w:p>
        </w:tc>
        <w:tc>
          <w:tcPr>
            <w:tcW w:w="2433"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（1）计划4月中旬前完成筛查任务，5月底前完成各镇上报对象核查工作。</w:t>
            </w:r>
          </w:p>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（2）计划在4月底前确定设计公司，并在5月逐步对确定改造对象开展入户一户一方案设计工作。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0" w:hRule="atLeast"/>
          <w:jc w:val="center"/>
        </w:trPr>
        <w:tc>
          <w:tcPr>
            <w:tcW w:w="1232" w:type="dxa"/>
            <w:shd w:val="clear" w:color="auto" w:fill="FFFFFF"/>
            <w:vAlign w:val="center"/>
          </w:tcPr>
          <w:p>
            <w:pPr>
              <w:autoSpaceDN w:val="0"/>
              <w:spacing w:line="300" w:lineRule="exact"/>
              <w:textAlignment w:val="center"/>
              <w:rPr>
                <w:rFonts w:ascii="Times New Roman" w:hAnsi="Times New Roman" w:eastAsia="方正仿宋简体" w:cs="Times New Roman"/>
                <w:b/>
                <w:sz w:val="24"/>
                <w:szCs w:val="24"/>
              </w:rPr>
            </w:pPr>
            <w:r>
              <w:rPr>
                <w:rFonts w:ascii="Times New Roman" w:hAnsi="Times New Roman" w:eastAsia="方正仿宋简体" w:cs="Times New Roman"/>
                <w:b/>
                <w:sz w:val="24"/>
                <w:szCs w:val="24"/>
              </w:rPr>
              <w:t>二、提升基础教育发展水平</w:t>
            </w:r>
          </w:p>
        </w:tc>
        <w:tc>
          <w:tcPr>
            <w:tcW w:w="1001" w:type="dxa"/>
            <w:shd w:val="clear" w:color="auto" w:fill="FFFFFF"/>
            <w:vAlign w:val="center"/>
          </w:tcPr>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李南轼</w:t>
            </w:r>
          </w:p>
        </w:tc>
        <w:tc>
          <w:tcPr>
            <w:tcW w:w="838" w:type="dxa"/>
            <w:shd w:val="clear" w:color="auto" w:fill="FFFFFF"/>
            <w:vAlign w:val="center"/>
          </w:tcPr>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区教育局</w:t>
            </w:r>
          </w:p>
        </w:tc>
        <w:tc>
          <w:tcPr>
            <w:tcW w:w="0" w:type="auto"/>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区发展改革局、区财政局、市自然资源局阳东分局、区住房和城乡建设局、区土储中心、北惯镇政府</w:t>
            </w:r>
          </w:p>
        </w:tc>
        <w:tc>
          <w:tcPr>
            <w:tcW w:w="2182"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3.动工迁建北惯镇中心幼儿园，建成后可增加公办学前教育学位360个。</w:t>
            </w:r>
          </w:p>
        </w:tc>
        <w:tc>
          <w:tcPr>
            <w:tcW w:w="2551"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bCs/>
                <w:sz w:val="24"/>
                <w:szCs w:val="24"/>
              </w:rPr>
              <w:t>项目用地捐赠手续已办好，正在办理用地资料组卷工作。土地已平整，控规已调整完毕，省己批复土地建设规模调整方案，待省调整数据库后再进行报批工作。工程设计方案已做好初稿。土地组卷的社稳方案正在修改完善。征地方案在公示中。</w:t>
            </w:r>
          </w:p>
        </w:tc>
        <w:tc>
          <w:tcPr>
            <w:tcW w:w="793" w:type="dxa"/>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15%</w:t>
            </w:r>
          </w:p>
        </w:tc>
        <w:tc>
          <w:tcPr>
            <w:tcW w:w="3436"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用地手续未办好，建设资金未到位。</w:t>
            </w:r>
          </w:p>
        </w:tc>
        <w:tc>
          <w:tcPr>
            <w:tcW w:w="2433" w:type="dxa"/>
            <w:shd w:val="clear" w:color="auto" w:fill="FFFFFF"/>
            <w:vAlign w:val="center"/>
          </w:tcPr>
          <w:p>
            <w:pPr>
              <w:autoSpaceDN w:val="0"/>
              <w:spacing w:line="300" w:lineRule="exac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继续做好用地资料组卷工作，完善征地手续，改进设计方案。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1232" w:type="dxa"/>
            <w:vMerge w:val="restart"/>
            <w:shd w:val="clear" w:color="auto" w:fill="FFFFFF"/>
            <w:vAlign w:val="center"/>
          </w:tcPr>
          <w:p>
            <w:pPr>
              <w:autoSpaceDN w:val="0"/>
              <w:spacing w:line="300" w:lineRule="exact"/>
              <w:textAlignment w:val="center"/>
              <w:rPr>
                <w:rFonts w:ascii="Times New Roman" w:hAnsi="Times New Roman" w:eastAsia="方正仿宋简体" w:cs="Times New Roman"/>
                <w:b/>
                <w:sz w:val="24"/>
                <w:szCs w:val="24"/>
              </w:rPr>
            </w:pPr>
            <w:r>
              <w:rPr>
                <w:rFonts w:ascii="Times New Roman" w:hAnsi="Times New Roman" w:eastAsia="方正仿宋简体" w:cs="Times New Roman"/>
                <w:b/>
                <w:sz w:val="24"/>
                <w:szCs w:val="24"/>
              </w:rPr>
              <w:t>三、提升公共文化旅游服务水平</w:t>
            </w:r>
          </w:p>
        </w:tc>
        <w:tc>
          <w:tcPr>
            <w:tcW w:w="1001" w:type="dxa"/>
            <w:vMerge w:val="restart"/>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邹春颖</w:t>
            </w:r>
          </w:p>
        </w:tc>
        <w:tc>
          <w:tcPr>
            <w:tcW w:w="838" w:type="dxa"/>
            <w:vMerge w:val="restart"/>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区文化广电旅游体育局</w:t>
            </w:r>
          </w:p>
        </w:tc>
        <w:tc>
          <w:tcPr>
            <w:tcW w:w="0" w:type="auto"/>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有关镇政府</w:t>
            </w:r>
          </w:p>
        </w:tc>
        <w:tc>
          <w:tcPr>
            <w:tcW w:w="2182"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4.对3个行政村（社区）综合性文化服务中心提质升级，完善设施设备。</w:t>
            </w:r>
          </w:p>
        </w:tc>
        <w:tc>
          <w:tcPr>
            <w:tcW w:w="2551"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3个行政村综合性文化服务中心设施设备已完成采购，拟于4月进行配送安装。</w:t>
            </w:r>
          </w:p>
        </w:tc>
        <w:tc>
          <w:tcPr>
            <w:tcW w:w="793" w:type="dxa"/>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40%</w:t>
            </w:r>
          </w:p>
        </w:tc>
        <w:tc>
          <w:tcPr>
            <w:tcW w:w="3436"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资金支付进度缓慢。</w:t>
            </w:r>
          </w:p>
        </w:tc>
        <w:tc>
          <w:tcPr>
            <w:tcW w:w="2433"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完成对3个行政村综合性文化服务中心设施设备的安装。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9" w:hRule="atLeast"/>
          <w:jc w:val="center"/>
        </w:trPr>
        <w:tc>
          <w:tcPr>
            <w:tcW w:w="1232" w:type="dxa"/>
            <w:vMerge w:val="continue"/>
            <w:shd w:val="clear" w:color="auto" w:fill="FFFFFF"/>
            <w:vAlign w:val="center"/>
          </w:tcPr>
          <w:p>
            <w:pPr>
              <w:autoSpaceDN w:val="0"/>
              <w:spacing w:line="300" w:lineRule="exact"/>
              <w:textAlignment w:val="center"/>
              <w:rPr>
                <w:rFonts w:ascii="Times New Roman" w:hAnsi="Times New Roman" w:eastAsia="方正仿宋简体" w:cs="Times New Roman"/>
                <w:b/>
                <w:sz w:val="24"/>
                <w:szCs w:val="24"/>
              </w:rPr>
            </w:pPr>
          </w:p>
        </w:tc>
        <w:tc>
          <w:tcPr>
            <w:tcW w:w="1001" w:type="dxa"/>
            <w:vMerge w:val="continue"/>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p>
        </w:tc>
        <w:tc>
          <w:tcPr>
            <w:tcW w:w="838" w:type="dxa"/>
            <w:vMerge w:val="continue"/>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p>
        </w:tc>
        <w:tc>
          <w:tcPr>
            <w:tcW w:w="0" w:type="auto"/>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有关镇政府</w:t>
            </w:r>
          </w:p>
        </w:tc>
        <w:tc>
          <w:tcPr>
            <w:tcW w:w="2182"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5.提升新型公共文化空间建设，新建一间耕读书屋、一间粤文坊。</w:t>
            </w:r>
          </w:p>
        </w:tc>
        <w:tc>
          <w:tcPr>
            <w:tcW w:w="2551"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（1）阳东区老干活动中心耕读书屋建设中，计划4月完成主体建设，于5月完善设备设施。</w:t>
            </w:r>
          </w:p>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（2）阳东区粤文坊主体装修已于2月完成，待筹措资金后购买设备，计划于5月底前面向群众免费开放。</w:t>
            </w:r>
          </w:p>
        </w:tc>
        <w:tc>
          <w:tcPr>
            <w:tcW w:w="793" w:type="dxa"/>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70%</w:t>
            </w:r>
          </w:p>
        </w:tc>
        <w:tc>
          <w:tcPr>
            <w:tcW w:w="3436"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资金支付进度缓慢。</w:t>
            </w:r>
          </w:p>
        </w:tc>
        <w:tc>
          <w:tcPr>
            <w:tcW w:w="2433"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持续做好新型公共文化空间的管理运营工作，为群众提供丰富多样的文化艺术服务。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atLeast"/>
          <w:jc w:val="center"/>
        </w:trPr>
        <w:tc>
          <w:tcPr>
            <w:tcW w:w="1232" w:type="dxa"/>
            <w:vMerge w:val="restart"/>
            <w:shd w:val="clear" w:color="auto" w:fill="FFFFFF"/>
            <w:vAlign w:val="center"/>
          </w:tcPr>
          <w:p>
            <w:pPr>
              <w:autoSpaceDN w:val="0"/>
              <w:spacing w:line="300" w:lineRule="exact"/>
              <w:textAlignment w:val="center"/>
              <w:rPr>
                <w:rFonts w:ascii="Times New Roman" w:hAnsi="Times New Roman" w:eastAsia="方正仿宋简体" w:cs="Times New Roman"/>
                <w:b/>
                <w:sz w:val="24"/>
                <w:szCs w:val="24"/>
              </w:rPr>
            </w:pPr>
            <w:r>
              <w:rPr>
                <w:rFonts w:ascii="Times New Roman" w:hAnsi="Times New Roman" w:eastAsia="方正仿宋简体" w:cs="Times New Roman"/>
                <w:b/>
                <w:sz w:val="24"/>
                <w:szCs w:val="24"/>
              </w:rPr>
              <w:t>三、提升公共文化旅游服务水平</w:t>
            </w:r>
          </w:p>
        </w:tc>
        <w:tc>
          <w:tcPr>
            <w:tcW w:w="1001" w:type="dxa"/>
            <w:vMerge w:val="restart"/>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邹春颖</w:t>
            </w:r>
          </w:p>
        </w:tc>
        <w:tc>
          <w:tcPr>
            <w:tcW w:w="838" w:type="dxa"/>
            <w:vMerge w:val="restart"/>
            <w:shd w:val="clear" w:color="auto" w:fill="FFFFFF"/>
            <w:vAlign w:val="center"/>
          </w:tcPr>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东城镇政府</w:t>
            </w:r>
          </w:p>
        </w:tc>
        <w:tc>
          <w:tcPr>
            <w:tcW w:w="0" w:type="auto"/>
            <w:vMerge w:val="restart"/>
            <w:shd w:val="clear" w:color="auto" w:fill="FFFFFF"/>
            <w:vAlign w:val="center"/>
          </w:tcPr>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区财政局</w:t>
            </w:r>
            <w:r>
              <w:rPr>
                <w:rFonts w:hint="eastAsia" w:ascii="Times New Roman" w:hAnsi="Times New Roman" w:eastAsia="方正仿宋简体" w:cs="Times New Roman"/>
                <w:sz w:val="24"/>
                <w:szCs w:val="24"/>
              </w:rPr>
              <w:t>、</w:t>
            </w:r>
          </w:p>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区文化广电旅游体育局</w:t>
            </w:r>
            <w:r>
              <w:rPr>
                <w:rFonts w:hint="eastAsia" w:ascii="Times New Roman" w:hAnsi="Times New Roman" w:eastAsia="方正仿宋简体" w:cs="Times New Roman"/>
                <w:sz w:val="24"/>
                <w:szCs w:val="24"/>
              </w:rPr>
              <w:t>、</w:t>
            </w:r>
          </w:p>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区工业和信息化局</w:t>
            </w:r>
            <w:r>
              <w:rPr>
                <w:rFonts w:hint="eastAsia" w:ascii="Times New Roman" w:hAnsi="Times New Roman" w:eastAsia="方正仿宋简体" w:cs="Times New Roman"/>
                <w:sz w:val="24"/>
                <w:szCs w:val="24"/>
              </w:rPr>
              <w:t>、</w:t>
            </w:r>
          </w:p>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市市场监督管理局阳东分局</w:t>
            </w:r>
            <w:r>
              <w:rPr>
                <w:rFonts w:hint="eastAsia" w:ascii="Times New Roman" w:hAnsi="Times New Roman" w:eastAsia="方正仿宋简体" w:cs="Times New Roman"/>
                <w:sz w:val="24"/>
                <w:szCs w:val="24"/>
              </w:rPr>
              <w:t>、</w:t>
            </w:r>
          </w:p>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区城市管理和综合执法局</w:t>
            </w:r>
            <w:r>
              <w:rPr>
                <w:rFonts w:hint="eastAsia" w:ascii="Times New Roman" w:hAnsi="Times New Roman" w:eastAsia="方正仿宋简体" w:cs="Times New Roman"/>
                <w:sz w:val="24"/>
                <w:szCs w:val="24"/>
              </w:rPr>
              <w:t>、</w:t>
            </w:r>
          </w:p>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区文联</w:t>
            </w:r>
          </w:p>
        </w:tc>
        <w:tc>
          <w:tcPr>
            <w:tcW w:w="2182" w:type="dxa"/>
            <w:vMerge w:val="restart"/>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6.打造东城镇饮食文化</w:t>
            </w:r>
            <w:r>
              <w:rPr>
                <w:rFonts w:hint="eastAsia" w:ascii="Times New Roman" w:hAnsi="Times New Roman" w:eastAsia="方正仿宋简体" w:cs="Times New Roman"/>
                <w:sz w:val="24"/>
                <w:szCs w:val="24"/>
              </w:rPr>
              <w:t>“漠阳味道”美食街，谋划打造东城镇五金刀</w:t>
            </w:r>
            <w:r>
              <w:rPr>
                <w:rFonts w:ascii="Times New Roman" w:hAnsi="Times New Roman" w:eastAsia="方正仿宋简体" w:cs="Times New Roman"/>
                <w:sz w:val="24"/>
                <w:szCs w:val="24"/>
              </w:rPr>
              <w:t>剪及音乐文旅街区。</w:t>
            </w:r>
          </w:p>
        </w:tc>
        <w:tc>
          <w:tcPr>
            <w:tcW w:w="2551"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“漠阳味道”</w:t>
            </w:r>
            <w:r>
              <w:rPr>
                <w:rFonts w:ascii="Times New Roman" w:hAnsi="Times New Roman" w:eastAsia="方正仿宋简体" w:cs="Times New Roman"/>
                <w:sz w:val="24"/>
                <w:szCs w:val="24"/>
              </w:rPr>
              <w:t>美食街方面，已引导相关企业完成兴德片区灯光装饰等美化亮化工作。</w:t>
            </w:r>
          </w:p>
        </w:tc>
        <w:tc>
          <w:tcPr>
            <w:tcW w:w="793" w:type="dxa"/>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40%</w:t>
            </w:r>
          </w:p>
        </w:tc>
        <w:tc>
          <w:tcPr>
            <w:tcW w:w="3436"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镇级财力及职权有限，协调推进力度不强。</w:t>
            </w:r>
          </w:p>
        </w:tc>
        <w:tc>
          <w:tcPr>
            <w:tcW w:w="2433"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强化与文广、工信等相关部门的沟通协调，加快完善美食街区停车场等配套设施，积极引导更多经营主体参与美食街打造。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jc w:val="center"/>
        </w:trPr>
        <w:tc>
          <w:tcPr>
            <w:tcW w:w="1232" w:type="dxa"/>
            <w:vMerge w:val="continue"/>
            <w:shd w:val="clear" w:color="auto" w:fill="FFFFFF"/>
            <w:vAlign w:val="center"/>
          </w:tcPr>
          <w:p>
            <w:pPr>
              <w:autoSpaceDN w:val="0"/>
              <w:spacing w:line="300" w:lineRule="exact"/>
              <w:textAlignment w:val="center"/>
              <w:rPr>
                <w:rFonts w:ascii="Times New Roman" w:hAnsi="Times New Roman" w:eastAsia="方正仿宋简体" w:cs="Times New Roman"/>
                <w:b/>
                <w:sz w:val="24"/>
                <w:szCs w:val="24"/>
              </w:rPr>
            </w:pPr>
          </w:p>
        </w:tc>
        <w:tc>
          <w:tcPr>
            <w:tcW w:w="1001" w:type="dxa"/>
            <w:vMerge w:val="continue"/>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p>
        </w:tc>
        <w:tc>
          <w:tcPr>
            <w:tcW w:w="838" w:type="dxa"/>
            <w:vMerge w:val="continue"/>
            <w:shd w:val="clear" w:color="auto" w:fill="FFFFFF"/>
            <w:vAlign w:val="center"/>
          </w:tcPr>
          <w:p>
            <w:pPr>
              <w:adjustRightInd w:val="0"/>
              <w:snapToGrid w:val="0"/>
              <w:spacing w:line="300" w:lineRule="exact"/>
              <w:jc w:val="center"/>
              <w:rPr>
                <w:rFonts w:ascii="Times New Roman" w:hAnsi="Times New Roman" w:eastAsia="方正仿宋简体" w:cs="Times New Roman"/>
                <w:sz w:val="24"/>
                <w:szCs w:val="24"/>
              </w:rPr>
            </w:pPr>
          </w:p>
        </w:tc>
        <w:tc>
          <w:tcPr>
            <w:tcW w:w="0" w:type="auto"/>
            <w:vMerge w:val="continue"/>
            <w:shd w:val="clear" w:color="auto" w:fill="FFFFFF"/>
            <w:vAlign w:val="center"/>
          </w:tcPr>
          <w:p>
            <w:pPr>
              <w:adjustRightInd w:val="0"/>
              <w:snapToGrid w:val="0"/>
              <w:spacing w:line="300" w:lineRule="exact"/>
              <w:jc w:val="center"/>
              <w:rPr>
                <w:rFonts w:ascii="Times New Roman" w:hAnsi="Times New Roman" w:eastAsia="方正仿宋简体" w:cs="Times New Roman"/>
                <w:sz w:val="24"/>
                <w:szCs w:val="24"/>
              </w:rPr>
            </w:pPr>
          </w:p>
        </w:tc>
        <w:tc>
          <w:tcPr>
            <w:tcW w:w="2182" w:type="dxa"/>
            <w:vMerge w:val="continue"/>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p>
        </w:tc>
        <w:tc>
          <w:tcPr>
            <w:tcW w:w="2551" w:type="dxa"/>
            <w:shd w:val="clear" w:color="auto" w:fill="FFFFFF"/>
            <w:vAlign w:val="center"/>
          </w:tcPr>
          <w:p>
            <w:pPr>
              <w:autoSpaceDN w:val="0"/>
              <w:spacing w:line="28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谋划打造东城五金刀剪及音乐文旅街区方面，已完成十八子四合院食府、收藏馆所在街区的建筑、道路、景观建设，修缮建设古玩城古巷，有40家商家入驻古玩城。</w:t>
            </w:r>
          </w:p>
        </w:tc>
        <w:tc>
          <w:tcPr>
            <w:tcW w:w="793" w:type="dxa"/>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70%</w:t>
            </w:r>
          </w:p>
        </w:tc>
        <w:tc>
          <w:tcPr>
            <w:tcW w:w="3436" w:type="dxa"/>
            <w:shd w:val="clear" w:color="auto" w:fill="FFFFFF"/>
            <w:vAlign w:val="center"/>
          </w:tcPr>
          <w:p>
            <w:pPr>
              <w:autoSpaceDN w:val="0"/>
              <w:spacing w:line="300" w:lineRule="exac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镇级财力及职权有限，协调推进力度不强。</w:t>
            </w:r>
          </w:p>
        </w:tc>
        <w:tc>
          <w:tcPr>
            <w:tcW w:w="2433"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加快建设</w:t>
            </w:r>
            <w:r>
              <w:rPr>
                <w:rFonts w:hint="eastAsia" w:ascii="Times New Roman" w:hAnsi="Times New Roman" w:eastAsia="方正仿宋简体" w:cs="Times New Roman"/>
                <w:sz w:val="24"/>
                <w:szCs w:val="24"/>
              </w:rPr>
              <w:t>“刀剪＋文创”</w:t>
            </w:r>
            <w:r>
              <w:rPr>
                <w:rFonts w:ascii="Times New Roman" w:hAnsi="Times New Roman" w:eastAsia="方正仿宋简体" w:cs="Times New Roman"/>
                <w:sz w:val="24"/>
                <w:szCs w:val="24"/>
              </w:rPr>
              <w:t>街区留声机博物馆、文旅舞台等设施，加大招商力度，争取更多商家入驻古玩城。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5" w:hRule="atLeast"/>
          <w:jc w:val="center"/>
        </w:trPr>
        <w:tc>
          <w:tcPr>
            <w:tcW w:w="1232" w:type="dxa"/>
            <w:vMerge w:val="continue"/>
            <w:shd w:val="clear" w:color="auto" w:fill="FFFFFF"/>
            <w:vAlign w:val="center"/>
          </w:tcPr>
          <w:p>
            <w:pPr>
              <w:autoSpaceDN w:val="0"/>
              <w:spacing w:line="300" w:lineRule="exact"/>
              <w:textAlignment w:val="center"/>
              <w:rPr>
                <w:rFonts w:ascii="Times New Roman" w:hAnsi="Times New Roman" w:eastAsia="方正仿宋简体" w:cs="Times New Roman"/>
                <w:b/>
                <w:sz w:val="24"/>
                <w:szCs w:val="24"/>
              </w:rPr>
            </w:pPr>
          </w:p>
        </w:tc>
        <w:tc>
          <w:tcPr>
            <w:tcW w:w="1001" w:type="dxa"/>
            <w:vMerge w:val="continue"/>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p>
        </w:tc>
        <w:tc>
          <w:tcPr>
            <w:tcW w:w="838" w:type="dxa"/>
            <w:shd w:val="clear" w:color="auto" w:fill="FFFFFF"/>
            <w:vAlign w:val="center"/>
          </w:tcPr>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东平镇政府</w:t>
            </w:r>
          </w:p>
        </w:tc>
        <w:tc>
          <w:tcPr>
            <w:tcW w:w="0" w:type="auto"/>
            <w:shd w:val="clear" w:color="auto" w:fill="FFFFFF"/>
            <w:vAlign w:val="center"/>
          </w:tcPr>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区财政局</w:t>
            </w:r>
            <w:r>
              <w:rPr>
                <w:rFonts w:hint="eastAsia" w:ascii="Times New Roman" w:hAnsi="Times New Roman" w:eastAsia="方正仿宋简体" w:cs="Times New Roman"/>
                <w:sz w:val="24"/>
                <w:szCs w:val="24"/>
              </w:rPr>
              <w:t>、</w:t>
            </w:r>
          </w:p>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区文化广电旅游体育局</w:t>
            </w:r>
            <w:r>
              <w:rPr>
                <w:rFonts w:hint="eastAsia" w:ascii="Times New Roman" w:hAnsi="Times New Roman" w:eastAsia="方正仿宋简体" w:cs="Times New Roman"/>
                <w:sz w:val="24"/>
                <w:szCs w:val="24"/>
              </w:rPr>
              <w:t>、</w:t>
            </w:r>
          </w:p>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区工业和信息化局</w:t>
            </w:r>
            <w:r>
              <w:rPr>
                <w:rFonts w:hint="eastAsia" w:ascii="Times New Roman" w:hAnsi="Times New Roman" w:eastAsia="方正仿宋简体" w:cs="Times New Roman"/>
                <w:sz w:val="24"/>
                <w:szCs w:val="24"/>
              </w:rPr>
              <w:t>、</w:t>
            </w:r>
          </w:p>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市市场监督管理局阳东分局</w:t>
            </w:r>
          </w:p>
        </w:tc>
        <w:tc>
          <w:tcPr>
            <w:tcW w:w="2182"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7.打造东平镇旅游购物街。</w:t>
            </w:r>
          </w:p>
        </w:tc>
        <w:tc>
          <w:tcPr>
            <w:tcW w:w="2551"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正在开展初步设计工作，拟对东平镇龙井大道房屋外立面微改造，</w:t>
            </w:r>
            <w:r>
              <w:rPr>
                <w:rFonts w:hint="eastAsia" w:ascii="Times New Roman" w:hAnsi="Times New Roman" w:eastAsia="方正仿宋简体" w:cs="Times New Roman"/>
                <w:sz w:val="24"/>
                <w:szCs w:val="24"/>
              </w:rPr>
              <w:t>“三线”</w:t>
            </w:r>
            <w:r>
              <w:rPr>
                <w:rFonts w:ascii="Times New Roman" w:hAnsi="Times New Roman" w:eastAsia="方正仿宋简体" w:cs="Times New Roman"/>
                <w:sz w:val="24"/>
                <w:szCs w:val="24"/>
              </w:rPr>
              <w:t>下地，统一空调外架、街招，道路进行升级改造，建设地区特色文创小品等。</w:t>
            </w:r>
          </w:p>
        </w:tc>
        <w:tc>
          <w:tcPr>
            <w:tcW w:w="793" w:type="dxa"/>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8%</w:t>
            </w:r>
          </w:p>
        </w:tc>
        <w:tc>
          <w:tcPr>
            <w:tcW w:w="3436"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建设资金尚未落实。</w:t>
            </w:r>
          </w:p>
        </w:tc>
        <w:tc>
          <w:tcPr>
            <w:tcW w:w="2433"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完善初步设计方案。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9" w:hRule="atLeast"/>
          <w:jc w:val="center"/>
        </w:trPr>
        <w:tc>
          <w:tcPr>
            <w:tcW w:w="1232" w:type="dxa"/>
            <w:shd w:val="clear" w:color="auto" w:fill="FFFFFF"/>
            <w:vAlign w:val="center"/>
          </w:tcPr>
          <w:p>
            <w:pPr>
              <w:autoSpaceDN w:val="0"/>
              <w:spacing w:line="300" w:lineRule="exact"/>
              <w:textAlignment w:val="center"/>
              <w:rPr>
                <w:rFonts w:ascii="Times New Roman" w:hAnsi="Times New Roman" w:eastAsia="方正仿宋简体" w:cs="Times New Roman"/>
                <w:b/>
                <w:sz w:val="24"/>
                <w:szCs w:val="24"/>
              </w:rPr>
            </w:pPr>
            <w:r>
              <w:rPr>
                <w:rFonts w:ascii="Times New Roman" w:hAnsi="Times New Roman" w:eastAsia="方正仿宋简体" w:cs="Times New Roman"/>
                <w:b/>
                <w:sz w:val="24"/>
                <w:szCs w:val="24"/>
              </w:rPr>
              <w:t>三、提升公共文化旅游服务水平</w:t>
            </w:r>
          </w:p>
        </w:tc>
        <w:tc>
          <w:tcPr>
            <w:tcW w:w="1001" w:type="dxa"/>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color w:val="000000"/>
                <w:sz w:val="24"/>
                <w:szCs w:val="24"/>
              </w:rPr>
              <w:t>梁尚平</w:t>
            </w:r>
          </w:p>
        </w:tc>
        <w:tc>
          <w:tcPr>
            <w:tcW w:w="838" w:type="dxa"/>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区委宣传部</w:t>
            </w:r>
          </w:p>
        </w:tc>
        <w:tc>
          <w:tcPr>
            <w:tcW w:w="0" w:type="auto"/>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有关镇政府</w:t>
            </w:r>
          </w:p>
        </w:tc>
        <w:tc>
          <w:tcPr>
            <w:tcW w:w="2182"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8.建设3个新时代文明实践示范所，5个新时代文明实践示范站。</w:t>
            </w:r>
          </w:p>
        </w:tc>
        <w:tc>
          <w:tcPr>
            <w:tcW w:w="2551"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（1）依托乡镇文化站、党群服务中心等建设文明示范所、站，建设了配套的理论宣讲、教育培训、文化服务等功能室。</w:t>
            </w:r>
          </w:p>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（2）扎实开展惠民和移风易俗、树立文明新风活动，丰富活跃群众文化生活，增强群众文明意识，提升新时代文明实践成效。</w:t>
            </w:r>
          </w:p>
          <w:p>
            <w:pPr>
              <w:widowControl/>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（3）多样化开展助力</w:t>
            </w:r>
            <w:r>
              <w:rPr>
                <w:rFonts w:hint="eastAsia" w:ascii="Times New Roman" w:hAnsi="Times New Roman" w:eastAsia="方正仿宋简体" w:cs="Times New Roman"/>
                <w:sz w:val="24"/>
                <w:szCs w:val="24"/>
              </w:rPr>
              <w:t>“百千万”</w:t>
            </w:r>
            <w:r>
              <w:rPr>
                <w:rFonts w:ascii="Times New Roman" w:hAnsi="Times New Roman" w:eastAsia="方正仿宋简体" w:cs="Times New Roman"/>
                <w:sz w:val="24"/>
                <w:szCs w:val="24"/>
              </w:rPr>
              <w:t>工程的文明实践和志愿服务活动，促进镇村高质量发展。</w:t>
            </w:r>
          </w:p>
        </w:tc>
        <w:tc>
          <w:tcPr>
            <w:tcW w:w="793" w:type="dxa"/>
            <w:shd w:val="clear" w:color="auto" w:fill="FFFFFF"/>
            <w:vAlign w:val="center"/>
          </w:tcPr>
          <w:p>
            <w:pPr>
              <w:widowControl/>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50%</w:t>
            </w:r>
          </w:p>
        </w:tc>
        <w:tc>
          <w:tcPr>
            <w:tcW w:w="3436" w:type="dxa"/>
            <w:shd w:val="clear" w:color="auto" w:fill="FFFFFF"/>
            <w:vAlign w:val="center"/>
          </w:tcPr>
          <w:p>
            <w:pPr>
              <w:widowControl/>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专项建设资金未到位。</w:t>
            </w:r>
          </w:p>
        </w:tc>
        <w:tc>
          <w:tcPr>
            <w:tcW w:w="2433" w:type="dxa"/>
            <w:shd w:val="clear" w:color="auto" w:fill="FFFFFF"/>
            <w:vAlign w:val="center"/>
          </w:tcPr>
          <w:p>
            <w:pPr>
              <w:widowControl/>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按照《阳江市新时代文明实践示范所建设标准指引》和《阳江市新时代文明实践示范站建设标准指引》要求，按照有场所、有队伍、有活动、有项目、有机制</w:t>
            </w:r>
            <w:r>
              <w:rPr>
                <w:rFonts w:hint="eastAsia" w:ascii="Times New Roman" w:hAnsi="Times New Roman" w:eastAsia="方正仿宋简体" w:cs="Times New Roman"/>
                <w:sz w:val="24"/>
                <w:szCs w:val="24"/>
              </w:rPr>
              <w:t>的“五有”标准，按照资源整合到位、体制机制健全、服务群众精准的要求，坚持“标准指引、示范带动，以点带面、整体推进”的思路，加快建设完善新时代文明示范所站。广泛开展新时代文明实践主题活动，不断满足群众精神文</w:t>
            </w:r>
            <w:r>
              <w:rPr>
                <w:rFonts w:ascii="Times New Roman" w:hAnsi="Times New Roman" w:eastAsia="方正仿宋简体" w:cs="Times New Roman"/>
                <w:sz w:val="24"/>
                <w:szCs w:val="24"/>
              </w:rPr>
              <w:t>化生活的需求。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3" w:hRule="atLeast"/>
          <w:jc w:val="center"/>
        </w:trPr>
        <w:tc>
          <w:tcPr>
            <w:tcW w:w="1232" w:type="dxa"/>
            <w:vMerge w:val="restart"/>
            <w:shd w:val="clear" w:color="auto" w:fill="FFFFFF"/>
            <w:vAlign w:val="center"/>
          </w:tcPr>
          <w:p>
            <w:pPr>
              <w:autoSpaceDN w:val="0"/>
              <w:spacing w:line="300" w:lineRule="exact"/>
              <w:textAlignment w:val="center"/>
              <w:rPr>
                <w:rFonts w:ascii="Times New Roman" w:hAnsi="Times New Roman" w:eastAsia="方正仿宋简体" w:cs="Times New Roman"/>
                <w:b/>
                <w:sz w:val="24"/>
                <w:szCs w:val="24"/>
              </w:rPr>
            </w:pPr>
            <w:r>
              <w:rPr>
                <w:rFonts w:ascii="Times New Roman" w:hAnsi="Times New Roman" w:eastAsia="方正仿宋简体" w:cs="Times New Roman"/>
                <w:b/>
                <w:sz w:val="24"/>
                <w:szCs w:val="24"/>
              </w:rPr>
              <w:t>四、提高防灾减灾救灾能力。</w:t>
            </w:r>
          </w:p>
        </w:tc>
        <w:tc>
          <w:tcPr>
            <w:tcW w:w="1001" w:type="dxa"/>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关芬宇</w:t>
            </w:r>
          </w:p>
        </w:tc>
        <w:tc>
          <w:tcPr>
            <w:tcW w:w="838" w:type="dxa"/>
            <w:shd w:val="clear" w:color="auto" w:fill="FFFFFF"/>
            <w:vAlign w:val="center"/>
          </w:tcPr>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区水务局</w:t>
            </w:r>
          </w:p>
        </w:tc>
        <w:tc>
          <w:tcPr>
            <w:tcW w:w="0" w:type="auto"/>
            <w:shd w:val="clear" w:color="auto" w:fill="FFFFFF"/>
            <w:vAlign w:val="center"/>
          </w:tcPr>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区财政局</w:t>
            </w:r>
            <w:r>
              <w:rPr>
                <w:rFonts w:hint="eastAsia" w:ascii="Times New Roman" w:hAnsi="Times New Roman" w:eastAsia="方正仿宋简体" w:cs="Times New Roman"/>
                <w:sz w:val="24"/>
                <w:szCs w:val="24"/>
              </w:rPr>
              <w:t>、</w:t>
            </w:r>
          </w:p>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市自然资源局阳东分局</w:t>
            </w:r>
            <w:r>
              <w:rPr>
                <w:rFonts w:hint="eastAsia" w:ascii="Times New Roman" w:hAnsi="Times New Roman" w:eastAsia="方正仿宋简体" w:cs="Times New Roman"/>
                <w:sz w:val="24"/>
                <w:szCs w:val="24"/>
              </w:rPr>
              <w:t>、</w:t>
            </w:r>
          </w:p>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雅韶镇政府</w:t>
            </w:r>
          </w:p>
        </w:tc>
        <w:tc>
          <w:tcPr>
            <w:tcW w:w="2182" w:type="dxa"/>
            <w:shd w:val="clear" w:color="auto" w:fill="FFFFFF"/>
            <w:vAlign w:val="center"/>
          </w:tcPr>
          <w:p>
            <w:pPr>
              <w:adjustRightInd w:val="0"/>
              <w:snapToGrid w:val="0"/>
              <w:spacing w:line="3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9.根据防洪工程需要，对漠阳江雅韶段台平三丫二期北津至新台公路堤面进行硬底化约3.6公里。</w:t>
            </w:r>
          </w:p>
        </w:tc>
        <w:tc>
          <w:tcPr>
            <w:tcW w:w="2551" w:type="dxa"/>
            <w:shd w:val="clear" w:color="auto" w:fill="FFFFFF"/>
            <w:vAlign w:val="center"/>
          </w:tcPr>
          <w:p>
            <w:pPr>
              <w:widowControl/>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完成了施工图纸勘察设计及项目预算编制等相关工作。</w:t>
            </w:r>
          </w:p>
        </w:tc>
        <w:tc>
          <w:tcPr>
            <w:tcW w:w="793" w:type="dxa"/>
            <w:shd w:val="clear" w:color="auto" w:fill="FFFFFF"/>
            <w:vAlign w:val="center"/>
          </w:tcPr>
          <w:p>
            <w:pPr>
              <w:widowControl/>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15%</w:t>
            </w:r>
          </w:p>
        </w:tc>
        <w:tc>
          <w:tcPr>
            <w:tcW w:w="3436" w:type="dxa"/>
            <w:shd w:val="clear" w:color="auto" w:fill="FFFFFF"/>
            <w:vAlign w:val="center"/>
          </w:tcPr>
          <w:p>
            <w:pPr>
              <w:widowControl/>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建设资金暂没有落实，将积极争取建设资金。</w:t>
            </w:r>
          </w:p>
        </w:tc>
        <w:tc>
          <w:tcPr>
            <w:tcW w:w="2433" w:type="dxa"/>
            <w:shd w:val="clear" w:color="auto" w:fill="FFFFFF"/>
            <w:vAlign w:val="center"/>
          </w:tcPr>
          <w:p>
            <w:pPr>
              <w:widowControl/>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4月份做好建设用地征求意见，5月份完成项目立项，6月份开工建设，10月份完工验收。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8" w:hRule="atLeast"/>
          <w:jc w:val="center"/>
        </w:trPr>
        <w:tc>
          <w:tcPr>
            <w:tcW w:w="1232" w:type="dxa"/>
            <w:vMerge w:val="continue"/>
            <w:shd w:val="clear" w:color="auto" w:fill="FFFFFF"/>
            <w:vAlign w:val="center"/>
          </w:tcPr>
          <w:p>
            <w:pPr>
              <w:autoSpaceDN w:val="0"/>
              <w:spacing w:line="300" w:lineRule="exact"/>
              <w:textAlignment w:val="center"/>
              <w:rPr>
                <w:rFonts w:ascii="Times New Roman" w:hAnsi="Times New Roman" w:eastAsia="方正仿宋简体" w:cs="Times New Roman"/>
                <w:b/>
                <w:sz w:val="24"/>
                <w:szCs w:val="24"/>
              </w:rPr>
            </w:pPr>
          </w:p>
        </w:tc>
        <w:tc>
          <w:tcPr>
            <w:tcW w:w="1001" w:type="dxa"/>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利如晁</w:t>
            </w:r>
          </w:p>
        </w:tc>
        <w:tc>
          <w:tcPr>
            <w:tcW w:w="838" w:type="dxa"/>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市自然资源局阳东分局</w:t>
            </w:r>
          </w:p>
        </w:tc>
        <w:tc>
          <w:tcPr>
            <w:tcW w:w="0" w:type="auto"/>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东平镇政府</w:t>
            </w:r>
          </w:p>
        </w:tc>
        <w:tc>
          <w:tcPr>
            <w:tcW w:w="2182"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10.开展东平镇鸳鸯路道路边坡崩塌地质灾害隐患点治理工程。</w:t>
            </w:r>
          </w:p>
        </w:tc>
        <w:tc>
          <w:tcPr>
            <w:tcW w:w="2551"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该项目总投资441.25万元，建设资金为中央专项资金，目前已完成主体工程，计划在汛期前完成工程治理工作。</w:t>
            </w:r>
          </w:p>
        </w:tc>
        <w:tc>
          <w:tcPr>
            <w:tcW w:w="793" w:type="dxa"/>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90%</w:t>
            </w:r>
          </w:p>
        </w:tc>
        <w:tc>
          <w:tcPr>
            <w:tcW w:w="3436" w:type="dxa"/>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无</w:t>
            </w:r>
          </w:p>
        </w:tc>
        <w:tc>
          <w:tcPr>
            <w:tcW w:w="2433"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尽快组织验收，确保汛期前完成工程治理工作。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jc w:val="center"/>
        </w:trPr>
        <w:tc>
          <w:tcPr>
            <w:tcW w:w="1232" w:type="dxa"/>
            <w:vMerge w:val="continue"/>
            <w:shd w:val="clear" w:color="auto" w:fill="FFFFFF"/>
            <w:vAlign w:val="center"/>
          </w:tcPr>
          <w:p>
            <w:pPr>
              <w:autoSpaceDN w:val="0"/>
              <w:spacing w:line="300" w:lineRule="exact"/>
              <w:textAlignment w:val="center"/>
              <w:rPr>
                <w:rFonts w:ascii="Times New Roman" w:hAnsi="Times New Roman" w:eastAsia="方正仿宋简体" w:cs="Times New Roman"/>
                <w:b/>
                <w:sz w:val="24"/>
                <w:szCs w:val="24"/>
              </w:rPr>
            </w:pPr>
          </w:p>
        </w:tc>
        <w:tc>
          <w:tcPr>
            <w:tcW w:w="1001" w:type="dxa"/>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陈华清</w:t>
            </w:r>
          </w:p>
        </w:tc>
        <w:tc>
          <w:tcPr>
            <w:tcW w:w="838" w:type="dxa"/>
            <w:shd w:val="clear" w:color="auto" w:fill="FFFFFF"/>
            <w:vAlign w:val="center"/>
          </w:tcPr>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区消防救援大队</w:t>
            </w:r>
          </w:p>
        </w:tc>
        <w:tc>
          <w:tcPr>
            <w:tcW w:w="0" w:type="auto"/>
            <w:shd w:val="clear" w:color="auto" w:fill="FFFFFF"/>
            <w:vAlign w:val="center"/>
          </w:tcPr>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区发展改革局</w:t>
            </w:r>
            <w:r>
              <w:rPr>
                <w:rFonts w:hint="eastAsia" w:ascii="Times New Roman" w:hAnsi="Times New Roman" w:eastAsia="方正仿宋简体" w:cs="Times New Roman"/>
                <w:sz w:val="24"/>
                <w:szCs w:val="24"/>
              </w:rPr>
              <w:t>、</w:t>
            </w:r>
          </w:p>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区财政局</w:t>
            </w:r>
            <w:r>
              <w:rPr>
                <w:rFonts w:hint="eastAsia" w:ascii="Times New Roman" w:hAnsi="Times New Roman" w:eastAsia="方正仿宋简体" w:cs="Times New Roman"/>
                <w:sz w:val="24"/>
                <w:szCs w:val="24"/>
              </w:rPr>
              <w:t>、</w:t>
            </w:r>
          </w:p>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大八镇政府</w:t>
            </w:r>
          </w:p>
        </w:tc>
        <w:tc>
          <w:tcPr>
            <w:tcW w:w="2182" w:type="dxa"/>
            <w:shd w:val="clear" w:color="auto" w:fill="FFFFFF"/>
            <w:vAlign w:val="center"/>
          </w:tcPr>
          <w:p>
            <w:pPr>
              <w:adjustRightInd w:val="0"/>
              <w:snapToGrid w:val="0"/>
              <w:spacing w:line="3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11.开展</w:t>
            </w:r>
            <w:r>
              <w:rPr>
                <w:rFonts w:ascii="Times New Roman" w:hAnsi="Times New Roman" w:eastAsia="方正仿宋简体" w:cs="Times New Roman"/>
                <w:kern w:val="0"/>
                <w:sz w:val="24"/>
                <w:szCs w:val="24"/>
              </w:rPr>
              <w:t>大八镇专职消防队营房升级改造工程，将现专职消防队临时办公用房及周边部分空地改建为专职消防队营房。</w:t>
            </w:r>
          </w:p>
        </w:tc>
        <w:tc>
          <w:tcPr>
            <w:tcW w:w="2551" w:type="dxa"/>
            <w:shd w:val="clear" w:color="auto" w:fill="FFFFFF"/>
            <w:vAlign w:val="center"/>
          </w:tcPr>
          <w:p>
            <w:pPr>
              <w:widowControl/>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目前已完成改造设计。</w:t>
            </w:r>
          </w:p>
        </w:tc>
        <w:tc>
          <w:tcPr>
            <w:tcW w:w="793" w:type="dxa"/>
            <w:shd w:val="clear" w:color="auto" w:fill="FFFFFF"/>
            <w:vAlign w:val="center"/>
          </w:tcPr>
          <w:p>
            <w:pPr>
              <w:widowControl/>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10%</w:t>
            </w:r>
          </w:p>
        </w:tc>
        <w:tc>
          <w:tcPr>
            <w:tcW w:w="3436" w:type="dxa"/>
            <w:shd w:val="clear" w:color="auto" w:fill="FFFFFF"/>
            <w:vAlign w:val="center"/>
          </w:tcPr>
          <w:p>
            <w:pPr>
              <w:widowControl/>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资金未落实。</w:t>
            </w:r>
          </w:p>
        </w:tc>
        <w:tc>
          <w:tcPr>
            <w:tcW w:w="2433" w:type="dxa"/>
            <w:shd w:val="clear" w:color="auto" w:fill="FFFFFF"/>
            <w:vAlign w:val="center"/>
          </w:tcPr>
          <w:p>
            <w:pPr>
              <w:widowControl/>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督促加强沟通协调，尽快明确建设经费额度和经费来源，尽快按照计划开工。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jc w:val="center"/>
        </w:trPr>
        <w:tc>
          <w:tcPr>
            <w:tcW w:w="1232" w:type="dxa"/>
            <w:vMerge w:val="restart"/>
            <w:shd w:val="clear" w:color="auto" w:fill="FFFFFF"/>
            <w:vAlign w:val="center"/>
          </w:tcPr>
          <w:p>
            <w:pPr>
              <w:autoSpaceDN w:val="0"/>
              <w:spacing w:line="300" w:lineRule="exact"/>
              <w:textAlignment w:val="center"/>
              <w:rPr>
                <w:rFonts w:ascii="Times New Roman" w:hAnsi="Times New Roman" w:eastAsia="方正仿宋简体" w:cs="Times New Roman"/>
                <w:b/>
                <w:sz w:val="24"/>
                <w:szCs w:val="24"/>
              </w:rPr>
            </w:pPr>
            <w:r>
              <w:rPr>
                <w:rFonts w:ascii="Times New Roman" w:hAnsi="Times New Roman" w:eastAsia="方正仿宋简体" w:cs="Times New Roman"/>
                <w:b/>
                <w:sz w:val="24"/>
                <w:szCs w:val="24"/>
              </w:rPr>
              <w:t>五、加强食品安全监管</w:t>
            </w:r>
          </w:p>
        </w:tc>
        <w:tc>
          <w:tcPr>
            <w:tcW w:w="1001" w:type="dxa"/>
            <w:vMerge w:val="restart"/>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陈基雄</w:t>
            </w:r>
          </w:p>
        </w:tc>
        <w:tc>
          <w:tcPr>
            <w:tcW w:w="838" w:type="dxa"/>
            <w:vMerge w:val="restart"/>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市市场监督管理局阳东分局</w:t>
            </w:r>
          </w:p>
        </w:tc>
        <w:tc>
          <w:tcPr>
            <w:tcW w:w="0" w:type="auto"/>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有关镇政府</w:t>
            </w:r>
          </w:p>
        </w:tc>
        <w:tc>
          <w:tcPr>
            <w:tcW w:w="2182" w:type="dxa"/>
            <w:shd w:val="clear" w:color="auto" w:fill="FFFFFF"/>
            <w:vAlign w:val="center"/>
          </w:tcPr>
          <w:p>
            <w:pPr>
              <w:adjustRightInd w:val="0"/>
              <w:snapToGrid w:val="0"/>
              <w:spacing w:line="3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12.加强食品质量安全监督管理，食品抽检量全年不少于2400批次。</w:t>
            </w:r>
          </w:p>
        </w:tc>
        <w:tc>
          <w:tcPr>
            <w:tcW w:w="2551" w:type="dxa"/>
            <w:shd w:val="clear" w:color="auto" w:fill="FFFFFF"/>
            <w:vAlign w:val="center"/>
          </w:tcPr>
          <w:p>
            <w:pPr>
              <w:widowControl/>
              <w:spacing w:line="3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已制定2024年阳东区食品安全监督抽检计划，该项工作正在走招投标流程。</w:t>
            </w:r>
          </w:p>
        </w:tc>
        <w:tc>
          <w:tcPr>
            <w:tcW w:w="793" w:type="dxa"/>
            <w:shd w:val="clear" w:color="auto" w:fill="FFFFFF"/>
            <w:vAlign w:val="center"/>
          </w:tcPr>
          <w:p>
            <w:pPr>
              <w:widowControl/>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0</w:t>
            </w:r>
          </w:p>
        </w:tc>
        <w:tc>
          <w:tcPr>
            <w:tcW w:w="3436" w:type="dxa"/>
            <w:shd w:val="clear" w:color="auto" w:fill="FFFFFF"/>
            <w:vAlign w:val="center"/>
          </w:tcPr>
          <w:p>
            <w:pPr>
              <w:widowControl/>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无</w:t>
            </w:r>
          </w:p>
        </w:tc>
        <w:tc>
          <w:tcPr>
            <w:tcW w:w="2433" w:type="dxa"/>
            <w:shd w:val="clear" w:color="auto" w:fill="FFFFFF"/>
            <w:vAlign w:val="center"/>
          </w:tcPr>
          <w:p>
            <w:pPr>
              <w:widowControl/>
              <w:spacing w:line="3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待招标确定第三方检测公司后，按照抽检计划开展抽检工作。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0" w:hRule="atLeast"/>
          <w:jc w:val="center"/>
        </w:trPr>
        <w:tc>
          <w:tcPr>
            <w:tcW w:w="1232" w:type="dxa"/>
            <w:vMerge w:val="continue"/>
            <w:shd w:val="clear" w:color="auto" w:fill="FFFFFF"/>
            <w:vAlign w:val="center"/>
          </w:tcPr>
          <w:p>
            <w:pPr>
              <w:autoSpaceDN w:val="0"/>
              <w:spacing w:line="300" w:lineRule="exact"/>
              <w:textAlignment w:val="center"/>
              <w:rPr>
                <w:rFonts w:ascii="Times New Roman" w:hAnsi="Times New Roman" w:eastAsia="方正仿宋简体" w:cs="Times New Roman"/>
                <w:b/>
                <w:sz w:val="24"/>
                <w:szCs w:val="24"/>
              </w:rPr>
            </w:pPr>
          </w:p>
        </w:tc>
        <w:tc>
          <w:tcPr>
            <w:tcW w:w="1001" w:type="dxa"/>
            <w:vMerge w:val="continue"/>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p>
        </w:tc>
        <w:tc>
          <w:tcPr>
            <w:tcW w:w="838" w:type="dxa"/>
            <w:vMerge w:val="continue"/>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p>
        </w:tc>
        <w:tc>
          <w:tcPr>
            <w:tcW w:w="0" w:type="auto"/>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有关镇政府</w:t>
            </w:r>
          </w:p>
        </w:tc>
        <w:tc>
          <w:tcPr>
            <w:tcW w:w="2182" w:type="dxa"/>
            <w:shd w:val="clear" w:color="auto" w:fill="FFFFFF"/>
            <w:vAlign w:val="center"/>
          </w:tcPr>
          <w:p>
            <w:pPr>
              <w:adjustRightInd w:val="0"/>
              <w:snapToGrid w:val="0"/>
              <w:spacing w:line="3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13.加强食用农产品质量安全监督管理，委托第三方对辖区内农贸市场开展食用农产品快速检测服务，确保全年快检任务总量不少于21600批次。</w:t>
            </w:r>
          </w:p>
        </w:tc>
        <w:tc>
          <w:tcPr>
            <w:tcW w:w="2551" w:type="dxa"/>
            <w:shd w:val="clear" w:color="auto" w:fill="FFFFFF"/>
            <w:vAlign w:val="center"/>
          </w:tcPr>
          <w:p>
            <w:pPr>
              <w:widowControl/>
              <w:spacing w:line="3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已完成快检总数6151批次，不合格6批次，合格率为99.90%。共处理不合格食品42.508公斤。其中蔬菜5656批次，不合格6批次，合格率为99.89%；水产品342批次，不合格0批次，合格率为100%；畜禽肉蛋类153批次，不合格0批次，合格率为100%。</w:t>
            </w:r>
          </w:p>
        </w:tc>
        <w:tc>
          <w:tcPr>
            <w:tcW w:w="793" w:type="dxa"/>
            <w:shd w:val="clear" w:color="auto" w:fill="FFFFFF"/>
            <w:vAlign w:val="center"/>
          </w:tcPr>
          <w:p>
            <w:pPr>
              <w:widowControl/>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28%</w:t>
            </w:r>
          </w:p>
        </w:tc>
        <w:tc>
          <w:tcPr>
            <w:tcW w:w="3436" w:type="dxa"/>
            <w:shd w:val="clear" w:color="auto" w:fill="FFFFFF"/>
            <w:vAlign w:val="center"/>
          </w:tcPr>
          <w:p>
            <w:pPr>
              <w:widowControl/>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无</w:t>
            </w:r>
          </w:p>
        </w:tc>
        <w:tc>
          <w:tcPr>
            <w:tcW w:w="2433" w:type="dxa"/>
            <w:shd w:val="clear" w:color="auto" w:fill="FFFFFF"/>
            <w:vAlign w:val="center"/>
          </w:tcPr>
          <w:p>
            <w:pPr>
              <w:widowControl/>
              <w:spacing w:line="3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按照2024年快速检测方案继续有序开展食用农产品快检工作。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1" w:hRule="atLeast"/>
          <w:jc w:val="center"/>
        </w:trPr>
        <w:tc>
          <w:tcPr>
            <w:tcW w:w="1232" w:type="dxa"/>
            <w:shd w:val="clear" w:color="auto" w:fill="FFFFFF"/>
            <w:vAlign w:val="center"/>
          </w:tcPr>
          <w:p>
            <w:pPr>
              <w:autoSpaceDN w:val="0"/>
              <w:spacing w:line="300" w:lineRule="exact"/>
              <w:textAlignment w:val="center"/>
              <w:rPr>
                <w:rFonts w:ascii="Times New Roman" w:hAnsi="Times New Roman" w:eastAsia="方正仿宋简体" w:cs="Times New Roman"/>
                <w:b/>
                <w:sz w:val="24"/>
                <w:szCs w:val="24"/>
              </w:rPr>
            </w:pPr>
            <w:r>
              <w:rPr>
                <w:rFonts w:ascii="Times New Roman" w:hAnsi="Times New Roman" w:eastAsia="方正仿宋简体" w:cs="Times New Roman"/>
                <w:b/>
                <w:sz w:val="24"/>
                <w:szCs w:val="24"/>
              </w:rPr>
              <w:t>六、开展“救在身边”救护工作</w:t>
            </w:r>
          </w:p>
        </w:tc>
        <w:tc>
          <w:tcPr>
            <w:tcW w:w="1001"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李南轼</w:t>
            </w:r>
          </w:p>
        </w:tc>
        <w:tc>
          <w:tcPr>
            <w:tcW w:w="838" w:type="dxa"/>
            <w:shd w:val="clear" w:color="auto" w:fill="FFFFFF"/>
            <w:vAlign w:val="center"/>
          </w:tcPr>
          <w:p>
            <w:pPr>
              <w:autoSpaceDN w:val="0"/>
              <w:spacing w:line="300" w:lineRule="exact"/>
              <w:jc w:val="center"/>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sz w:val="24"/>
                <w:szCs w:val="24"/>
              </w:rPr>
              <w:t>区红十字会</w:t>
            </w:r>
          </w:p>
        </w:tc>
        <w:tc>
          <w:tcPr>
            <w:tcW w:w="0" w:type="auto"/>
            <w:shd w:val="clear" w:color="auto" w:fill="FFFFFF"/>
            <w:vAlign w:val="center"/>
          </w:tcPr>
          <w:p>
            <w:pPr>
              <w:autoSpaceDN w:val="0"/>
              <w:spacing w:line="300" w:lineRule="exact"/>
              <w:jc w:val="center"/>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sz w:val="24"/>
                <w:szCs w:val="24"/>
              </w:rPr>
              <w:t>区财政局、区金锋集团公司、各镇政府</w:t>
            </w:r>
          </w:p>
        </w:tc>
        <w:tc>
          <w:tcPr>
            <w:tcW w:w="2182"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14.加强基层应急救护阵地建设，建设镇应急救护安全教学点11个，在东平镇珍珠湾旅游区建设红十字救护站，在我区公共区域增加5台AED。实施应急救护师资领航计划，举办一期基层红十字会应急救护师资培训班，培训持证救护师资20人。开展应急救护培训和普及工作，培训持证救护员2000人，普及应急救护知识不低于10000人次。</w:t>
            </w:r>
          </w:p>
        </w:tc>
        <w:tc>
          <w:tcPr>
            <w:tcW w:w="2551"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（1）已开展6期应急救护公益培训班，共培养239名考核合格的持证救护员，其中区直单位开展了3期培训班，已培养了104名救护员。</w:t>
            </w:r>
          </w:p>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（2）已与金锋集团协商好阳东区东平镇珍珠湾旅游区红十字救护站选址事宜，并与市红十字会现场调研落实救护站建设工作。</w:t>
            </w:r>
          </w:p>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（3）委托市红十字会采购2024年应急救护工程项目部分设备，拟计划将第一批设备投放到塘坪镇、东城镇、东平镇等三个应急救护教学点和红十字救护站。</w:t>
            </w:r>
          </w:p>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（4）派出10名热爱红十字事业、符合条件的学员，参加阳江市红十字会举办的2024年第一期应急救护师资培训班。</w:t>
            </w:r>
          </w:p>
        </w:tc>
        <w:tc>
          <w:tcPr>
            <w:tcW w:w="793" w:type="dxa"/>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20%</w:t>
            </w:r>
          </w:p>
        </w:tc>
        <w:tc>
          <w:tcPr>
            <w:tcW w:w="3436" w:type="dxa"/>
            <w:shd w:val="clear" w:color="auto" w:fill="FFFFFF"/>
            <w:vAlign w:val="center"/>
          </w:tcPr>
          <w:p>
            <w:pPr>
              <w:autoSpaceDN w:val="0"/>
              <w:spacing w:line="300" w:lineRule="exact"/>
              <w:jc w:val="lef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区财政和上级红会资金未下达，工作无法顺利开展。</w:t>
            </w:r>
          </w:p>
        </w:tc>
        <w:tc>
          <w:tcPr>
            <w:tcW w:w="2433" w:type="dxa"/>
            <w:shd w:val="clear" w:color="auto" w:fill="FFFFFF"/>
            <w:vAlign w:val="center"/>
          </w:tcPr>
          <w:p>
            <w:pPr>
              <w:autoSpaceDN w:val="0"/>
              <w:spacing w:line="300" w:lineRule="exact"/>
              <w:jc w:val="lef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（1）联系各镇建设镇应急救护安全教学点，并在每个应急救护安全教学点配置应急救护培训设备。</w:t>
            </w:r>
          </w:p>
          <w:p>
            <w:pPr>
              <w:autoSpaceDN w:val="0"/>
              <w:spacing w:line="300" w:lineRule="exact"/>
              <w:jc w:val="lef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（2）继续在区直单位开展应急救护公益培训班，同时计划在教育系统、企业等开展应急救护公益培训班，培养更多持证救护员。</w:t>
            </w:r>
          </w:p>
          <w:p>
            <w:pPr>
              <w:autoSpaceDN w:val="0"/>
              <w:spacing w:line="300" w:lineRule="exact"/>
              <w:jc w:val="left"/>
              <w:textAlignment w:val="center"/>
              <w:rPr>
                <w:rFonts w:ascii="Times New Roman" w:hAnsi="Times New Roman" w:eastAsia="方正仿宋简体" w:cs="Times New Roman"/>
                <w:color w:val="000000"/>
                <w:sz w:val="24"/>
                <w:szCs w:val="24"/>
              </w:rPr>
            </w:pPr>
            <w:r>
              <w:rPr>
                <w:rFonts w:ascii="Times New Roman" w:hAnsi="Times New Roman" w:eastAsia="方正仿宋简体" w:cs="Times New Roman"/>
                <w:color w:val="000000"/>
                <w:sz w:val="24"/>
                <w:szCs w:val="24"/>
              </w:rPr>
              <w:t>（3）结合各重要时间节点，到社区、乡村开展应急救护宣讲活动。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1232" w:type="dxa"/>
            <w:vMerge w:val="restart"/>
            <w:shd w:val="clear" w:color="auto" w:fill="FFFFFF"/>
            <w:vAlign w:val="center"/>
          </w:tcPr>
          <w:p>
            <w:pPr>
              <w:autoSpaceDN w:val="0"/>
              <w:spacing w:line="300" w:lineRule="exact"/>
              <w:textAlignment w:val="center"/>
              <w:rPr>
                <w:rFonts w:ascii="Times New Roman" w:hAnsi="Times New Roman" w:eastAsia="方正仿宋简体" w:cs="Times New Roman"/>
                <w:b/>
                <w:sz w:val="24"/>
                <w:szCs w:val="24"/>
              </w:rPr>
            </w:pPr>
            <w:r>
              <w:rPr>
                <w:rFonts w:ascii="Times New Roman" w:hAnsi="Times New Roman" w:eastAsia="方正仿宋简体" w:cs="Times New Roman"/>
                <w:b/>
                <w:sz w:val="24"/>
                <w:szCs w:val="24"/>
              </w:rPr>
              <w:t>七、推进镇村人居环境整治</w:t>
            </w:r>
          </w:p>
        </w:tc>
        <w:tc>
          <w:tcPr>
            <w:tcW w:w="1001"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关芬宇</w:t>
            </w:r>
          </w:p>
        </w:tc>
        <w:tc>
          <w:tcPr>
            <w:tcW w:w="838" w:type="dxa"/>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区农业农村局</w:t>
            </w:r>
          </w:p>
        </w:tc>
        <w:tc>
          <w:tcPr>
            <w:tcW w:w="0" w:type="auto"/>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有关镇政府</w:t>
            </w:r>
          </w:p>
        </w:tc>
        <w:tc>
          <w:tcPr>
            <w:tcW w:w="2182" w:type="dxa"/>
            <w:shd w:val="clear" w:color="auto" w:fill="FFFFFF"/>
            <w:vAlign w:val="center"/>
          </w:tcPr>
          <w:p>
            <w:pPr>
              <w:adjustRightInd w:val="0"/>
              <w:snapToGrid w:val="0"/>
              <w:spacing w:line="3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15.完成50条村生活污水治理工程，提高农村生活污水治理率。</w:t>
            </w:r>
          </w:p>
        </w:tc>
        <w:tc>
          <w:tcPr>
            <w:tcW w:w="2551" w:type="dxa"/>
            <w:shd w:val="clear" w:color="auto" w:fill="FFFFFF"/>
            <w:vAlign w:val="center"/>
          </w:tcPr>
          <w:p>
            <w:pPr>
              <w:widowControl/>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已完成项目实施方案、可研报告、项目建议书，正在区发改局立项。</w:t>
            </w:r>
          </w:p>
        </w:tc>
        <w:tc>
          <w:tcPr>
            <w:tcW w:w="793" w:type="dxa"/>
            <w:shd w:val="clear" w:color="auto" w:fill="FFFFFF"/>
            <w:vAlign w:val="center"/>
          </w:tcPr>
          <w:p>
            <w:pPr>
              <w:widowControl/>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20%</w:t>
            </w:r>
          </w:p>
        </w:tc>
        <w:tc>
          <w:tcPr>
            <w:tcW w:w="3436" w:type="dxa"/>
            <w:shd w:val="clear" w:color="auto" w:fill="FFFFFF"/>
            <w:vAlign w:val="center"/>
          </w:tcPr>
          <w:p>
            <w:pPr>
              <w:widowControl/>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无</w:t>
            </w:r>
          </w:p>
        </w:tc>
        <w:tc>
          <w:tcPr>
            <w:tcW w:w="2433" w:type="dxa"/>
            <w:shd w:val="clear" w:color="auto" w:fill="FFFFFF"/>
            <w:vAlign w:val="center"/>
          </w:tcPr>
          <w:p>
            <w:pPr>
              <w:widowControl/>
              <w:spacing w:line="3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计划在4月份进行初步设计招投标，5月份进行项目施工招投标。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jc w:val="center"/>
        </w:trPr>
        <w:tc>
          <w:tcPr>
            <w:tcW w:w="1232" w:type="dxa"/>
            <w:vMerge w:val="continue"/>
            <w:shd w:val="clear" w:color="auto" w:fill="FFFFFF"/>
            <w:vAlign w:val="center"/>
          </w:tcPr>
          <w:p>
            <w:pPr>
              <w:autoSpaceDN w:val="0"/>
              <w:spacing w:line="300" w:lineRule="exact"/>
              <w:textAlignment w:val="center"/>
              <w:rPr>
                <w:rFonts w:ascii="Times New Roman" w:hAnsi="Times New Roman" w:eastAsia="方正仿宋简体" w:cs="Times New Roman"/>
                <w:b/>
                <w:sz w:val="24"/>
                <w:szCs w:val="24"/>
              </w:rPr>
            </w:pPr>
          </w:p>
        </w:tc>
        <w:tc>
          <w:tcPr>
            <w:tcW w:w="1001" w:type="dxa"/>
            <w:vMerge w:val="restart"/>
            <w:shd w:val="clear" w:color="auto" w:fill="FFFFFF"/>
            <w:vAlign w:val="center"/>
          </w:tcPr>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利如晁</w:t>
            </w:r>
          </w:p>
        </w:tc>
        <w:tc>
          <w:tcPr>
            <w:tcW w:w="838" w:type="dxa"/>
            <w:vMerge w:val="restart"/>
            <w:shd w:val="clear" w:color="auto" w:fill="FFFFFF"/>
            <w:vAlign w:val="center"/>
          </w:tcPr>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区住房和城乡建设局</w:t>
            </w:r>
          </w:p>
        </w:tc>
        <w:tc>
          <w:tcPr>
            <w:tcW w:w="0" w:type="auto"/>
            <w:vMerge w:val="restart"/>
            <w:shd w:val="clear" w:color="auto" w:fill="FFFFFF"/>
            <w:vAlign w:val="center"/>
          </w:tcPr>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区财政局</w:t>
            </w:r>
            <w:r>
              <w:rPr>
                <w:rFonts w:hint="eastAsia" w:ascii="Times New Roman" w:hAnsi="Times New Roman" w:eastAsia="方正仿宋简体" w:cs="Times New Roman"/>
                <w:sz w:val="24"/>
                <w:szCs w:val="24"/>
              </w:rPr>
              <w:t>、</w:t>
            </w:r>
          </w:p>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市自然资源局阳东分局</w:t>
            </w:r>
            <w:r>
              <w:rPr>
                <w:rFonts w:hint="eastAsia" w:ascii="Times New Roman" w:hAnsi="Times New Roman" w:eastAsia="方正仿宋简体" w:cs="Times New Roman"/>
                <w:sz w:val="24"/>
                <w:szCs w:val="24"/>
              </w:rPr>
              <w:t>、</w:t>
            </w:r>
          </w:p>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区土储中心</w:t>
            </w:r>
            <w:r>
              <w:rPr>
                <w:rFonts w:hint="eastAsia" w:ascii="Times New Roman" w:hAnsi="Times New Roman" w:eastAsia="方正仿宋简体" w:cs="Times New Roman"/>
                <w:sz w:val="24"/>
                <w:szCs w:val="24"/>
              </w:rPr>
              <w:t>、</w:t>
            </w:r>
          </w:p>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有关镇政府</w:t>
            </w:r>
          </w:p>
        </w:tc>
        <w:tc>
          <w:tcPr>
            <w:tcW w:w="2182" w:type="dxa"/>
            <w:shd w:val="clear" w:color="auto" w:fill="FFFFFF"/>
            <w:vAlign w:val="center"/>
          </w:tcPr>
          <w:p>
            <w:pPr>
              <w:adjustRightInd w:val="0"/>
              <w:snapToGrid w:val="0"/>
              <w:spacing w:line="3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16.动工建设新洲、大沟、雅韶、那龙、塘坪等镇污水处理厂。</w:t>
            </w:r>
          </w:p>
        </w:tc>
        <w:tc>
          <w:tcPr>
            <w:tcW w:w="2551" w:type="dxa"/>
            <w:shd w:val="clear" w:color="auto" w:fill="FFFFFF"/>
            <w:vAlign w:val="center"/>
          </w:tcPr>
          <w:p>
            <w:pPr>
              <w:spacing w:line="3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大沟镇、新洲镇污水处理厂目前已开工建设，雅韶镇、那龙镇、塘坪镇正在办理用地报批手续。</w:t>
            </w:r>
          </w:p>
        </w:tc>
        <w:tc>
          <w:tcPr>
            <w:tcW w:w="793" w:type="dxa"/>
            <w:shd w:val="clear" w:color="auto" w:fill="FFFFFF"/>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20%</w:t>
            </w:r>
          </w:p>
        </w:tc>
        <w:tc>
          <w:tcPr>
            <w:tcW w:w="3436" w:type="dxa"/>
            <w:shd w:val="clear" w:color="auto" w:fill="FFFFFF"/>
            <w:vAlign w:val="center"/>
          </w:tcPr>
          <w:p>
            <w:pPr>
              <w:spacing w:line="3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雅韶镇、那龙镇、塘坪镇尚未完成用地报批手续。</w:t>
            </w:r>
          </w:p>
        </w:tc>
        <w:tc>
          <w:tcPr>
            <w:tcW w:w="2433" w:type="dxa"/>
            <w:shd w:val="clear" w:color="auto" w:fill="FFFFFF"/>
            <w:vAlign w:val="center"/>
          </w:tcPr>
          <w:p>
            <w:pPr>
              <w:spacing w:line="3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加快完成雅韶镇、那龙镇、塘坪镇用地报批手续。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6" w:hRule="atLeast"/>
          <w:jc w:val="center"/>
        </w:trPr>
        <w:tc>
          <w:tcPr>
            <w:tcW w:w="1232" w:type="dxa"/>
            <w:vMerge w:val="continue"/>
            <w:shd w:val="clear" w:color="auto" w:fill="FFFFFF"/>
            <w:vAlign w:val="center"/>
          </w:tcPr>
          <w:p>
            <w:pPr>
              <w:autoSpaceDN w:val="0"/>
              <w:spacing w:line="300" w:lineRule="exact"/>
              <w:textAlignment w:val="center"/>
              <w:rPr>
                <w:rFonts w:ascii="Times New Roman" w:hAnsi="Times New Roman" w:eastAsia="方正仿宋简体" w:cs="Times New Roman"/>
                <w:b/>
                <w:sz w:val="24"/>
                <w:szCs w:val="24"/>
              </w:rPr>
            </w:pPr>
          </w:p>
        </w:tc>
        <w:tc>
          <w:tcPr>
            <w:tcW w:w="1001" w:type="dxa"/>
            <w:vMerge w:val="continue"/>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p>
        </w:tc>
        <w:tc>
          <w:tcPr>
            <w:tcW w:w="838" w:type="dxa"/>
            <w:vMerge w:val="continue"/>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p>
        </w:tc>
        <w:tc>
          <w:tcPr>
            <w:tcW w:w="0" w:type="auto"/>
            <w:vMerge w:val="continue"/>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p>
        </w:tc>
        <w:tc>
          <w:tcPr>
            <w:tcW w:w="2182" w:type="dxa"/>
            <w:shd w:val="clear" w:color="auto" w:fill="FFFFFF"/>
            <w:vAlign w:val="center"/>
          </w:tcPr>
          <w:p>
            <w:pPr>
              <w:adjustRightInd w:val="0"/>
              <w:snapToGrid w:val="0"/>
              <w:spacing w:line="3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17.动工建设雅韶、大沟、新洲、那龙、塘坪等5个镇垃圾中转站，加大农村垃圾“日产日清”的力度。</w:t>
            </w:r>
          </w:p>
        </w:tc>
        <w:tc>
          <w:tcPr>
            <w:tcW w:w="2551" w:type="dxa"/>
            <w:shd w:val="clear" w:color="auto" w:fill="FFFFFF"/>
            <w:vAlign w:val="center"/>
          </w:tcPr>
          <w:p>
            <w:pPr>
              <w:spacing w:line="3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雅韶、大沟、新洲、那龙、塘坪镇垃圾中转站目前已完成概算审核，正在筹备招标工作；雅韶、大沟、新洲、那龙镇垃圾中转站已完成用地报批手续，塘坪镇垃圾中转站正在办理用地报批手续。已督促运营公司增加车辆，及时清运垃圾，杜绝发生垃圾转运落地情况。</w:t>
            </w:r>
          </w:p>
        </w:tc>
        <w:tc>
          <w:tcPr>
            <w:tcW w:w="793" w:type="dxa"/>
            <w:shd w:val="clear" w:color="auto" w:fill="FFFFFF"/>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21%</w:t>
            </w:r>
          </w:p>
        </w:tc>
        <w:tc>
          <w:tcPr>
            <w:tcW w:w="3436" w:type="dxa"/>
            <w:shd w:val="clear" w:color="auto" w:fill="FFFFFF"/>
            <w:vAlign w:val="center"/>
          </w:tcPr>
          <w:p>
            <w:pPr>
              <w:spacing w:line="3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塘坪镇尚未完成用地报批手续。</w:t>
            </w:r>
          </w:p>
        </w:tc>
        <w:tc>
          <w:tcPr>
            <w:tcW w:w="2433" w:type="dxa"/>
            <w:shd w:val="clear" w:color="auto" w:fill="FFFFFF"/>
            <w:vAlign w:val="center"/>
          </w:tcPr>
          <w:p>
            <w:pPr>
              <w:spacing w:line="3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加快推进招标工作。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1232" w:type="dxa"/>
            <w:vMerge w:val="restart"/>
            <w:shd w:val="clear" w:color="auto" w:fill="FFFFFF"/>
            <w:vAlign w:val="center"/>
          </w:tcPr>
          <w:p>
            <w:pPr>
              <w:autoSpaceDN w:val="0"/>
              <w:spacing w:line="300" w:lineRule="exact"/>
              <w:textAlignment w:val="center"/>
              <w:rPr>
                <w:rFonts w:ascii="Times New Roman" w:hAnsi="Times New Roman" w:eastAsia="方正仿宋简体" w:cs="Times New Roman"/>
                <w:b/>
                <w:sz w:val="24"/>
                <w:szCs w:val="24"/>
              </w:rPr>
            </w:pPr>
            <w:r>
              <w:rPr>
                <w:rFonts w:ascii="Times New Roman" w:hAnsi="Times New Roman" w:eastAsia="方正仿宋简体" w:cs="Times New Roman"/>
                <w:b/>
                <w:sz w:val="24"/>
                <w:szCs w:val="24"/>
              </w:rPr>
              <w:t>八、优化交通基础设施建设</w:t>
            </w:r>
          </w:p>
        </w:tc>
        <w:tc>
          <w:tcPr>
            <w:tcW w:w="1001" w:type="dxa"/>
            <w:vMerge w:val="restart"/>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利如晁</w:t>
            </w:r>
          </w:p>
        </w:tc>
        <w:tc>
          <w:tcPr>
            <w:tcW w:w="838" w:type="dxa"/>
            <w:vMerge w:val="restart"/>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区交通运输局</w:t>
            </w:r>
          </w:p>
        </w:tc>
        <w:tc>
          <w:tcPr>
            <w:tcW w:w="0" w:type="auto"/>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有关镇政府</w:t>
            </w:r>
          </w:p>
        </w:tc>
        <w:tc>
          <w:tcPr>
            <w:tcW w:w="2182" w:type="dxa"/>
            <w:shd w:val="clear" w:color="auto" w:fill="FFFFFF"/>
            <w:vAlign w:val="center"/>
          </w:tcPr>
          <w:p>
            <w:pPr>
              <w:spacing w:line="3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18.完成60公里村道安防工程。</w:t>
            </w:r>
          </w:p>
        </w:tc>
        <w:tc>
          <w:tcPr>
            <w:tcW w:w="2551"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正在进行设计，预计10月底完成。</w:t>
            </w:r>
          </w:p>
        </w:tc>
        <w:tc>
          <w:tcPr>
            <w:tcW w:w="793" w:type="dxa"/>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15%</w:t>
            </w:r>
          </w:p>
        </w:tc>
        <w:tc>
          <w:tcPr>
            <w:tcW w:w="3436"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需区财政配套资金120万元。</w:t>
            </w:r>
          </w:p>
        </w:tc>
        <w:tc>
          <w:tcPr>
            <w:tcW w:w="2433"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继续加快推进项目建设。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1232" w:type="dxa"/>
            <w:vMerge w:val="continue"/>
            <w:shd w:val="clear" w:color="auto" w:fill="FFFFFF"/>
            <w:vAlign w:val="center"/>
          </w:tcPr>
          <w:p>
            <w:pPr>
              <w:autoSpaceDN w:val="0"/>
              <w:spacing w:line="300" w:lineRule="exact"/>
              <w:textAlignment w:val="center"/>
              <w:rPr>
                <w:rFonts w:ascii="Times New Roman" w:hAnsi="Times New Roman" w:eastAsia="方正仿宋简体" w:cs="Times New Roman"/>
                <w:b/>
                <w:sz w:val="24"/>
                <w:szCs w:val="24"/>
              </w:rPr>
            </w:pPr>
          </w:p>
        </w:tc>
        <w:tc>
          <w:tcPr>
            <w:tcW w:w="1001" w:type="dxa"/>
            <w:vMerge w:val="continue"/>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p>
        </w:tc>
        <w:tc>
          <w:tcPr>
            <w:tcW w:w="838" w:type="dxa"/>
            <w:vMerge w:val="continue"/>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p>
        </w:tc>
        <w:tc>
          <w:tcPr>
            <w:tcW w:w="0" w:type="auto"/>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有关镇政府</w:t>
            </w:r>
          </w:p>
        </w:tc>
        <w:tc>
          <w:tcPr>
            <w:tcW w:w="2182"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19.完成60公里农村公路单改双及路网联结工程。</w:t>
            </w:r>
          </w:p>
        </w:tc>
        <w:tc>
          <w:tcPr>
            <w:tcW w:w="2551"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已完成10公里单改双工程，预计11月底完成。</w:t>
            </w:r>
          </w:p>
        </w:tc>
        <w:tc>
          <w:tcPr>
            <w:tcW w:w="793" w:type="dxa"/>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10%</w:t>
            </w:r>
          </w:p>
        </w:tc>
        <w:tc>
          <w:tcPr>
            <w:tcW w:w="3436"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需区财政配套资金约1000万元。</w:t>
            </w:r>
          </w:p>
        </w:tc>
        <w:tc>
          <w:tcPr>
            <w:tcW w:w="2433"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继续加快推进项目建设。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jc w:val="center"/>
        </w:trPr>
        <w:tc>
          <w:tcPr>
            <w:tcW w:w="1232" w:type="dxa"/>
            <w:vMerge w:val="continue"/>
            <w:shd w:val="clear" w:color="auto" w:fill="FFFFFF"/>
            <w:vAlign w:val="center"/>
          </w:tcPr>
          <w:p>
            <w:pPr>
              <w:autoSpaceDN w:val="0"/>
              <w:spacing w:line="300" w:lineRule="exact"/>
              <w:textAlignment w:val="center"/>
              <w:rPr>
                <w:rFonts w:ascii="Times New Roman" w:hAnsi="Times New Roman" w:eastAsia="方正仿宋简体" w:cs="Times New Roman"/>
                <w:b/>
                <w:sz w:val="24"/>
                <w:szCs w:val="24"/>
              </w:rPr>
            </w:pPr>
          </w:p>
        </w:tc>
        <w:tc>
          <w:tcPr>
            <w:tcW w:w="1001" w:type="dxa"/>
            <w:vMerge w:val="continue"/>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p>
        </w:tc>
        <w:tc>
          <w:tcPr>
            <w:tcW w:w="838" w:type="dxa"/>
            <w:vMerge w:val="continue"/>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p>
        </w:tc>
        <w:tc>
          <w:tcPr>
            <w:tcW w:w="0" w:type="auto"/>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有关镇政府</w:t>
            </w:r>
          </w:p>
        </w:tc>
        <w:tc>
          <w:tcPr>
            <w:tcW w:w="2182"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20.完成危桥改造工程6座。</w:t>
            </w:r>
          </w:p>
        </w:tc>
        <w:tc>
          <w:tcPr>
            <w:tcW w:w="2551"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6座危桥已完成2座（大四桥、水口村桥），其余4座已完成桩基础建设，预计10月底完成。</w:t>
            </w:r>
          </w:p>
        </w:tc>
        <w:tc>
          <w:tcPr>
            <w:tcW w:w="793" w:type="dxa"/>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30%</w:t>
            </w:r>
          </w:p>
        </w:tc>
        <w:tc>
          <w:tcPr>
            <w:tcW w:w="3436"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需区财政配套资金约300万元。</w:t>
            </w:r>
          </w:p>
        </w:tc>
        <w:tc>
          <w:tcPr>
            <w:tcW w:w="2433"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继续加快推进项目建设。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1232" w:type="dxa"/>
            <w:vMerge w:val="continue"/>
            <w:shd w:val="clear" w:color="auto" w:fill="FFFFFF"/>
            <w:vAlign w:val="center"/>
          </w:tcPr>
          <w:p>
            <w:pPr>
              <w:autoSpaceDN w:val="0"/>
              <w:spacing w:line="300" w:lineRule="exact"/>
              <w:textAlignment w:val="center"/>
              <w:rPr>
                <w:rFonts w:ascii="Times New Roman" w:hAnsi="Times New Roman" w:eastAsia="方正仿宋简体" w:cs="Times New Roman"/>
                <w:b/>
                <w:sz w:val="24"/>
                <w:szCs w:val="24"/>
              </w:rPr>
            </w:pPr>
          </w:p>
        </w:tc>
        <w:tc>
          <w:tcPr>
            <w:tcW w:w="1001" w:type="dxa"/>
            <w:vMerge w:val="continue"/>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p>
        </w:tc>
        <w:tc>
          <w:tcPr>
            <w:tcW w:w="838" w:type="dxa"/>
            <w:vMerge w:val="continue"/>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p>
        </w:tc>
        <w:tc>
          <w:tcPr>
            <w:tcW w:w="0" w:type="auto"/>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区财政局</w:t>
            </w:r>
            <w:r>
              <w:rPr>
                <w:rFonts w:hint="eastAsia" w:ascii="Times New Roman" w:hAnsi="Times New Roman" w:eastAsia="方正仿宋简体" w:cs="Times New Roman"/>
                <w:sz w:val="24"/>
                <w:szCs w:val="24"/>
              </w:rPr>
              <w:t>、</w:t>
            </w:r>
          </w:p>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各镇政府</w:t>
            </w:r>
          </w:p>
        </w:tc>
        <w:tc>
          <w:tcPr>
            <w:tcW w:w="2182"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21.做好农村道路的管护工作，各镇完成30公里（示范段）管养任务。</w:t>
            </w:r>
          </w:p>
        </w:tc>
        <w:tc>
          <w:tcPr>
            <w:tcW w:w="2551"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正在制定计划，预计12月底完成。</w:t>
            </w:r>
          </w:p>
        </w:tc>
        <w:tc>
          <w:tcPr>
            <w:tcW w:w="793" w:type="dxa"/>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3%</w:t>
            </w:r>
          </w:p>
        </w:tc>
        <w:tc>
          <w:tcPr>
            <w:tcW w:w="3436"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养护资金33万元需区财政解决。</w:t>
            </w:r>
          </w:p>
        </w:tc>
        <w:tc>
          <w:tcPr>
            <w:tcW w:w="2433"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继续加快推进项目建设。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8" w:hRule="atLeast"/>
          <w:jc w:val="center"/>
        </w:trPr>
        <w:tc>
          <w:tcPr>
            <w:tcW w:w="1232" w:type="dxa"/>
            <w:vMerge w:val="restart"/>
            <w:shd w:val="clear" w:color="auto" w:fill="FFFFFF"/>
            <w:vAlign w:val="center"/>
          </w:tcPr>
          <w:p>
            <w:pPr>
              <w:autoSpaceDN w:val="0"/>
              <w:spacing w:line="300" w:lineRule="exact"/>
              <w:textAlignment w:val="center"/>
              <w:rPr>
                <w:rFonts w:ascii="Times New Roman" w:hAnsi="Times New Roman" w:eastAsia="方正仿宋简体" w:cs="Times New Roman"/>
                <w:b/>
                <w:sz w:val="24"/>
                <w:szCs w:val="24"/>
              </w:rPr>
            </w:pPr>
            <w:r>
              <w:rPr>
                <w:rFonts w:ascii="Times New Roman" w:hAnsi="Times New Roman" w:eastAsia="方正仿宋简体" w:cs="Times New Roman"/>
                <w:b/>
                <w:sz w:val="24"/>
                <w:szCs w:val="24"/>
              </w:rPr>
              <w:t>九、完善园区道路建设</w:t>
            </w:r>
          </w:p>
        </w:tc>
        <w:tc>
          <w:tcPr>
            <w:tcW w:w="1001" w:type="dxa"/>
            <w:vMerge w:val="restart"/>
            <w:shd w:val="clear" w:color="auto" w:fill="FFFFFF"/>
            <w:vAlign w:val="center"/>
          </w:tcPr>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利如晁</w:t>
            </w:r>
          </w:p>
        </w:tc>
        <w:tc>
          <w:tcPr>
            <w:tcW w:w="838" w:type="dxa"/>
            <w:shd w:val="clear" w:color="auto" w:fill="FFFFFF"/>
            <w:vAlign w:val="center"/>
          </w:tcPr>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区城市管理和综合执法局</w:t>
            </w:r>
          </w:p>
        </w:tc>
        <w:tc>
          <w:tcPr>
            <w:tcW w:w="0" w:type="auto"/>
            <w:shd w:val="clear" w:color="auto" w:fill="FFFFFF"/>
            <w:vAlign w:val="center"/>
          </w:tcPr>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广东阳东经开区管委会</w:t>
            </w:r>
          </w:p>
        </w:tc>
        <w:tc>
          <w:tcPr>
            <w:tcW w:w="2182" w:type="dxa"/>
            <w:shd w:val="clear" w:color="auto" w:fill="FFFFFF"/>
            <w:vAlign w:val="center"/>
          </w:tcPr>
          <w:p>
            <w:pPr>
              <w:adjustRightInd w:val="0"/>
              <w:snapToGrid w:val="0"/>
              <w:spacing w:line="3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22.优化工业园区路网建设，对裕东一路、永兴五路、永兴一路、裕东四路进行改造，年内完成总工程量的85%。</w:t>
            </w:r>
          </w:p>
        </w:tc>
        <w:tc>
          <w:tcPr>
            <w:tcW w:w="2551"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已完成裕东一路、永兴五路、永兴一路、裕东四路改造并开放通车。</w:t>
            </w:r>
          </w:p>
        </w:tc>
        <w:tc>
          <w:tcPr>
            <w:tcW w:w="793" w:type="dxa"/>
            <w:shd w:val="clear" w:color="auto" w:fill="FFFFFF"/>
            <w:vAlign w:val="center"/>
          </w:tcPr>
          <w:p>
            <w:pPr>
              <w:widowControl/>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100%</w:t>
            </w:r>
          </w:p>
        </w:tc>
        <w:tc>
          <w:tcPr>
            <w:tcW w:w="3436" w:type="dxa"/>
            <w:shd w:val="clear" w:color="auto" w:fill="FFFFFF"/>
            <w:vAlign w:val="center"/>
          </w:tcPr>
          <w:p>
            <w:pPr>
              <w:widowControl/>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无</w:t>
            </w:r>
          </w:p>
        </w:tc>
        <w:tc>
          <w:tcPr>
            <w:tcW w:w="2433" w:type="dxa"/>
            <w:shd w:val="clear" w:color="auto" w:fill="FFFFFF"/>
            <w:vAlign w:val="center"/>
          </w:tcPr>
          <w:p>
            <w:pPr>
              <w:widowControl/>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1232" w:type="dxa"/>
            <w:vMerge w:val="continue"/>
            <w:shd w:val="clear" w:color="auto" w:fill="FFFFFF"/>
            <w:vAlign w:val="center"/>
          </w:tcPr>
          <w:p>
            <w:pPr>
              <w:autoSpaceDN w:val="0"/>
              <w:spacing w:line="300" w:lineRule="exact"/>
              <w:textAlignment w:val="center"/>
              <w:rPr>
                <w:rFonts w:ascii="Times New Roman" w:hAnsi="Times New Roman" w:eastAsia="方正仿宋简体" w:cs="Times New Roman"/>
                <w:b/>
                <w:sz w:val="24"/>
                <w:szCs w:val="24"/>
              </w:rPr>
            </w:pPr>
          </w:p>
        </w:tc>
        <w:tc>
          <w:tcPr>
            <w:tcW w:w="1001" w:type="dxa"/>
            <w:vMerge w:val="continue"/>
            <w:shd w:val="clear" w:color="auto" w:fill="FFFFFF"/>
            <w:vAlign w:val="center"/>
          </w:tcPr>
          <w:p>
            <w:pPr>
              <w:adjustRightInd w:val="0"/>
              <w:snapToGrid w:val="0"/>
              <w:spacing w:line="300" w:lineRule="exact"/>
              <w:jc w:val="center"/>
              <w:rPr>
                <w:rFonts w:ascii="Times New Roman" w:hAnsi="Times New Roman" w:eastAsia="方正仿宋简体" w:cs="Times New Roman"/>
                <w:sz w:val="24"/>
                <w:szCs w:val="24"/>
              </w:rPr>
            </w:pPr>
          </w:p>
        </w:tc>
        <w:tc>
          <w:tcPr>
            <w:tcW w:w="838" w:type="dxa"/>
            <w:shd w:val="clear" w:color="auto" w:fill="FFFFFF"/>
            <w:vAlign w:val="center"/>
          </w:tcPr>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区交通运输局</w:t>
            </w:r>
          </w:p>
        </w:tc>
        <w:tc>
          <w:tcPr>
            <w:tcW w:w="0" w:type="auto"/>
            <w:shd w:val="clear" w:color="auto" w:fill="FFFFFF"/>
            <w:vAlign w:val="center"/>
          </w:tcPr>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广东阳东经开区管委会</w:t>
            </w:r>
          </w:p>
        </w:tc>
        <w:tc>
          <w:tcPr>
            <w:tcW w:w="2182" w:type="dxa"/>
            <w:shd w:val="clear" w:color="auto" w:fill="FFFFFF"/>
            <w:vAlign w:val="center"/>
          </w:tcPr>
          <w:p>
            <w:pPr>
              <w:adjustRightInd w:val="0"/>
              <w:snapToGrid w:val="0"/>
              <w:spacing w:line="3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23.建设赤城一路。</w:t>
            </w:r>
          </w:p>
        </w:tc>
        <w:tc>
          <w:tcPr>
            <w:tcW w:w="2551"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已动工，预计10月底完成。</w:t>
            </w:r>
          </w:p>
        </w:tc>
        <w:tc>
          <w:tcPr>
            <w:tcW w:w="793" w:type="dxa"/>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10%</w:t>
            </w:r>
          </w:p>
        </w:tc>
        <w:tc>
          <w:tcPr>
            <w:tcW w:w="3436"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需区财政解决建设资金。</w:t>
            </w:r>
          </w:p>
        </w:tc>
        <w:tc>
          <w:tcPr>
            <w:tcW w:w="2433" w:type="dxa"/>
            <w:shd w:val="clear" w:color="auto" w:fill="FFFFFF"/>
            <w:vAlign w:val="center"/>
          </w:tcPr>
          <w:p>
            <w:pPr>
              <w:autoSpaceDN w:val="0"/>
              <w:spacing w:line="300" w:lineRule="exact"/>
              <w:jc w:val="lef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继续加快推进项目建设。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6" w:hRule="atLeast"/>
          <w:jc w:val="center"/>
        </w:trPr>
        <w:tc>
          <w:tcPr>
            <w:tcW w:w="1232" w:type="dxa"/>
            <w:vMerge w:val="restart"/>
            <w:shd w:val="clear" w:color="auto" w:fill="FFFFFF"/>
            <w:vAlign w:val="center"/>
          </w:tcPr>
          <w:p>
            <w:pPr>
              <w:autoSpaceDN w:val="0"/>
              <w:spacing w:line="300" w:lineRule="exact"/>
              <w:textAlignment w:val="center"/>
              <w:rPr>
                <w:rFonts w:ascii="Times New Roman" w:hAnsi="Times New Roman" w:eastAsia="方正仿宋简体" w:cs="Times New Roman"/>
                <w:b/>
                <w:sz w:val="24"/>
                <w:szCs w:val="24"/>
              </w:rPr>
            </w:pPr>
            <w:r>
              <w:rPr>
                <w:rFonts w:ascii="Times New Roman" w:hAnsi="Times New Roman" w:eastAsia="方正仿宋简体" w:cs="Times New Roman"/>
                <w:b/>
                <w:sz w:val="24"/>
                <w:szCs w:val="24"/>
              </w:rPr>
              <w:t>十、完善供电设施建设</w:t>
            </w:r>
          </w:p>
        </w:tc>
        <w:tc>
          <w:tcPr>
            <w:tcW w:w="1001" w:type="dxa"/>
            <w:vMerge w:val="restart"/>
            <w:shd w:val="clear" w:color="auto" w:fill="FFFFFF"/>
            <w:vAlign w:val="center"/>
          </w:tcPr>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陈基雄</w:t>
            </w:r>
          </w:p>
        </w:tc>
        <w:tc>
          <w:tcPr>
            <w:tcW w:w="838" w:type="dxa"/>
            <w:vMerge w:val="restart"/>
            <w:shd w:val="clear" w:color="auto" w:fill="FFFFFF"/>
            <w:vAlign w:val="center"/>
          </w:tcPr>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阳东供电局</w:t>
            </w:r>
          </w:p>
        </w:tc>
        <w:tc>
          <w:tcPr>
            <w:tcW w:w="0" w:type="auto"/>
            <w:shd w:val="clear" w:color="auto" w:fill="FFFFFF"/>
            <w:vAlign w:val="center"/>
          </w:tcPr>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广东阳东经开区管委会</w:t>
            </w:r>
          </w:p>
        </w:tc>
        <w:tc>
          <w:tcPr>
            <w:tcW w:w="2182" w:type="dxa"/>
            <w:shd w:val="clear" w:color="auto" w:fill="FFFFFF"/>
            <w:vAlign w:val="center"/>
          </w:tcPr>
          <w:p>
            <w:pPr>
              <w:adjustRightInd w:val="0"/>
              <w:snapToGrid w:val="0"/>
              <w:spacing w:line="3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24.完成110千伏万象园区变电站项目建设。</w:t>
            </w:r>
          </w:p>
        </w:tc>
        <w:tc>
          <w:tcPr>
            <w:tcW w:w="2551" w:type="dxa"/>
            <w:shd w:val="clear" w:color="auto" w:fill="FFFFFF"/>
            <w:vAlign w:val="center"/>
          </w:tcPr>
          <w:p>
            <w:pPr>
              <w:spacing w:line="300" w:lineRule="exact"/>
              <w:rPr>
                <w:rFonts w:ascii="Times New Roman" w:hAnsi="Times New Roman" w:eastAsia="方正仿宋简体" w:cs="Times New Roman"/>
                <w:sz w:val="24"/>
                <w:szCs w:val="24"/>
              </w:rPr>
            </w:pPr>
            <w:r>
              <w:rPr>
                <w:rFonts w:ascii="Times New Roman" w:hAnsi="Times New Roman" w:eastAsia="方正仿宋简体" w:cs="Times New Roman"/>
                <w:bCs/>
                <w:sz w:val="24"/>
                <w:szCs w:val="24"/>
              </w:rPr>
              <w:t>110千伏万象输变电工程，线路部分已全面开工，目前已完成青赔交地39基，占全部塔基65基的60%，施工基础完成24基。计划4月中下旬开始立塔架线施工；变电站部分，目前已完成三通一平，变电站工规证已办理完毕，施工许可证还在办理中。</w:t>
            </w:r>
          </w:p>
        </w:tc>
        <w:tc>
          <w:tcPr>
            <w:tcW w:w="793" w:type="dxa"/>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30%</w:t>
            </w:r>
          </w:p>
        </w:tc>
        <w:tc>
          <w:tcPr>
            <w:tcW w:w="3436" w:type="dxa"/>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无</w:t>
            </w:r>
          </w:p>
        </w:tc>
        <w:tc>
          <w:tcPr>
            <w:tcW w:w="2433" w:type="dxa"/>
            <w:shd w:val="clear" w:color="auto" w:fill="FFFFFF"/>
            <w:vAlign w:val="center"/>
          </w:tcPr>
          <w:p>
            <w:pPr>
              <w:autoSpaceDN w:val="0"/>
              <w:spacing w:line="300" w:lineRule="exac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（1）继续开展塔基青赔工作，4月开始立塔架线。</w:t>
            </w:r>
          </w:p>
          <w:p>
            <w:pPr>
              <w:autoSpaceDN w:val="0"/>
              <w:spacing w:line="300" w:lineRule="exac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（2）办理施工许可证，4月底开展土建施工。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5" w:hRule="atLeast"/>
          <w:jc w:val="center"/>
        </w:trPr>
        <w:tc>
          <w:tcPr>
            <w:tcW w:w="1232" w:type="dxa"/>
            <w:vMerge w:val="continue"/>
            <w:shd w:val="clear" w:color="auto" w:fill="FFFFFF"/>
            <w:vAlign w:val="center"/>
          </w:tcPr>
          <w:p>
            <w:pPr>
              <w:autoSpaceDN w:val="0"/>
              <w:spacing w:line="300" w:lineRule="exact"/>
              <w:textAlignment w:val="center"/>
              <w:rPr>
                <w:rFonts w:ascii="Times New Roman" w:hAnsi="Times New Roman" w:eastAsia="方正仿宋简体" w:cs="Times New Roman"/>
                <w:b/>
                <w:sz w:val="24"/>
                <w:szCs w:val="24"/>
              </w:rPr>
            </w:pPr>
          </w:p>
        </w:tc>
        <w:tc>
          <w:tcPr>
            <w:tcW w:w="1001" w:type="dxa"/>
            <w:vMerge w:val="continue"/>
            <w:shd w:val="clear" w:color="auto" w:fill="FFFFFF"/>
            <w:vAlign w:val="center"/>
          </w:tcPr>
          <w:p>
            <w:pPr>
              <w:adjustRightInd w:val="0"/>
              <w:snapToGrid w:val="0"/>
              <w:spacing w:line="300" w:lineRule="exact"/>
              <w:jc w:val="center"/>
              <w:rPr>
                <w:rFonts w:ascii="Times New Roman" w:hAnsi="Times New Roman" w:eastAsia="方正仿宋简体" w:cs="Times New Roman"/>
                <w:sz w:val="24"/>
                <w:szCs w:val="24"/>
              </w:rPr>
            </w:pPr>
          </w:p>
        </w:tc>
        <w:tc>
          <w:tcPr>
            <w:tcW w:w="838" w:type="dxa"/>
            <w:vMerge w:val="continue"/>
            <w:shd w:val="clear" w:color="auto" w:fill="FFFFFF"/>
            <w:vAlign w:val="center"/>
          </w:tcPr>
          <w:p>
            <w:pPr>
              <w:adjustRightInd w:val="0"/>
              <w:snapToGrid w:val="0"/>
              <w:spacing w:line="300" w:lineRule="exact"/>
              <w:jc w:val="center"/>
              <w:rPr>
                <w:rFonts w:ascii="Times New Roman" w:hAnsi="Times New Roman" w:eastAsia="方正仿宋简体" w:cs="Times New Roman"/>
                <w:sz w:val="24"/>
                <w:szCs w:val="24"/>
              </w:rPr>
            </w:pPr>
          </w:p>
        </w:tc>
        <w:tc>
          <w:tcPr>
            <w:tcW w:w="0" w:type="auto"/>
            <w:shd w:val="clear" w:color="auto" w:fill="FFFFFF"/>
            <w:vAlign w:val="center"/>
          </w:tcPr>
          <w:p>
            <w:pPr>
              <w:adjustRightInd w:val="0"/>
              <w:snapToGrid w:val="0"/>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那龙镇政府</w:t>
            </w:r>
          </w:p>
        </w:tc>
        <w:tc>
          <w:tcPr>
            <w:tcW w:w="2182" w:type="dxa"/>
            <w:shd w:val="clear" w:color="auto" w:fill="FFFFFF"/>
            <w:vAlign w:val="center"/>
          </w:tcPr>
          <w:p>
            <w:pPr>
              <w:adjustRightInd w:val="0"/>
              <w:snapToGrid w:val="0"/>
              <w:spacing w:line="3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25.动工建设500千伏阳东（那龙）开关站项目。</w:t>
            </w:r>
          </w:p>
        </w:tc>
        <w:tc>
          <w:tcPr>
            <w:tcW w:w="2551" w:type="dxa"/>
            <w:shd w:val="clear" w:color="auto" w:fill="FFFFFF"/>
            <w:vAlign w:val="center"/>
          </w:tcPr>
          <w:p>
            <w:pPr>
              <w:spacing w:line="300" w:lineRule="exact"/>
              <w:rPr>
                <w:rFonts w:ascii="Times New Roman" w:hAnsi="Times New Roman" w:eastAsia="方正仿宋简体" w:cs="Times New Roman"/>
                <w:sz w:val="24"/>
                <w:szCs w:val="24"/>
              </w:rPr>
            </w:pPr>
            <w:r>
              <w:rPr>
                <w:rFonts w:ascii="Times New Roman" w:hAnsi="Times New Roman" w:eastAsia="方正仿宋简体" w:cs="Times New Roman"/>
                <w:bCs/>
                <w:sz w:val="24"/>
                <w:szCs w:val="24"/>
              </w:rPr>
              <w:t>500千伏阳东开关站项目，正在进行用地报批。项目施工招标已完成，施工前期准备工作正在开展中。</w:t>
            </w:r>
          </w:p>
        </w:tc>
        <w:tc>
          <w:tcPr>
            <w:tcW w:w="793" w:type="dxa"/>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25%</w:t>
            </w:r>
          </w:p>
        </w:tc>
        <w:tc>
          <w:tcPr>
            <w:tcW w:w="3436" w:type="dxa"/>
            <w:shd w:val="clear" w:color="auto" w:fill="FFFFFF"/>
            <w:vAlign w:val="center"/>
          </w:tcPr>
          <w:p>
            <w:pPr>
              <w:autoSpaceDN w:val="0"/>
              <w:spacing w:line="300" w:lineRule="exact"/>
              <w:jc w:val="center"/>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无</w:t>
            </w:r>
          </w:p>
        </w:tc>
        <w:tc>
          <w:tcPr>
            <w:tcW w:w="2433" w:type="dxa"/>
            <w:shd w:val="clear" w:color="auto" w:fill="FFFFFF"/>
            <w:vAlign w:val="center"/>
          </w:tcPr>
          <w:p>
            <w:pPr>
              <w:autoSpaceDN w:val="0"/>
              <w:spacing w:line="300" w:lineRule="exact"/>
              <w:textAlignment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继续完善用地报批手续。</w:t>
            </w:r>
          </w:p>
        </w:tc>
      </w:tr>
    </w:tbl>
    <w:p/>
    <w:sectPr>
      <w:pgSz w:w="16838" w:h="11906" w:orient="landscape"/>
      <w:pgMar w:top="1417" w:right="1440" w:bottom="141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panose1 w:val="02000000000000000000"/>
    <w:charset w:val="86"/>
    <w:family w:val="auto"/>
    <w:pitch w:val="default"/>
    <w:sig w:usb0="00000001" w:usb1="08000000" w:usb2="00000000" w:usb3="00000000" w:csb0="00040000" w:csb1="00000000"/>
  </w:font>
  <w:font w:name="Cambria">
    <w:panose1 w:val="02040803050406030204"/>
    <w:charset w:val="00"/>
    <w:family w:val="roman"/>
    <w:pitch w:val="default"/>
    <w:sig w:usb0="E00002FF" w:usb1="4000045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EFA282"/>
    <w:rsid w:val="7BEFA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2024-04-23T16:19:00Z</dcterms:created>
  <dc:creator>kylin</dc:creator>
  <cp:lastModifiedBy>kylin</cp:lastModifiedBy>
  <dcterms:modified xsi:type="dcterms:W3CDTF">2024-04-23T16:21:18Z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