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00" w:lineRule="exact"/>
        <w:rPr>
          <w:rFonts w:ascii="黑体" w:hAnsi="黑体" w:eastAsia="黑体"/>
          <w:sz w:val="30"/>
          <w:szCs w:val="30"/>
        </w:rPr>
      </w:pPr>
      <w:r>
        <w:rPr>
          <w:rFonts w:hint="eastAsia" w:ascii="黑体" w:hAnsi="黑体" w:eastAsia="黑体"/>
          <w:sz w:val="30"/>
          <w:szCs w:val="30"/>
        </w:rPr>
        <w:t>件</w:t>
      </w:r>
    </w:p>
    <w:p>
      <w:pPr>
        <w:pStyle w:val="10"/>
      </w:pPr>
    </w:p>
    <w:p>
      <w:pPr>
        <w:spacing w:line="500" w:lineRule="exact"/>
        <w:jc w:val="center"/>
        <w:rPr>
          <w:rFonts w:ascii="黑体" w:hAnsi="黑体" w:eastAsia="黑体"/>
          <w:sz w:val="30"/>
          <w:szCs w:val="30"/>
        </w:rPr>
      </w:pPr>
      <w:r>
        <w:rPr>
          <w:rFonts w:hint="eastAsia" w:ascii="方正小标宋简体" w:eastAsia="方正小标宋简体"/>
          <w:sz w:val="44"/>
          <w:szCs w:val="44"/>
        </w:rPr>
        <w:t>2024年阳江市阳东区十件民生实事1-11月完成情况表</w:t>
      </w:r>
    </w:p>
    <w:p>
      <w:pPr>
        <w:spacing w:line="40" w:lineRule="exact"/>
      </w:pPr>
    </w:p>
    <w:p>
      <w:pPr>
        <w:spacing w:line="40" w:lineRule="exact"/>
      </w:pPr>
    </w:p>
    <w:tbl>
      <w:tblPr>
        <w:tblStyle w:val="14"/>
        <w:tblW w:w="158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2"/>
        <w:gridCol w:w="1001"/>
        <w:gridCol w:w="838"/>
        <w:gridCol w:w="1366"/>
        <w:gridCol w:w="1864"/>
        <w:gridCol w:w="3828"/>
        <w:gridCol w:w="992"/>
        <w:gridCol w:w="1438"/>
        <w:gridCol w:w="3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232" w:type="dxa"/>
            <w:shd w:val="clear" w:color="auto" w:fill="FFFFFF"/>
            <w:vAlign w:val="center"/>
          </w:tcPr>
          <w:p>
            <w:pPr>
              <w:autoSpaceDN w:val="0"/>
              <w:spacing w:line="300" w:lineRule="exact"/>
              <w:jc w:val="center"/>
              <w:textAlignment w:val="center"/>
              <w:rPr>
                <w:rFonts w:ascii="黑体" w:hAnsi="黑体" w:eastAsia="黑体"/>
                <w:sz w:val="24"/>
                <w:szCs w:val="24"/>
              </w:rPr>
            </w:pPr>
            <w:r>
              <w:rPr>
                <w:rFonts w:hint="eastAsia" w:ascii="黑体" w:hAnsi="黑体" w:eastAsia="黑体"/>
                <w:sz w:val="24"/>
                <w:szCs w:val="24"/>
              </w:rPr>
              <w:t>实事项目</w:t>
            </w:r>
          </w:p>
        </w:tc>
        <w:tc>
          <w:tcPr>
            <w:tcW w:w="1001" w:type="dxa"/>
            <w:shd w:val="clear" w:color="auto" w:fill="FFFFFF"/>
            <w:vAlign w:val="center"/>
          </w:tcPr>
          <w:p>
            <w:pPr>
              <w:autoSpaceDN w:val="0"/>
              <w:spacing w:line="300" w:lineRule="exact"/>
              <w:jc w:val="center"/>
              <w:textAlignment w:val="center"/>
              <w:rPr>
                <w:rFonts w:ascii="黑体" w:hAnsi="黑体" w:eastAsia="黑体"/>
                <w:sz w:val="24"/>
                <w:szCs w:val="24"/>
              </w:rPr>
            </w:pPr>
            <w:r>
              <w:rPr>
                <w:rFonts w:hint="eastAsia" w:ascii="黑体" w:hAnsi="黑体" w:eastAsia="黑体"/>
                <w:sz w:val="24"/>
                <w:szCs w:val="24"/>
              </w:rPr>
              <w:t>分管区领导</w:t>
            </w:r>
          </w:p>
        </w:tc>
        <w:tc>
          <w:tcPr>
            <w:tcW w:w="838" w:type="dxa"/>
            <w:shd w:val="clear" w:color="auto" w:fill="FFFFFF"/>
            <w:vAlign w:val="center"/>
          </w:tcPr>
          <w:p>
            <w:pPr>
              <w:autoSpaceDN w:val="0"/>
              <w:spacing w:line="300" w:lineRule="exact"/>
              <w:jc w:val="center"/>
              <w:textAlignment w:val="center"/>
              <w:rPr>
                <w:rFonts w:ascii="黑体" w:hAnsi="黑体" w:eastAsia="黑体"/>
                <w:sz w:val="24"/>
                <w:szCs w:val="24"/>
              </w:rPr>
            </w:pPr>
            <w:r>
              <w:rPr>
                <w:rFonts w:hint="eastAsia" w:ascii="黑体" w:hAnsi="黑体" w:eastAsia="黑体"/>
                <w:sz w:val="24"/>
                <w:szCs w:val="24"/>
              </w:rPr>
              <w:t>牵头单位</w:t>
            </w:r>
          </w:p>
        </w:tc>
        <w:tc>
          <w:tcPr>
            <w:tcW w:w="1366" w:type="dxa"/>
            <w:shd w:val="clear" w:color="auto" w:fill="FFFFFF"/>
            <w:vAlign w:val="center"/>
          </w:tcPr>
          <w:p>
            <w:pPr>
              <w:autoSpaceDN w:val="0"/>
              <w:spacing w:line="300" w:lineRule="exact"/>
              <w:jc w:val="center"/>
              <w:textAlignment w:val="center"/>
              <w:rPr>
                <w:rFonts w:ascii="黑体" w:hAnsi="黑体" w:eastAsia="黑体"/>
                <w:sz w:val="24"/>
                <w:szCs w:val="24"/>
              </w:rPr>
            </w:pPr>
            <w:r>
              <w:rPr>
                <w:rFonts w:hint="eastAsia" w:ascii="黑体" w:hAnsi="黑体" w:eastAsia="黑体"/>
                <w:sz w:val="24"/>
                <w:szCs w:val="24"/>
              </w:rPr>
              <w:t>配合单位</w:t>
            </w:r>
          </w:p>
        </w:tc>
        <w:tc>
          <w:tcPr>
            <w:tcW w:w="1864" w:type="dxa"/>
            <w:shd w:val="clear" w:color="auto" w:fill="FFFFFF"/>
            <w:vAlign w:val="center"/>
          </w:tcPr>
          <w:p>
            <w:pPr>
              <w:autoSpaceDN w:val="0"/>
              <w:spacing w:line="300" w:lineRule="exact"/>
              <w:jc w:val="center"/>
              <w:textAlignment w:val="center"/>
              <w:rPr>
                <w:rFonts w:ascii="黑体" w:hAnsi="黑体" w:eastAsia="黑体"/>
                <w:sz w:val="24"/>
                <w:szCs w:val="24"/>
              </w:rPr>
            </w:pPr>
            <w:r>
              <w:rPr>
                <w:rFonts w:hint="eastAsia" w:ascii="黑体" w:hAnsi="黑体" w:eastAsia="黑体"/>
                <w:sz w:val="24"/>
                <w:szCs w:val="24"/>
              </w:rPr>
              <w:t>工作任务</w:t>
            </w:r>
          </w:p>
        </w:tc>
        <w:tc>
          <w:tcPr>
            <w:tcW w:w="3828" w:type="dxa"/>
            <w:shd w:val="clear" w:color="auto" w:fill="FFFFFF"/>
            <w:vAlign w:val="center"/>
          </w:tcPr>
          <w:p>
            <w:pPr>
              <w:autoSpaceDN w:val="0"/>
              <w:spacing w:line="300" w:lineRule="exact"/>
              <w:jc w:val="center"/>
              <w:textAlignment w:val="center"/>
              <w:rPr>
                <w:rFonts w:ascii="黑体" w:hAnsi="黑体" w:eastAsia="黑体"/>
                <w:sz w:val="24"/>
                <w:szCs w:val="24"/>
              </w:rPr>
            </w:pPr>
            <w:r>
              <w:rPr>
                <w:rFonts w:hint="eastAsia" w:ascii="黑体" w:hAnsi="黑体" w:eastAsia="黑体"/>
                <w:sz w:val="24"/>
                <w:szCs w:val="24"/>
              </w:rPr>
              <w:t>工作进展情况</w:t>
            </w:r>
          </w:p>
        </w:tc>
        <w:tc>
          <w:tcPr>
            <w:tcW w:w="992" w:type="dxa"/>
            <w:shd w:val="clear" w:color="auto" w:fill="FFFFFF"/>
            <w:vAlign w:val="center"/>
          </w:tcPr>
          <w:p>
            <w:pPr>
              <w:autoSpaceDN w:val="0"/>
              <w:spacing w:line="300" w:lineRule="exact"/>
              <w:jc w:val="center"/>
              <w:textAlignment w:val="center"/>
              <w:rPr>
                <w:rFonts w:ascii="黑体" w:hAnsi="黑体" w:eastAsia="黑体"/>
                <w:sz w:val="24"/>
                <w:szCs w:val="24"/>
              </w:rPr>
            </w:pPr>
            <w:r>
              <w:rPr>
                <w:rFonts w:hint="eastAsia" w:ascii="黑体" w:hAnsi="黑体" w:eastAsia="黑体"/>
                <w:sz w:val="24"/>
                <w:szCs w:val="24"/>
              </w:rPr>
              <w:t>完成</w:t>
            </w:r>
          </w:p>
          <w:p>
            <w:pPr>
              <w:autoSpaceDN w:val="0"/>
              <w:spacing w:line="300" w:lineRule="exact"/>
              <w:jc w:val="center"/>
              <w:textAlignment w:val="center"/>
              <w:rPr>
                <w:rFonts w:ascii="黑体" w:hAnsi="黑体" w:eastAsia="黑体"/>
                <w:sz w:val="24"/>
                <w:szCs w:val="24"/>
              </w:rPr>
            </w:pPr>
            <w:r>
              <w:rPr>
                <w:rFonts w:hint="eastAsia" w:ascii="黑体" w:hAnsi="黑体" w:eastAsia="黑体"/>
                <w:sz w:val="24"/>
                <w:szCs w:val="24"/>
              </w:rPr>
              <w:t>情况</w:t>
            </w:r>
          </w:p>
        </w:tc>
        <w:tc>
          <w:tcPr>
            <w:tcW w:w="1438" w:type="dxa"/>
            <w:shd w:val="clear" w:color="auto" w:fill="FFFFFF"/>
            <w:vAlign w:val="center"/>
          </w:tcPr>
          <w:p>
            <w:pPr>
              <w:autoSpaceDN w:val="0"/>
              <w:spacing w:line="300" w:lineRule="exact"/>
              <w:jc w:val="center"/>
              <w:textAlignment w:val="center"/>
              <w:rPr>
                <w:rFonts w:ascii="黑体" w:hAnsi="黑体" w:eastAsia="黑体"/>
                <w:sz w:val="24"/>
                <w:szCs w:val="24"/>
              </w:rPr>
            </w:pPr>
            <w:r>
              <w:rPr>
                <w:rFonts w:hint="eastAsia" w:ascii="黑体" w:hAnsi="黑体" w:eastAsia="黑体"/>
                <w:sz w:val="24"/>
                <w:szCs w:val="24"/>
              </w:rPr>
              <w:t>存在问题</w:t>
            </w:r>
          </w:p>
        </w:tc>
        <w:tc>
          <w:tcPr>
            <w:tcW w:w="3273" w:type="dxa"/>
            <w:shd w:val="clear" w:color="auto" w:fill="FFFFFF"/>
            <w:vAlign w:val="center"/>
          </w:tcPr>
          <w:p>
            <w:pPr>
              <w:autoSpaceDN w:val="0"/>
              <w:spacing w:line="300" w:lineRule="exact"/>
              <w:jc w:val="center"/>
              <w:textAlignment w:val="center"/>
              <w:rPr>
                <w:rFonts w:ascii="黑体" w:hAnsi="黑体" w:eastAsia="黑体"/>
                <w:sz w:val="24"/>
                <w:szCs w:val="24"/>
              </w:rPr>
            </w:pPr>
            <w:r>
              <w:rPr>
                <w:rFonts w:hint="eastAsia" w:ascii="黑体" w:hAnsi="黑体" w:eastAsia="黑体"/>
                <w:sz w:val="24"/>
                <w:szCs w:val="24"/>
              </w:rPr>
              <w:t>下步计划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5" w:hRule="atLeast"/>
          <w:jc w:val="center"/>
        </w:trPr>
        <w:tc>
          <w:tcPr>
            <w:tcW w:w="1232" w:type="dxa"/>
            <w:vMerge w:val="restart"/>
            <w:shd w:val="clear" w:color="auto" w:fill="FFFFFF"/>
            <w:vAlign w:val="center"/>
          </w:tcPr>
          <w:p>
            <w:pPr>
              <w:autoSpaceDN w:val="0"/>
              <w:spacing w:line="300" w:lineRule="exact"/>
              <w:textAlignment w:val="center"/>
              <w:rPr>
                <w:rFonts w:eastAsia="方正仿宋简体"/>
                <w:b/>
                <w:sz w:val="24"/>
                <w:szCs w:val="24"/>
              </w:rPr>
            </w:pPr>
            <w:r>
              <w:rPr>
                <w:rFonts w:eastAsia="方正仿宋简体"/>
                <w:b/>
                <w:sz w:val="24"/>
                <w:szCs w:val="24"/>
              </w:rPr>
              <w:t>一、提升医养服务水平</w:t>
            </w:r>
          </w:p>
        </w:tc>
        <w:tc>
          <w:tcPr>
            <w:tcW w:w="1001" w:type="dxa"/>
            <w:vMerge w:val="restart"/>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李南轼</w:t>
            </w:r>
          </w:p>
        </w:tc>
        <w:tc>
          <w:tcPr>
            <w:tcW w:w="838" w:type="dxa"/>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区卫生健康局</w:t>
            </w:r>
          </w:p>
        </w:tc>
        <w:tc>
          <w:tcPr>
            <w:tcW w:w="1366" w:type="dxa"/>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红丰镇政府</w:t>
            </w:r>
          </w:p>
        </w:tc>
        <w:tc>
          <w:tcPr>
            <w:tcW w:w="1864" w:type="dxa"/>
            <w:shd w:val="clear" w:color="auto" w:fill="FFFFFF"/>
            <w:vAlign w:val="center"/>
          </w:tcPr>
          <w:p>
            <w:pPr>
              <w:autoSpaceDN w:val="0"/>
              <w:spacing w:line="300" w:lineRule="exact"/>
              <w:textAlignment w:val="center"/>
              <w:rPr>
                <w:rFonts w:eastAsia="方正仿宋简体"/>
                <w:sz w:val="24"/>
                <w:szCs w:val="24"/>
              </w:rPr>
            </w:pPr>
            <w:r>
              <w:rPr>
                <w:rFonts w:eastAsia="方正仿宋简体"/>
                <w:sz w:val="24"/>
                <w:szCs w:val="24"/>
              </w:rPr>
              <w:t>1.在红丰镇卫生院建设区第一家公立医院医养结合服务中心。</w:t>
            </w:r>
          </w:p>
        </w:tc>
        <w:tc>
          <w:tcPr>
            <w:tcW w:w="3828" w:type="dxa"/>
            <w:shd w:val="clear" w:color="auto" w:fill="FFFFFF"/>
            <w:vAlign w:val="center"/>
          </w:tcPr>
          <w:p>
            <w:pPr>
              <w:autoSpaceDN w:val="0"/>
              <w:spacing w:line="280" w:lineRule="exact"/>
              <w:textAlignment w:val="center"/>
              <w:rPr>
                <w:rFonts w:eastAsia="方正仿宋简体"/>
                <w:sz w:val="24"/>
                <w:szCs w:val="24"/>
              </w:rPr>
            </w:pPr>
            <w:r>
              <w:rPr>
                <w:rFonts w:hint="eastAsia" w:eastAsia="方正仿宋简体"/>
                <w:sz w:val="24"/>
                <w:szCs w:val="24"/>
              </w:rPr>
              <w:t>已建成</w:t>
            </w:r>
            <w:r>
              <w:rPr>
                <w:rFonts w:eastAsia="方正仿宋简体"/>
                <w:sz w:val="24"/>
                <w:szCs w:val="24"/>
              </w:rPr>
              <w:t>医养结合服务中心</w:t>
            </w:r>
            <w:r>
              <w:rPr>
                <w:rFonts w:hint="eastAsia" w:eastAsia="方正仿宋简体"/>
                <w:sz w:val="24"/>
                <w:szCs w:val="24"/>
              </w:rPr>
              <w:t>并于5月27日开业。</w:t>
            </w:r>
          </w:p>
        </w:tc>
        <w:tc>
          <w:tcPr>
            <w:tcW w:w="992" w:type="dxa"/>
            <w:shd w:val="clear" w:color="auto" w:fill="FFFFFF"/>
            <w:vAlign w:val="center"/>
          </w:tcPr>
          <w:p>
            <w:pPr>
              <w:autoSpaceDN w:val="0"/>
              <w:spacing w:line="280" w:lineRule="exact"/>
              <w:jc w:val="center"/>
              <w:textAlignment w:val="center"/>
              <w:rPr>
                <w:rFonts w:eastAsia="方正仿宋简体"/>
                <w:sz w:val="24"/>
                <w:szCs w:val="24"/>
              </w:rPr>
            </w:pPr>
            <w:r>
              <w:rPr>
                <w:rFonts w:hint="eastAsia" w:eastAsia="方正仿宋简体"/>
                <w:sz w:val="24"/>
                <w:szCs w:val="24"/>
              </w:rPr>
              <w:t>100%</w:t>
            </w:r>
          </w:p>
        </w:tc>
        <w:tc>
          <w:tcPr>
            <w:tcW w:w="1438" w:type="dxa"/>
            <w:shd w:val="clear" w:color="auto" w:fill="FFFFFF"/>
            <w:vAlign w:val="center"/>
          </w:tcPr>
          <w:p>
            <w:pPr>
              <w:autoSpaceDN w:val="0"/>
              <w:spacing w:line="280" w:lineRule="exact"/>
              <w:jc w:val="center"/>
              <w:textAlignment w:val="center"/>
              <w:rPr>
                <w:rFonts w:eastAsia="方正仿宋简体"/>
                <w:sz w:val="24"/>
                <w:szCs w:val="24"/>
              </w:rPr>
            </w:pPr>
            <w:r>
              <w:rPr>
                <w:rFonts w:hint="eastAsia" w:eastAsia="方正仿宋简体"/>
                <w:spacing w:val="-20"/>
                <w:sz w:val="24"/>
                <w:szCs w:val="24"/>
              </w:rPr>
              <w:t>无</w:t>
            </w:r>
          </w:p>
        </w:tc>
        <w:tc>
          <w:tcPr>
            <w:tcW w:w="3273" w:type="dxa"/>
            <w:shd w:val="clear" w:color="auto" w:fill="FFFFFF"/>
            <w:vAlign w:val="center"/>
          </w:tcPr>
          <w:p>
            <w:pPr>
              <w:autoSpaceDN w:val="0"/>
              <w:spacing w:line="280" w:lineRule="exact"/>
              <w:jc w:val="center"/>
              <w:textAlignment w:val="center"/>
              <w:rPr>
                <w:rFonts w:eastAsia="方正仿宋简体"/>
                <w:sz w:val="24"/>
                <w:szCs w:val="24"/>
              </w:rPr>
            </w:pPr>
            <w:r>
              <w:rPr>
                <w:rFonts w:hint="eastAsia" w:eastAsia="方正仿宋简体"/>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0" w:hRule="atLeast"/>
          <w:jc w:val="center"/>
        </w:trPr>
        <w:tc>
          <w:tcPr>
            <w:tcW w:w="1232" w:type="dxa"/>
            <w:vMerge w:val="continue"/>
            <w:shd w:val="clear" w:color="auto" w:fill="FFFFFF"/>
            <w:vAlign w:val="center"/>
          </w:tcPr>
          <w:p>
            <w:pPr>
              <w:autoSpaceDN w:val="0"/>
              <w:spacing w:line="300" w:lineRule="exact"/>
              <w:textAlignment w:val="center"/>
              <w:rPr>
                <w:rFonts w:eastAsia="方正仿宋简体"/>
                <w:b/>
                <w:sz w:val="24"/>
                <w:szCs w:val="24"/>
              </w:rPr>
            </w:pPr>
          </w:p>
        </w:tc>
        <w:tc>
          <w:tcPr>
            <w:tcW w:w="1001" w:type="dxa"/>
            <w:vMerge w:val="continue"/>
            <w:shd w:val="clear" w:color="auto" w:fill="FFFFFF"/>
            <w:vAlign w:val="center"/>
          </w:tcPr>
          <w:p>
            <w:pPr>
              <w:autoSpaceDN w:val="0"/>
              <w:spacing w:line="300" w:lineRule="exact"/>
              <w:jc w:val="left"/>
              <w:textAlignment w:val="center"/>
              <w:rPr>
                <w:rFonts w:eastAsia="方正仿宋简体"/>
                <w:sz w:val="24"/>
                <w:szCs w:val="24"/>
              </w:rPr>
            </w:pPr>
          </w:p>
        </w:tc>
        <w:tc>
          <w:tcPr>
            <w:tcW w:w="838" w:type="dxa"/>
            <w:vMerge w:val="restart"/>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区民政局、区残联</w:t>
            </w:r>
          </w:p>
        </w:tc>
        <w:tc>
          <w:tcPr>
            <w:tcW w:w="1366" w:type="dxa"/>
            <w:vMerge w:val="restart"/>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各镇政府</w:t>
            </w:r>
          </w:p>
        </w:tc>
        <w:tc>
          <w:tcPr>
            <w:tcW w:w="1864" w:type="dxa"/>
            <w:vMerge w:val="restart"/>
            <w:shd w:val="clear" w:color="auto" w:fill="FFFFFF"/>
            <w:vAlign w:val="center"/>
          </w:tcPr>
          <w:p>
            <w:pPr>
              <w:autoSpaceDN w:val="0"/>
              <w:spacing w:line="300" w:lineRule="exact"/>
              <w:textAlignment w:val="center"/>
              <w:rPr>
                <w:rFonts w:eastAsia="方正仿宋简体"/>
                <w:sz w:val="24"/>
                <w:szCs w:val="24"/>
              </w:rPr>
            </w:pPr>
            <w:r>
              <w:rPr>
                <w:rFonts w:eastAsia="方正仿宋简体"/>
                <w:sz w:val="24"/>
                <w:szCs w:val="24"/>
              </w:rPr>
              <w:t>2.做好我区分散供养特困老人、建档立卡贫困高龄和失能人员、困难重度残疾人家庭适老化改造和无障碍改造，其中适老化改造完成200户，无障碍改造完成100户。</w:t>
            </w:r>
          </w:p>
        </w:tc>
        <w:tc>
          <w:tcPr>
            <w:tcW w:w="3828" w:type="dxa"/>
            <w:shd w:val="clear" w:color="auto" w:fill="FFFFFF"/>
            <w:vAlign w:val="center"/>
          </w:tcPr>
          <w:p>
            <w:pPr>
              <w:spacing w:line="300" w:lineRule="exact"/>
              <w:rPr>
                <w:rFonts w:eastAsia="方正仿宋简体"/>
                <w:sz w:val="24"/>
                <w:szCs w:val="24"/>
              </w:rPr>
            </w:pPr>
            <w:r>
              <w:rPr>
                <w:rFonts w:hint="eastAsia" w:eastAsia="方正仿宋简体"/>
                <w:sz w:val="24"/>
                <w:szCs w:val="24"/>
              </w:rPr>
              <w:t>已完成安装361户。</w:t>
            </w:r>
          </w:p>
        </w:tc>
        <w:tc>
          <w:tcPr>
            <w:tcW w:w="992"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100%</w:t>
            </w:r>
          </w:p>
        </w:tc>
        <w:tc>
          <w:tcPr>
            <w:tcW w:w="1438"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无</w:t>
            </w:r>
          </w:p>
        </w:tc>
        <w:tc>
          <w:tcPr>
            <w:tcW w:w="3273"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5" w:hRule="atLeast"/>
          <w:jc w:val="center"/>
        </w:trPr>
        <w:tc>
          <w:tcPr>
            <w:tcW w:w="1232" w:type="dxa"/>
            <w:vMerge w:val="continue"/>
            <w:shd w:val="clear" w:color="auto" w:fill="FFFFFF"/>
            <w:vAlign w:val="center"/>
          </w:tcPr>
          <w:p>
            <w:pPr>
              <w:spacing w:line="300" w:lineRule="exact"/>
              <w:rPr>
                <w:rFonts w:eastAsia="方正仿宋简体"/>
                <w:sz w:val="24"/>
                <w:szCs w:val="24"/>
              </w:rPr>
            </w:pPr>
          </w:p>
        </w:tc>
        <w:tc>
          <w:tcPr>
            <w:tcW w:w="1001" w:type="dxa"/>
            <w:vMerge w:val="continue"/>
            <w:shd w:val="clear" w:color="auto" w:fill="FFFFFF"/>
            <w:vAlign w:val="center"/>
          </w:tcPr>
          <w:p>
            <w:pPr>
              <w:spacing w:line="300" w:lineRule="exact"/>
              <w:rPr>
                <w:rFonts w:eastAsia="方正仿宋简体"/>
                <w:sz w:val="24"/>
                <w:szCs w:val="24"/>
              </w:rPr>
            </w:pPr>
          </w:p>
        </w:tc>
        <w:tc>
          <w:tcPr>
            <w:tcW w:w="838" w:type="dxa"/>
            <w:vMerge w:val="continue"/>
            <w:shd w:val="clear" w:color="auto" w:fill="FFFFFF"/>
            <w:vAlign w:val="center"/>
          </w:tcPr>
          <w:p>
            <w:pPr>
              <w:spacing w:line="300" w:lineRule="exact"/>
              <w:rPr>
                <w:rFonts w:eastAsia="方正仿宋简体"/>
                <w:sz w:val="24"/>
                <w:szCs w:val="24"/>
              </w:rPr>
            </w:pPr>
          </w:p>
        </w:tc>
        <w:tc>
          <w:tcPr>
            <w:tcW w:w="1366" w:type="dxa"/>
            <w:vMerge w:val="continue"/>
            <w:shd w:val="clear" w:color="auto" w:fill="FFFFFF"/>
            <w:vAlign w:val="center"/>
          </w:tcPr>
          <w:p>
            <w:pPr>
              <w:spacing w:line="300" w:lineRule="exact"/>
              <w:rPr>
                <w:rFonts w:eastAsia="方正仿宋简体"/>
                <w:sz w:val="24"/>
                <w:szCs w:val="24"/>
              </w:rPr>
            </w:pPr>
          </w:p>
        </w:tc>
        <w:tc>
          <w:tcPr>
            <w:tcW w:w="1864" w:type="dxa"/>
            <w:vMerge w:val="continue"/>
            <w:shd w:val="clear" w:color="auto" w:fill="FFFFFF"/>
            <w:vAlign w:val="center"/>
          </w:tcPr>
          <w:p>
            <w:pPr>
              <w:spacing w:line="300" w:lineRule="exact"/>
              <w:rPr>
                <w:rFonts w:eastAsia="方正仿宋简体"/>
                <w:sz w:val="24"/>
                <w:szCs w:val="24"/>
              </w:rPr>
            </w:pPr>
          </w:p>
        </w:tc>
        <w:tc>
          <w:tcPr>
            <w:tcW w:w="3828" w:type="dxa"/>
            <w:shd w:val="clear" w:color="auto" w:fill="FFFFFF"/>
            <w:vAlign w:val="center"/>
          </w:tcPr>
          <w:p>
            <w:pPr>
              <w:spacing w:line="300" w:lineRule="exact"/>
              <w:rPr>
                <w:rFonts w:eastAsia="方正仿宋简体"/>
                <w:sz w:val="24"/>
                <w:szCs w:val="24"/>
              </w:rPr>
            </w:pPr>
            <w:r>
              <w:rPr>
                <w:rFonts w:hint="eastAsia" w:eastAsia="方正仿宋简体"/>
                <w:sz w:val="24"/>
                <w:szCs w:val="24"/>
              </w:rPr>
              <w:t>全区困难重度残疾人家庭无障碍改造对象116户现已全部改造完成。</w:t>
            </w:r>
          </w:p>
        </w:tc>
        <w:tc>
          <w:tcPr>
            <w:tcW w:w="992"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100%</w:t>
            </w:r>
          </w:p>
        </w:tc>
        <w:tc>
          <w:tcPr>
            <w:tcW w:w="1438"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无</w:t>
            </w:r>
          </w:p>
        </w:tc>
        <w:tc>
          <w:tcPr>
            <w:tcW w:w="3273"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0" w:hRule="atLeast"/>
          <w:jc w:val="center"/>
        </w:trPr>
        <w:tc>
          <w:tcPr>
            <w:tcW w:w="1232" w:type="dxa"/>
            <w:shd w:val="clear" w:color="auto" w:fill="FFFFFF"/>
            <w:vAlign w:val="center"/>
          </w:tcPr>
          <w:p>
            <w:pPr>
              <w:autoSpaceDN w:val="0"/>
              <w:spacing w:line="300" w:lineRule="exact"/>
              <w:textAlignment w:val="center"/>
              <w:rPr>
                <w:rFonts w:eastAsia="方正仿宋简体"/>
                <w:b/>
                <w:sz w:val="24"/>
                <w:szCs w:val="24"/>
              </w:rPr>
            </w:pPr>
            <w:r>
              <w:rPr>
                <w:rFonts w:eastAsia="方正仿宋简体"/>
                <w:b/>
                <w:sz w:val="24"/>
                <w:szCs w:val="24"/>
              </w:rPr>
              <w:t>二、提升基础教育发展水平</w:t>
            </w:r>
          </w:p>
        </w:tc>
        <w:tc>
          <w:tcPr>
            <w:tcW w:w="1001" w:type="dxa"/>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李南轼</w:t>
            </w:r>
          </w:p>
        </w:tc>
        <w:tc>
          <w:tcPr>
            <w:tcW w:w="838" w:type="dxa"/>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区教育局</w:t>
            </w:r>
          </w:p>
        </w:tc>
        <w:tc>
          <w:tcPr>
            <w:tcW w:w="1366" w:type="dxa"/>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区发展改革局、区财政局、区自然资源局、区住房和城乡建设局、区土储中心、北惯镇政府</w:t>
            </w:r>
          </w:p>
        </w:tc>
        <w:tc>
          <w:tcPr>
            <w:tcW w:w="1864" w:type="dxa"/>
            <w:shd w:val="clear" w:color="auto" w:fill="FFFFFF"/>
            <w:vAlign w:val="center"/>
          </w:tcPr>
          <w:p>
            <w:pPr>
              <w:autoSpaceDN w:val="0"/>
              <w:spacing w:line="300" w:lineRule="exact"/>
              <w:textAlignment w:val="center"/>
              <w:rPr>
                <w:rFonts w:eastAsia="方正仿宋简体"/>
                <w:sz w:val="24"/>
                <w:szCs w:val="24"/>
              </w:rPr>
            </w:pPr>
            <w:r>
              <w:rPr>
                <w:rFonts w:eastAsia="方正仿宋简体"/>
                <w:sz w:val="24"/>
                <w:szCs w:val="24"/>
              </w:rPr>
              <w:t>3.动工迁建北惯镇中心幼儿园，建成后可增加公办学前教育学位360个。</w:t>
            </w:r>
          </w:p>
        </w:tc>
        <w:tc>
          <w:tcPr>
            <w:tcW w:w="3828" w:type="dxa"/>
            <w:shd w:val="clear" w:color="auto" w:fill="FFFFFF"/>
            <w:vAlign w:val="center"/>
          </w:tcPr>
          <w:p>
            <w:pPr>
              <w:spacing w:line="300" w:lineRule="exact"/>
              <w:rPr>
                <w:rFonts w:eastAsia="方正仿宋简体"/>
                <w:sz w:val="24"/>
                <w:szCs w:val="24"/>
              </w:rPr>
            </w:pPr>
            <w:r>
              <w:rPr>
                <w:rFonts w:hint="eastAsia" w:eastAsia="方正仿宋简体"/>
                <w:sz w:val="24"/>
                <w:szCs w:val="24"/>
              </w:rPr>
              <w:t>1.设计方案已通过区城规委会审批。</w:t>
            </w:r>
          </w:p>
          <w:p>
            <w:pPr>
              <w:spacing w:line="300" w:lineRule="exact"/>
              <w:rPr>
                <w:rFonts w:eastAsia="方正仿宋简体"/>
                <w:sz w:val="24"/>
                <w:szCs w:val="24"/>
              </w:rPr>
            </w:pPr>
            <w:r>
              <w:rPr>
                <w:rFonts w:hint="eastAsia" w:eastAsia="方正仿宋简体"/>
                <w:sz w:val="24"/>
                <w:szCs w:val="24"/>
              </w:rPr>
              <w:t>2.区自然资源局已办理好土地划拔手续和工程建设规划许可证。</w:t>
            </w:r>
          </w:p>
          <w:p>
            <w:pPr>
              <w:spacing w:line="300" w:lineRule="exact"/>
              <w:rPr>
                <w:rFonts w:eastAsia="方正仿宋简体"/>
                <w:sz w:val="24"/>
                <w:szCs w:val="24"/>
              </w:rPr>
            </w:pPr>
            <w:r>
              <w:rPr>
                <w:rFonts w:hint="eastAsia" w:eastAsia="方正仿宋简体"/>
                <w:sz w:val="24"/>
                <w:szCs w:val="24"/>
              </w:rPr>
              <w:t>3.预算审核工作已完成，正在进行施工招标工作。</w:t>
            </w:r>
          </w:p>
          <w:p>
            <w:pPr>
              <w:spacing w:line="300" w:lineRule="exact"/>
              <w:rPr>
                <w:rFonts w:eastAsia="方正仿宋简体"/>
                <w:sz w:val="24"/>
                <w:szCs w:val="24"/>
              </w:rPr>
            </w:pPr>
            <w:r>
              <w:rPr>
                <w:rFonts w:hint="eastAsia" w:eastAsia="方正仿宋简体"/>
                <w:sz w:val="24"/>
                <w:szCs w:val="24"/>
              </w:rPr>
              <w:t>4.目前建设场地周边已围蔽，建设用地平整和水电报装等工作已完成，下步将开始基础建设。</w:t>
            </w:r>
          </w:p>
        </w:tc>
        <w:tc>
          <w:tcPr>
            <w:tcW w:w="992" w:type="dxa"/>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83%</w:t>
            </w:r>
          </w:p>
        </w:tc>
        <w:tc>
          <w:tcPr>
            <w:tcW w:w="1438" w:type="dxa"/>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无</w:t>
            </w:r>
          </w:p>
        </w:tc>
        <w:tc>
          <w:tcPr>
            <w:tcW w:w="3273" w:type="dxa"/>
            <w:shd w:val="clear" w:color="auto" w:fill="FFFFFF"/>
            <w:vAlign w:val="center"/>
          </w:tcPr>
          <w:p>
            <w:pPr>
              <w:autoSpaceDN w:val="0"/>
              <w:spacing w:line="300" w:lineRule="exact"/>
              <w:textAlignment w:val="center"/>
            </w:pPr>
            <w:r>
              <w:rPr>
                <w:rFonts w:hint="eastAsia" w:eastAsia="方正仿宋简体"/>
                <w:sz w:val="24"/>
                <w:szCs w:val="24"/>
              </w:rPr>
              <w:t>加快推进施工招标工作。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8" w:hRule="atLeast"/>
          <w:jc w:val="center"/>
        </w:trPr>
        <w:tc>
          <w:tcPr>
            <w:tcW w:w="1232" w:type="dxa"/>
            <w:vMerge w:val="restart"/>
            <w:shd w:val="clear" w:color="auto" w:fill="FFFFFF"/>
            <w:vAlign w:val="center"/>
          </w:tcPr>
          <w:p>
            <w:pPr>
              <w:autoSpaceDN w:val="0"/>
              <w:spacing w:line="300" w:lineRule="exact"/>
              <w:textAlignment w:val="center"/>
              <w:rPr>
                <w:rFonts w:eastAsia="方正仿宋简体"/>
                <w:b/>
                <w:sz w:val="24"/>
                <w:szCs w:val="24"/>
              </w:rPr>
            </w:pPr>
            <w:r>
              <w:rPr>
                <w:rFonts w:eastAsia="方正仿宋简体"/>
                <w:b/>
                <w:sz w:val="24"/>
                <w:szCs w:val="24"/>
              </w:rPr>
              <w:t>三、提升公共文化旅游服务水平</w:t>
            </w:r>
          </w:p>
        </w:tc>
        <w:tc>
          <w:tcPr>
            <w:tcW w:w="1001" w:type="dxa"/>
            <w:vMerge w:val="restart"/>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雷</w:t>
            </w:r>
            <w:r>
              <w:rPr>
                <w:rFonts w:eastAsia="方正仿宋简体"/>
                <w:sz w:val="24"/>
                <w:szCs w:val="24"/>
              </w:rPr>
              <w:t>振杰</w:t>
            </w:r>
          </w:p>
        </w:tc>
        <w:tc>
          <w:tcPr>
            <w:tcW w:w="838" w:type="dxa"/>
            <w:vMerge w:val="restart"/>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区文化广电旅游体育局</w:t>
            </w:r>
          </w:p>
        </w:tc>
        <w:tc>
          <w:tcPr>
            <w:tcW w:w="1366" w:type="dxa"/>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有关镇政府</w:t>
            </w:r>
          </w:p>
        </w:tc>
        <w:tc>
          <w:tcPr>
            <w:tcW w:w="1864" w:type="dxa"/>
            <w:shd w:val="clear" w:color="auto" w:fill="FFFFFF"/>
            <w:vAlign w:val="center"/>
          </w:tcPr>
          <w:p>
            <w:pPr>
              <w:autoSpaceDN w:val="0"/>
              <w:spacing w:line="300" w:lineRule="exact"/>
              <w:textAlignment w:val="center"/>
              <w:rPr>
                <w:rFonts w:eastAsia="方正仿宋简体"/>
                <w:sz w:val="24"/>
                <w:szCs w:val="24"/>
              </w:rPr>
            </w:pPr>
            <w:r>
              <w:rPr>
                <w:rFonts w:eastAsia="方正仿宋简体"/>
                <w:sz w:val="24"/>
                <w:szCs w:val="24"/>
              </w:rPr>
              <w:t>4.对3个行政村（社区）综合性文化服务中心提质升级，完善设施设备。</w:t>
            </w:r>
          </w:p>
        </w:tc>
        <w:tc>
          <w:tcPr>
            <w:tcW w:w="3828" w:type="dxa"/>
            <w:shd w:val="clear" w:color="auto" w:fill="FFFFFF"/>
            <w:vAlign w:val="center"/>
          </w:tcPr>
          <w:p>
            <w:pPr>
              <w:spacing w:line="300" w:lineRule="exact"/>
              <w:rPr>
                <w:rFonts w:eastAsia="方正仿宋简体"/>
                <w:sz w:val="24"/>
                <w:szCs w:val="24"/>
              </w:rPr>
            </w:pPr>
            <w:r>
              <w:rPr>
                <w:rFonts w:hint="eastAsia" w:eastAsia="方正仿宋简体"/>
                <w:sz w:val="24"/>
                <w:szCs w:val="24"/>
              </w:rPr>
              <w:t>3个村综合性文化服务中心已完善全部设施设备，完成提质升级。</w:t>
            </w:r>
          </w:p>
        </w:tc>
        <w:tc>
          <w:tcPr>
            <w:tcW w:w="992"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100%</w:t>
            </w:r>
          </w:p>
        </w:tc>
        <w:tc>
          <w:tcPr>
            <w:tcW w:w="1438"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无</w:t>
            </w:r>
          </w:p>
        </w:tc>
        <w:tc>
          <w:tcPr>
            <w:tcW w:w="3273" w:type="dxa"/>
            <w:shd w:val="clear" w:color="auto" w:fill="FFFFFF"/>
            <w:vAlign w:val="center"/>
          </w:tcPr>
          <w:p>
            <w:pPr>
              <w:spacing w:line="300" w:lineRule="exact"/>
              <w:rPr>
                <w:rFonts w:eastAsia="方正仿宋简体"/>
                <w:sz w:val="24"/>
                <w:szCs w:val="24"/>
              </w:rPr>
            </w:pPr>
            <w:r>
              <w:rPr>
                <w:rFonts w:hint="eastAsia" w:eastAsia="方正仿宋简体"/>
                <w:sz w:val="24"/>
                <w:szCs w:val="24"/>
              </w:rPr>
              <w:t>持续提升农村公共基础设施建设和文化服务管理能力。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0" w:hRule="atLeast"/>
          <w:jc w:val="center"/>
        </w:trPr>
        <w:tc>
          <w:tcPr>
            <w:tcW w:w="1232" w:type="dxa"/>
            <w:vMerge w:val="continue"/>
            <w:shd w:val="clear" w:color="auto" w:fill="FFFFFF"/>
            <w:vAlign w:val="center"/>
          </w:tcPr>
          <w:p>
            <w:pPr>
              <w:autoSpaceDN w:val="0"/>
              <w:spacing w:line="300" w:lineRule="exact"/>
              <w:textAlignment w:val="center"/>
              <w:rPr>
                <w:rFonts w:eastAsia="方正仿宋简体"/>
                <w:b/>
                <w:sz w:val="24"/>
                <w:szCs w:val="24"/>
              </w:rPr>
            </w:pPr>
          </w:p>
        </w:tc>
        <w:tc>
          <w:tcPr>
            <w:tcW w:w="1001" w:type="dxa"/>
            <w:vMerge w:val="continue"/>
            <w:shd w:val="clear" w:color="auto" w:fill="FFFFFF"/>
            <w:vAlign w:val="center"/>
          </w:tcPr>
          <w:p>
            <w:pPr>
              <w:autoSpaceDN w:val="0"/>
              <w:spacing w:line="300" w:lineRule="exact"/>
              <w:jc w:val="left"/>
              <w:textAlignment w:val="center"/>
              <w:rPr>
                <w:rFonts w:eastAsia="方正仿宋简体"/>
                <w:sz w:val="24"/>
                <w:szCs w:val="24"/>
              </w:rPr>
            </w:pPr>
          </w:p>
        </w:tc>
        <w:tc>
          <w:tcPr>
            <w:tcW w:w="838" w:type="dxa"/>
            <w:vMerge w:val="continue"/>
            <w:shd w:val="clear" w:color="auto" w:fill="FFFFFF"/>
            <w:vAlign w:val="center"/>
          </w:tcPr>
          <w:p>
            <w:pPr>
              <w:autoSpaceDN w:val="0"/>
              <w:spacing w:line="300" w:lineRule="exact"/>
              <w:jc w:val="center"/>
              <w:textAlignment w:val="center"/>
              <w:rPr>
                <w:rFonts w:eastAsia="方正仿宋简体"/>
                <w:sz w:val="24"/>
                <w:szCs w:val="24"/>
              </w:rPr>
            </w:pPr>
          </w:p>
        </w:tc>
        <w:tc>
          <w:tcPr>
            <w:tcW w:w="1366" w:type="dxa"/>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有关镇政府</w:t>
            </w:r>
          </w:p>
        </w:tc>
        <w:tc>
          <w:tcPr>
            <w:tcW w:w="1864" w:type="dxa"/>
            <w:shd w:val="clear" w:color="auto" w:fill="FFFFFF"/>
            <w:vAlign w:val="center"/>
          </w:tcPr>
          <w:p>
            <w:pPr>
              <w:autoSpaceDN w:val="0"/>
              <w:spacing w:line="300" w:lineRule="exact"/>
              <w:textAlignment w:val="center"/>
              <w:rPr>
                <w:rFonts w:eastAsia="方正仿宋简体"/>
                <w:sz w:val="24"/>
                <w:szCs w:val="24"/>
              </w:rPr>
            </w:pPr>
            <w:r>
              <w:rPr>
                <w:rFonts w:eastAsia="方正仿宋简体"/>
                <w:sz w:val="24"/>
                <w:szCs w:val="24"/>
              </w:rPr>
              <w:t>5.提升新型公共文化空间建设，新建一间耕读书屋、一间粤文坊。</w:t>
            </w:r>
          </w:p>
        </w:tc>
        <w:tc>
          <w:tcPr>
            <w:tcW w:w="3828" w:type="dxa"/>
            <w:shd w:val="clear" w:color="auto" w:fill="FFFFFF"/>
            <w:vAlign w:val="center"/>
          </w:tcPr>
          <w:p>
            <w:pPr>
              <w:spacing w:line="300" w:lineRule="exact"/>
              <w:rPr>
                <w:rFonts w:eastAsia="方正仿宋简体"/>
                <w:sz w:val="24"/>
                <w:szCs w:val="24"/>
              </w:rPr>
            </w:pPr>
            <w:r>
              <w:rPr>
                <w:rFonts w:hint="eastAsia" w:eastAsia="方正仿宋简体"/>
                <w:sz w:val="24"/>
                <w:szCs w:val="24"/>
              </w:rPr>
              <w:t>1.阳东区老干部活动中心耕读书屋已完成建设，已完善设施设备，面向群众免费开放。</w:t>
            </w:r>
          </w:p>
          <w:p>
            <w:pPr>
              <w:spacing w:line="300" w:lineRule="exact"/>
              <w:rPr>
                <w:rFonts w:eastAsia="方正仿宋简体"/>
                <w:sz w:val="24"/>
                <w:szCs w:val="24"/>
              </w:rPr>
            </w:pPr>
            <w:r>
              <w:rPr>
                <w:rFonts w:hint="eastAsia" w:eastAsia="方正仿宋简体"/>
                <w:sz w:val="24"/>
                <w:szCs w:val="24"/>
              </w:rPr>
              <w:t>2.阳东区粤文坊已建成，纳入文化馆总分馆制体系管理。面向群众免费开放，顺利举办了新年音乐会、美育教育音乐公益课堂等文化惠民活动。</w:t>
            </w:r>
          </w:p>
        </w:tc>
        <w:tc>
          <w:tcPr>
            <w:tcW w:w="992"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100%</w:t>
            </w:r>
          </w:p>
        </w:tc>
        <w:tc>
          <w:tcPr>
            <w:tcW w:w="1438"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无</w:t>
            </w:r>
          </w:p>
        </w:tc>
        <w:tc>
          <w:tcPr>
            <w:tcW w:w="3273" w:type="dxa"/>
            <w:shd w:val="clear" w:color="auto" w:fill="FFFFFF"/>
            <w:vAlign w:val="center"/>
          </w:tcPr>
          <w:p>
            <w:pPr>
              <w:spacing w:line="300" w:lineRule="exact"/>
              <w:rPr>
                <w:rFonts w:eastAsia="方正仿宋简体"/>
                <w:sz w:val="24"/>
                <w:szCs w:val="24"/>
              </w:rPr>
            </w:pPr>
            <w:r>
              <w:rPr>
                <w:rFonts w:hint="eastAsia" w:eastAsia="方正仿宋简体"/>
                <w:sz w:val="24"/>
                <w:szCs w:val="24"/>
              </w:rPr>
              <w:t>持续做好新型公共文化空间的管理运营工作，为群众提供丰富多样的文化艺术服务。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5" w:hRule="atLeast"/>
          <w:jc w:val="center"/>
        </w:trPr>
        <w:tc>
          <w:tcPr>
            <w:tcW w:w="1232" w:type="dxa"/>
            <w:vMerge w:val="restart"/>
            <w:shd w:val="clear" w:color="auto" w:fill="FFFFFF"/>
            <w:vAlign w:val="center"/>
          </w:tcPr>
          <w:p>
            <w:pPr>
              <w:autoSpaceDN w:val="0"/>
              <w:spacing w:line="300" w:lineRule="exact"/>
              <w:textAlignment w:val="center"/>
              <w:rPr>
                <w:rFonts w:eastAsia="方正仿宋简体"/>
                <w:b/>
                <w:sz w:val="24"/>
                <w:szCs w:val="24"/>
              </w:rPr>
            </w:pPr>
            <w:r>
              <w:rPr>
                <w:rFonts w:eastAsia="方正仿宋简体"/>
                <w:b/>
                <w:sz w:val="24"/>
                <w:szCs w:val="24"/>
              </w:rPr>
              <w:t>三、提升公共文化旅游服务水平</w:t>
            </w:r>
          </w:p>
        </w:tc>
        <w:tc>
          <w:tcPr>
            <w:tcW w:w="1001" w:type="dxa"/>
            <w:vMerge w:val="restart"/>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雷振杰</w:t>
            </w:r>
          </w:p>
        </w:tc>
        <w:tc>
          <w:tcPr>
            <w:tcW w:w="838" w:type="dxa"/>
            <w:vMerge w:val="restart"/>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东城镇政府</w:t>
            </w:r>
          </w:p>
        </w:tc>
        <w:tc>
          <w:tcPr>
            <w:tcW w:w="1366" w:type="dxa"/>
            <w:vMerge w:val="restart"/>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区财政局</w:t>
            </w:r>
            <w:r>
              <w:rPr>
                <w:rFonts w:hint="eastAsia" w:eastAsia="方正仿宋简体"/>
                <w:sz w:val="24"/>
                <w:szCs w:val="24"/>
              </w:rPr>
              <w:t>、</w:t>
            </w:r>
          </w:p>
          <w:p>
            <w:pPr>
              <w:adjustRightInd w:val="0"/>
              <w:snapToGrid w:val="0"/>
              <w:spacing w:line="300" w:lineRule="exact"/>
              <w:jc w:val="center"/>
              <w:rPr>
                <w:rFonts w:eastAsia="方正仿宋简体"/>
                <w:sz w:val="24"/>
                <w:szCs w:val="24"/>
              </w:rPr>
            </w:pPr>
            <w:r>
              <w:rPr>
                <w:rFonts w:eastAsia="方正仿宋简体"/>
                <w:sz w:val="24"/>
                <w:szCs w:val="24"/>
              </w:rPr>
              <w:t>区文化广电旅游体育局</w:t>
            </w:r>
            <w:r>
              <w:rPr>
                <w:rFonts w:hint="eastAsia" w:eastAsia="方正仿宋简体"/>
                <w:sz w:val="24"/>
                <w:szCs w:val="24"/>
              </w:rPr>
              <w:t>、</w:t>
            </w:r>
          </w:p>
          <w:p>
            <w:pPr>
              <w:adjustRightInd w:val="0"/>
              <w:snapToGrid w:val="0"/>
              <w:spacing w:line="300" w:lineRule="exact"/>
              <w:jc w:val="center"/>
              <w:rPr>
                <w:rFonts w:eastAsia="方正仿宋简体"/>
                <w:sz w:val="24"/>
                <w:szCs w:val="24"/>
              </w:rPr>
            </w:pPr>
            <w:r>
              <w:rPr>
                <w:rFonts w:eastAsia="方正仿宋简体"/>
                <w:sz w:val="24"/>
                <w:szCs w:val="24"/>
              </w:rPr>
              <w:t>区工业和信息化局</w:t>
            </w:r>
            <w:r>
              <w:rPr>
                <w:rFonts w:hint="eastAsia" w:eastAsia="方正仿宋简体"/>
                <w:sz w:val="24"/>
                <w:szCs w:val="24"/>
              </w:rPr>
              <w:t>、</w:t>
            </w:r>
          </w:p>
          <w:p>
            <w:pPr>
              <w:adjustRightInd w:val="0"/>
              <w:snapToGrid w:val="0"/>
              <w:spacing w:line="300" w:lineRule="exact"/>
              <w:jc w:val="center"/>
              <w:rPr>
                <w:rFonts w:eastAsia="方正仿宋简体"/>
                <w:sz w:val="24"/>
                <w:szCs w:val="24"/>
              </w:rPr>
            </w:pPr>
            <w:r>
              <w:rPr>
                <w:rFonts w:eastAsia="方正仿宋简体"/>
                <w:sz w:val="24"/>
                <w:szCs w:val="24"/>
              </w:rPr>
              <w:t>区市场监管局</w:t>
            </w:r>
            <w:r>
              <w:rPr>
                <w:rFonts w:hint="eastAsia" w:eastAsia="方正仿宋简体"/>
                <w:sz w:val="24"/>
                <w:szCs w:val="24"/>
              </w:rPr>
              <w:t>、</w:t>
            </w:r>
          </w:p>
          <w:p>
            <w:pPr>
              <w:adjustRightInd w:val="0"/>
              <w:snapToGrid w:val="0"/>
              <w:spacing w:line="300" w:lineRule="exact"/>
              <w:jc w:val="center"/>
              <w:rPr>
                <w:rFonts w:eastAsia="方正仿宋简体"/>
                <w:sz w:val="24"/>
                <w:szCs w:val="24"/>
              </w:rPr>
            </w:pPr>
            <w:r>
              <w:rPr>
                <w:rFonts w:eastAsia="方正仿宋简体"/>
                <w:sz w:val="24"/>
                <w:szCs w:val="24"/>
              </w:rPr>
              <w:t>区城管综合执法局</w:t>
            </w:r>
            <w:r>
              <w:rPr>
                <w:rFonts w:hint="eastAsia" w:eastAsia="方正仿宋简体"/>
                <w:sz w:val="24"/>
                <w:szCs w:val="24"/>
              </w:rPr>
              <w:t>、</w:t>
            </w:r>
          </w:p>
          <w:p>
            <w:pPr>
              <w:adjustRightInd w:val="0"/>
              <w:snapToGrid w:val="0"/>
              <w:spacing w:line="300" w:lineRule="exact"/>
              <w:jc w:val="center"/>
              <w:rPr>
                <w:rFonts w:eastAsia="方正仿宋简体"/>
                <w:sz w:val="24"/>
                <w:szCs w:val="24"/>
              </w:rPr>
            </w:pPr>
            <w:r>
              <w:rPr>
                <w:rFonts w:eastAsia="方正仿宋简体"/>
                <w:sz w:val="24"/>
                <w:szCs w:val="24"/>
              </w:rPr>
              <w:t>区文联</w:t>
            </w:r>
          </w:p>
        </w:tc>
        <w:tc>
          <w:tcPr>
            <w:tcW w:w="1864" w:type="dxa"/>
            <w:vMerge w:val="restart"/>
            <w:shd w:val="clear" w:color="auto" w:fill="FFFFFF"/>
            <w:vAlign w:val="center"/>
          </w:tcPr>
          <w:p>
            <w:pPr>
              <w:autoSpaceDN w:val="0"/>
              <w:spacing w:line="300" w:lineRule="exact"/>
              <w:textAlignment w:val="center"/>
              <w:rPr>
                <w:rFonts w:eastAsia="方正仿宋简体"/>
                <w:sz w:val="24"/>
                <w:szCs w:val="24"/>
              </w:rPr>
            </w:pPr>
            <w:r>
              <w:rPr>
                <w:rFonts w:eastAsia="方正仿宋简体"/>
                <w:sz w:val="24"/>
                <w:szCs w:val="24"/>
              </w:rPr>
              <w:t>6.打造东城镇饮食文化</w:t>
            </w:r>
            <w:r>
              <w:rPr>
                <w:rFonts w:hint="eastAsia" w:eastAsia="方正仿宋简体"/>
                <w:sz w:val="24"/>
                <w:szCs w:val="24"/>
              </w:rPr>
              <w:t>“漠阳味道”美食街，谋划打造东城镇五金刀</w:t>
            </w:r>
            <w:r>
              <w:rPr>
                <w:rFonts w:eastAsia="方正仿宋简体"/>
                <w:sz w:val="24"/>
                <w:szCs w:val="24"/>
              </w:rPr>
              <w:t>剪及音乐文旅街区。</w:t>
            </w:r>
          </w:p>
        </w:tc>
        <w:tc>
          <w:tcPr>
            <w:tcW w:w="3828" w:type="dxa"/>
            <w:shd w:val="clear" w:color="auto" w:fill="FFFFFF"/>
            <w:vAlign w:val="center"/>
          </w:tcPr>
          <w:p>
            <w:pPr>
              <w:autoSpaceDN w:val="0"/>
              <w:spacing w:line="340" w:lineRule="exact"/>
              <w:textAlignment w:val="center"/>
              <w:rPr>
                <w:rFonts w:eastAsia="方正仿宋简体"/>
                <w:sz w:val="24"/>
                <w:szCs w:val="24"/>
              </w:rPr>
            </w:pPr>
            <w:r>
              <w:rPr>
                <w:rFonts w:hint="eastAsia" w:eastAsia="方正仿宋简体"/>
                <w:sz w:val="24"/>
                <w:szCs w:val="24"/>
              </w:rPr>
              <w:t>1.“漠阳味道”美食街已完成兴德片区灯光装饰等美化亮化工作，并完善车位等配套设施。</w:t>
            </w:r>
          </w:p>
          <w:p>
            <w:pPr>
              <w:autoSpaceDN w:val="0"/>
              <w:spacing w:line="300" w:lineRule="exact"/>
              <w:textAlignment w:val="center"/>
              <w:rPr>
                <w:rFonts w:eastAsia="方正仿宋简体"/>
                <w:sz w:val="24"/>
                <w:szCs w:val="24"/>
              </w:rPr>
            </w:pPr>
            <w:r>
              <w:rPr>
                <w:rFonts w:hint="eastAsia" w:eastAsia="方正仿宋简体"/>
                <w:sz w:val="24"/>
                <w:szCs w:val="24"/>
              </w:rPr>
              <w:t>2.凤凰乐园目前已经完成基础设施建设并正式开园，目前已进驻20余家商户。园内设立有露营场地、百思咖啡、凤凰音乐吧、共享农田和美食广场等项目，为游客打造了一个惬意、悠闲的阳东美食文化聚集地。</w:t>
            </w:r>
          </w:p>
        </w:tc>
        <w:tc>
          <w:tcPr>
            <w:tcW w:w="992" w:type="dxa"/>
            <w:shd w:val="clear" w:color="auto" w:fill="FFFFFF"/>
            <w:vAlign w:val="center"/>
          </w:tcPr>
          <w:p>
            <w:pPr>
              <w:autoSpaceDN w:val="0"/>
              <w:spacing w:line="340" w:lineRule="exact"/>
              <w:jc w:val="center"/>
              <w:textAlignment w:val="center"/>
              <w:rPr>
                <w:rFonts w:eastAsia="方正仿宋简体"/>
                <w:sz w:val="24"/>
                <w:szCs w:val="24"/>
              </w:rPr>
            </w:pPr>
            <w:r>
              <w:rPr>
                <w:rFonts w:hint="eastAsia" w:eastAsia="方正仿宋简体"/>
                <w:sz w:val="24"/>
                <w:szCs w:val="24"/>
              </w:rPr>
              <w:t>100%</w:t>
            </w:r>
          </w:p>
        </w:tc>
        <w:tc>
          <w:tcPr>
            <w:tcW w:w="1438" w:type="dxa"/>
            <w:shd w:val="clear" w:color="auto" w:fill="FFFFFF"/>
            <w:vAlign w:val="center"/>
          </w:tcPr>
          <w:p>
            <w:pPr>
              <w:autoSpaceDN w:val="0"/>
              <w:spacing w:line="340" w:lineRule="exact"/>
              <w:jc w:val="center"/>
              <w:textAlignment w:val="center"/>
              <w:rPr>
                <w:rFonts w:eastAsia="方正仿宋简体"/>
                <w:sz w:val="24"/>
                <w:szCs w:val="24"/>
              </w:rPr>
            </w:pPr>
            <w:r>
              <w:rPr>
                <w:rFonts w:hint="eastAsia" w:eastAsia="方正仿宋简体"/>
                <w:sz w:val="24"/>
                <w:szCs w:val="24"/>
              </w:rPr>
              <w:t>无</w:t>
            </w:r>
          </w:p>
        </w:tc>
        <w:tc>
          <w:tcPr>
            <w:tcW w:w="3273" w:type="dxa"/>
            <w:shd w:val="clear" w:color="auto" w:fill="FFFFFF"/>
            <w:vAlign w:val="center"/>
          </w:tcPr>
          <w:p>
            <w:pPr>
              <w:tabs>
                <w:tab w:val="left" w:pos="312"/>
              </w:tabs>
              <w:spacing w:line="340" w:lineRule="exact"/>
              <w:rPr>
                <w:rFonts w:eastAsia="方正仿宋简体"/>
                <w:sz w:val="24"/>
                <w:szCs w:val="24"/>
              </w:rPr>
            </w:pPr>
            <w:r>
              <w:rPr>
                <w:rFonts w:hint="eastAsia" w:eastAsia="方正仿宋简体"/>
                <w:sz w:val="24"/>
                <w:szCs w:val="24"/>
              </w:rPr>
              <w:t>1.持续开展招商工作，鼓励并引导更多的经营主体参与，以各类旅游餐饮文化交流活动周为契机，进一步推广东城镇饮食文化“漠阳味道”。</w:t>
            </w:r>
          </w:p>
          <w:p>
            <w:pPr>
              <w:tabs>
                <w:tab w:val="left" w:pos="312"/>
              </w:tabs>
              <w:spacing w:line="340" w:lineRule="exact"/>
              <w:rPr>
                <w:rFonts w:eastAsia="方正仿宋简体"/>
                <w:sz w:val="24"/>
                <w:szCs w:val="24"/>
              </w:rPr>
            </w:pPr>
            <w:r>
              <w:rPr>
                <w:rFonts w:hint="eastAsia" w:eastAsia="方正仿宋简体"/>
                <w:sz w:val="24"/>
                <w:szCs w:val="24"/>
              </w:rPr>
              <w:t>2.打造共享农田等农业体验项目，将美食观光、农业体验、休闲娱乐、文化体育等功能融为一体，为游客打造一个全方位、多层次的休闲娱乐空间。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0" w:hRule="atLeast"/>
          <w:jc w:val="center"/>
        </w:trPr>
        <w:tc>
          <w:tcPr>
            <w:tcW w:w="1232" w:type="dxa"/>
            <w:vMerge w:val="continue"/>
            <w:shd w:val="clear" w:color="auto" w:fill="FFFFFF"/>
            <w:vAlign w:val="center"/>
          </w:tcPr>
          <w:p>
            <w:pPr>
              <w:autoSpaceDN w:val="0"/>
              <w:spacing w:line="300" w:lineRule="exact"/>
              <w:textAlignment w:val="center"/>
              <w:rPr>
                <w:rFonts w:eastAsia="方正仿宋简体"/>
                <w:b/>
                <w:sz w:val="24"/>
                <w:szCs w:val="24"/>
              </w:rPr>
            </w:pPr>
          </w:p>
        </w:tc>
        <w:tc>
          <w:tcPr>
            <w:tcW w:w="1001" w:type="dxa"/>
            <w:vMerge w:val="continue"/>
            <w:shd w:val="clear" w:color="auto" w:fill="FFFFFF"/>
            <w:vAlign w:val="center"/>
          </w:tcPr>
          <w:p>
            <w:pPr>
              <w:autoSpaceDN w:val="0"/>
              <w:spacing w:line="300" w:lineRule="exact"/>
              <w:jc w:val="left"/>
              <w:textAlignment w:val="center"/>
              <w:rPr>
                <w:rFonts w:eastAsia="方正仿宋简体"/>
                <w:sz w:val="24"/>
                <w:szCs w:val="24"/>
              </w:rPr>
            </w:pPr>
          </w:p>
        </w:tc>
        <w:tc>
          <w:tcPr>
            <w:tcW w:w="838" w:type="dxa"/>
            <w:vMerge w:val="continue"/>
            <w:shd w:val="clear" w:color="auto" w:fill="FFFFFF"/>
            <w:vAlign w:val="center"/>
          </w:tcPr>
          <w:p>
            <w:pPr>
              <w:adjustRightInd w:val="0"/>
              <w:snapToGrid w:val="0"/>
              <w:spacing w:line="300" w:lineRule="exact"/>
              <w:jc w:val="center"/>
              <w:rPr>
                <w:rFonts w:eastAsia="方正仿宋简体"/>
                <w:sz w:val="24"/>
                <w:szCs w:val="24"/>
              </w:rPr>
            </w:pPr>
          </w:p>
        </w:tc>
        <w:tc>
          <w:tcPr>
            <w:tcW w:w="1366" w:type="dxa"/>
            <w:vMerge w:val="continue"/>
            <w:shd w:val="clear" w:color="auto" w:fill="FFFFFF"/>
            <w:vAlign w:val="center"/>
          </w:tcPr>
          <w:p>
            <w:pPr>
              <w:adjustRightInd w:val="0"/>
              <w:snapToGrid w:val="0"/>
              <w:spacing w:line="300" w:lineRule="exact"/>
              <w:jc w:val="center"/>
              <w:rPr>
                <w:rFonts w:eastAsia="方正仿宋简体"/>
                <w:sz w:val="24"/>
                <w:szCs w:val="24"/>
              </w:rPr>
            </w:pPr>
          </w:p>
        </w:tc>
        <w:tc>
          <w:tcPr>
            <w:tcW w:w="1864" w:type="dxa"/>
            <w:vMerge w:val="continue"/>
            <w:shd w:val="clear" w:color="auto" w:fill="FFFFFF"/>
            <w:vAlign w:val="center"/>
          </w:tcPr>
          <w:p>
            <w:pPr>
              <w:autoSpaceDN w:val="0"/>
              <w:spacing w:line="300" w:lineRule="exact"/>
              <w:textAlignment w:val="center"/>
              <w:rPr>
                <w:rFonts w:eastAsia="方正仿宋简体"/>
                <w:sz w:val="24"/>
                <w:szCs w:val="24"/>
              </w:rPr>
            </w:pPr>
          </w:p>
        </w:tc>
        <w:tc>
          <w:tcPr>
            <w:tcW w:w="3828" w:type="dxa"/>
            <w:shd w:val="clear" w:color="auto" w:fill="FFFFFF"/>
            <w:vAlign w:val="center"/>
          </w:tcPr>
          <w:p>
            <w:pPr>
              <w:autoSpaceDN w:val="0"/>
              <w:spacing w:line="340" w:lineRule="exact"/>
              <w:textAlignment w:val="center"/>
              <w:rPr>
                <w:rFonts w:eastAsia="方正仿宋简体"/>
                <w:sz w:val="24"/>
                <w:szCs w:val="24"/>
              </w:rPr>
            </w:pPr>
            <w:r>
              <w:rPr>
                <w:rFonts w:hint="eastAsia" w:eastAsia="方正仿宋简体"/>
                <w:sz w:val="24"/>
                <w:szCs w:val="24"/>
              </w:rPr>
              <w:t>1.加快完成修缮建设古玩城古巷，现有40家商家入驻古玩城，收藏馆已顺利开馆，成功举办古玩藏品展览会。</w:t>
            </w:r>
          </w:p>
          <w:p>
            <w:pPr>
              <w:autoSpaceDN w:val="0"/>
              <w:spacing w:line="340" w:lineRule="exact"/>
              <w:textAlignment w:val="center"/>
              <w:rPr>
                <w:rFonts w:eastAsia="方正仿宋简体"/>
                <w:sz w:val="24"/>
                <w:szCs w:val="24"/>
              </w:rPr>
            </w:pPr>
            <w:r>
              <w:rPr>
                <w:rFonts w:hint="eastAsia" w:eastAsia="方正仿宋简体"/>
                <w:sz w:val="24"/>
                <w:szCs w:val="24"/>
              </w:rPr>
              <w:t>2.“刀剪+文创”街区留声机博物馆、百名书屋已完成打造，成功举办阳江十八子音响音乐文化节，筹办主题演唱会，进一步扩大东城镇音乐文旅街区影响力。</w:t>
            </w:r>
          </w:p>
        </w:tc>
        <w:tc>
          <w:tcPr>
            <w:tcW w:w="992" w:type="dxa"/>
            <w:shd w:val="clear" w:color="auto" w:fill="FFFFFF"/>
            <w:vAlign w:val="center"/>
          </w:tcPr>
          <w:p>
            <w:pPr>
              <w:autoSpaceDN w:val="0"/>
              <w:spacing w:line="340" w:lineRule="exact"/>
              <w:jc w:val="center"/>
              <w:textAlignment w:val="center"/>
              <w:rPr>
                <w:rFonts w:eastAsia="方正仿宋简体"/>
                <w:sz w:val="24"/>
                <w:szCs w:val="24"/>
              </w:rPr>
            </w:pPr>
            <w:r>
              <w:rPr>
                <w:rFonts w:hint="eastAsia" w:eastAsia="方正仿宋简体"/>
                <w:sz w:val="24"/>
                <w:szCs w:val="24"/>
              </w:rPr>
              <w:t>100%</w:t>
            </w:r>
          </w:p>
        </w:tc>
        <w:tc>
          <w:tcPr>
            <w:tcW w:w="1438" w:type="dxa"/>
            <w:shd w:val="clear" w:color="auto" w:fill="FFFFFF"/>
            <w:vAlign w:val="center"/>
          </w:tcPr>
          <w:p>
            <w:pPr>
              <w:autoSpaceDN w:val="0"/>
              <w:spacing w:line="340" w:lineRule="exact"/>
              <w:jc w:val="center"/>
              <w:textAlignment w:val="center"/>
              <w:rPr>
                <w:rFonts w:eastAsia="方正仿宋简体"/>
                <w:sz w:val="24"/>
                <w:szCs w:val="24"/>
              </w:rPr>
            </w:pPr>
            <w:r>
              <w:rPr>
                <w:rFonts w:hint="eastAsia" w:eastAsia="方正仿宋简体"/>
                <w:sz w:val="24"/>
                <w:szCs w:val="24"/>
              </w:rPr>
              <w:t>无</w:t>
            </w:r>
          </w:p>
        </w:tc>
        <w:tc>
          <w:tcPr>
            <w:tcW w:w="3273" w:type="dxa"/>
            <w:shd w:val="clear" w:color="auto" w:fill="FFFFFF"/>
            <w:vAlign w:val="center"/>
          </w:tcPr>
          <w:p>
            <w:pPr>
              <w:spacing w:line="340" w:lineRule="exact"/>
              <w:rPr>
                <w:rFonts w:eastAsia="方正仿宋简体"/>
                <w:sz w:val="24"/>
                <w:szCs w:val="24"/>
              </w:rPr>
            </w:pPr>
            <w:r>
              <w:rPr>
                <w:rFonts w:hint="eastAsia" w:eastAsia="方正仿宋简体"/>
                <w:sz w:val="24"/>
                <w:szCs w:val="24"/>
              </w:rPr>
              <w:t>1.持续完善提升“刀剪＋文创”街区留声机博物馆、文旅舞台等设施，加大宣传力度，做好招商及服务工作。</w:t>
            </w:r>
          </w:p>
          <w:p>
            <w:pPr>
              <w:pStyle w:val="13"/>
              <w:spacing w:line="340" w:lineRule="exact"/>
              <w:ind w:firstLine="0" w:firstLineChars="0"/>
              <w:rPr>
                <w:rFonts w:eastAsia="方正仿宋简体"/>
                <w:sz w:val="24"/>
                <w:szCs w:val="24"/>
              </w:rPr>
            </w:pPr>
            <w:r>
              <w:rPr>
                <w:rFonts w:hint="eastAsia" w:eastAsia="方正仿宋简体"/>
                <w:sz w:val="24"/>
                <w:szCs w:val="24"/>
              </w:rPr>
              <w:t>2.以古玩城、留声机博物馆为载体，开展丰富多彩的主题文化活动，提高音乐文旅街区的知名度和吸引力。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5" w:hRule="atLeast"/>
          <w:jc w:val="center"/>
        </w:trPr>
        <w:tc>
          <w:tcPr>
            <w:tcW w:w="1232" w:type="dxa"/>
            <w:vMerge w:val="continue"/>
            <w:shd w:val="clear" w:color="auto" w:fill="FFFFFF"/>
            <w:vAlign w:val="center"/>
          </w:tcPr>
          <w:p>
            <w:pPr>
              <w:autoSpaceDN w:val="0"/>
              <w:spacing w:line="300" w:lineRule="exact"/>
              <w:textAlignment w:val="center"/>
              <w:rPr>
                <w:rFonts w:eastAsia="方正仿宋简体"/>
                <w:b/>
                <w:sz w:val="24"/>
                <w:szCs w:val="24"/>
              </w:rPr>
            </w:pPr>
          </w:p>
        </w:tc>
        <w:tc>
          <w:tcPr>
            <w:tcW w:w="1001" w:type="dxa"/>
            <w:vMerge w:val="continue"/>
            <w:shd w:val="clear" w:color="auto" w:fill="FFFFFF"/>
            <w:vAlign w:val="center"/>
          </w:tcPr>
          <w:p>
            <w:pPr>
              <w:autoSpaceDN w:val="0"/>
              <w:spacing w:line="300" w:lineRule="exact"/>
              <w:jc w:val="left"/>
              <w:textAlignment w:val="center"/>
              <w:rPr>
                <w:rFonts w:eastAsia="方正仿宋简体"/>
                <w:sz w:val="24"/>
                <w:szCs w:val="24"/>
              </w:rPr>
            </w:pPr>
          </w:p>
        </w:tc>
        <w:tc>
          <w:tcPr>
            <w:tcW w:w="838" w:type="dxa"/>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东平镇政府</w:t>
            </w:r>
          </w:p>
        </w:tc>
        <w:tc>
          <w:tcPr>
            <w:tcW w:w="1366" w:type="dxa"/>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区财政局</w:t>
            </w:r>
            <w:r>
              <w:rPr>
                <w:rFonts w:hint="eastAsia" w:eastAsia="方正仿宋简体"/>
                <w:sz w:val="24"/>
                <w:szCs w:val="24"/>
              </w:rPr>
              <w:t>、</w:t>
            </w:r>
          </w:p>
          <w:p>
            <w:pPr>
              <w:adjustRightInd w:val="0"/>
              <w:snapToGrid w:val="0"/>
              <w:spacing w:line="300" w:lineRule="exact"/>
              <w:jc w:val="center"/>
              <w:rPr>
                <w:rFonts w:eastAsia="方正仿宋简体"/>
                <w:sz w:val="24"/>
                <w:szCs w:val="24"/>
              </w:rPr>
            </w:pPr>
            <w:r>
              <w:rPr>
                <w:rFonts w:eastAsia="方正仿宋简体"/>
                <w:sz w:val="24"/>
                <w:szCs w:val="24"/>
              </w:rPr>
              <w:t>区文化广电旅游体育局</w:t>
            </w:r>
            <w:r>
              <w:rPr>
                <w:rFonts w:hint="eastAsia" w:eastAsia="方正仿宋简体"/>
                <w:sz w:val="24"/>
                <w:szCs w:val="24"/>
              </w:rPr>
              <w:t>、</w:t>
            </w:r>
          </w:p>
          <w:p>
            <w:pPr>
              <w:adjustRightInd w:val="0"/>
              <w:snapToGrid w:val="0"/>
              <w:spacing w:line="300" w:lineRule="exact"/>
              <w:jc w:val="center"/>
              <w:rPr>
                <w:rFonts w:eastAsia="方正仿宋简体"/>
                <w:sz w:val="24"/>
                <w:szCs w:val="24"/>
              </w:rPr>
            </w:pPr>
            <w:r>
              <w:rPr>
                <w:rFonts w:eastAsia="方正仿宋简体"/>
                <w:sz w:val="24"/>
                <w:szCs w:val="24"/>
              </w:rPr>
              <w:t>区工业和信息化局</w:t>
            </w:r>
            <w:r>
              <w:rPr>
                <w:rFonts w:hint="eastAsia" w:eastAsia="方正仿宋简体"/>
                <w:sz w:val="24"/>
                <w:szCs w:val="24"/>
              </w:rPr>
              <w:t>、</w:t>
            </w:r>
          </w:p>
          <w:p>
            <w:pPr>
              <w:adjustRightInd w:val="0"/>
              <w:snapToGrid w:val="0"/>
              <w:spacing w:line="300" w:lineRule="exact"/>
              <w:jc w:val="center"/>
              <w:rPr>
                <w:rFonts w:eastAsia="方正仿宋简体"/>
                <w:sz w:val="24"/>
                <w:szCs w:val="24"/>
              </w:rPr>
            </w:pPr>
            <w:r>
              <w:rPr>
                <w:rFonts w:eastAsia="方正仿宋简体"/>
                <w:sz w:val="24"/>
                <w:szCs w:val="24"/>
              </w:rPr>
              <w:t>区市场监管局</w:t>
            </w:r>
          </w:p>
        </w:tc>
        <w:tc>
          <w:tcPr>
            <w:tcW w:w="1864" w:type="dxa"/>
            <w:shd w:val="clear" w:color="auto" w:fill="FFFFFF"/>
            <w:vAlign w:val="center"/>
          </w:tcPr>
          <w:p>
            <w:pPr>
              <w:autoSpaceDN w:val="0"/>
              <w:spacing w:line="300" w:lineRule="exact"/>
              <w:textAlignment w:val="center"/>
              <w:rPr>
                <w:rFonts w:eastAsia="方正仿宋简体"/>
                <w:sz w:val="24"/>
                <w:szCs w:val="24"/>
              </w:rPr>
            </w:pPr>
            <w:r>
              <w:rPr>
                <w:rFonts w:eastAsia="方正仿宋简体"/>
                <w:sz w:val="24"/>
                <w:szCs w:val="24"/>
              </w:rPr>
              <w:t>7.打造东平镇旅游购物街。</w:t>
            </w:r>
          </w:p>
        </w:tc>
        <w:tc>
          <w:tcPr>
            <w:tcW w:w="3828" w:type="dxa"/>
            <w:shd w:val="clear" w:color="auto" w:fill="FFFFFF"/>
            <w:vAlign w:val="center"/>
          </w:tcPr>
          <w:p>
            <w:pPr>
              <w:autoSpaceDN w:val="0"/>
              <w:spacing w:line="300" w:lineRule="exact"/>
              <w:textAlignment w:val="center"/>
              <w:rPr>
                <w:rFonts w:eastAsia="方正仿宋简体"/>
                <w:sz w:val="24"/>
                <w:szCs w:val="24"/>
              </w:rPr>
            </w:pPr>
            <w:r>
              <w:rPr>
                <w:rFonts w:hint="eastAsia" w:eastAsia="方正仿宋简体"/>
                <w:sz w:val="24"/>
                <w:szCs w:val="24"/>
              </w:rPr>
              <w:t>东平镇龙井大道房屋外立面已开展微改造，统一空调外架、统一街招，安装标识牌指引等工作。</w:t>
            </w:r>
          </w:p>
        </w:tc>
        <w:tc>
          <w:tcPr>
            <w:tcW w:w="992" w:type="dxa"/>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60%</w:t>
            </w:r>
          </w:p>
        </w:tc>
        <w:tc>
          <w:tcPr>
            <w:tcW w:w="1438" w:type="dxa"/>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无</w:t>
            </w:r>
          </w:p>
        </w:tc>
        <w:tc>
          <w:tcPr>
            <w:tcW w:w="3273" w:type="dxa"/>
            <w:shd w:val="clear" w:color="auto" w:fill="FFFFFF"/>
            <w:vAlign w:val="center"/>
          </w:tcPr>
          <w:p>
            <w:pPr>
              <w:autoSpaceDN w:val="0"/>
              <w:spacing w:line="300" w:lineRule="exact"/>
              <w:textAlignment w:val="center"/>
              <w:rPr>
                <w:rFonts w:eastAsia="方正仿宋简体"/>
                <w:sz w:val="24"/>
                <w:szCs w:val="24"/>
              </w:rPr>
            </w:pPr>
            <w:r>
              <w:rPr>
                <w:rFonts w:hint="eastAsia" w:eastAsia="方正仿宋简体"/>
                <w:sz w:val="24"/>
                <w:szCs w:val="24"/>
              </w:rPr>
              <w:t>力争年</w:t>
            </w:r>
            <w:r>
              <w:rPr>
                <w:rFonts w:eastAsia="方正仿宋简体"/>
                <w:sz w:val="24"/>
                <w:szCs w:val="24"/>
              </w:rPr>
              <w:t>底完成统一街招</w:t>
            </w:r>
            <w:r>
              <w:rPr>
                <w:rFonts w:hint="eastAsia" w:eastAsia="方正仿宋简体"/>
                <w:sz w:val="24"/>
                <w:szCs w:val="24"/>
              </w:rPr>
              <w:t>187</w:t>
            </w:r>
            <w:r>
              <w:rPr>
                <w:rFonts w:eastAsia="方正仿宋简体"/>
                <w:sz w:val="24"/>
                <w:szCs w:val="24"/>
              </w:rPr>
              <w:t>家，统一建筑外立面空调罩安装187组，安装东平旅游购物街导向牌。同时加强商铺经营管理，规范经营秩序，加大保洁力度，营造干净、整洁、特色的东平旅游购物街。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9" w:hRule="atLeast"/>
          <w:jc w:val="center"/>
        </w:trPr>
        <w:tc>
          <w:tcPr>
            <w:tcW w:w="1232" w:type="dxa"/>
            <w:shd w:val="clear" w:color="auto" w:fill="FFFFFF"/>
            <w:vAlign w:val="center"/>
          </w:tcPr>
          <w:p>
            <w:pPr>
              <w:autoSpaceDN w:val="0"/>
              <w:spacing w:line="300" w:lineRule="exact"/>
              <w:textAlignment w:val="center"/>
              <w:rPr>
                <w:rFonts w:eastAsia="方正仿宋简体"/>
                <w:b/>
                <w:sz w:val="24"/>
                <w:szCs w:val="24"/>
              </w:rPr>
            </w:pPr>
            <w:r>
              <w:rPr>
                <w:rFonts w:eastAsia="方正仿宋简体"/>
                <w:b/>
                <w:sz w:val="24"/>
                <w:szCs w:val="24"/>
              </w:rPr>
              <w:t>三、提升公共文化旅游服务水平</w:t>
            </w:r>
          </w:p>
        </w:tc>
        <w:tc>
          <w:tcPr>
            <w:tcW w:w="1001" w:type="dxa"/>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邹</w:t>
            </w:r>
            <w:r>
              <w:rPr>
                <w:rFonts w:eastAsia="方正仿宋简体"/>
                <w:sz w:val="24"/>
                <w:szCs w:val="24"/>
              </w:rPr>
              <w:t>春颖</w:t>
            </w:r>
          </w:p>
        </w:tc>
        <w:tc>
          <w:tcPr>
            <w:tcW w:w="838" w:type="dxa"/>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区委宣传部</w:t>
            </w:r>
          </w:p>
        </w:tc>
        <w:tc>
          <w:tcPr>
            <w:tcW w:w="1366" w:type="dxa"/>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有关镇政府</w:t>
            </w:r>
          </w:p>
        </w:tc>
        <w:tc>
          <w:tcPr>
            <w:tcW w:w="1864" w:type="dxa"/>
            <w:shd w:val="clear" w:color="auto" w:fill="FFFFFF"/>
            <w:vAlign w:val="center"/>
          </w:tcPr>
          <w:p>
            <w:pPr>
              <w:autoSpaceDN w:val="0"/>
              <w:spacing w:line="300" w:lineRule="exact"/>
              <w:textAlignment w:val="center"/>
              <w:rPr>
                <w:rFonts w:eastAsia="方正仿宋简体"/>
                <w:sz w:val="24"/>
                <w:szCs w:val="24"/>
              </w:rPr>
            </w:pPr>
            <w:r>
              <w:rPr>
                <w:rFonts w:eastAsia="方正仿宋简体"/>
                <w:sz w:val="24"/>
                <w:szCs w:val="24"/>
              </w:rPr>
              <w:t>8.建设3个新时代文明实践示范所，5个新时代文明实践示范站。</w:t>
            </w:r>
          </w:p>
        </w:tc>
        <w:tc>
          <w:tcPr>
            <w:tcW w:w="3828" w:type="dxa"/>
            <w:shd w:val="clear" w:color="auto" w:fill="FFFFFF"/>
            <w:vAlign w:val="center"/>
          </w:tcPr>
          <w:p>
            <w:pPr>
              <w:spacing w:line="280" w:lineRule="exact"/>
              <w:rPr>
                <w:rFonts w:eastAsia="方正仿宋简体"/>
                <w:sz w:val="24"/>
                <w:szCs w:val="24"/>
              </w:rPr>
            </w:pPr>
            <w:r>
              <w:rPr>
                <w:rFonts w:hint="eastAsia" w:eastAsia="方正仿宋简体"/>
                <w:sz w:val="24"/>
                <w:szCs w:val="24"/>
              </w:rPr>
              <w:t>1.建设完善了区新时代文明实践中心，重点打造了新时代文明实践示范所3个和示范站5个，建设新时代文明实践点2个。开展文明单位与新时代文明实践中心结对共建活动，今年以来共开展结对活动35场。大力弘扬社会主义核心价值观，深化农村精神文明创建“五大行动”，助力“百县千镇万村高质量发展工程”。</w:t>
            </w:r>
          </w:p>
          <w:p>
            <w:pPr>
              <w:spacing w:line="280" w:lineRule="exact"/>
              <w:rPr>
                <w:rFonts w:eastAsia="方正仿宋简体"/>
                <w:sz w:val="24"/>
                <w:szCs w:val="24"/>
              </w:rPr>
            </w:pPr>
            <w:r>
              <w:rPr>
                <w:rFonts w:hint="eastAsia" w:eastAsia="方正仿宋简体"/>
                <w:sz w:val="24"/>
                <w:szCs w:val="24"/>
              </w:rPr>
              <w:t>2.依托新时代文明实践中心（所、站），深入开展各类形式多样、丰富多彩的新时代文明实践活动70多场，扎实开展移风易俗、树立文明新风等新时代文明实践活动14场。组织举办“阳江市厚德善行讲堂”道德宣讲等活动6场。</w:t>
            </w:r>
          </w:p>
          <w:p>
            <w:pPr>
              <w:spacing w:line="280" w:lineRule="exact"/>
              <w:rPr>
                <w:rFonts w:eastAsia="方正仿宋简体"/>
                <w:sz w:val="24"/>
                <w:szCs w:val="24"/>
              </w:rPr>
            </w:pPr>
            <w:r>
              <w:rPr>
                <w:rFonts w:hint="eastAsia" w:eastAsia="方正仿宋简体"/>
                <w:sz w:val="24"/>
                <w:szCs w:val="24"/>
              </w:rPr>
              <w:t>3.深化先进典型选树宣传，推送的先进人物李芬爱、李远兰入选第二季度“广东好人”候选人，9人获评“2024年阳江市新时代好少年”，2人获评“2024年广东省新时代好少年”。</w:t>
            </w:r>
          </w:p>
        </w:tc>
        <w:tc>
          <w:tcPr>
            <w:tcW w:w="992"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94%</w:t>
            </w:r>
          </w:p>
        </w:tc>
        <w:tc>
          <w:tcPr>
            <w:tcW w:w="1438"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无</w:t>
            </w:r>
          </w:p>
        </w:tc>
        <w:tc>
          <w:tcPr>
            <w:tcW w:w="3273" w:type="dxa"/>
            <w:shd w:val="clear" w:color="auto" w:fill="FFFFFF"/>
            <w:vAlign w:val="center"/>
          </w:tcPr>
          <w:p>
            <w:pPr>
              <w:spacing w:line="300" w:lineRule="exact"/>
              <w:rPr>
                <w:rFonts w:eastAsia="方正仿宋简体"/>
                <w:sz w:val="24"/>
                <w:szCs w:val="24"/>
              </w:rPr>
            </w:pPr>
            <w:r>
              <w:rPr>
                <w:rFonts w:hint="eastAsia" w:eastAsia="方正仿宋简体"/>
                <w:sz w:val="24"/>
                <w:szCs w:val="24"/>
              </w:rPr>
              <w:t>1.按照加强新时代文明示范所站日常管理督导。广泛开展新时代文明实践主题活动，不断满足群众精神文化生活的需求。</w:t>
            </w:r>
          </w:p>
          <w:p>
            <w:pPr>
              <w:spacing w:line="300" w:lineRule="exact"/>
              <w:rPr>
                <w:rFonts w:eastAsia="方正仿宋简体"/>
                <w:sz w:val="24"/>
                <w:szCs w:val="24"/>
              </w:rPr>
            </w:pPr>
            <w:r>
              <w:rPr>
                <w:rFonts w:hint="eastAsia" w:eastAsia="方正仿宋简体"/>
                <w:sz w:val="24"/>
                <w:szCs w:val="24"/>
              </w:rPr>
              <w:t>2.形式多样开展文明单位与新时代文明实践中心（所、站）结对助力“百千万工程”的共建活动。</w:t>
            </w:r>
          </w:p>
          <w:p>
            <w:pPr>
              <w:spacing w:line="300" w:lineRule="exact"/>
              <w:rPr>
                <w:rFonts w:eastAsia="方正仿宋简体"/>
                <w:sz w:val="24"/>
                <w:szCs w:val="24"/>
              </w:rPr>
            </w:pPr>
            <w:r>
              <w:rPr>
                <w:rFonts w:hint="eastAsia" w:eastAsia="方正仿宋简体"/>
                <w:sz w:val="24"/>
                <w:szCs w:val="24"/>
              </w:rPr>
              <w:t>3.推进全区农村精神文明创建五大行动，推动文明培育、文明实践、文明创建在重点领域精准发力、共同助力、形成合力，助力“百县千镇万村高质量发展工程”。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3" w:hRule="atLeast"/>
          <w:jc w:val="center"/>
        </w:trPr>
        <w:tc>
          <w:tcPr>
            <w:tcW w:w="1232" w:type="dxa"/>
            <w:vMerge w:val="restart"/>
            <w:shd w:val="clear" w:color="auto" w:fill="FFFFFF"/>
            <w:vAlign w:val="center"/>
          </w:tcPr>
          <w:p>
            <w:pPr>
              <w:autoSpaceDN w:val="0"/>
              <w:spacing w:line="300" w:lineRule="exact"/>
              <w:textAlignment w:val="center"/>
              <w:rPr>
                <w:rFonts w:eastAsia="方正仿宋简体"/>
                <w:b/>
                <w:sz w:val="24"/>
                <w:szCs w:val="24"/>
              </w:rPr>
            </w:pPr>
            <w:r>
              <w:rPr>
                <w:rFonts w:eastAsia="方正仿宋简体"/>
                <w:b/>
                <w:sz w:val="24"/>
                <w:szCs w:val="24"/>
              </w:rPr>
              <w:t>四、提高防灾减灾救灾能力。</w:t>
            </w:r>
          </w:p>
        </w:tc>
        <w:tc>
          <w:tcPr>
            <w:tcW w:w="1001" w:type="dxa"/>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赖</w:t>
            </w:r>
            <w:r>
              <w:rPr>
                <w:rFonts w:eastAsia="方正仿宋简体"/>
                <w:sz w:val="24"/>
                <w:szCs w:val="24"/>
              </w:rPr>
              <w:t>丽芬</w:t>
            </w:r>
          </w:p>
        </w:tc>
        <w:tc>
          <w:tcPr>
            <w:tcW w:w="838" w:type="dxa"/>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区水务局</w:t>
            </w:r>
          </w:p>
        </w:tc>
        <w:tc>
          <w:tcPr>
            <w:tcW w:w="1366" w:type="dxa"/>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区财政局</w:t>
            </w:r>
            <w:r>
              <w:rPr>
                <w:rFonts w:hint="eastAsia" w:eastAsia="方正仿宋简体"/>
                <w:sz w:val="24"/>
                <w:szCs w:val="24"/>
              </w:rPr>
              <w:t>、</w:t>
            </w:r>
          </w:p>
          <w:p>
            <w:pPr>
              <w:adjustRightInd w:val="0"/>
              <w:snapToGrid w:val="0"/>
              <w:spacing w:line="300" w:lineRule="exact"/>
              <w:jc w:val="center"/>
              <w:rPr>
                <w:rFonts w:eastAsia="方正仿宋简体"/>
                <w:sz w:val="24"/>
                <w:szCs w:val="24"/>
              </w:rPr>
            </w:pPr>
            <w:r>
              <w:rPr>
                <w:rFonts w:eastAsia="方正仿宋简体"/>
                <w:sz w:val="24"/>
                <w:szCs w:val="24"/>
              </w:rPr>
              <w:t>区自然资源局</w:t>
            </w:r>
            <w:r>
              <w:rPr>
                <w:rFonts w:hint="eastAsia" w:eastAsia="方正仿宋简体"/>
                <w:sz w:val="24"/>
                <w:szCs w:val="24"/>
              </w:rPr>
              <w:t>、</w:t>
            </w:r>
          </w:p>
          <w:p>
            <w:pPr>
              <w:adjustRightInd w:val="0"/>
              <w:snapToGrid w:val="0"/>
              <w:spacing w:line="300" w:lineRule="exact"/>
              <w:jc w:val="center"/>
              <w:rPr>
                <w:rFonts w:eastAsia="方正仿宋简体"/>
                <w:sz w:val="24"/>
                <w:szCs w:val="24"/>
              </w:rPr>
            </w:pPr>
            <w:r>
              <w:rPr>
                <w:rFonts w:eastAsia="方正仿宋简体"/>
                <w:sz w:val="24"/>
                <w:szCs w:val="24"/>
              </w:rPr>
              <w:t>雅韶镇政府</w:t>
            </w:r>
          </w:p>
        </w:tc>
        <w:tc>
          <w:tcPr>
            <w:tcW w:w="1864" w:type="dxa"/>
            <w:shd w:val="clear" w:color="auto" w:fill="FFFFFF"/>
            <w:vAlign w:val="center"/>
          </w:tcPr>
          <w:p>
            <w:pPr>
              <w:adjustRightInd w:val="0"/>
              <w:snapToGrid w:val="0"/>
              <w:spacing w:line="300" w:lineRule="exact"/>
              <w:rPr>
                <w:rFonts w:eastAsia="方正仿宋简体"/>
                <w:sz w:val="24"/>
                <w:szCs w:val="24"/>
              </w:rPr>
            </w:pPr>
            <w:r>
              <w:rPr>
                <w:rFonts w:eastAsia="方正仿宋简体"/>
                <w:sz w:val="24"/>
                <w:szCs w:val="24"/>
              </w:rPr>
              <w:t>9.根据防洪工程需要，对漠阳江雅韶段台平三丫二期北津至新台公路堤面进行硬底化约3.6公里。</w:t>
            </w:r>
          </w:p>
        </w:tc>
        <w:tc>
          <w:tcPr>
            <w:tcW w:w="3828" w:type="dxa"/>
            <w:shd w:val="clear" w:color="auto" w:fill="FFFFFF"/>
            <w:vAlign w:val="center"/>
          </w:tcPr>
          <w:p>
            <w:pPr>
              <w:spacing w:line="300" w:lineRule="exact"/>
              <w:rPr>
                <w:rFonts w:eastAsia="方正仿宋简体"/>
                <w:sz w:val="24"/>
                <w:szCs w:val="24"/>
              </w:rPr>
            </w:pPr>
            <w:r>
              <w:rPr>
                <w:rFonts w:hint="eastAsia" w:eastAsia="方正仿宋简体"/>
                <w:sz w:val="24"/>
                <w:szCs w:val="24"/>
              </w:rPr>
              <w:t>该项目已开工建设</w:t>
            </w:r>
            <w:r>
              <w:rPr>
                <w:rFonts w:eastAsia="方正仿宋简体"/>
                <w:sz w:val="24"/>
                <w:szCs w:val="24"/>
              </w:rPr>
              <w:t>。</w:t>
            </w:r>
          </w:p>
        </w:tc>
        <w:tc>
          <w:tcPr>
            <w:tcW w:w="992"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55%</w:t>
            </w:r>
          </w:p>
        </w:tc>
        <w:tc>
          <w:tcPr>
            <w:tcW w:w="1438"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进展缓慢。</w:t>
            </w:r>
          </w:p>
        </w:tc>
        <w:tc>
          <w:tcPr>
            <w:tcW w:w="3273" w:type="dxa"/>
            <w:shd w:val="clear" w:color="auto" w:fill="FFFFFF"/>
            <w:vAlign w:val="center"/>
          </w:tcPr>
          <w:p>
            <w:pPr>
              <w:spacing w:line="300" w:lineRule="exact"/>
              <w:rPr>
                <w:rFonts w:eastAsia="方正仿宋简体"/>
                <w:sz w:val="24"/>
                <w:szCs w:val="24"/>
              </w:rPr>
            </w:pPr>
            <w:r>
              <w:rPr>
                <w:rFonts w:hint="eastAsia" w:eastAsia="方正仿宋简体"/>
                <w:sz w:val="24"/>
                <w:szCs w:val="24"/>
              </w:rPr>
              <w:t>计划12月底完工验收。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8" w:hRule="atLeast"/>
          <w:jc w:val="center"/>
        </w:trPr>
        <w:tc>
          <w:tcPr>
            <w:tcW w:w="1232" w:type="dxa"/>
            <w:vMerge w:val="continue"/>
            <w:shd w:val="clear" w:color="auto" w:fill="FFFFFF"/>
            <w:vAlign w:val="center"/>
          </w:tcPr>
          <w:p>
            <w:pPr>
              <w:autoSpaceDN w:val="0"/>
              <w:spacing w:line="300" w:lineRule="exact"/>
              <w:textAlignment w:val="center"/>
              <w:rPr>
                <w:rFonts w:eastAsia="方正仿宋简体"/>
                <w:b/>
                <w:sz w:val="24"/>
                <w:szCs w:val="24"/>
              </w:rPr>
            </w:pPr>
          </w:p>
        </w:tc>
        <w:tc>
          <w:tcPr>
            <w:tcW w:w="1001" w:type="dxa"/>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雷振杰</w:t>
            </w:r>
          </w:p>
        </w:tc>
        <w:tc>
          <w:tcPr>
            <w:tcW w:w="838" w:type="dxa"/>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区自然资源局</w:t>
            </w:r>
          </w:p>
        </w:tc>
        <w:tc>
          <w:tcPr>
            <w:tcW w:w="1366" w:type="dxa"/>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东平镇政府</w:t>
            </w:r>
          </w:p>
        </w:tc>
        <w:tc>
          <w:tcPr>
            <w:tcW w:w="1864" w:type="dxa"/>
            <w:shd w:val="clear" w:color="auto" w:fill="FFFFFF"/>
            <w:vAlign w:val="center"/>
          </w:tcPr>
          <w:p>
            <w:pPr>
              <w:autoSpaceDN w:val="0"/>
              <w:spacing w:line="300" w:lineRule="exact"/>
              <w:textAlignment w:val="center"/>
              <w:rPr>
                <w:rFonts w:eastAsia="方正仿宋简体"/>
                <w:sz w:val="24"/>
                <w:szCs w:val="24"/>
              </w:rPr>
            </w:pPr>
            <w:r>
              <w:rPr>
                <w:rFonts w:eastAsia="方正仿宋简体"/>
                <w:sz w:val="24"/>
                <w:szCs w:val="24"/>
              </w:rPr>
              <w:t>10.开展东平镇鸳鸯路道路边坡崩塌地质灾害隐患点治理工程。</w:t>
            </w:r>
          </w:p>
        </w:tc>
        <w:tc>
          <w:tcPr>
            <w:tcW w:w="3828" w:type="dxa"/>
            <w:shd w:val="clear" w:color="auto" w:fill="FFFFFF"/>
            <w:vAlign w:val="center"/>
          </w:tcPr>
          <w:p>
            <w:pPr>
              <w:spacing w:line="300" w:lineRule="exact"/>
              <w:rPr>
                <w:rFonts w:eastAsia="方正仿宋简体"/>
                <w:sz w:val="24"/>
                <w:szCs w:val="24"/>
              </w:rPr>
            </w:pPr>
            <w:r>
              <w:rPr>
                <w:rFonts w:hint="eastAsia" w:eastAsia="方正仿宋简体"/>
                <w:sz w:val="24"/>
                <w:szCs w:val="24"/>
              </w:rPr>
              <w:t>该项目总投资441.25万元，建设资金为中央专项资金，已完成主体工程。</w:t>
            </w:r>
          </w:p>
        </w:tc>
        <w:tc>
          <w:tcPr>
            <w:tcW w:w="992"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100%</w:t>
            </w:r>
          </w:p>
        </w:tc>
        <w:tc>
          <w:tcPr>
            <w:tcW w:w="1438"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无</w:t>
            </w:r>
          </w:p>
        </w:tc>
        <w:tc>
          <w:tcPr>
            <w:tcW w:w="3273"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4" w:hRule="atLeast"/>
          <w:jc w:val="center"/>
        </w:trPr>
        <w:tc>
          <w:tcPr>
            <w:tcW w:w="1232" w:type="dxa"/>
            <w:vMerge w:val="continue"/>
            <w:shd w:val="clear" w:color="auto" w:fill="FFFFFF"/>
            <w:vAlign w:val="center"/>
          </w:tcPr>
          <w:p>
            <w:pPr>
              <w:autoSpaceDN w:val="0"/>
              <w:spacing w:line="300" w:lineRule="exact"/>
              <w:textAlignment w:val="center"/>
              <w:rPr>
                <w:rFonts w:eastAsia="方正仿宋简体"/>
                <w:b/>
                <w:sz w:val="24"/>
                <w:szCs w:val="24"/>
              </w:rPr>
            </w:pPr>
          </w:p>
        </w:tc>
        <w:tc>
          <w:tcPr>
            <w:tcW w:w="1001" w:type="dxa"/>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陈华清</w:t>
            </w:r>
          </w:p>
        </w:tc>
        <w:tc>
          <w:tcPr>
            <w:tcW w:w="838" w:type="dxa"/>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区消防救援大队</w:t>
            </w:r>
          </w:p>
        </w:tc>
        <w:tc>
          <w:tcPr>
            <w:tcW w:w="1366" w:type="dxa"/>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区发展改革局</w:t>
            </w:r>
            <w:r>
              <w:rPr>
                <w:rFonts w:hint="eastAsia" w:eastAsia="方正仿宋简体"/>
                <w:sz w:val="24"/>
                <w:szCs w:val="24"/>
              </w:rPr>
              <w:t>、</w:t>
            </w:r>
          </w:p>
          <w:p>
            <w:pPr>
              <w:adjustRightInd w:val="0"/>
              <w:snapToGrid w:val="0"/>
              <w:spacing w:line="300" w:lineRule="exact"/>
              <w:jc w:val="center"/>
              <w:rPr>
                <w:rFonts w:eastAsia="方正仿宋简体"/>
                <w:sz w:val="24"/>
                <w:szCs w:val="24"/>
              </w:rPr>
            </w:pPr>
            <w:r>
              <w:rPr>
                <w:rFonts w:eastAsia="方正仿宋简体"/>
                <w:sz w:val="24"/>
                <w:szCs w:val="24"/>
              </w:rPr>
              <w:t>区财政局</w:t>
            </w:r>
            <w:r>
              <w:rPr>
                <w:rFonts w:hint="eastAsia" w:eastAsia="方正仿宋简体"/>
                <w:sz w:val="24"/>
                <w:szCs w:val="24"/>
              </w:rPr>
              <w:t>、</w:t>
            </w:r>
          </w:p>
          <w:p>
            <w:pPr>
              <w:adjustRightInd w:val="0"/>
              <w:snapToGrid w:val="0"/>
              <w:spacing w:line="300" w:lineRule="exact"/>
              <w:jc w:val="center"/>
              <w:rPr>
                <w:rFonts w:eastAsia="方正仿宋简体"/>
                <w:sz w:val="24"/>
                <w:szCs w:val="24"/>
              </w:rPr>
            </w:pPr>
            <w:r>
              <w:rPr>
                <w:rFonts w:eastAsia="方正仿宋简体"/>
                <w:sz w:val="24"/>
                <w:szCs w:val="24"/>
              </w:rPr>
              <w:t>大八镇政府</w:t>
            </w:r>
          </w:p>
        </w:tc>
        <w:tc>
          <w:tcPr>
            <w:tcW w:w="1864" w:type="dxa"/>
            <w:shd w:val="clear" w:color="auto" w:fill="FFFFFF"/>
            <w:vAlign w:val="center"/>
          </w:tcPr>
          <w:p>
            <w:pPr>
              <w:adjustRightInd w:val="0"/>
              <w:snapToGrid w:val="0"/>
              <w:spacing w:line="300" w:lineRule="exact"/>
              <w:rPr>
                <w:rFonts w:eastAsia="方正仿宋简体"/>
                <w:sz w:val="24"/>
                <w:szCs w:val="24"/>
              </w:rPr>
            </w:pPr>
            <w:r>
              <w:rPr>
                <w:rFonts w:eastAsia="方正仿宋简体"/>
                <w:sz w:val="24"/>
                <w:szCs w:val="24"/>
              </w:rPr>
              <w:t>11.开展</w:t>
            </w:r>
            <w:r>
              <w:rPr>
                <w:rFonts w:eastAsia="方正仿宋简体"/>
                <w:kern w:val="0"/>
                <w:sz w:val="24"/>
                <w:szCs w:val="24"/>
              </w:rPr>
              <w:t>大八镇专职消防队营房升级改造工程，将现专职消防队临时办公用房及周边部分空地改建为专职消防队营房。</w:t>
            </w:r>
          </w:p>
        </w:tc>
        <w:tc>
          <w:tcPr>
            <w:tcW w:w="3828" w:type="dxa"/>
            <w:shd w:val="clear" w:color="auto" w:fill="FFFFFF"/>
            <w:vAlign w:val="center"/>
          </w:tcPr>
          <w:p>
            <w:pPr>
              <w:autoSpaceDN w:val="0"/>
              <w:spacing w:line="300" w:lineRule="exact"/>
              <w:textAlignment w:val="center"/>
              <w:rPr>
                <w:rFonts w:eastAsia="方正仿宋简体"/>
                <w:sz w:val="24"/>
                <w:szCs w:val="24"/>
              </w:rPr>
            </w:pPr>
            <w:r>
              <w:rPr>
                <w:rFonts w:hint="eastAsia" w:eastAsia="方正仿宋简体"/>
                <w:sz w:val="24"/>
                <w:szCs w:val="24"/>
              </w:rPr>
              <w:t>该项目已完成基础设施建设。</w:t>
            </w:r>
          </w:p>
        </w:tc>
        <w:tc>
          <w:tcPr>
            <w:tcW w:w="992"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50%</w:t>
            </w:r>
          </w:p>
        </w:tc>
        <w:tc>
          <w:tcPr>
            <w:tcW w:w="1438"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进展缓慢。</w:t>
            </w:r>
          </w:p>
        </w:tc>
        <w:tc>
          <w:tcPr>
            <w:tcW w:w="3273" w:type="dxa"/>
            <w:shd w:val="clear" w:color="auto" w:fill="FFFFFF"/>
            <w:vAlign w:val="center"/>
          </w:tcPr>
          <w:p>
            <w:pPr>
              <w:autoSpaceDN w:val="0"/>
              <w:spacing w:line="300" w:lineRule="exact"/>
              <w:textAlignment w:val="center"/>
              <w:rPr>
                <w:rFonts w:eastAsia="方正仿宋简体"/>
                <w:sz w:val="24"/>
                <w:szCs w:val="24"/>
              </w:rPr>
            </w:pPr>
            <w:r>
              <w:rPr>
                <w:rFonts w:hint="eastAsia" w:eastAsia="方正仿宋简体"/>
                <w:sz w:val="24"/>
                <w:szCs w:val="24"/>
              </w:rPr>
              <w:t>1.加快项目建设进度，与相关单位密切配合，加强沟通与协调。</w:t>
            </w:r>
          </w:p>
          <w:p>
            <w:pPr>
              <w:autoSpaceDN w:val="0"/>
              <w:spacing w:line="300" w:lineRule="exact"/>
              <w:textAlignment w:val="center"/>
              <w:rPr>
                <w:rFonts w:eastAsia="方正仿宋简体"/>
                <w:sz w:val="24"/>
                <w:szCs w:val="24"/>
              </w:rPr>
            </w:pPr>
            <w:r>
              <w:rPr>
                <w:rFonts w:hint="eastAsia" w:eastAsia="方正仿宋简体"/>
                <w:sz w:val="24"/>
                <w:szCs w:val="24"/>
              </w:rPr>
              <w:t>2.加强监督和质量控制，确保工程质量符合相关标准和要求。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0" w:hRule="atLeast"/>
          <w:jc w:val="center"/>
        </w:trPr>
        <w:tc>
          <w:tcPr>
            <w:tcW w:w="1232" w:type="dxa"/>
            <w:vMerge w:val="restart"/>
            <w:shd w:val="clear" w:color="auto" w:fill="FFFFFF"/>
            <w:vAlign w:val="center"/>
          </w:tcPr>
          <w:p>
            <w:pPr>
              <w:autoSpaceDN w:val="0"/>
              <w:spacing w:line="300" w:lineRule="exact"/>
              <w:textAlignment w:val="center"/>
              <w:rPr>
                <w:rFonts w:eastAsia="方正仿宋简体"/>
                <w:b/>
                <w:sz w:val="24"/>
                <w:szCs w:val="24"/>
              </w:rPr>
            </w:pPr>
            <w:r>
              <w:rPr>
                <w:rFonts w:eastAsia="方正仿宋简体"/>
                <w:b/>
                <w:sz w:val="24"/>
                <w:szCs w:val="24"/>
              </w:rPr>
              <w:t>五、加强食品安全监管</w:t>
            </w:r>
          </w:p>
        </w:tc>
        <w:tc>
          <w:tcPr>
            <w:tcW w:w="1001" w:type="dxa"/>
            <w:vMerge w:val="restart"/>
            <w:shd w:val="clear" w:color="auto" w:fill="FFFFFF"/>
            <w:vAlign w:val="center"/>
          </w:tcPr>
          <w:p>
            <w:pPr>
              <w:autoSpaceDN w:val="0"/>
              <w:spacing w:line="300" w:lineRule="exact"/>
              <w:jc w:val="left"/>
              <w:textAlignment w:val="center"/>
              <w:rPr>
                <w:rFonts w:eastAsia="方正仿宋简体"/>
                <w:sz w:val="24"/>
                <w:szCs w:val="24"/>
              </w:rPr>
            </w:pPr>
            <w:r>
              <w:rPr>
                <w:rFonts w:eastAsia="方正仿宋简体"/>
                <w:sz w:val="24"/>
                <w:szCs w:val="24"/>
              </w:rPr>
              <w:t>陈华清</w:t>
            </w:r>
          </w:p>
        </w:tc>
        <w:tc>
          <w:tcPr>
            <w:tcW w:w="838" w:type="dxa"/>
            <w:vMerge w:val="restart"/>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区市场监管局</w:t>
            </w:r>
          </w:p>
        </w:tc>
        <w:tc>
          <w:tcPr>
            <w:tcW w:w="1366" w:type="dxa"/>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有关镇政府</w:t>
            </w:r>
          </w:p>
        </w:tc>
        <w:tc>
          <w:tcPr>
            <w:tcW w:w="1864" w:type="dxa"/>
            <w:shd w:val="clear" w:color="auto" w:fill="FFFFFF"/>
            <w:vAlign w:val="center"/>
          </w:tcPr>
          <w:p>
            <w:pPr>
              <w:adjustRightInd w:val="0"/>
              <w:snapToGrid w:val="0"/>
              <w:spacing w:line="300" w:lineRule="exact"/>
              <w:rPr>
                <w:rFonts w:eastAsia="方正仿宋简体"/>
                <w:sz w:val="24"/>
                <w:szCs w:val="24"/>
              </w:rPr>
            </w:pPr>
            <w:r>
              <w:rPr>
                <w:rFonts w:eastAsia="方正仿宋简体"/>
                <w:sz w:val="24"/>
                <w:szCs w:val="24"/>
              </w:rPr>
              <w:t>12.加强食品质量安全监督管理，食品抽检量全年不少于2400批次。</w:t>
            </w:r>
          </w:p>
        </w:tc>
        <w:tc>
          <w:tcPr>
            <w:tcW w:w="3828" w:type="dxa"/>
            <w:shd w:val="clear" w:color="auto" w:fill="FFFFFF"/>
            <w:vAlign w:val="center"/>
          </w:tcPr>
          <w:p>
            <w:pPr>
              <w:adjustRightInd w:val="0"/>
              <w:snapToGrid w:val="0"/>
              <w:spacing w:line="300" w:lineRule="exact"/>
              <w:rPr>
                <w:rFonts w:eastAsia="方正仿宋简体"/>
                <w:sz w:val="24"/>
                <w:szCs w:val="24"/>
              </w:rPr>
            </w:pPr>
            <w:r>
              <w:rPr>
                <w:rFonts w:hint="eastAsia" w:ascii="仿宋" w:hAnsi="仿宋" w:eastAsia="仿宋" w:cs="仿宋"/>
                <w:sz w:val="24"/>
                <w:szCs w:val="24"/>
              </w:rPr>
              <w:t>目前已完成食品抽检2600批次。其中餐饮环节727批次（含餐饮环节农产品201批次），流通环节1717批次，生产企业93批次，生产小作坊63批次，流通环节农产品758批次。已出结果2490批次，不合格48批次。</w:t>
            </w:r>
          </w:p>
        </w:tc>
        <w:tc>
          <w:tcPr>
            <w:tcW w:w="992" w:type="dxa"/>
            <w:shd w:val="clear" w:color="auto" w:fill="FFFFFF"/>
            <w:vAlign w:val="center"/>
          </w:tcPr>
          <w:p>
            <w:pPr>
              <w:adjustRightInd w:val="0"/>
              <w:snapToGrid w:val="0"/>
              <w:spacing w:line="300" w:lineRule="exact"/>
              <w:jc w:val="center"/>
              <w:rPr>
                <w:rFonts w:eastAsia="方正仿宋简体"/>
                <w:sz w:val="24"/>
                <w:szCs w:val="24"/>
              </w:rPr>
            </w:pPr>
            <w:r>
              <w:rPr>
                <w:rFonts w:hint="eastAsia" w:ascii="仿宋" w:hAnsi="仿宋" w:eastAsia="仿宋" w:cs="仿宋"/>
                <w:sz w:val="24"/>
                <w:szCs w:val="24"/>
              </w:rPr>
              <w:t>100%</w:t>
            </w:r>
          </w:p>
        </w:tc>
        <w:tc>
          <w:tcPr>
            <w:tcW w:w="1438" w:type="dxa"/>
            <w:shd w:val="clear" w:color="auto" w:fill="FFFFFF"/>
            <w:vAlign w:val="center"/>
          </w:tcPr>
          <w:p>
            <w:pPr>
              <w:adjustRightInd w:val="0"/>
              <w:snapToGrid w:val="0"/>
              <w:spacing w:line="300" w:lineRule="exact"/>
              <w:jc w:val="center"/>
              <w:rPr>
                <w:rFonts w:eastAsia="方正仿宋简体"/>
                <w:sz w:val="24"/>
                <w:szCs w:val="24"/>
              </w:rPr>
            </w:pPr>
            <w:r>
              <w:rPr>
                <w:rFonts w:hint="eastAsia" w:eastAsia="方正仿宋简体"/>
                <w:sz w:val="24"/>
                <w:szCs w:val="24"/>
              </w:rPr>
              <w:t>无</w:t>
            </w:r>
          </w:p>
        </w:tc>
        <w:tc>
          <w:tcPr>
            <w:tcW w:w="3273" w:type="dxa"/>
            <w:shd w:val="clear" w:color="auto" w:fill="FFFFFF"/>
            <w:vAlign w:val="center"/>
          </w:tcPr>
          <w:p>
            <w:pPr>
              <w:adjustRightInd w:val="0"/>
              <w:snapToGrid w:val="0"/>
              <w:spacing w:line="300" w:lineRule="exact"/>
              <w:jc w:val="center"/>
              <w:rPr>
                <w:rFonts w:eastAsia="方正仿宋简体"/>
                <w:sz w:val="24"/>
                <w:szCs w:val="24"/>
              </w:rPr>
            </w:pPr>
            <w:r>
              <w:rPr>
                <w:rFonts w:hint="eastAsia" w:eastAsia="方正仿宋简体"/>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5" w:hRule="atLeast"/>
          <w:jc w:val="center"/>
        </w:trPr>
        <w:tc>
          <w:tcPr>
            <w:tcW w:w="1232" w:type="dxa"/>
            <w:vMerge w:val="continue"/>
            <w:shd w:val="clear" w:color="auto" w:fill="FFFFFF"/>
            <w:vAlign w:val="center"/>
          </w:tcPr>
          <w:p>
            <w:pPr>
              <w:autoSpaceDN w:val="0"/>
              <w:spacing w:line="300" w:lineRule="exact"/>
              <w:textAlignment w:val="center"/>
              <w:rPr>
                <w:rFonts w:eastAsia="方正仿宋简体"/>
                <w:b/>
                <w:sz w:val="24"/>
                <w:szCs w:val="24"/>
              </w:rPr>
            </w:pPr>
          </w:p>
        </w:tc>
        <w:tc>
          <w:tcPr>
            <w:tcW w:w="1001" w:type="dxa"/>
            <w:vMerge w:val="continue"/>
            <w:shd w:val="clear" w:color="auto" w:fill="FFFFFF"/>
            <w:vAlign w:val="center"/>
          </w:tcPr>
          <w:p>
            <w:pPr>
              <w:autoSpaceDN w:val="0"/>
              <w:spacing w:line="300" w:lineRule="exact"/>
              <w:jc w:val="left"/>
              <w:textAlignment w:val="center"/>
              <w:rPr>
                <w:rFonts w:eastAsia="方正仿宋简体"/>
                <w:sz w:val="24"/>
                <w:szCs w:val="24"/>
              </w:rPr>
            </w:pPr>
          </w:p>
        </w:tc>
        <w:tc>
          <w:tcPr>
            <w:tcW w:w="838" w:type="dxa"/>
            <w:vMerge w:val="continue"/>
            <w:shd w:val="clear" w:color="auto" w:fill="FFFFFF"/>
            <w:vAlign w:val="center"/>
          </w:tcPr>
          <w:p>
            <w:pPr>
              <w:autoSpaceDN w:val="0"/>
              <w:spacing w:line="300" w:lineRule="exact"/>
              <w:jc w:val="center"/>
              <w:textAlignment w:val="center"/>
              <w:rPr>
                <w:rFonts w:eastAsia="方正仿宋简体"/>
                <w:sz w:val="24"/>
                <w:szCs w:val="24"/>
              </w:rPr>
            </w:pPr>
          </w:p>
        </w:tc>
        <w:tc>
          <w:tcPr>
            <w:tcW w:w="1366" w:type="dxa"/>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有关镇政府</w:t>
            </w:r>
          </w:p>
        </w:tc>
        <w:tc>
          <w:tcPr>
            <w:tcW w:w="1864" w:type="dxa"/>
            <w:shd w:val="clear" w:color="auto" w:fill="FFFFFF"/>
            <w:vAlign w:val="center"/>
          </w:tcPr>
          <w:p>
            <w:pPr>
              <w:adjustRightInd w:val="0"/>
              <w:snapToGrid w:val="0"/>
              <w:spacing w:line="300" w:lineRule="exact"/>
              <w:rPr>
                <w:rFonts w:eastAsia="方正仿宋简体"/>
                <w:sz w:val="24"/>
                <w:szCs w:val="24"/>
              </w:rPr>
            </w:pPr>
            <w:r>
              <w:rPr>
                <w:rFonts w:eastAsia="方正仿宋简体"/>
                <w:sz w:val="24"/>
                <w:szCs w:val="24"/>
              </w:rPr>
              <w:t>13.加强食用农产品质量安全监督管理，委托第三方对辖区内农贸市场开展食用农产品快速检测服务，确保全年快检任务总量不少于21600批次。</w:t>
            </w:r>
          </w:p>
        </w:tc>
        <w:tc>
          <w:tcPr>
            <w:tcW w:w="3828" w:type="dxa"/>
            <w:shd w:val="clear" w:color="auto" w:fill="FFFFFF"/>
            <w:vAlign w:val="center"/>
          </w:tcPr>
          <w:p>
            <w:pPr>
              <w:adjustRightInd w:val="0"/>
              <w:snapToGrid w:val="0"/>
              <w:spacing w:line="300" w:lineRule="exact"/>
              <w:rPr>
                <w:rFonts w:eastAsia="方正仿宋简体"/>
                <w:sz w:val="24"/>
                <w:szCs w:val="24"/>
              </w:rPr>
            </w:pPr>
            <w:r>
              <w:rPr>
                <w:rFonts w:hint="eastAsia" w:ascii="仿宋" w:hAnsi="仿宋" w:eastAsia="仿宋" w:cs="仿宋"/>
                <w:sz w:val="24"/>
                <w:szCs w:val="24"/>
              </w:rPr>
              <w:t>已完成快检总数22450批次，不合格78批次，合格率为99.65%，共处理不合格124.404公斤。其中蔬菜19477批次，不合格60批次，合格率99.69%，处理不合格品106.249公斤；水产品1980批次，不合格18批次，合格率为99.09%，处理不合格18.155公斤；畜禽肉蛋类993批次，不合格0批次，合格率为100%，处理不合格品0公斤。</w:t>
            </w:r>
          </w:p>
        </w:tc>
        <w:tc>
          <w:tcPr>
            <w:tcW w:w="992" w:type="dxa"/>
            <w:shd w:val="clear" w:color="auto" w:fill="FFFFFF"/>
            <w:vAlign w:val="center"/>
          </w:tcPr>
          <w:p>
            <w:pPr>
              <w:adjustRightInd w:val="0"/>
              <w:snapToGrid w:val="0"/>
              <w:spacing w:line="300" w:lineRule="exact"/>
              <w:jc w:val="center"/>
              <w:rPr>
                <w:rFonts w:eastAsia="方正仿宋简体"/>
                <w:sz w:val="24"/>
                <w:szCs w:val="24"/>
              </w:rPr>
            </w:pPr>
            <w:r>
              <w:rPr>
                <w:rFonts w:hint="eastAsia" w:ascii="仿宋" w:hAnsi="仿宋" w:eastAsia="仿宋" w:cs="仿宋"/>
                <w:sz w:val="24"/>
                <w:szCs w:val="24"/>
              </w:rPr>
              <w:t>100%</w:t>
            </w:r>
          </w:p>
        </w:tc>
        <w:tc>
          <w:tcPr>
            <w:tcW w:w="1438" w:type="dxa"/>
            <w:shd w:val="clear" w:color="auto" w:fill="FFFFFF"/>
            <w:vAlign w:val="center"/>
          </w:tcPr>
          <w:p>
            <w:pPr>
              <w:adjustRightInd w:val="0"/>
              <w:snapToGrid w:val="0"/>
              <w:spacing w:line="300" w:lineRule="exact"/>
              <w:jc w:val="center"/>
              <w:rPr>
                <w:rFonts w:eastAsia="方正仿宋简体"/>
                <w:sz w:val="24"/>
                <w:szCs w:val="24"/>
              </w:rPr>
            </w:pPr>
            <w:r>
              <w:rPr>
                <w:rFonts w:hint="eastAsia" w:eastAsia="方正仿宋简体"/>
                <w:sz w:val="24"/>
                <w:szCs w:val="24"/>
              </w:rPr>
              <w:t>无</w:t>
            </w:r>
          </w:p>
        </w:tc>
        <w:tc>
          <w:tcPr>
            <w:tcW w:w="3273" w:type="dxa"/>
            <w:shd w:val="clear" w:color="auto" w:fill="FFFFFF"/>
            <w:vAlign w:val="center"/>
          </w:tcPr>
          <w:p>
            <w:pPr>
              <w:adjustRightInd w:val="0"/>
              <w:snapToGrid w:val="0"/>
              <w:spacing w:line="300" w:lineRule="exact"/>
              <w:jc w:val="center"/>
              <w:rPr>
                <w:rFonts w:eastAsia="方正仿宋简体"/>
                <w:sz w:val="24"/>
                <w:szCs w:val="24"/>
              </w:rPr>
            </w:pPr>
            <w:r>
              <w:rPr>
                <w:rFonts w:hint="eastAsia" w:eastAsia="方正仿宋简体"/>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1" w:hRule="atLeast"/>
          <w:jc w:val="center"/>
        </w:trPr>
        <w:tc>
          <w:tcPr>
            <w:tcW w:w="1232" w:type="dxa"/>
            <w:shd w:val="clear" w:color="auto" w:fill="FFFFFF"/>
            <w:vAlign w:val="center"/>
          </w:tcPr>
          <w:p>
            <w:pPr>
              <w:autoSpaceDN w:val="0"/>
              <w:spacing w:line="300" w:lineRule="exact"/>
              <w:textAlignment w:val="center"/>
              <w:rPr>
                <w:rFonts w:eastAsia="方正仿宋简体"/>
                <w:b/>
                <w:sz w:val="24"/>
                <w:szCs w:val="24"/>
              </w:rPr>
            </w:pPr>
            <w:r>
              <w:rPr>
                <w:rFonts w:eastAsia="方正仿宋简体"/>
                <w:b/>
                <w:sz w:val="24"/>
                <w:szCs w:val="24"/>
              </w:rPr>
              <w:t>六、开展“救在身边”救护工作</w:t>
            </w:r>
          </w:p>
        </w:tc>
        <w:tc>
          <w:tcPr>
            <w:tcW w:w="1001" w:type="dxa"/>
            <w:shd w:val="clear" w:color="auto" w:fill="FFFFFF"/>
            <w:vAlign w:val="center"/>
          </w:tcPr>
          <w:p>
            <w:pPr>
              <w:autoSpaceDN w:val="0"/>
              <w:spacing w:line="300" w:lineRule="exact"/>
              <w:jc w:val="left"/>
              <w:textAlignment w:val="center"/>
              <w:rPr>
                <w:rFonts w:eastAsia="方正仿宋简体"/>
                <w:sz w:val="24"/>
                <w:szCs w:val="24"/>
              </w:rPr>
            </w:pPr>
            <w:r>
              <w:rPr>
                <w:rFonts w:eastAsia="方正仿宋简体"/>
                <w:sz w:val="24"/>
                <w:szCs w:val="24"/>
              </w:rPr>
              <w:t>李南轼</w:t>
            </w:r>
          </w:p>
        </w:tc>
        <w:tc>
          <w:tcPr>
            <w:tcW w:w="838" w:type="dxa"/>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区红十字会</w:t>
            </w:r>
          </w:p>
        </w:tc>
        <w:tc>
          <w:tcPr>
            <w:tcW w:w="1366" w:type="dxa"/>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区财政局、区金锋集团公司、各镇政府</w:t>
            </w:r>
          </w:p>
        </w:tc>
        <w:tc>
          <w:tcPr>
            <w:tcW w:w="1864" w:type="dxa"/>
            <w:shd w:val="clear" w:color="auto" w:fill="FFFFFF"/>
            <w:vAlign w:val="center"/>
          </w:tcPr>
          <w:p>
            <w:pPr>
              <w:autoSpaceDN w:val="0"/>
              <w:spacing w:line="300" w:lineRule="exact"/>
              <w:textAlignment w:val="center"/>
              <w:rPr>
                <w:rFonts w:eastAsia="方正仿宋简体"/>
                <w:sz w:val="24"/>
                <w:szCs w:val="24"/>
              </w:rPr>
            </w:pPr>
            <w:r>
              <w:rPr>
                <w:rFonts w:eastAsia="方正仿宋简体"/>
                <w:sz w:val="24"/>
                <w:szCs w:val="24"/>
              </w:rPr>
              <w:t>14.加强基层应急救护阵地建设，建设镇应急救护安全教学点11个，在东平镇珍珠湾旅游区建设红十字救护站，在我区公共区域增加5台AED。实施应急救护师资领航计划，举办一期基层红十字会应急救护师资培训班，培训持证救护师资20人。开展应急救护培训和普及工作，培训持证救护员2000人，普及应急救护知识不低于10000人次。</w:t>
            </w:r>
          </w:p>
        </w:tc>
        <w:tc>
          <w:tcPr>
            <w:tcW w:w="3828" w:type="dxa"/>
            <w:shd w:val="clear" w:color="auto" w:fill="FFFFFF"/>
            <w:vAlign w:val="center"/>
          </w:tcPr>
          <w:p>
            <w:pPr>
              <w:autoSpaceDN w:val="0"/>
              <w:spacing w:line="280" w:lineRule="exact"/>
              <w:textAlignment w:val="center"/>
              <w:rPr>
                <w:rFonts w:eastAsia="方正仿宋简体"/>
                <w:sz w:val="24"/>
                <w:szCs w:val="24"/>
              </w:rPr>
            </w:pPr>
            <w:r>
              <w:rPr>
                <w:rFonts w:hint="eastAsia" w:eastAsia="方正仿宋简体"/>
                <w:sz w:val="24"/>
                <w:szCs w:val="24"/>
              </w:rPr>
              <w:t>1.全区11个镇应急救护安全教学点全部落成，已正式投入使用。</w:t>
            </w:r>
          </w:p>
          <w:p>
            <w:pPr>
              <w:autoSpaceDN w:val="0"/>
              <w:spacing w:line="280" w:lineRule="exact"/>
              <w:textAlignment w:val="center"/>
              <w:rPr>
                <w:rFonts w:eastAsia="方正仿宋简体"/>
                <w:sz w:val="24"/>
                <w:szCs w:val="24"/>
              </w:rPr>
            </w:pPr>
            <w:r>
              <w:rPr>
                <w:rFonts w:hint="eastAsia" w:eastAsia="方正仿宋简体"/>
                <w:sz w:val="24"/>
                <w:szCs w:val="24"/>
              </w:rPr>
              <w:t>2.阳东区东平镇珍珠湾旅游区红十字救护站已完成室内外装修工作并投入使用，全力打造群众身边的“红十字会”，助力健康阳东建设。</w:t>
            </w:r>
          </w:p>
          <w:p>
            <w:pPr>
              <w:autoSpaceDN w:val="0"/>
              <w:spacing w:line="280" w:lineRule="exact"/>
              <w:textAlignment w:val="center"/>
              <w:rPr>
                <w:rFonts w:eastAsia="方正仿宋简体"/>
                <w:sz w:val="24"/>
                <w:szCs w:val="24"/>
              </w:rPr>
            </w:pPr>
            <w:r>
              <w:rPr>
                <w:rFonts w:hint="eastAsia" w:eastAsia="方正仿宋简体"/>
                <w:sz w:val="24"/>
                <w:szCs w:val="24"/>
              </w:rPr>
              <w:t>3.已在区政务服务中心、阳东第二中学、东城镇中心小学、东城镇第四小学、京源城、东城镇红十字应急救护安全教学点、东平镇红十字应急救护安全教学点、阳东区实验学校、阳东区东城学校、阳东区老干部服务中心、阳东区南华实验学校和美的湿地公园游客服务中心等12个地方各安装1台</w:t>
            </w:r>
            <w:r>
              <w:rPr>
                <w:rFonts w:hint="eastAsia" w:eastAsia="方正仿宋简体"/>
                <w:kern w:val="0"/>
                <w:sz w:val="24"/>
                <w:szCs w:val="24"/>
              </w:rPr>
              <w:t>AED。</w:t>
            </w:r>
          </w:p>
          <w:p>
            <w:pPr>
              <w:autoSpaceDN w:val="0"/>
              <w:spacing w:line="280" w:lineRule="exact"/>
              <w:textAlignment w:val="center"/>
              <w:rPr>
                <w:rFonts w:eastAsia="方正仿宋简体"/>
                <w:sz w:val="24"/>
                <w:szCs w:val="24"/>
              </w:rPr>
            </w:pPr>
            <w:r>
              <w:rPr>
                <w:rFonts w:hint="eastAsia" w:eastAsia="方正仿宋简体"/>
                <w:sz w:val="24"/>
                <w:szCs w:val="24"/>
              </w:rPr>
              <w:t>4.已选派20</w:t>
            </w:r>
            <w:r>
              <w:rPr>
                <w:rFonts w:eastAsia="方正仿宋简体"/>
                <w:sz w:val="24"/>
                <w:szCs w:val="24"/>
              </w:rPr>
              <w:t>名</w:t>
            </w:r>
            <w:r>
              <w:rPr>
                <w:rFonts w:hint="eastAsia" w:eastAsia="方正仿宋简体"/>
                <w:sz w:val="24"/>
                <w:szCs w:val="24"/>
              </w:rPr>
              <w:t>符合条件的红十字志愿者参加</w:t>
            </w:r>
            <w:r>
              <w:rPr>
                <w:rFonts w:eastAsia="方正仿宋简体"/>
                <w:sz w:val="24"/>
                <w:szCs w:val="24"/>
              </w:rPr>
              <w:t>红十字会应急救护师资</w:t>
            </w:r>
            <w:r>
              <w:rPr>
                <w:rFonts w:hint="eastAsia" w:eastAsia="方正仿宋简体"/>
                <w:sz w:val="24"/>
                <w:szCs w:val="24"/>
              </w:rPr>
              <w:t>培训班</w:t>
            </w:r>
            <w:r>
              <w:rPr>
                <w:rFonts w:eastAsia="方正仿宋简体"/>
                <w:sz w:val="24"/>
                <w:szCs w:val="24"/>
              </w:rPr>
              <w:t>。</w:t>
            </w:r>
          </w:p>
          <w:p>
            <w:pPr>
              <w:autoSpaceDN w:val="0"/>
              <w:spacing w:line="280" w:lineRule="exact"/>
              <w:textAlignment w:val="center"/>
              <w:rPr>
                <w:rFonts w:eastAsia="方正仿宋简体"/>
                <w:sz w:val="24"/>
                <w:szCs w:val="24"/>
              </w:rPr>
            </w:pPr>
            <w:r>
              <w:rPr>
                <w:rFonts w:hint="eastAsia" w:eastAsia="方正仿宋简体"/>
                <w:sz w:val="24"/>
                <w:szCs w:val="24"/>
              </w:rPr>
              <w:t>5.已</w:t>
            </w:r>
            <w:r>
              <w:rPr>
                <w:rFonts w:eastAsia="方正仿宋简体"/>
                <w:sz w:val="24"/>
                <w:szCs w:val="24"/>
              </w:rPr>
              <w:t>开展</w:t>
            </w:r>
            <w:r>
              <w:rPr>
                <w:rFonts w:hint="eastAsia" w:eastAsia="方正仿宋简体"/>
                <w:sz w:val="24"/>
                <w:szCs w:val="24"/>
              </w:rPr>
              <w:t>了65</w:t>
            </w:r>
            <w:r>
              <w:rPr>
                <w:rFonts w:eastAsia="方正仿宋简体"/>
                <w:sz w:val="24"/>
                <w:szCs w:val="24"/>
              </w:rPr>
              <w:t>期应急救护公益培训班，共培养</w:t>
            </w:r>
            <w:r>
              <w:rPr>
                <w:rFonts w:hint="eastAsia" w:eastAsia="方正仿宋简体"/>
                <w:sz w:val="24"/>
                <w:szCs w:val="24"/>
              </w:rPr>
              <w:t>2624</w:t>
            </w:r>
            <w:r>
              <w:rPr>
                <w:rFonts w:eastAsia="方正仿宋简体"/>
                <w:sz w:val="24"/>
                <w:szCs w:val="24"/>
              </w:rPr>
              <w:t>名考核合格的持证救护员。</w:t>
            </w:r>
            <w:r>
              <w:rPr>
                <w:rFonts w:hint="eastAsia" w:eastAsia="方正仿宋简体"/>
                <w:sz w:val="24"/>
                <w:szCs w:val="24"/>
              </w:rPr>
              <w:t>并通过线上宣传和线下开展应急救护宣讲活动，普及应急救护知识累计达12000人次。</w:t>
            </w:r>
          </w:p>
        </w:tc>
        <w:tc>
          <w:tcPr>
            <w:tcW w:w="992" w:type="dxa"/>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100</w:t>
            </w:r>
            <w:r>
              <w:rPr>
                <w:rFonts w:eastAsia="方正仿宋简体"/>
                <w:sz w:val="24"/>
                <w:szCs w:val="24"/>
              </w:rPr>
              <w:t>%</w:t>
            </w:r>
          </w:p>
        </w:tc>
        <w:tc>
          <w:tcPr>
            <w:tcW w:w="1438" w:type="dxa"/>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无</w:t>
            </w:r>
          </w:p>
        </w:tc>
        <w:tc>
          <w:tcPr>
            <w:tcW w:w="3273" w:type="dxa"/>
            <w:shd w:val="clear" w:color="auto" w:fill="FFFFFF"/>
            <w:vAlign w:val="center"/>
          </w:tcPr>
          <w:p>
            <w:pPr>
              <w:autoSpaceDN w:val="0"/>
              <w:spacing w:line="300" w:lineRule="exact"/>
              <w:textAlignment w:val="center"/>
              <w:rPr>
                <w:rFonts w:eastAsia="方正仿宋简体" w:cs="仿宋"/>
                <w:sz w:val="24"/>
                <w:szCs w:val="24"/>
              </w:rPr>
            </w:pPr>
            <w:r>
              <w:rPr>
                <w:rFonts w:hint="eastAsia" w:eastAsia="方正仿宋简体" w:cs="仿宋"/>
                <w:sz w:val="24"/>
                <w:szCs w:val="24"/>
              </w:rPr>
              <w:t>1.做好应急救护培训“六进”工作。联合各镇红十字会、教育部门、各企业、各行业协会、社区等开展应急救护公益培训班和宣讲活动。利用微信公众号和红十字数字一体机进行应急救护宣传。</w:t>
            </w:r>
          </w:p>
          <w:p>
            <w:pPr>
              <w:autoSpaceDN w:val="0"/>
              <w:spacing w:line="300" w:lineRule="exact"/>
              <w:textAlignment w:val="center"/>
              <w:rPr>
                <w:rFonts w:eastAsia="方正仿宋简体"/>
                <w:sz w:val="24"/>
                <w:szCs w:val="24"/>
              </w:rPr>
            </w:pPr>
            <w:r>
              <w:rPr>
                <w:rFonts w:hint="eastAsia" w:eastAsia="方正仿宋简体" w:cs="仿宋"/>
                <w:sz w:val="24"/>
                <w:szCs w:val="24"/>
              </w:rPr>
              <w:t>2.动员社会资源共同推进阳东区红十字阵地建设。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7" w:hRule="atLeast"/>
          <w:jc w:val="center"/>
        </w:trPr>
        <w:tc>
          <w:tcPr>
            <w:tcW w:w="1232" w:type="dxa"/>
            <w:vMerge w:val="restart"/>
            <w:shd w:val="clear" w:color="auto" w:fill="FFFFFF"/>
            <w:vAlign w:val="center"/>
          </w:tcPr>
          <w:p>
            <w:pPr>
              <w:autoSpaceDN w:val="0"/>
              <w:spacing w:line="300" w:lineRule="exact"/>
              <w:textAlignment w:val="center"/>
              <w:rPr>
                <w:rFonts w:eastAsia="方正仿宋简体"/>
                <w:b/>
                <w:sz w:val="24"/>
                <w:szCs w:val="24"/>
              </w:rPr>
            </w:pPr>
            <w:r>
              <w:rPr>
                <w:rFonts w:eastAsia="方正仿宋简体"/>
                <w:b/>
                <w:sz w:val="24"/>
                <w:szCs w:val="24"/>
              </w:rPr>
              <w:t>七、推进镇村人居环境整治</w:t>
            </w:r>
          </w:p>
        </w:tc>
        <w:tc>
          <w:tcPr>
            <w:tcW w:w="1001" w:type="dxa"/>
            <w:shd w:val="clear" w:color="auto" w:fill="FFFFFF"/>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赖</w:t>
            </w:r>
            <w:r>
              <w:rPr>
                <w:rFonts w:eastAsia="方正仿宋简体"/>
                <w:sz w:val="24"/>
                <w:szCs w:val="24"/>
              </w:rPr>
              <w:t>丽芬</w:t>
            </w:r>
          </w:p>
        </w:tc>
        <w:tc>
          <w:tcPr>
            <w:tcW w:w="838" w:type="dxa"/>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区农业农村局</w:t>
            </w:r>
          </w:p>
        </w:tc>
        <w:tc>
          <w:tcPr>
            <w:tcW w:w="1366" w:type="dxa"/>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有关镇政府</w:t>
            </w:r>
          </w:p>
        </w:tc>
        <w:tc>
          <w:tcPr>
            <w:tcW w:w="1864" w:type="dxa"/>
            <w:shd w:val="clear" w:color="auto" w:fill="FFFFFF"/>
            <w:vAlign w:val="center"/>
          </w:tcPr>
          <w:p>
            <w:pPr>
              <w:adjustRightInd w:val="0"/>
              <w:snapToGrid w:val="0"/>
              <w:spacing w:line="300" w:lineRule="exact"/>
              <w:rPr>
                <w:rFonts w:eastAsia="方正仿宋简体"/>
                <w:sz w:val="24"/>
                <w:szCs w:val="24"/>
              </w:rPr>
            </w:pPr>
            <w:r>
              <w:rPr>
                <w:rFonts w:eastAsia="方正仿宋简体"/>
                <w:sz w:val="24"/>
                <w:szCs w:val="24"/>
              </w:rPr>
              <w:t>15.完成50条村生活污水治理工程，提高农村生活污水治理率。</w:t>
            </w:r>
          </w:p>
        </w:tc>
        <w:tc>
          <w:tcPr>
            <w:tcW w:w="3828" w:type="dxa"/>
            <w:shd w:val="clear" w:color="auto" w:fill="FFFFFF"/>
            <w:vAlign w:val="center"/>
          </w:tcPr>
          <w:p>
            <w:pPr>
              <w:spacing w:line="300" w:lineRule="exact"/>
              <w:rPr>
                <w:rFonts w:eastAsia="方正仿宋简体"/>
                <w:sz w:val="24"/>
                <w:szCs w:val="24"/>
              </w:rPr>
            </w:pPr>
            <w:r>
              <w:rPr>
                <w:rFonts w:hint="eastAsia" w:eastAsia="方正仿宋简体"/>
                <w:sz w:val="24"/>
                <w:szCs w:val="24"/>
              </w:rPr>
              <w:t>已完成30条村的建设任务，正在抓紧推进剩余20条村建设任务。</w:t>
            </w:r>
          </w:p>
        </w:tc>
        <w:tc>
          <w:tcPr>
            <w:tcW w:w="992"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60%</w:t>
            </w:r>
          </w:p>
        </w:tc>
        <w:tc>
          <w:tcPr>
            <w:tcW w:w="1438"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进展缓慢。</w:t>
            </w:r>
          </w:p>
        </w:tc>
        <w:tc>
          <w:tcPr>
            <w:tcW w:w="3273" w:type="dxa"/>
            <w:shd w:val="clear" w:color="auto" w:fill="FFFFFF"/>
            <w:vAlign w:val="center"/>
          </w:tcPr>
          <w:p>
            <w:pPr>
              <w:spacing w:line="300" w:lineRule="exact"/>
              <w:rPr>
                <w:rFonts w:eastAsia="方正仿宋简体"/>
                <w:sz w:val="24"/>
                <w:szCs w:val="24"/>
              </w:rPr>
            </w:pPr>
            <w:r>
              <w:rPr>
                <w:rFonts w:hint="eastAsia" w:eastAsia="方正仿宋简体"/>
                <w:sz w:val="24"/>
                <w:szCs w:val="24"/>
              </w:rPr>
              <w:t>剩余20条村计划在12月底完成建设。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5" w:hRule="atLeast"/>
          <w:jc w:val="center"/>
        </w:trPr>
        <w:tc>
          <w:tcPr>
            <w:tcW w:w="1232" w:type="dxa"/>
            <w:vMerge w:val="continue"/>
            <w:shd w:val="clear" w:color="auto" w:fill="FFFFFF"/>
            <w:vAlign w:val="center"/>
          </w:tcPr>
          <w:p>
            <w:pPr>
              <w:autoSpaceDN w:val="0"/>
              <w:spacing w:line="300" w:lineRule="exact"/>
              <w:textAlignment w:val="center"/>
              <w:rPr>
                <w:rFonts w:eastAsia="方正仿宋简体"/>
                <w:b/>
                <w:sz w:val="24"/>
                <w:szCs w:val="24"/>
              </w:rPr>
            </w:pPr>
          </w:p>
        </w:tc>
        <w:tc>
          <w:tcPr>
            <w:tcW w:w="1001" w:type="dxa"/>
            <w:vMerge w:val="restart"/>
            <w:shd w:val="clear" w:color="auto" w:fill="FFFFFF"/>
            <w:vAlign w:val="center"/>
          </w:tcPr>
          <w:p>
            <w:pPr>
              <w:adjustRightInd w:val="0"/>
              <w:snapToGrid w:val="0"/>
              <w:spacing w:line="300" w:lineRule="exact"/>
              <w:jc w:val="center"/>
              <w:rPr>
                <w:rFonts w:eastAsia="方正仿宋简体"/>
                <w:sz w:val="24"/>
                <w:szCs w:val="24"/>
              </w:rPr>
            </w:pPr>
            <w:r>
              <w:rPr>
                <w:rFonts w:hint="eastAsia" w:eastAsia="方正仿宋简体"/>
                <w:sz w:val="24"/>
                <w:szCs w:val="24"/>
              </w:rPr>
              <w:t>雷振杰</w:t>
            </w:r>
          </w:p>
        </w:tc>
        <w:tc>
          <w:tcPr>
            <w:tcW w:w="838" w:type="dxa"/>
            <w:vMerge w:val="restart"/>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区住房和城乡建设局</w:t>
            </w:r>
          </w:p>
        </w:tc>
        <w:tc>
          <w:tcPr>
            <w:tcW w:w="1366" w:type="dxa"/>
            <w:vMerge w:val="restart"/>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区财政局</w:t>
            </w:r>
            <w:r>
              <w:rPr>
                <w:rFonts w:hint="eastAsia" w:eastAsia="方正仿宋简体"/>
                <w:sz w:val="24"/>
                <w:szCs w:val="24"/>
              </w:rPr>
              <w:t>、</w:t>
            </w:r>
          </w:p>
          <w:p>
            <w:pPr>
              <w:adjustRightInd w:val="0"/>
              <w:snapToGrid w:val="0"/>
              <w:spacing w:line="300" w:lineRule="exact"/>
              <w:jc w:val="center"/>
              <w:rPr>
                <w:rFonts w:eastAsia="方正仿宋简体"/>
                <w:sz w:val="24"/>
                <w:szCs w:val="24"/>
              </w:rPr>
            </w:pPr>
            <w:r>
              <w:rPr>
                <w:rFonts w:eastAsia="方正仿宋简体"/>
                <w:sz w:val="24"/>
                <w:szCs w:val="24"/>
              </w:rPr>
              <w:t>区自然资源局</w:t>
            </w:r>
            <w:r>
              <w:rPr>
                <w:rFonts w:hint="eastAsia" w:eastAsia="方正仿宋简体"/>
                <w:sz w:val="24"/>
                <w:szCs w:val="24"/>
              </w:rPr>
              <w:t>、</w:t>
            </w:r>
          </w:p>
          <w:p>
            <w:pPr>
              <w:adjustRightInd w:val="0"/>
              <w:snapToGrid w:val="0"/>
              <w:spacing w:line="300" w:lineRule="exact"/>
              <w:jc w:val="center"/>
              <w:rPr>
                <w:rFonts w:eastAsia="方正仿宋简体"/>
                <w:sz w:val="24"/>
                <w:szCs w:val="24"/>
              </w:rPr>
            </w:pPr>
            <w:r>
              <w:rPr>
                <w:rFonts w:eastAsia="方正仿宋简体"/>
                <w:sz w:val="24"/>
                <w:szCs w:val="24"/>
              </w:rPr>
              <w:t>区土储中心</w:t>
            </w:r>
            <w:r>
              <w:rPr>
                <w:rFonts w:hint="eastAsia" w:eastAsia="方正仿宋简体"/>
                <w:sz w:val="24"/>
                <w:szCs w:val="24"/>
              </w:rPr>
              <w:t>、</w:t>
            </w:r>
          </w:p>
          <w:p>
            <w:pPr>
              <w:adjustRightInd w:val="0"/>
              <w:snapToGrid w:val="0"/>
              <w:spacing w:line="300" w:lineRule="exact"/>
              <w:jc w:val="center"/>
              <w:rPr>
                <w:rFonts w:eastAsia="方正仿宋简体"/>
                <w:sz w:val="24"/>
                <w:szCs w:val="24"/>
              </w:rPr>
            </w:pPr>
            <w:r>
              <w:rPr>
                <w:rFonts w:eastAsia="方正仿宋简体"/>
                <w:sz w:val="24"/>
                <w:szCs w:val="24"/>
              </w:rPr>
              <w:t>有关镇政府</w:t>
            </w:r>
          </w:p>
        </w:tc>
        <w:tc>
          <w:tcPr>
            <w:tcW w:w="1864" w:type="dxa"/>
            <w:shd w:val="clear" w:color="auto" w:fill="FFFFFF"/>
            <w:vAlign w:val="center"/>
          </w:tcPr>
          <w:p>
            <w:pPr>
              <w:adjustRightInd w:val="0"/>
              <w:snapToGrid w:val="0"/>
              <w:spacing w:line="300" w:lineRule="exact"/>
              <w:rPr>
                <w:rFonts w:eastAsia="方正仿宋简体"/>
                <w:sz w:val="24"/>
                <w:szCs w:val="24"/>
              </w:rPr>
            </w:pPr>
            <w:r>
              <w:rPr>
                <w:rFonts w:eastAsia="方正仿宋简体"/>
                <w:sz w:val="24"/>
                <w:szCs w:val="24"/>
              </w:rPr>
              <w:t>16.动工建设新洲、大沟、雅韶、那龙、塘坪等镇污水处理厂。</w:t>
            </w:r>
          </w:p>
        </w:tc>
        <w:tc>
          <w:tcPr>
            <w:tcW w:w="3828" w:type="dxa"/>
            <w:shd w:val="clear" w:color="auto" w:fill="FFFFFF"/>
            <w:vAlign w:val="center"/>
          </w:tcPr>
          <w:p>
            <w:pPr>
              <w:adjustRightInd w:val="0"/>
              <w:snapToGrid w:val="0"/>
              <w:spacing w:line="300" w:lineRule="exact"/>
              <w:rPr>
                <w:rFonts w:eastAsia="方正仿宋简体"/>
                <w:sz w:val="24"/>
                <w:szCs w:val="24"/>
              </w:rPr>
            </w:pPr>
            <w:r>
              <w:rPr>
                <w:rFonts w:hint="eastAsia" w:eastAsia="方正仿宋简体"/>
                <w:sz w:val="24"/>
                <w:szCs w:val="24"/>
              </w:rPr>
              <w:t>大沟镇、新洲镇污水处理厂已开工建设，其中新洲镇污水处理厂已完成综合楼主体施工；大沟污水处理厂已成综合楼施工。雅韶镇、那龙镇、塘坪镇已取得用地批文，正在进行施工图设计及征地工作。其中那龙、塘坪镇已进场动工建设。</w:t>
            </w:r>
          </w:p>
        </w:tc>
        <w:tc>
          <w:tcPr>
            <w:tcW w:w="992" w:type="dxa"/>
            <w:shd w:val="clear" w:color="auto" w:fill="FFFFFF"/>
            <w:vAlign w:val="center"/>
          </w:tcPr>
          <w:p>
            <w:pPr>
              <w:adjustRightInd w:val="0"/>
              <w:snapToGrid w:val="0"/>
              <w:spacing w:line="300" w:lineRule="exact"/>
              <w:jc w:val="center"/>
              <w:rPr>
                <w:rFonts w:eastAsia="方正仿宋简体"/>
                <w:sz w:val="24"/>
                <w:szCs w:val="24"/>
              </w:rPr>
            </w:pPr>
            <w:r>
              <w:rPr>
                <w:rFonts w:hint="eastAsia" w:eastAsia="方正仿宋简体"/>
                <w:sz w:val="24"/>
                <w:szCs w:val="24"/>
              </w:rPr>
              <w:t>80%</w:t>
            </w:r>
          </w:p>
        </w:tc>
        <w:tc>
          <w:tcPr>
            <w:tcW w:w="1438" w:type="dxa"/>
            <w:shd w:val="clear" w:color="auto" w:fill="FFFFFF"/>
            <w:vAlign w:val="center"/>
          </w:tcPr>
          <w:p>
            <w:pPr>
              <w:adjustRightInd w:val="0"/>
              <w:snapToGrid w:val="0"/>
              <w:spacing w:line="300" w:lineRule="exact"/>
              <w:jc w:val="left"/>
              <w:rPr>
                <w:rFonts w:eastAsia="方正仿宋简体"/>
                <w:sz w:val="24"/>
                <w:szCs w:val="24"/>
              </w:rPr>
            </w:pPr>
            <w:r>
              <w:rPr>
                <w:rFonts w:hint="eastAsia" w:eastAsia="方正仿宋简体"/>
                <w:sz w:val="24"/>
                <w:szCs w:val="24"/>
              </w:rPr>
              <w:t>雅韶镇等镇土地尚未交付。</w:t>
            </w:r>
          </w:p>
        </w:tc>
        <w:tc>
          <w:tcPr>
            <w:tcW w:w="3273" w:type="dxa"/>
            <w:shd w:val="clear" w:color="auto" w:fill="FFFFFF"/>
            <w:vAlign w:val="center"/>
          </w:tcPr>
          <w:p>
            <w:pPr>
              <w:adjustRightInd w:val="0"/>
              <w:snapToGrid w:val="0"/>
              <w:spacing w:line="300" w:lineRule="exact"/>
              <w:rPr>
                <w:rFonts w:eastAsia="方正仿宋简体"/>
                <w:sz w:val="24"/>
                <w:szCs w:val="24"/>
              </w:rPr>
            </w:pPr>
            <w:r>
              <w:rPr>
                <w:rFonts w:hint="eastAsia" w:eastAsia="方正仿宋简体"/>
                <w:sz w:val="24"/>
                <w:szCs w:val="24"/>
              </w:rPr>
              <w:t>加快完成征地工作。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0" w:hRule="atLeast"/>
          <w:jc w:val="center"/>
        </w:trPr>
        <w:tc>
          <w:tcPr>
            <w:tcW w:w="1232" w:type="dxa"/>
            <w:vMerge w:val="continue"/>
            <w:shd w:val="clear" w:color="auto" w:fill="FFFFFF"/>
            <w:vAlign w:val="center"/>
          </w:tcPr>
          <w:p>
            <w:pPr>
              <w:autoSpaceDN w:val="0"/>
              <w:spacing w:line="300" w:lineRule="exact"/>
              <w:textAlignment w:val="center"/>
              <w:rPr>
                <w:rFonts w:eastAsia="方正仿宋简体"/>
                <w:b/>
                <w:sz w:val="24"/>
                <w:szCs w:val="24"/>
              </w:rPr>
            </w:pPr>
          </w:p>
        </w:tc>
        <w:tc>
          <w:tcPr>
            <w:tcW w:w="1001" w:type="dxa"/>
            <w:vMerge w:val="continue"/>
            <w:shd w:val="clear" w:color="auto" w:fill="FFFFFF"/>
            <w:vAlign w:val="center"/>
          </w:tcPr>
          <w:p>
            <w:pPr>
              <w:autoSpaceDN w:val="0"/>
              <w:spacing w:line="300" w:lineRule="exact"/>
              <w:jc w:val="left"/>
              <w:textAlignment w:val="center"/>
              <w:rPr>
                <w:rFonts w:eastAsia="方正仿宋简体"/>
                <w:sz w:val="24"/>
                <w:szCs w:val="24"/>
              </w:rPr>
            </w:pPr>
          </w:p>
        </w:tc>
        <w:tc>
          <w:tcPr>
            <w:tcW w:w="838" w:type="dxa"/>
            <w:vMerge w:val="continue"/>
            <w:shd w:val="clear" w:color="auto" w:fill="FFFFFF"/>
            <w:vAlign w:val="center"/>
          </w:tcPr>
          <w:p>
            <w:pPr>
              <w:autoSpaceDN w:val="0"/>
              <w:spacing w:line="300" w:lineRule="exact"/>
              <w:jc w:val="center"/>
              <w:textAlignment w:val="center"/>
              <w:rPr>
                <w:rFonts w:eastAsia="方正仿宋简体"/>
                <w:sz w:val="24"/>
                <w:szCs w:val="24"/>
              </w:rPr>
            </w:pPr>
          </w:p>
        </w:tc>
        <w:tc>
          <w:tcPr>
            <w:tcW w:w="1366" w:type="dxa"/>
            <w:vMerge w:val="continue"/>
            <w:shd w:val="clear" w:color="auto" w:fill="FFFFFF"/>
            <w:vAlign w:val="center"/>
          </w:tcPr>
          <w:p>
            <w:pPr>
              <w:autoSpaceDN w:val="0"/>
              <w:spacing w:line="300" w:lineRule="exact"/>
              <w:jc w:val="center"/>
              <w:textAlignment w:val="center"/>
              <w:rPr>
                <w:rFonts w:eastAsia="方正仿宋简体"/>
                <w:sz w:val="24"/>
                <w:szCs w:val="24"/>
              </w:rPr>
            </w:pPr>
          </w:p>
        </w:tc>
        <w:tc>
          <w:tcPr>
            <w:tcW w:w="1864" w:type="dxa"/>
            <w:shd w:val="clear" w:color="auto" w:fill="FFFFFF"/>
            <w:vAlign w:val="center"/>
          </w:tcPr>
          <w:p>
            <w:pPr>
              <w:adjustRightInd w:val="0"/>
              <w:snapToGrid w:val="0"/>
              <w:spacing w:line="300" w:lineRule="exact"/>
              <w:rPr>
                <w:rFonts w:eastAsia="方正仿宋简体"/>
                <w:sz w:val="24"/>
                <w:szCs w:val="24"/>
              </w:rPr>
            </w:pPr>
            <w:r>
              <w:rPr>
                <w:rFonts w:hint="eastAsia" w:eastAsia="方正仿宋简体"/>
                <w:sz w:val="24"/>
                <w:szCs w:val="24"/>
              </w:rPr>
              <w:t>17.动工建设雅韶、大沟、新洲、那龙、塘坪等5个镇垃圾中转站，加大农村垃圾“日产日清”的力度。</w:t>
            </w:r>
          </w:p>
        </w:tc>
        <w:tc>
          <w:tcPr>
            <w:tcW w:w="3828" w:type="dxa"/>
            <w:shd w:val="clear" w:color="auto" w:fill="FFFFFF"/>
            <w:vAlign w:val="center"/>
          </w:tcPr>
          <w:p>
            <w:pPr>
              <w:adjustRightInd w:val="0"/>
              <w:snapToGrid w:val="0"/>
              <w:spacing w:line="300" w:lineRule="exact"/>
              <w:rPr>
                <w:rFonts w:eastAsia="方正仿宋简体"/>
                <w:sz w:val="24"/>
                <w:szCs w:val="24"/>
              </w:rPr>
            </w:pPr>
            <w:r>
              <w:rPr>
                <w:rFonts w:hint="eastAsia" w:eastAsia="方正仿宋简体"/>
                <w:sz w:val="24"/>
                <w:szCs w:val="24"/>
              </w:rPr>
              <w:t>雅韶、大沟、新洲、那龙、塘坪镇垃圾中转站目前正在进行施工图设计。其中雅韶、大沟、那龙镇垃圾中转站已取得用地批文，已开展场地清表和场地围蔽；新洲镇正在重新组卷报批；塘坪镇垃圾中转站已取得用地批文。现已督促运营公司增加车辆，及时对原有垃圾中转站进行清运，杜绝发生垃圾转运落地情况。</w:t>
            </w:r>
          </w:p>
        </w:tc>
        <w:tc>
          <w:tcPr>
            <w:tcW w:w="992" w:type="dxa"/>
            <w:shd w:val="clear" w:color="auto" w:fill="FFFFFF"/>
            <w:vAlign w:val="center"/>
          </w:tcPr>
          <w:p>
            <w:pPr>
              <w:adjustRightInd w:val="0"/>
              <w:snapToGrid w:val="0"/>
              <w:spacing w:line="300" w:lineRule="exact"/>
              <w:jc w:val="center"/>
              <w:rPr>
                <w:rFonts w:eastAsia="方正仿宋简体"/>
                <w:sz w:val="24"/>
                <w:szCs w:val="24"/>
              </w:rPr>
            </w:pPr>
            <w:r>
              <w:rPr>
                <w:rFonts w:hint="eastAsia" w:eastAsia="方正仿宋简体"/>
                <w:sz w:val="24"/>
                <w:szCs w:val="24"/>
              </w:rPr>
              <w:t>60%</w:t>
            </w:r>
          </w:p>
        </w:tc>
        <w:tc>
          <w:tcPr>
            <w:tcW w:w="1438" w:type="dxa"/>
            <w:shd w:val="clear" w:color="auto" w:fill="FFFFFF"/>
            <w:vAlign w:val="center"/>
          </w:tcPr>
          <w:p>
            <w:pPr>
              <w:adjustRightInd w:val="0"/>
              <w:snapToGrid w:val="0"/>
              <w:spacing w:line="300" w:lineRule="exact"/>
              <w:jc w:val="left"/>
              <w:rPr>
                <w:rFonts w:eastAsia="方正仿宋简体"/>
                <w:sz w:val="24"/>
                <w:szCs w:val="24"/>
              </w:rPr>
            </w:pPr>
            <w:r>
              <w:rPr>
                <w:rFonts w:hint="eastAsia" w:eastAsia="方正仿宋简体"/>
                <w:sz w:val="24"/>
                <w:szCs w:val="24"/>
              </w:rPr>
              <w:t>新洲、塘坪镇尚未完成用地报批手续。雅韶、大沟、新洲、那龙、塘坪镇未完成征地手续。</w:t>
            </w:r>
          </w:p>
        </w:tc>
        <w:tc>
          <w:tcPr>
            <w:tcW w:w="3273" w:type="dxa"/>
            <w:shd w:val="clear" w:color="auto" w:fill="FFFFFF"/>
            <w:vAlign w:val="center"/>
          </w:tcPr>
          <w:p>
            <w:pPr>
              <w:adjustRightInd w:val="0"/>
              <w:snapToGrid w:val="0"/>
              <w:spacing w:line="300" w:lineRule="exact"/>
              <w:rPr>
                <w:rFonts w:eastAsia="方正仿宋简体"/>
                <w:sz w:val="24"/>
                <w:szCs w:val="24"/>
              </w:rPr>
            </w:pPr>
            <w:r>
              <w:rPr>
                <w:rFonts w:hint="eastAsia" w:eastAsia="方正仿宋简体"/>
                <w:sz w:val="24"/>
                <w:szCs w:val="24"/>
              </w:rPr>
              <w:t>加快推进用地报批，同时开展中转站施工图设计以及办理规划、施工许可手续，以尽快开工建设。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jc w:val="center"/>
        </w:trPr>
        <w:tc>
          <w:tcPr>
            <w:tcW w:w="1232" w:type="dxa"/>
            <w:vMerge w:val="restart"/>
            <w:shd w:val="clear" w:color="auto" w:fill="FFFFFF"/>
            <w:vAlign w:val="center"/>
          </w:tcPr>
          <w:p>
            <w:pPr>
              <w:autoSpaceDN w:val="0"/>
              <w:spacing w:line="300" w:lineRule="exact"/>
              <w:textAlignment w:val="center"/>
              <w:rPr>
                <w:rFonts w:eastAsia="方正仿宋简体"/>
                <w:b/>
                <w:sz w:val="24"/>
                <w:szCs w:val="24"/>
              </w:rPr>
            </w:pPr>
            <w:r>
              <w:rPr>
                <w:rFonts w:eastAsia="方正仿宋简体"/>
                <w:b/>
                <w:sz w:val="24"/>
                <w:szCs w:val="24"/>
              </w:rPr>
              <w:t>八、优化交通基础设施建设</w:t>
            </w:r>
          </w:p>
        </w:tc>
        <w:tc>
          <w:tcPr>
            <w:tcW w:w="1001" w:type="dxa"/>
            <w:vMerge w:val="restart"/>
            <w:shd w:val="clear" w:color="auto" w:fill="FFFFFF"/>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关</w:t>
            </w:r>
            <w:r>
              <w:rPr>
                <w:rFonts w:eastAsia="方正仿宋简体"/>
                <w:sz w:val="24"/>
                <w:szCs w:val="24"/>
              </w:rPr>
              <w:t>芬宇</w:t>
            </w:r>
          </w:p>
        </w:tc>
        <w:tc>
          <w:tcPr>
            <w:tcW w:w="838" w:type="dxa"/>
            <w:vMerge w:val="restart"/>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区交通运输局</w:t>
            </w:r>
          </w:p>
        </w:tc>
        <w:tc>
          <w:tcPr>
            <w:tcW w:w="1366" w:type="dxa"/>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有关镇政府</w:t>
            </w:r>
          </w:p>
        </w:tc>
        <w:tc>
          <w:tcPr>
            <w:tcW w:w="1864" w:type="dxa"/>
            <w:shd w:val="clear" w:color="auto" w:fill="FFFFFF"/>
            <w:vAlign w:val="center"/>
          </w:tcPr>
          <w:p>
            <w:pPr>
              <w:spacing w:line="300" w:lineRule="exact"/>
              <w:rPr>
                <w:rFonts w:eastAsia="方正仿宋简体"/>
                <w:sz w:val="24"/>
                <w:szCs w:val="24"/>
              </w:rPr>
            </w:pPr>
            <w:r>
              <w:rPr>
                <w:rFonts w:hint="eastAsia" w:eastAsia="方正仿宋简体"/>
                <w:sz w:val="24"/>
                <w:szCs w:val="24"/>
              </w:rPr>
              <w:t>18.完成60公里村道安防工程。</w:t>
            </w:r>
          </w:p>
        </w:tc>
        <w:tc>
          <w:tcPr>
            <w:tcW w:w="3828" w:type="dxa"/>
            <w:shd w:val="clear" w:color="auto" w:fill="FFFFFF"/>
            <w:vAlign w:val="center"/>
          </w:tcPr>
          <w:p>
            <w:pPr>
              <w:autoSpaceDN w:val="0"/>
              <w:spacing w:line="300" w:lineRule="exact"/>
              <w:textAlignment w:val="center"/>
              <w:rPr>
                <w:rFonts w:eastAsia="方正仿宋简体"/>
                <w:sz w:val="24"/>
                <w:szCs w:val="24"/>
              </w:rPr>
            </w:pPr>
            <w:r>
              <w:rPr>
                <w:rFonts w:hint="eastAsia" w:eastAsia="方正仿宋简体"/>
                <w:sz w:val="24"/>
                <w:szCs w:val="24"/>
              </w:rPr>
              <w:t>已完成49.5公里，预计12月底完成。</w:t>
            </w:r>
          </w:p>
        </w:tc>
        <w:tc>
          <w:tcPr>
            <w:tcW w:w="992" w:type="dxa"/>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83%</w:t>
            </w:r>
          </w:p>
        </w:tc>
        <w:tc>
          <w:tcPr>
            <w:tcW w:w="1438" w:type="dxa"/>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进展缓慢。</w:t>
            </w:r>
          </w:p>
        </w:tc>
        <w:tc>
          <w:tcPr>
            <w:tcW w:w="3273" w:type="dxa"/>
            <w:shd w:val="clear" w:color="auto" w:fill="FFFFFF"/>
            <w:vAlign w:val="center"/>
          </w:tcPr>
          <w:p>
            <w:pPr>
              <w:autoSpaceDN w:val="0"/>
              <w:spacing w:line="300" w:lineRule="exact"/>
              <w:textAlignment w:val="center"/>
              <w:rPr>
                <w:rFonts w:eastAsia="方正仿宋简体"/>
                <w:sz w:val="24"/>
                <w:szCs w:val="24"/>
              </w:rPr>
            </w:pPr>
            <w:r>
              <w:rPr>
                <w:rFonts w:hint="eastAsia" w:eastAsia="方正仿宋简体"/>
                <w:sz w:val="24"/>
                <w:szCs w:val="24"/>
              </w:rPr>
              <w:t>继续加快推进项目建设。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jc w:val="center"/>
        </w:trPr>
        <w:tc>
          <w:tcPr>
            <w:tcW w:w="1232" w:type="dxa"/>
            <w:vMerge w:val="continue"/>
            <w:shd w:val="clear" w:color="auto" w:fill="FFFFFF"/>
            <w:vAlign w:val="center"/>
          </w:tcPr>
          <w:p>
            <w:pPr>
              <w:autoSpaceDN w:val="0"/>
              <w:spacing w:line="300" w:lineRule="exact"/>
              <w:textAlignment w:val="center"/>
              <w:rPr>
                <w:rFonts w:eastAsia="方正仿宋简体"/>
                <w:b/>
                <w:sz w:val="24"/>
                <w:szCs w:val="24"/>
              </w:rPr>
            </w:pPr>
          </w:p>
        </w:tc>
        <w:tc>
          <w:tcPr>
            <w:tcW w:w="1001" w:type="dxa"/>
            <w:vMerge w:val="continue"/>
            <w:shd w:val="clear" w:color="auto" w:fill="FFFFFF"/>
            <w:vAlign w:val="center"/>
          </w:tcPr>
          <w:p>
            <w:pPr>
              <w:autoSpaceDN w:val="0"/>
              <w:spacing w:line="300" w:lineRule="exact"/>
              <w:jc w:val="left"/>
              <w:textAlignment w:val="center"/>
              <w:rPr>
                <w:rFonts w:eastAsia="方正仿宋简体"/>
                <w:sz w:val="24"/>
                <w:szCs w:val="24"/>
              </w:rPr>
            </w:pPr>
          </w:p>
        </w:tc>
        <w:tc>
          <w:tcPr>
            <w:tcW w:w="838" w:type="dxa"/>
            <w:vMerge w:val="continue"/>
            <w:shd w:val="clear" w:color="auto" w:fill="FFFFFF"/>
            <w:vAlign w:val="center"/>
          </w:tcPr>
          <w:p>
            <w:pPr>
              <w:autoSpaceDN w:val="0"/>
              <w:spacing w:line="300" w:lineRule="exact"/>
              <w:jc w:val="center"/>
              <w:textAlignment w:val="center"/>
              <w:rPr>
                <w:rFonts w:eastAsia="方正仿宋简体"/>
                <w:sz w:val="24"/>
                <w:szCs w:val="24"/>
              </w:rPr>
            </w:pPr>
          </w:p>
        </w:tc>
        <w:tc>
          <w:tcPr>
            <w:tcW w:w="1366" w:type="dxa"/>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有关镇政府</w:t>
            </w:r>
          </w:p>
        </w:tc>
        <w:tc>
          <w:tcPr>
            <w:tcW w:w="1864" w:type="dxa"/>
            <w:shd w:val="clear" w:color="auto" w:fill="FFFFFF"/>
            <w:vAlign w:val="center"/>
          </w:tcPr>
          <w:p>
            <w:pPr>
              <w:spacing w:line="300" w:lineRule="exact"/>
              <w:rPr>
                <w:rFonts w:eastAsia="方正仿宋简体"/>
                <w:sz w:val="24"/>
                <w:szCs w:val="24"/>
              </w:rPr>
            </w:pPr>
            <w:r>
              <w:rPr>
                <w:rFonts w:hint="eastAsia" w:eastAsia="方正仿宋简体"/>
                <w:sz w:val="24"/>
                <w:szCs w:val="24"/>
              </w:rPr>
              <w:t>19.完成60公里农村公路单改双及路网联结工程。</w:t>
            </w:r>
          </w:p>
        </w:tc>
        <w:tc>
          <w:tcPr>
            <w:tcW w:w="3828" w:type="dxa"/>
            <w:shd w:val="clear" w:color="auto" w:fill="FFFFFF"/>
            <w:vAlign w:val="center"/>
          </w:tcPr>
          <w:p>
            <w:pPr>
              <w:autoSpaceDN w:val="0"/>
              <w:spacing w:line="300" w:lineRule="exact"/>
              <w:textAlignment w:val="center"/>
              <w:rPr>
                <w:rFonts w:eastAsia="方正仿宋简体"/>
                <w:sz w:val="24"/>
                <w:szCs w:val="24"/>
              </w:rPr>
            </w:pPr>
            <w:r>
              <w:rPr>
                <w:rFonts w:hint="eastAsia" w:eastAsia="方正仿宋简体"/>
                <w:sz w:val="24"/>
                <w:szCs w:val="24"/>
              </w:rPr>
              <w:t>已动工，完成41.55公里，预计12月底完成。</w:t>
            </w:r>
          </w:p>
        </w:tc>
        <w:tc>
          <w:tcPr>
            <w:tcW w:w="992" w:type="dxa"/>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69%</w:t>
            </w:r>
          </w:p>
        </w:tc>
        <w:tc>
          <w:tcPr>
            <w:tcW w:w="1438" w:type="dxa"/>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进展缓慢。</w:t>
            </w:r>
          </w:p>
        </w:tc>
        <w:tc>
          <w:tcPr>
            <w:tcW w:w="3273" w:type="dxa"/>
            <w:shd w:val="clear" w:color="auto" w:fill="FFFFFF"/>
            <w:vAlign w:val="center"/>
          </w:tcPr>
          <w:p>
            <w:pPr>
              <w:autoSpaceDN w:val="0"/>
              <w:spacing w:line="300" w:lineRule="exact"/>
              <w:textAlignment w:val="center"/>
              <w:rPr>
                <w:rFonts w:eastAsia="方正仿宋简体"/>
                <w:sz w:val="24"/>
                <w:szCs w:val="24"/>
              </w:rPr>
            </w:pPr>
            <w:r>
              <w:rPr>
                <w:rFonts w:hint="eastAsia" w:eastAsia="方正仿宋简体"/>
                <w:sz w:val="24"/>
                <w:szCs w:val="24"/>
              </w:rPr>
              <w:t>继续加快推进项目建设。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1232" w:type="dxa"/>
            <w:vMerge w:val="continue"/>
            <w:shd w:val="clear" w:color="auto" w:fill="FFFFFF"/>
            <w:vAlign w:val="center"/>
          </w:tcPr>
          <w:p>
            <w:pPr>
              <w:autoSpaceDN w:val="0"/>
              <w:spacing w:line="300" w:lineRule="exact"/>
              <w:textAlignment w:val="center"/>
              <w:rPr>
                <w:rFonts w:eastAsia="方正仿宋简体"/>
                <w:b/>
                <w:sz w:val="24"/>
                <w:szCs w:val="24"/>
              </w:rPr>
            </w:pPr>
          </w:p>
        </w:tc>
        <w:tc>
          <w:tcPr>
            <w:tcW w:w="1001" w:type="dxa"/>
            <w:vMerge w:val="continue"/>
            <w:shd w:val="clear" w:color="auto" w:fill="FFFFFF"/>
            <w:vAlign w:val="center"/>
          </w:tcPr>
          <w:p>
            <w:pPr>
              <w:autoSpaceDN w:val="0"/>
              <w:spacing w:line="300" w:lineRule="exact"/>
              <w:jc w:val="left"/>
              <w:textAlignment w:val="center"/>
              <w:rPr>
                <w:rFonts w:eastAsia="方正仿宋简体"/>
                <w:sz w:val="24"/>
                <w:szCs w:val="24"/>
              </w:rPr>
            </w:pPr>
          </w:p>
        </w:tc>
        <w:tc>
          <w:tcPr>
            <w:tcW w:w="838" w:type="dxa"/>
            <w:vMerge w:val="continue"/>
            <w:shd w:val="clear" w:color="auto" w:fill="FFFFFF"/>
            <w:vAlign w:val="center"/>
          </w:tcPr>
          <w:p>
            <w:pPr>
              <w:autoSpaceDN w:val="0"/>
              <w:spacing w:line="300" w:lineRule="exact"/>
              <w:jc w:val="center"/>
              <w:textAlignment w:val="center"/>
              <w:rPr>
                <w:rFonts w:eastAsia="方正仿宋简体"/>
                <w:sz w:val="24"/>
                <w:szCs w:val="24"/>
              </w:rPr>
            </w:pPr>
          </w:p>
        </w:tc>
        <w:tc>
          <w:tcPr>
            <w:tcW w:w="1366" w:type="dxa"/>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有关镇政府</w:t>
            </w:r>
          </w:p>
        </w:tc>
        <w:tc>
          <w:tcPr>
            <w:tcW w:w="1864" w:type="dxa"/>
            <w:shd w:val="clear" w:color="auto" w:fill="FFFFFF"/>
            <w:vAlign w:val="center"/>
          </w:tcPr>
          <w:p>
            <w:pPr>
              <w:spacing w:line="300" w:lineRule="exact"/>
              <w:rPr>
                <w:rFonts w:eastAsia="方正仿宋简体"/>
                <w:sz w:val="24"/>
                <w:szCs w:val="24"/>
              </w:rPr>
            </w:pPr>
            <w:r>
              <w:rPr>
                <w:rFonts w:hint="eastAsia" w:eastAsia="方正仿宋简体"/>
                <w:sz w:val="24"/>
                <w:szCs w:val="24"/>
              </w:rPr>
              <w:t>20.完成危桥改造工程6座。</w:t>
            </w:r>
          </w:p>
        </w:tc>
        <w:tc>
          <w:tcPr>
            <w:tcW w:w="3828" w:type="dxa"/>
            <w:shd w:val="clear" w:color="auto" w:fill="FFFFFF"/>
            <w:vAlign w:val="center"/>
          </w:tcPr>
          <w:p>
            <w:pPr>
              <w:autoSpaceDN w:val="0"/>
              <w:spacing w:line="300" w:lineRule="exact"/>
              <w:textAlignment w:val="center"/>
              <w:rPr>
                <w:rFonts w:eastAsia="方正仿宋简体"/>
                <w:sz w:val="24"/>
                <w:szCs w:val="24"/>
              </w:rPr>
            </w:pPr>
            <w:r>
              <w:rPr>
                <w:rFonts w:hint="eastAsia" w:eastAsia="方正仿宋简体"/>
                <w:sz w:val="24"/>
                <w:szCs w:val="24"/>
              </w:rPr>
              <w:t>已完成6座，完成年度建设任务。</w:t>
            </w:r>
          </w:p>
        </w:tc>
        <w:tc>
          <w:tcPr>
            <w:tcW w:w="992" w:type="dxa"/>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100%</w:t>
            </w:r>
          </w:p>
        </w:tc>
        <w:tc>
          <w:tcPr>
            <w:tcW w:w="1438" w:type="dxa"/>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无</w:t>
            </w:r>
          </w:p>
        </w:tc>
        <w:tc>
          <w:tcPr>
            <w:tcW w:w="3273" w:type="dxa"/>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1232" w:type="dxa"/>
            <w:vMerge w:val="continue"/>
            <w:shd w:val="clear" w:color="auto" w:fill="FFFFFF"/>
            <w:vAlign w:val="center"/>
          </w:tcPr>
          <w:p>
            <w:pPr>
              <w:autoSpaceDN w:val="0"/>
              <w:spacing w:line="300" w:lineRule="exact"/>
              <w:textAlignment w:val="center"/>
              <w:rPr>
                <w:rFonts w:eastAsia="方正仿宋简体"/>
                <w:b/>
                <w:sz w:val="24"/>
                <w:szCs w:val="24"/>
              </w:rPr>
            </w:pPr>
          </w:p>
        </w:tc>
        <w:tc>
          <w:tcPr>
            <w:tcW w:w="1001" w:type="dxa"/>
            <w:vMerge w:val="continue"/>
            <w:shd w:val="clear" w:color="auto" w:fill="FFFFFF"/>
            <w:vAlign w:val="center"/>
          </w:tcPr>
          <w:p>
            <w:pPr>
              <w:autoSpaceDN w:val="0"/>
              <w:spacing w:line="300" w:lineRule="exact"/>
              <w:jc w:val="left"/>
              <w:textAlignment w:val="center"/>
              <w:rPr>
                <w:rFonts w:eastAsia="方正仿宋简体"/>
                <w:sz w:val="24"/>
                <w:szCs w:val="24"/>
              </w:rPr>
            </w:pPr>
          </w:p>
        </w:tc>
        <w:tc>
          <w:tcPr>
            <w:tcW w:w="838" w:type="dxa"/>
            <w:vMerge w:val="continue"/>
            <w:shd w:val="clear" w:color="auto" w:fill="FFFFFF"/>
            <w:vAlign w:val="center"/>
          </w:tcPr>
          <w:p>
            <w:pPr>
              <w:autoSpaceDN w:val="0"/>
              <w:spacing w:line="300" w:lineRule="exact"/>
              <w:jc w:val="center"/>
              <w:textAlignment w:val="center"/>
              <w:rPr>
                <w:rFonts w:eastAsia="方正仿宋简体"/>
                <w:sz w:val="24"/>
                <w:szCs w:val="24"/>
              </w:rPr>
            </w:pPr>
          </w:p>
        </w:tc>
        <w:tc>
          <w:tcPr>
            <w:tcW w:w="1366" w:type="dxa"/>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区财政局</w:t>
            </w:r>
            <w:r>
              <w:rPr>
                <w:rFonts w:hint="eastAsia" w:eastAsia="方正仿宋简体"/>
                <w:sz w:val="24"/>
                <w:szCs w:val="24"/>
              </w:rPr>
              <w:t>、</w:t>
            </w:r>
          </w:p>
          <w:p>
            <w:pPr>
              <w:autoSpaceDN w:val="0"/>
              <w:spacing w:line="300" w:lineRule="exact"/>
              <w:jc w:val="center"/>
              <w:textAlignment w:val="center"/>
              <w:rPr>
                <w:rFonts w:eastAsia="方正仿宋简体"/>
                <w:sz w:val="24"/>
                <w:szCs w:val="24"/>
              </w:rPr>
            </w:pPr>
            <w:r>
              <w:rPr>
                <w:rFonts w:eastAsia="方正仿宋简体"/>
                <w:sz w:val="24"/>
                <w:szCs w:val="24"/>
              </w:rPr>
              <w:t>各镇政府</w:t>
            </w:r>
          </w:p>
        </w:tc>
        <w:tc>
          <w:tcPr>
            <w:tcW w:w="1864" w:type="dxa"/>
            <w:shd w:val="clear" w:color="auto" w:fill="FFFFFF"/>
            <w:vAlign w:val="center"/>
          </w:tcPr>
          <w:p>
            <w:pPr>
              <w:spacing w:line="300" w:lineRule="exact"/>
              <w:rPr>
                <w:rFonts w:eastAsia="方正仿宋简体"/>
                <w:sz w:val="24"/>
                <w:szCs w:val="24"/>
              </w:rPr>
            </w:pPr>
            <w:r>
              <w:rPr>
                <w:rFonts w:hint="eastAsia" w:eastAsia="方正仿宋简体"/>
                <w:sz w:val="24"/>
                <w:szCs w:val="24"/>
              </w:rPr>
              <w:t>21.做好农村道路的管护工作，各镇完成30公里（示范段）管养任务。</w:t>
            </w:r>
          </w:p>
        </w:tc>
        <w:tc>
          <w:tcPr>
            <w:tcW w:w="3828" w:type="dxa"/>
            <w:shd w:val="clear" w:color="auto" w:fill="FFFFFF"/>
            <w:vAlign w:val="center"/>
          </w:tcPr>
          <w:p>
            <w:pPr>
              <w:autoSpaceDN w:val="0"/>
              <w:spacing w:line="300" w:lineRule="exact"/>
              <w:textAlignment w:val="center"/>
              <w:rPr>
                <w:rFonts w:eastAsia="方正仿宋简体"/>
                <w:sz w:val="24"/>
                <w:szCs w:val="24"/>
              </w:rPr>
            </w:pPr>
            <w:r>
              <w:rPr>
                <w:rFonts w:hint="eastAsia" w:eastAsia="方正仿宋简体"/>
                <w:sz w:val="24"/>
                <w:szCs w:val="24"/>
              </w:rPr>
              <w:t>各镇已正在开展养护工作，养护资金已向财政申报待拨付，12月底完成。</w:t>
            </w:r>
          </w:p>
        </w:tc>
        <w:tc>
          <w:tcPr>
            <w:tcW w:w="992" w:type="dxa"/>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80%</w:t>
            </w:r>
          </w:p>
        </w:tc>
        <w:tc>
          <w:tcPr>
            <w:tcW w:w="1438" w:type="dxa"/>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进展缓慢。</w:t>
            </w:r>
          </w:p>
        </w:tc>
        <w:tc>
          <w:tcPr>
            <w:tcW w:w="3273" w:type="dxa"/>
            <w:shd w:val="clear" w:color="auto" w:fill="FFFFFF"/>
            <w:vAlign w:val="center"/>
          </w:tcPr>
          <w:p>
            <w:pPr>
              <w:autoSpaceDN w:val="0"/>
              <w:spacing w:line="300" w:lineRule="exact"/>
              <w:textAlignment w:val="center"/>
              <w:rPr>
                <w:rFonts w:eastAsia="方正仿宋简体"/>
                <w:sz w:val="24"/>
                <w:szCs w:val="24"/>
              </w:rPr>
            </w:pPr>
            <w:r>
              <w:rPr>
                <w:rFonts w:hint="eastAsia" w:eastAsia="方正仿宋简体"/>
                <w:sz w:val="24"/>
                <w:szCs w:val="24"/>
              </w:rPr>
              <w:t>继续加快推进项目建设。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8" w:hRule="atLeast"/>
          <w:jc w:val="center"/>
        </w:trPr>
        <w:tc>
          <w:tcPr>
            <w:tcW w:w="1232" w:type="dxa"/>
            <w:vMerge w:val="restart"/>
            <w:shd w:val="clear" w:color="auto" w:fill="FFFFFF"/>
            <w:vAlign w:val="center"/>
          </w:tcPr>
          <w:p>
            <w:pPr>
              <w:autoSpaceDN w:val="0"/>
              <w:spacing w:line="300" w:lineRule="exact"/>
              <w:textAlignment w:val="center"/>
              <w:rPr>
                <w:rFonts w:eastAsia="方正仿宋简体"/>
                <w:b/>
                <w:sz w:val="24"/>
                <w:szCs w:val="24"/>
              </w:rPr>
            </w:pPr>
            <w:r>
              <w:rPr>
                <w:rFonts w:eastAsia="方正仿宋简体"/>
                <w:b/>
                <w:sz w:val="24"/>
                <w:szCs w:val="24"/>
              </w:rPr>
              <w:t>九、完善园区道路建设</w:t>
            </w:r>
          </w:p>
        </w:tc>
        <w:tc>
          <w:tcPr>
            <w:tcW w:w="1001" w:type="dxa"/>
            <w:vMerge w:val="restart"/>
            <w:shd w:val="clear" w:color="auto" w:fill="FFFFFF"/>
            <w:vAlign w:val="center"/>
          </w:tcPr>
          <w:p>
            <w:pPr>
              <w:adjustRightInd w:val="0"/>
              <w:snapToGrid w:val="0"/>
              <w:spacing w:line="300" w:lineRule="exact"/>
              <w:jc w:val="center"/>
              <w:rPr>
                <w:rFonts w:eastAsia="方正仿宋简体"/>
                <w:sz w:val="24"/>
                <w:szCs w:val="24"/>
              </w:rPr>
            </w:pPr>
            <w:r>
              <w:rPr>
                <w:rFonts w:hint="eastAsia" w:eastAsia="方正仿宋简体"/>
                <w:sz w:val="24"/>
                <w:szCs w:val="24"/>
              </w:rPr>
              <w:t>关芬宇</w:t>
            </w:r>
          </w:p>
        </w:tc>
        <w:tc>
          <w:tcPr>
            <w:tcW w:w="838" w:type="dxa"/>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区城管综合执法局</w:t>
            </w:r>
          </w:p>
        </w:tc>
        <w:tc>
          <w:tcPr>
            <w:tcW w:w="1366" w:type="dxa"/>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广东阳东经开区管委会</w:t>
            </w:r>
          </w:p>
        </w:tc>
        <w:tc>
          <w:tcPr>
            <w:tcW w:w="1864" w:type="dxa"/>
            <w:shd w:val="clear" w:color="auto" w:fill="FFFFFF"/>
            <w:vAlign w:val="center"/>
          </w:tcPr>
          <w:p>
            <w:pPr>
              <w:adjustRightInd w:val="0"/>
              <w:snapToGrid w:val="0"/>
              <w:spacing w:line="300" w:lineRule="exact"/>
              <w:rPr>
                <w:rFonts w:eastAsia="方正仿宋简体"/>
                <w:sz w:val="24"/>
                <w:szCs w:val="24"/>
              </w:rPr>
            </w:pPr>
            <w:r>
              <w:rPr>
                <w:rFonts w:eastAsia="方正仿宋简体"/>
                <w:sz w:val="24"/>
                <w:szCs w:val="24"/>
              </w:rPr>
              <w:t>22.优化工业园区路网建设，对裕东一路、永兴五路、永兴一路、裕东四路进行改造，年内完成总工程量的85%。</w:t>
            </w:r>
          </w:p>
        </w:tc>
        <w:tc>
          <w:tcPr>
            <w:tcW w:w="3828" w:type="dxa"/>
            <w:shd w:val="clear" w:color="auto" w:fill="FFFFFF"/>
            <w:vAlign w:val="center"/>
          </w:tcPr>
          <w:p>
            <w:pPr>
              <w:spacing w:line="300" w:lineRule="exact"/>
              <w:rPr>
                <w:rFonts w:eastAsia="方正仿宋简体"/>
                <w:sz w:val="24"/>
                <w:szCs w:val="24"/>
              </w:rPr>
            </w:pPr>
            <w:r>
              <w:rPr>
                <w:rFonts w:hint="eastAsia" w:eastAsia="方正仿宋简体"/>
                <w:sz w:val="24"/>
                <w:szCs w:val="24"/>
              </w:rPr>
              <w:t>已完成裕东一路、永兴五路、永兴一路、裕东四路改造并开放通车。</w:t>
            </w:r>
          </w:p>
        </w:tc>
        <w:tc>
          <w:tcPr>
            <w:tcW w:w="992" w:type="dxa"/>
            <w:shd w:val="clear" w:color="auto" w:fill="FFFFFF"/>
            <w:vAlign w:val="center"/>
          </w:tcPr>
          <w:p>
            <w:pPr>
              <w:spacing w:line="300" w:lineRule="exact"/>
              <w:jc w:val="center"/>
              <w:rPr>
                <w:rFonts w:eastAsia="方正仿宋简体"/>
                <w:sz w:val="24"/>
                <w:szCs w:val="24"/>
              </w:rPr>
            </w:pPr>
            <w:r>
              <w:rPr>
                <w:rFonts w:eastAsia="方正仿宋简体"/>
                <w:sz w:val="24"/>
                <w:szCs w:val="24"/>
              </w:rPr>
              <w:t>100%</w:t>
            </w:r>
          </w:p>
        </w:tc>
        <w:tc>
          <w:tcPr>
            <w:tcW w:w="1438" w:type="dxa"/>
            <w:shd w:val="clear" w:color="auto" w:fill="FFFFFF"/>
            <w:vAlign w:val="center"/>
          </w:tcPr>
          <w:p>
            <w:pPr>
              <w:spacing w:line="300" w:lineRule="exact"/>
              <w:jc w:val="center"/>
              <w:rPr>
                <w:rFonts w:eastAsia="方正仿宋简体"/>
                <w:sz w:val="24"/>
                <w:szCs w:val="24"/>
              </w:rPr>
            </w:pPr>
            <w:r>
              <w:rPr>
                <w:rFonts w:eastAsia="方正仿宋简体"/>
                <w:sz w:val="24"/>
                <w:szCs w:val="24"/>
              </w:rPr>
              <w:t>无</w:t>
            </w:r>
          </w:p>
        </w:tc>
        <w:tc>
          <w:tcPr>
            <w:tcW w:w="3273" w:type="dxa"/>
            <w:shd w:val="clear" w:color="auto" w:fill="FFFFFF"/>
            <w:vAlign w:val="center"/>
          </w:tcPr>
          <w:p>
            <w:pPr>
              <w:spacing w:line="300" w:lineRule="exact"/>
              <w:jc w:val="center"/>
              <w:rPr>
                <w:rFonts w:eastAsia="方正仿宋简体"/>
                <w:sz w:val="24"/>
                <w:szCs w:val="24"/>
              </w:rPr>
            </w:pPr>
            <w:r>
              <w:rPr>
                <w:rFonts w:eastAsia="方正仿宋简体"/>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 w:hRule="atLeast"/>
          <w:jc w:val="center"/>
        </w:trPr>
        <w:tc>
          <w:tcPr>
            <w:tcW w:w="1232" w:type="dxa"/>
            <w:vMerge w:val="continue"/>
            <w:shd w:val="clear" w:color="auto" w:fill="FFFFFF"/>
            <w:vAlign w:val="center"/>
          </w:tcPr>
          <w:p>
            <w:pPr>
              <w:autoSpaceDN w:val="0"/>
              <w:spacing w:line="300" w:lineRule="exact"/>
              <w:textAlignment w:val="center"/>
              <w:rPr>
                <w:rFonts w:eastAsia="方正仿宋简体"/>
                <w:b/>
                <w:sz w:val="24"/>
                <w:szCs w:val="24"/>
              </w:rPr>
            </w:pPr>
          </w:p>
        </w:tc>
        <w:tc>
          <w:tcPr>
            <w:tcW w:w="1001" w:type="dxa"/>
            <w:vMerge w:val="continue"/>
            <w:shd w:val="clear" w:color="auto" w:fill="FFFFFF"/>
            <w:vAlign w:val="center"/>
          </w:tcPr>
          <w:p>
            <w:pPr>
              <w:adjustRightInd w:val="0"/>
              <w:snapToGrid w:val="0"/>
              <w:spacing w:line="300" w:lineRule="exact"/>
              <w:jc w:val="center"/>
              <w:rPr>
                <w:rFonts w:eastAsia="方正仿宋简体"/>
                <w:sz w:val="24"/>
                <w:szCs w:val="24"/>
              </w:rPr>
            </w:pPr>
          </w:p>
        </w:tc>
        <w:tc>
          <w:tcPr>
            <w:tcW w:w="838" w:type="dxa"/>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区交通运输局</w:t>
            </w:r>
          </w:p>
        </w:tc>
        <w:tc>
          <w:tcPr>
            <w:tcW w:w="1366" w:type="dxa"/>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广东阳东经开区管委会</w:t>
            </w:r>
          </w:p>
        </w:tc>
        <w:tc>
          <w:tcPr>
            <w:tcW w:w="1864" w:type="dxa"/>
            <w:shd w:val="clear" w:color="auto" w:fill="FFFFFF"/>
            <w:vAlign w:val="center"/>
          </w:tcPr>
          <w:p>
            <w:pPr>
              <w:adjustRightInd w:val="0"/>
              <w:snapToGrid w:val="0"/>
              <w:spacing w:line="300" w:lineRule="exact"/>
              <w:rPr>
                <w:rFonts w:eastAsia="方正仿宋简体"/>
                <w:sz w:val="24"/>
                <w:szCs w:val="24"/>
              </w:rPr>
            </w:pPr>
            <w:r>
              <w:rPr>
                <w:rFonts w:eastAsia="方正仿宋简体"/>
                <w:sz w:val="24"/>
                <w:szCs w:val="24"/>
              </w:rPr>
              <w:t>23.建设赤城一路。</w:t>
            </w:r>
          </w:p>
        </w:tc>
        <w:tc>
          <w:tcPr>
            <w:tcW w:w="3828" w:type="dxa"/>
            <w:shd w:val="clear" w:color="auto" w:fill="FFFFFF"/>
            <w:vAlign w:val="center"/>
          </w:tcPr>
          <w:p>
            <w:pPr>
              <w:autoSpaceDN w:val="0"/>
              <w:spacing w:line="300" w:lineRule="exact"/>
              <w:textAlignment w:val="center"/>
              <w:rPr>
                <w:rFonts w:eastAsia="方正仿宋简体"/>
                <w:sz w:val="24"/>
                <w:szCs w:val="24"/>
              </w:rPr>
            </w:pPr>
            <w:r>
              <w:rPr>
                <w:rFonts w:hint="eastAsia" w:eastAsia="方正仿宋简体"/>
                <w:sz w:val="24"/>
                <w:szCs w:val="24"/>
              </w:rPr>
              <w:t>已完成建设。</w:t>
            </w:r>
          </w:p>
        </w:tc>
        <w:tc>
          <w:tcPr>
            <w:tcW w:w="992" w:type="dxa"/>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100%</w:t>
            </w:r>
          </w:p>
        </w:tc>
        <w:tc>
          <w:tcPr>
            <w:tcW w:w="1438" w:type="dxa"/>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无</w:t>
            </w:r>
          </w:p>
        </w:tc>
        <w:tc>
          <w:tcPr>
            <w:tcW w:w="3273" w:type="dxa"/>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2" w:hRule="atLeast"/>
          <w:jc w:val="center"/>
        </w:trPr>
        <w:tc>
          <w:tcPr>
            <w:tcW w:w="1232" w:type="dxa"/>
            <w:vMerge w:val="restart"/>
            <w:shd w:val="clear" w:color="auto" w:fill="FFFFFF"/>
            <w:vAlign w:val="center"/>
          </w:tcPr>
          <w:p>
            <w:pPr>
              <w:autoSpaceDN w:val="0"/>
              <w:spacing w:line="300" w:lineRule="exact"/>
              <w:textAlignment w:val="center"/>
              <w:rPr>
                <w:rFonts w:eastAsia="方正仿宋简体"/>
                <w:b/>
                <w:sz w:val="24"/>
                <w:szCs w:val="24"/>
              </w:rPr>
            </w:pPr>
            <w:r>
              <w:rPr>
                <w:rFonts w:eastAsia="方正仿宋简体"/>
                <w:b/>
                <w:sz w:val="24"/>
                <w:szCs w:val="24"/>
              </w:rPr>
              <w:t>十、完善供电设施建设</w:t>
            </w:r>
          </w:p>
        </w:tc>
        <w:tc>
          <w:tcPr>
            <w:tcW w:w="1001" w:type="dxa"/>
            <w:vMerge w:val="restart"/>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陈华清</w:t>
            </w:r>
          </w:p>
        </w:tc>
        <w:tc>
          <w:tcPr>
            <w:tcW w:w="838" w:type="dxa"/>
            <w:vMerge w:val="restart"/>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阳东供电局</w:t>
            </w:r>
          </w:p>
        </w:tc>
        <w:tc>
          <w:tcPr>
            <w:tcW w:w="1366" w:type="dxa"/>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广东阳东经开区管委会</w:t>
            </w:r>
          </w:p>
        </w:tc>
        <w:tc>
          <w:tcPr>
            <w:tcW w:w="1864" w:type="dxa"/>
            <w:shd w:val="clear" w:color="auto" w:fill="FFFFFF"/>
            <w:vAlign w:val="center"/>
          </w:tcPr>
          <w:p>
            <w:pPr>
              <w:adjustRightInd w:val="0"/>
              <w:snapToGrid w:val="0"/>
              <w:spacing w:line="300" w:lineRule="exact"/>
              <w:rPr>
                <w:rFonts w:eastAsia="方正仿宋简体"/>
                <w:sz w:val="24"/>
                <w:szCs w:val="24"/>
              </w:rPr>
            </w:pPr>
            <w:r>
              <w:rPr>
                <w:rFonts w:eastAsia="方正仿宋简体"/>
                <w:sz w:val="24"/>
                <w:szCs w:val="24"/>
              </w:rPr>
              <w:t>24.完成110千伏万象园区变电站项目建设。</w:t>
            </w:r>
          </w:p>
        </w:tc>
        <w:tc>
          <w:tcPr>
            <w:tcW w:w="3828" w:type="dxa"/>
            <w:shd w:val="clear" w:color="auto" w:fill="FFFFFF"/>
            <w:vAlign w:val="center"/>
          </w:tcPr>
          <w:p>
            <w:pPr>
              <w:autoSpaceDN w:val="0"/>
              <w:spacing w:line="300" w:lineRule="exact"/>
              <w:textAlignment w:val="center"/>
              <w:rPr>
                <w:rFonts w:eastAsia="方正仿宋简体"/>
                <w:sz w:val="24"/>
                <w:szCs w:val="24"/>
              </w:rPr>
            </w:pPr>
            <w:r>
              <w:rPr>
                <w:rFonts w:hint="eastAsia" w:eastAsia="方正仿宋简体"/>
                <w:sz w:val="24"/>
                <w:szCs w:val="24"/>
              </w:rPr>
              <w:t>1.变电部分：目前正在进行内部装修及电气设备安装工作。</w:t>
            </w:r>
          </w:p>
          <w:p>
            <w:pPr>
              <w:autoSpaceDN w:val="0"/>
              <w:spacing w:line="300" w:lineRule="exact"/>
              <w:textAlignment w:val="center"/>
              <w:rPr>
                <w:rFonts w:eastAsia="方正仿宋简体"/>
                <w:sz w:val="24"/>
                <w:szCs w:val="24"/>
              </w:rPr>
            </w:pPr>
            <w:r>
              <w:rPr>
                <w:rFonts w:hint="eastAsia" w:eastAsia="方正仿宋简体"/>
                <w:sz w:val="24"/>
                <w:szCs w:val="24"/>
              </w:rPr>
              <w:t>2.线路部分：已完成。</w:t>
            </w:r>
          </w:p>
        </w:tc>
        <w:tc>
          <w:tcPr>
            <w:tcW w:w="992" w:type="dxa"/>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95%</w:t>
            </w:r>
          </w:p>
        </w:tc>
        <w:tc>
          <w:tcPr>
            <w:tcW w:w="1438" w:type="dxa"/>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无</w:t>
            </w:r>
          </w:p>
        </w:tc>
        <w:tc>
          <w:tcPr>
            <w:tcW w:w="3273" w:type="dxa"/>
            <w:shd w:val="clear" w:color="auto" w:fill="FFFFFF"/>
            <w:vAlign w:val="center"/>
          </w:tcPr>
          <w:p>
            <w:pPr>
              <w:autoSpaceDN w:val="0"/>
              <w:spacing w:line="300" w:lineRule="exact"/>
              <w:textAlignment w:val="center"/>
              <w:rPr>
                <w:rFonts w:eastAsia="方正仿宋简体"/>
                <w:sz w:val="24"/>
                <w:szCs w:val="24"/>
              </w:rPr>
            </w:pPr>
            <w:r>
              <w:rPr>
                <w:rFonts w:hint="eastAsia" w:eastAsia="方正仿宋简体"/>
                <w:sz w:val="24"/>
                <w:szCs w:val="24"/>
              </w:rPr>
              <w:t>计划12月20日投产。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5" w:hRule="atLeast"/>
          <w:jc w:val="center"/>
        </w:trPr>
        <w:tc>
          <w:tcPr>
            <w:tcW w:w="1232" w:type="dxa"/>
            <w:vMerge w:val="continue"/>
            <w:shd w:val="clear" w:color="auto" w:fill="FFFFFF"/>
            <w:vAlign w:val="center"/>
          </w:tcPr>
          <w:p>
            <w:pPr>
              <w:autoSpaceDN w:val="0"/>
              <w:spacing w:line="300" w:lineRule="exact"/>
              <w:textAlignment w:val="center"/>
              <w:rPr>
                <w:rFonts w:eastAsia="方正仿宋简体"/>
                <w:b/>
                <w:sz w:val="24"/>
                <w:szCs w:val="24"/>
              </w:rPr>
            </w:pPr>
          </w:p>
        </w:tc>
        <w:tc>
          <w:tcPr>
            <w:tcW w:w="1001" w:type="dxa"/>
            <w:vMerge w:val="continue"/>
            <w:shd w:val="clear" w:color="auto" w:fill="FFFFFF"/>
            <w:vAlign w:val="center"/>
          </w:tcPr>
          <w:p>
            <w:pPr>
              <w:adjustRightInd w:val="0"/>
              <w:snapToGrid w:val="0"/>
              <w:spacing w:line="300" w:lineRule="exact"/>
              <w:jc w:val="center"/>
              <w:rPr>
                <w:rFonts w:eastAsia="方正仿宋简体"/>
                <w:sz w:val="24"/>
                <w:szCs w:val="24"/>
              </w:rPr>
            </w:pPr>
          </w:p>
        </w:tc>
        <w:tc>
          <w:tcPr>
            <w:tcW w:w="838" w:type="dxa"/>
            <w:vMerge w:val="continue"/>
            <w:shd w:val="clear" w:color="auto" w:fill="FFFFFF"/>
            <w:vAlign w:val="center"/>
          </w:tcPr>
          <w:p>
            <w:pPr>
              <w:adjustRightInd w:val="0"/>
              <w:snapToGrid w:val="0"/>
              <w:spacing w:line="300" w:lineRule="exact"/>
              <w:jc w:val="center"/>
              <w:rPr>
                <w:rFonts w:eastAsia="方正仿宋简体"/>
                <w:sz w:val="24"/>
                <w:szCs w:val="24"/>
              </w:rPr>
            </w:pPr>
          </w:p>
        </w:tc>
        <w:tc>
          <w:tcPr>
            <w:tcW w:w="1366" w:type="dxa"/>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那龙镇政府</w:t>
            </w:r>
          </w:p>
        </w:tc>
        <w:tc>
          <w:tcPr>
            <w:tcW w:w="1864" w:type="dxa"/>
            <w:shd w:val="clear" w:color="auto" w:fill="FFFFFF"/>
            <w:vAlign w:val="center"/>
          </w:tcPr>
          <w:p>
            <w:pPr>
              <w:adjustRightInd w:val="0"/>
              <w:snapToGrid w:val="0"/>
              <w:spacing w:line="300" w:lineRule="exact"/>
              <w:rPr>
                <w:rFonts w:eastAsia="方正仿宋简体"/>
                <w:sz w:val="24"/>
                <w:szCs w:val="24"/>
              </w:rPr>
            </w:pPr>
            <w:r>
              <w:rPr>
                <w:rFonts w:eastAsia="方正仿宋简体"/>
                <w:sz w:val="24"/>
                <w:szCs w:val="24"/>
              </w:rPr>
              <w:t>25.动工建设500千伏阳东（那龙）开关站项目。</w:t>
            </w:r>
          </w:p>
        </w:tc>
        <w:tc>
          <w:tcPr>
            <w:tcW w:w="3828" w:type="dxa"/>
            <w:shd w:val="clear" w:color="auto" w:fill="FFFFFF"/>
            <w:vAlign w:val="center"/>
          </w:tcPr>
          <w:p>
            <w:pPr>
              <w:adjustRightInd w:val="0"/>
              <w:snapToGrid w:val="0"/>
              <w:spacing w:line="300" w:lineRule="exact"/>
              <w:rPr>
                <w:rFonts w:eastAsia="方正仿宋简体"/>
                <w:sz w:val="24"/>
                <w:szCs w:val="24"/>
              </w:rPr>
            </w:pPr>
            <w:r>
              <w:rPr>
                <w:rFonts w:hint="eastAsia" w:eastAsia="方正仿宋简体"/>
                <w:sz w:val="24"/>
                <w:szCs w:val="24"/>
              </w:rPr>
              <w:t>已完成项目核准，现已开工建设。</w:t>
            </w:r>
          </w:p>
        </w:tc>
        <w:tc>
          <w:tcPr>
            <w:tcW w:w="992" w:type="dxa"/>
            <w:shd w:val="clear" w:color="auto" w:fill="FFFFFF"/>
            <w:vAlign w:val="center"/>
          </w:tcPr>
          <w:p>
            <w:pPr>
              <w:adjustRightInd w:val="0"/>
              <w:snapToGrid w:val="0"/>
              <w:spacing w:line="300" w:lineRule="exact"/>
              <w:jc w:val="center"/>
              <w:rPr>
                <w:rFonts w:eastAsia="方正仿宋简体"/>
                <w:sz w:val="24"/>
                <w:szCs w:val="24"/>
              </w:rPr>
            </w:pPr>
            <w:r>
              <w:rPr>
                <w:rFonts w:hint="eastAsia" w:eastAsia="方正仿宋简体"/>
                <w:sz w:val="24"/>
                <w:szCs w:val="24"/>
              </w:rPr>
              <w:t>100%</w:t>
            </w:r>
          </w:p>
        </w:tc>
        <w:tc>
          <w:tcPr>
            <w:tcW w:w="1438" w:type="dxa"/>
            <w:shd w:val="clear" w:color="auto" w:fill="FFFFFF"/>
            <w:vAlign w:val="center"/>
          </w:tcPr>
          <w:p>
            <w:pPr>
              <w:adjustRightInd w:val="0"/>
              <w:snapToGrid w:val="0"/>
              <w:spacing w:line="300" w:lineRule="exact"/>
              <w:jc w:val="center"/>
              <w:rPr>
                <w:rFonts w:eastAsia="方正仿宋简体"/>
                <w:sz w:val="24"/>
                <w:szCs w:val="24"/>
              </w:rPr>
            </w:pPr>
            <w:r>
              <w:rPr>
                <w:rFonts w:hint="eastAsia" w:eastAsia="方正仿宋简体"/>
                <w:sz w:val="24"/>
                <w:szCs w:val="24"/>
              </w:rPr>
              <w:t>无</w:t>
            </w:r>
          </w:p>
        </w:tc>
        <w:tc>
          <w:tcPr>
            <w:tcW w:w="3273" w:type="dxa"/>
            <w:shd w:val="clear" w:color="auto" w:fill="FFFFFF"/>
            <w:vAlign w:val="center"/>
          </w:tcPr>
          <w:p>
            <w:pPr>
              <w:adjustRightInd w:val="0"/>
              <w:snapToGrid w:val="0"/>
              <w:spacing w:line="300" w:lineRule="exact"/>
              <w:jc w:val="center"/>
              <w:rPr>
                <w:rFonts w:eastAsia="方正仿宋简体"/>
                <w:sz w:val="24"/>
                <w:szCs w:val="24"/>
              </w:rPr>
            </w:pPr>
            <w:r>
              <w:rPr>
                <w:rFonts w:hint="eastAsia" w:eastAsia="方正仿宋简体"/>
                <w:sz w:val="24"/>
                <w:szCs w:val="24"/>
              </w:rPr>
              <w:t>无</w:t>
            </w:r>
          </w:p>
        </w:tc>
      </w:tr>
    </w:tbl>
    <w:p>
      <w:pPr>
        <w:spacing w:line="40" w:lineRule="exact"/>
        <w:sectPr>
          <w:headerReference r:id="rId5" w:type="first"/>
          <w:footerReference r:id="rId8" w:type="first"/>
          <w:headerReference r:id="rId3" w:type="default"/>
          <w:footerReference r:id="rId6" w:type="default"/>
          <w:headerReference r:id="rId4" w:type="even"/>
          <w:footerReference r:id="rId7" w:type="even"/>
          <w:pgSz w:w="16838" w:h="11906" w:orient="landscape"/>
          <w:pgMar w:top="567" w:right="1134" w:bottom="567" w:left="1134" w:header="567" w:footer="567" w:gutter="0"/>
          <w:cols w:space="720" w:num="1"/>
          <w:docGrid w:type="lines" w:linePitch="312" w:charSpace="0"/>
        </w:sectPr>
      </w:pPr>
    </w:p>
    <w:p>
      <w:pPr>
        <w:adjustRightInd w:val="0"/>
        <w:snapToGrid w:val="0"/>
        <w:spacing w:line="400" w:lineRule="exact"/>
      </w:pPr>
      <w:bookmarkStart w:id="0" w:name="_GoBack"/>
      <w:bookmarkEnd w:id="0"/>
    </w:p>
    <w:sectPr>
      <w:headerReference r:id="rId9" w:type="default"/>
      <w:footerReference r:id="rId10" w:type="default"/>
      <w:pgSz w:w="11906" w:h="16838"/>
      <w:pgMar w:top="1814" w:right="1531" w:bottom="1814" w:left="1531" w:header="567" w:footer="153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803050406030204"/>
    <w:charset w:val="00"/>
    <w:family w:val="roman"/>
    <w:pitch w:val="default"/>
    <w:sig w:usb0="E00002FF" w:usb1="4000045F"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adjustRightInd w:val="0"/>
      <w:spacing w:line="570" w:lineRule="exact"/>
      <w:ind w:left="210" w:right="210"/>
      <w:rPr>
        <w:rStyle w:val="17"/>
        <w:rFonts w:asciiTheme="minorEastAsia" w:hAnsiTheme="minorEastAsia"/>
        <w:sz w:val="28"/>
      </w:rPr>
    </w:pPr>
    <w:r>
      <w:rPr>
        <w:rStyle w:val="17"/>
        <w:rFonts w:hint="eastAsia" w:asciiTheme="minorEastAsia" w:hAnsiTheme="minorEastAsia"/>
        <w:sz w:val="28"/>
      </w:rPr>
      <w:t xml:space="preserve">- </w:t>
    </w:r>
    <w:r>
      <w:rPr>
        <w:rStyle w:val="17"/>
        <w:rFonts w:asciiTheme="minorEastAsia" w:hAnsiTheme="minorEastAsia"/>
        <w:sz w:val="28"/>
      </w:rPr>
      <w:fldChar w:fldCharType="begin"/>
    </w:r>
    <w:r>
      <w:rPr>
        <w:rStyle w:val="17"/>
        <w:rFonts w:asciiTheme="minorEastAsia" w:hAnsiTheme="minorEastAsia"/>
        <w:sz w:val="28"/>
      </w:rPr>
      <w:instrText xml:space="preserve">PAGE  </w:instrText>
    </w:r>
    <w:r>
      <w:rPr>
        <w:rStyle w:val="17"/>
        <w:rFonts w:asciiTheme="minorEastAsia" w:hAnsiTheme="minorEastAsia"/>
        <w:sz w:val="28"/>
      </w:rPr>
      <w:fldChar w:fldCharType="separate"/>
    </w:r>
    <w:r>
      <w:rPr>
        <w:rStyle w:val="17"/>
        <w:rFonts w:asciiTheme="minorEastAsia" w:hAnsiTheme="minorEastAsia"/>
        <w:sz w:val="28"/>
      </w:rPr>
      <w:t>12</w:t>
    </w:r>
    <w:r>
      <w:rPr>
        <w:rStyle w:val="17"/>
        <w:rFonts w:asciiTheme="minorEastAsia" w:hAnsiTheme="minorEastAsia"/>
        <w:sz w:val="28"/>
      </w:rPr>
      <w:fldChar w:fldCharType="end"/>
    </w:r>
    <w:r>
      <w:rPr>
        <w:rStyle w:val="17"/>
        <w:rFonts w:hint="eastAsia" w:asciiTheme="minorEastAsia" w:hAnsiTheme="minorEastAsia"/>
        <w:sz w:val="28"/>
      </w:rPr>
      <w:t xml:space="preserve"> -</w:t>
    </w: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105"/>
  <w:drawingGridVerticalSpacing w:val="156"/>
  <w:noPunctuationKerning w:val="true"/>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JlZThmNWNiMjRkMzFjM2JmNzQxMThmNzUyMTQ2M2IifQ=="/>
  </w:docVars>
  <w:rsids>
    <w:rsidRoot w:val="00172A27"/>
    <w:rsid w:val="000113BD"/>
    <w:rsid w:val="000260D4"/>
    <w:rsid w:val="00030A8A"/>
    <w:rsid w:val="00034BFF"/>
    <w:rsid w:val="000414F6"/>
    <w:rsid w:val="00042E89"/>
    <w:rsid w:val="00043327"/>
    <w:rsid w:val="00043969"/>
    <w:rsid w:val="00045A70"/>
    <w:rsid w:val="000472A6"/>
    <w:rsid w:val="000479AC"/>
    <w:rsid w:val="00051F45"/>
    <w:rsid w:val="000548C3"/>
    <w:rsid w:val="000637C5"/>
    <w:rsid w:val="00063B64"/>
    <w:rsid w:val="00066C3F"/>
    <w:rsid w:val="0007558E"/>
    <w:rsid w:val="00096363"/>
    <w:rsid w:val="00097053"/>
    <w:rsid w:val="000A1CBD"/>
    <w:rsid w:val="000A6372"/>
    <w:rsid w:val="000A7413"/>
    <w:rsid w:val="000B237F"/>
    <w:rsid w:val="000B485B"/>
    <w:rsid w:val="000B72C2"/>
    <w:rsid w:val="000C0B73"/>
    <w:rsid w:val="000C1EBB"/>
    <w:rsid w:val="000C330B"/>
    <w:rsid w:val="000C3C97"/>
    <w:rsid w:val="000C6142"/>
    <w:rsid w:val="000D0888"/>
    <w:rsid w:val="000D561C"/>
    <w:rsid w:val="000E4FCF"/>
    <w:rsid w:val="000F2623"/>
    <w:rsid w:val="000F3F9C"/>
    <w:rsid w:val="00100613"/>
    <w:rsid w:val="00104E07"/>
    <w:rsid w:val="00105036"/>
    <w:rsid w:val="00105902"/>
    <w:rsid w:val="00106A6C"/>
    <w:rsid w:val="0011192A"/>
    <w:rsid w:val="00113721"/>
    <w:rsid w:val="00113824"/>
    <w:rsid w:val="00115D7C"/>
    <w:rsid w:val="00121C73"/>
    <w:rsid w:val="00134860"/>
    <w:rsid w:val="001430E5"/>
    <w:rsid w:val="00144BC2"/>
    <w:rsid w:val="00152E85"/>
    <w:rsid w:val="001567C1"/>
    <w:rsid w:val="00160B6A"/>
    <w:rsid w:val="00163390"/>
    <w:rsid w:val="0016517B"/>
    <w:rsid w:val="00165FE6"/>
    <w:rsid w:val="00172A27"/>
    <w:rsid w:val="001770BA"/>
    <w:rsid w:val="00180A2A"/>
    <w:rsid w:val="00181D54"/>
    <w:rsid w:val="0018274C"/>
    <w:rsid w:val="00185D32"/>
    <w:rsid w:val="0019073B"/>
    <w:rsid w:val="001A00AC"/>
    <w:rsid w:val="001A1688"/>
    <w:rsid w:val="001A237F"/>
    <w:rsid w:val="001B12A1"/>
    <w:rsid w:val="001B37A4"/>
    <w:rsid w:val="001B7CBF"/>
    <w:rsid w:val="001C0B51"/>
    <w:rsid w:val="001C734F"/>
    <w:rsid w:val="001D1231"/>
    <w:rsid w:val="001D4DE3"/>
    <w:rsid w:val="001E488D"/>
    <w:rsid w:val="001E7AFF"/>
    <w:rsid w:val="001F1DE2"/>
    <w:rsid w:val="00204EA6"/>
    <w:rsid w:val="00210EC0"/>
    <w:rsid w:val="00217799"/>
    <w:rsid w:val="00220FAF"/>
    <w:rsid w:val="00224110"/>
    <w:rsid w:val="00224B12"/>
    <w:rsid w:val="00224E35"/>
    <w:rsid w:val="00225385"/>
    <w:rsid w:val="00232146"/>
    <w:rsid w:val="002347E8"/>
    <w:rsid w:val="00234B04"/>
    <w:rsid w:val="0024130A"/>
    <w:rsid w:val="00244568"/>
    <w:rsid w:val="00255ED4"/>
    <w:rsid w:val="00263C3F"/>
    <w:rsid w:val="00264BC0"/>
    <w:rsid w:val="00265B2A"/>
    <w:rsid w:val="0026789E"/>
    <w:rsid w:val="00267C6C"/>
    <w:rsid w:val="002717F0"/>
    <w:rsid w:val="0027202D"/>
    <w:rsid w:val="00272999"/>
    <w:rsid w:val="00274FD0"/>
    <w:rsid w:val="00281D85"/>
    <w:rsid w:val="002846B6"/>
    <w:rsid w:val="002A6847"/>
    <w:rsid w:val="002B137C"/>
    <w:rsid w:val="002B2D04"/>
    <w:rsid w:val="002B32AA"/>
    <w:rsid w:val="002C313D"/>
    <w:rsid w:val="002C6941"/>
    <w:rsid w:val="002D0EB4"/>
    <w:rsid w:val="002D25EC"/>
    <w:rsid w:val="002E19CF"/>
    <w:rsid w:val="002E6035"/>
    <w:rsid w:val="003010BB"/>
    <w:rsid w:val="003213B7"/>
    <w:rsid w:val="003232B2"/>
    <w:rsid w:val="003259BC"/>
    <w:rsid w:val="00337B00"/>
    <w:rsid w:val="00340400"/>
    <w:rsid w:val="00343F00"/>
    <w:rsid w:val="00345BDF"/>
    <w:rsid w:val="00345CF9"/>
    <w:rsid w:val="003463D9"/>
    <w:rsid w:val="00355744"/>
    <w:rsid w:val="00357BCE"/>
    <w:rsid w:val="00360F3D"/>
    <w:rsid w:val="003639A3"/>
    <w:rsid w:val="00367FF7"/>
    <w:rsid w:val="00370715"/>
    <w:rsid w:val="003825AC"/>
    <w:rsid w:val="00390480"/>
    <w:rsid w:val="003911FE"/>
    <w:rsid w:val="003A5011"/>
    <w:rsid w:val="003A6305"/>
    <w:rsid w:val="003B5160"/>
    <w:rsid w:val="003C416B"/>
    <w:rsid w:val="003D41F9"/>
    <w:rsid w:val="003E07DF"/>
    <w:rsid w:val="003E6AC9"/>
    <w:rsid w:val="003F071D"/>
    <w:rsid w:val="003F17A9"/>
    <w:rsid w:val="00400063"/>
    <w:rsid w:val="00403707"/>
    <w:rsid w:val="004074D1"/>
    <w:rsid w:val="00407C88"/>
    <w:rsid w:val="00410A88"/>
    <w:rsid w:val="00416502"/>
    <w:rsid w:val="00422623"/>
    <w:rsid w:val="0045462C"/>
    <w:rsid w:val="00462920"/>
    <w:rsid w:val="00467E43"/>
    <w:rsid w:val="004729EA"/>
    <w:rsid w:val="0048539E"/>
    <w:rsid w:val="0048721C"/>
    <w:rsid w:val="00490580"/>
    <w:rsid w:val="004B57CD"/>
    <w:rsid w:val="004C0F72"/>
    <w:rsid w:val="004D3C80"/>
    <w:rsid w:val="004D48D4"/>
    <w:rsid w:val="004E3AA6"/>
    <w:rsid w:val="004F5D19"/>
    <w:rsid w:val="00515C5E"/>
    <w:rsid w:val="00517860"/>
    <w:rsid w:val="00525E06"/>
    <w:rsid w:val="00526F22"/>
    <w:rsid w:val="0054667B"/>
    <w:rsid w:val="00553CB0"/>
    <w:rsid w:val="00573F19"/>
    <w:rsid w:val="00576AA6"/>
    <w:rsid w:val="00581813"/>
    <w:rsid w:val="00582FB1"/>
    <w:rsid w:val="00587B15"/>
    <w:rsid w:val="00596B65"/>
    <w:rsid w:val="005971B3"/>
    <w:rsid w:val="005A2DC7"/>
    <w:rsid w:val="005B19DF"/>
    <w:rsid w:val="005B1FD0"/>
    <w:rsid w:val="005B67C6"/>
    <w:rsid w:val="005C2804"/>
    <w:rsid w:val="005C414C"/>
    <w:rsid w:val="005C7B65"/>
    <w:rsid w:val="005D1015"/>
    <w:rsid w:val="005D1823"/>
    <w:rsid w:val="005D3D1D"/>
    <w:rsid w:val="005E180E"/>
    <w:rsid w:val="005F2934"/>
    <w:rsid w:val="005F5AB4"/>
    <w:rsid w:val="00613B22"/>
    <w:rsid w:val="00622EA5"/>
    <w:rsid w:val="00635064"/>
    <w:rsid w:val="006351D0"/>
    <w:rsid w:val="006431AD"/>
    <w:rsid w:val="00654D57"/>
    <w:rsid w:val="00660B62"/>
    <w:rsid w:val="006652AF"/>
    <w:rsid w:val="00665BAD"/>
    <w:rsid w:val="006671E2"/>
    <w:rsid w:val="00675ACE"/>
    <w:rsid w:val="00675DB8"/>
    <w:rsid w:val="006867C5"/>
    <w:rsid w:val="006A3D4F"/>
    <w:rsid w:val="006B1ECD"/>
    <w:rsid w:val="006B61F6"/>
    <w:rsid w:val="006C1DC2"/>
    <w:rsid w:val="006D4A7F"/>
    <w:rsid w:val="006D6E7E"/>
    <w:rsid w:val="006E478C"/>
    <w:rsid w:val="006F0B4F"/>
    <w:rsid w:val="006F1C37"/>
    <w:rsid w:val="006F4F5F"/>
    <w:rsid w:val="006F5E3C"/>
    <w:rsid w:val="006F60D3"/>
    <w:rsid w:val="00700CF4"/>
    <w:rsid w:val="00722B43"/>
    <w:rsid w:val="00734AF9"/>
    <w:rsid w:val="007412F2"/>
    <w:rsid w:val="007452F2"/>
    <w:rsid w:val="00755325"/>
    <w:rsid w:val="00755D4D"/>
    <w:rsid w:val="00763C89"/>
    <w:rsid w:val="00765256"/>
    <w:rsid w:val="00765E10"/>
    <w:rsid w:val="007731C6"/>
    <w:rsid w:val="007839CE"/>
    <w:rsid w:val="007873E2"/>
    <w:rsid w:val="007A0301"/>
    <w:rsid w:val="007A5736"/>
    <w:rsid w:val="007A69FF"/>
    <w:rsid w:val="007A6FCD"/>
    <w:rsid w:val="007B5906"/>
    <w:rsid w:val="007C688A"/>
    <w:rsid w:val="007C6BBF"/>
    <w:rsid w:val="007D2964"/>
    <w:rsid w:val="007D6E7B"/>
    <w:rsid w:val="007E446F"/>
    <w:rsid w:val="007F227F"/>
    <w:rsid w:val="007F27CB"/>
    <w:rsid w:val="00801E18"/>
    <w:rsid w:val="0080645B"/>
    <w:rsid w:val="00807328"/>
    <w:rsid w:val="00822229"/>
    <w:rsid w:val="008243A2"/>
    <w:rsid w:val="008323E2"/>
    <w:rsid w:val="00834999"/>
    <w:rsid w:val="00837EFD"/>
    <w:rsid w:val="00843044"/>
    <w:rsid w:val="00850BFC"/>
    <w:rsid w:val="00857A1A"/>
    <w:rsid w:val="00866C47"/>
    <w:rsid w:val="008709D4"/>
    <w:rsid w:val="00871E94"/>
    <w:rsid w:val="00872C98"/>
    <w:rsid w:val="008741D4"/>
    <w:rsid w:val="00882493"/>
    <w:rsid w:val="00882EC2"/>
    <w:rsid w:val="00886193"/>
    <w:rsid w:val="00895B6A"/>
    <w:rsid w:val="008968B9"/>
    <w:rsid w:val="008A051A"/>
    <w:rsid w:val="008A2A9D"/>
    <w:rsid w:val="008A7D25"/>
    <w:rsid w:val="008B068B"/>
    <w:rsid w:val="008B0CB0"/>
    <w:rsid w:val="008C5A96"/>
    <w:rsid w:val="008C62B0"/>
    <w:rsid w:val="008D37F5"/>
    <w:rsid w:val="008F14B3"/>
    <w:rsid w:val="008F30D4"/>
    <w:rsid w:val="00901096"/>
    <w:rsid w:val="00904CB6"/>
    <w:rsid w:val="00914673"/>
    <w:rsid w:val="009172F3"/>
    <w:rsid w:val="009219C5"/>
    <w:rsid w:val="009245BA"/>
    <w:rsid w:val="00933A84"/>
    <w:rsid w:val="00933FDD"/>
    <w:rsid w:val="00943494"/>
    <w:rsid w:val="00943FE4"/>
    <w:rsid w:val="009475BD"/>
    <w:rsid w:val="009617A7"/>
    <w:rsid w:val="00970FCD"/>
    <w:rsid w:val="0097569C"/>
    <w:rsid w:val="00976C5A"/>
    <w:rsid w:val="00982DCB"/>
    <w:rsid w:val="009849E3"/>
    <w:rsid w:val="009877B3"/>
    <w:rsid w:val="00994F2E"/>
    <w:rsid w:val="00994F78"/>
    <w:rsid w:val="009A2758"/>
    <w:rsid w:val="009B77B1"/>
    <w:rsid w:val="009C0AAE"/>
    <w:rsid w:val="009C7EE1"/>
    <w:rsid w:val="009D7C64"/>
    <w:rsid w:val="009E18C2"/>
    <w:rsid w:val="009F4C64"/>
    <w:rsid w:val="009F7C1C"/>
    <w:rsid w:val="00A20779"/>
    <w:rsid w:val="00A26A27"/>
    <w:rsid w:val="00A34215"/>
    <w:rsid w:val="00A3689F"/>
    <w:rsid w:val="00A51873"/>
    <w:rsid w:val="00A5238A"/>
    <w:rsid w:val="00A53433"/>
    <w:rsid w:val="00A67150"/>
    <w:rsid w:val="00A72C89"/>
    <w:rsid w:val="00A804C4"/>
    <w:rsid w:val="00A8220D"/>
    <w:rsid w:val="00AA1CD4"/>
    <w:rsid w:val="00AA42DB"/>
    <w:rsid w:val="00AB1173"/>
    <w:rsid w:val="00AB141B"/>
    <w:rsid w:val="00AB1B46"/>
    <w:rsid w:val="00AC144F"/>
    <w:rsid w:val="00AC1719"/>
    <w:rsid w:val="00AC2A40"/>
    <w:rsid w:val="00AC56FF"/>
    <w:rsid w:val="00AD5A50"/>
    <w:rsid w:val="00AD7678"/>
    <w:rsid w:val="00AE099A"/>
    <w:rsid w:val="00AE0DD8"/>
    <w:rsid w:val="00AF7B50"/>
    <w:rsid w:val="00B1106C"/>
    <w:rsid w:val="00B11333"/>
    <w:rsid w:val="00B14DB6"/>
    <w:rsid w:val="00B26E8B"/>
    <w:rsid w:val="00B31870"/>
    <w:rsid w:val="00B47AFB"/>
    <w:rsid w:val="00B52173"/>
    <w:rsid w:val="00B5563F"/>
    <w:rsid w:val="00B603DF"/>
    <w:rsid w:val="00B62AB0"/>
    <w:rsid w:val="00B65DB1"/>
    <w:rsid w:val="00B662B8"/>
    <w:rsid w:val="00B82C86"/>
    <w:rsid w:val="00B84EB9"/>
    <w:rsid w:val="00B879EC"/>
    <w:rsid w:val="00B90C64"/>
    <w:rsid w:val="00B91042"/>
    <w:rsid w:val="00B922BB"/>
    <w:rsid w:val="00B92BB1"/>
    <w:rsid w:val="00B9346B"/>
    <w:rsid w:val="00BA3787"/>
    <w:rsid w:val="00BB536A"/>
    <w:rsid w:val="00BB5F35"/>
    <w:rsid w:val="00BC2FC3"/>
    <w:rsid w:val="00BD4A65"/>
    <w:rsid w:val="00BE0508"/>
    <w:rsid w:val="00BE3572"/>
    <w:rsid w:val="00BE6E12"/>
    <w:rsid w:val="00BE76E8"/>
    <w:rsid w:val="00BF0E19"/>
    <w:rsid w:val="00BF1A68"/>
    <w:rsid w:val="00BF3DDF"/>
    <w:rsid w:val="00BF7144"/>
    <w:rsid w:val="00C03908"/>
    <w:rsid w:val="00C03F01"/>
    <w:rsid w:val="00C14989"/>
    <w:rsid w:val="00C24964"/>
    <w:rsid w:val="00C32A2B"/>
    <w:rsid w:val="00C41602"/>
    <w:rsid w:val="00C4275D"/>
    <w:rsid w:val="00C42FC4"/>
    <w:rsid w:val="00C464E9"/>
    <w:rsid w:val="00C467E5"/>
    <w:rsid w:val="00C55429"/>
    <w:rsid w:val="00C57729"/>
    <w:rsid w:val="00C60428"/>
    <w:rsid w:val="00C67BCC"/>
    <w:rsid w:val="00C67E16"/>
    <w:rsid w:val="00C712B9"/>
    <w:rsid w:val="00C73305"/>
    <w:rsid w:val="00C83719"/>
    <w:rsid w:val="00C873EE"/>
    <w:rsid w:val="00C87BAC"/>
    <w:rsid w:val="00C87EFC"/>
    <w:rsid w:val="00CA714A"/>
    <w:rsid w:val="00CA7CE2"/>
    <w:rsid w:val="00CB3CA2"/>
    <w:rsid w:val="00CB6518"/>
    <w:rsid w:val="00CC0A44"/>
    <w:rsid w:val="00CC60C5"/>
    <w:rsid w:val="00CC6FAE"/>
    <w:rsid w:val="00CC7CCA"/>
    <w:rsid w:val="00CF02A0"/>
    <w:rsid w:val="00CF08E9"/>
    <w:rsid w:val="00CF137D"/>
    <w:rsid w:val="00CF4971"/>
    <w:rsid w:val="00D06FB3"/>
    <w:rsid w:val="00D20F09"/>
    <w:rsid w:val="00D22D4F"/>
    <w:rsid w:val="00D318EF"/>
    <w:rsid w:val="00D34B91"/>
    <w:rsid w:val="00D46401"/>
    <w:rsid w:val="00D46844"/>
    <w:rsid w:val="00D507F1"/>
    <w:rsid w:val="00D52BA4"/>
    <w:rsid w:val="00D549DA"/>
    <w:rsid w:val="00D5688F"/>
    <w:rsid w:val="00D71CAC"/>
    <w:rsid w:val="00D71CED"/>
    <w:rsid w:val="00D74817"/>
    <w:rsid w:val="00D82177"/>
    <w:rsid w:val="00D87B5F"/>
    <w:rsid w:val="00D91953"/>
    <w:rsid w:val="00D93A60"/>
    <w:rsid w:val="00D97A26"/>
    <w:rsid w:val="00DA225B"/>
    <w:rsid w:val="00DA3BE0"/>
    <w:rsid w:val="00DA5AC4"/>
    <w:rsid w:val="00DA7BE5"/>
    <w:rsid w:val="00DC6B1F"/>
    <w:rsid w:val="00DE1392"/>
    <w:rsid w:val="00DE54CB"/>
    <w:rsid w:val="00DE64F7"/>
    <w:rsid w:val="00DF14BB"/>
    <w:rsid w:val="00DF1C92"/>
    <w:rsid w:val="00E067E7"/>
    <w:rsid w:val="00E10819"/>
    <w:rsid w:val="00E125C3"/>
    <w:rsid w:val="00E141E4"/>
    <w:rsid w:val="00E2232E"/>
    <w:rsid w:val="00E23652"/>
    <w:rsid w:val="00E33918"/>
    <w:rsid w:val="00E33AFF"/>
    <w:rsid w:val="00E37400"/>
    <w:rsid w:val="00E42752"/>
    <w:rsid w:val="00E45E76"/>
    <w:rsid w:val="00E46D2D"/>
    <w:rsid w:val="00E54E44"/>
    <w:rsid w:val="00E57C78"/>
    <w:rsid w:val="00E61C34"/>
    <w:rsid w:val="00E64087"/>
    <w:rsid w:val="00E64623"/>
    <w:rsid w:val="00E64C4D"/>
    <w:rsid w:val="00E6603A"/>
    <w:rsid w:val="00E66EDF"/>
    <w:rsid w:val="00E74DBE"/>
    <w:rsid w:val="00E772B1"/>
    <w:rsid w:val="00E821D2"/>
    <w:rsid w:val="00E86253"/>
    <w:rsid w:val="00E86687"/>
    <w:rsid w:val="00E868AD"/>
    <w:rsid w:val="00EB3F06"/>
    <w:rsid w:val="00EB4720"/>
    <w:rsid w:val="00EB580B"/>
    <w:rsid w:val="00EB69D8"/>
    <w:rsid w:val="00EC5348"/>
    <w:rsid w:val="00ED7329"/>
    <w:rsid w:val="00EE1ED1"/>
    <w:rsid w:val="00EE2467"/>
    <w:rsid w:val="00EE2FA0"/>
    <w:rsid w:val="00F009D0"/>
    <w:rsid w:val="00F11C85"/>
    <w:rsid w:val="00F15AF9"/>
    <w:rsid w:val="00F1633E"/>
    <w:rsid w:val="00F245B9"/>
    <w:rsid w:val="00F275F0"/>
    <w:rsid w:val="00F32255"/>
    <w:rsid w:val="00F3323B"/>
    <w:rsid w:val="00F346CD"/>
    <w:rsid w:val="00F41429"/>
    <w:rsid w:val="00F41C99"/>
    <w:rsid w:val="00F517E9"/>
    <w:rsid w:val="00F524CC"/>
    <w:rsid w:val="00F5799B"/>
    <w:rsid w:val="00F711DE"/>
    <w:rsid w:val="00F7240A"/>
    <w:rsid w:val="00F737CB"/>
    <w:rsid w:val="00F73981"/>
    <w:rsid w:val="00F74A57"/>
    <w:rsid w:val="00F8141A"/>
    <w:rsid w:val="00F81FE6"/>
    <w:rsid w:val="00F858A8"/>
    <w:rsid w:val="00F92212"/>
    <w:rsid w:val="00FA04A8"/>
    <w:rsid w:val="00FA1B8B"/>
    <w:rsid w:val="00FA3D0B"/>
    <w:rsid w:val="00FB213E"/>
    <w:rsid w:val="00FB28ED"/>
    <w:rsid w:val="00FB4B67"/>
    <w:rsid w:val="00FB5473"/>
    <w:rsid w:val="00FB5483"/>
    <w:rsid w:val="00FB5DE4"/>
    <w:rsid w:val="00FC5F5D"/>
    <w:rsid w:val="00FC613B"/>
    <w:rsid w:val="00FC6A8A"/>
    <w:rsid w:val="00FE0D55"/>
    <w:rsid w:val="00FE6080"/>
    <w:rsid w:val="00FF0CB8"/>
    <w:rsid w:val="01151B6D"/>
    <w:rsid w:val="01172A03"/>
    <w:rsid w:val="012B4701"/>
    <w:rsid w:val="01323CE1"/>
    <w:rsid w:val="013550C5"/>
    <w:rsid w:val="017F3AA6"/>
    <w:rsid w:val="018B75C5"/>
    <w:rsid w:val="0192652E"/>
    <w:rsid w:val="01945828"/>
    <w:rsid w:val="01B2306B"/>
    <w:rsid w:val="01B97ACE"/>
    <w:rsid w:val="01BD35AB"/>
    <w:rsid w:val="01F92046"/>
    <w:rsid w:val="02013704"/>
    <w:rsid w:val="02073223"/>
    <w:rsid w:val="021D1D16"/>
    <w:rsid w:val="02357F37"/>
    <w:rsid w:val="023D5D50"/>
    <w:rsid w:val="02672042"/>
    <w:rsid w:val="02695A39"/>
    <w:rsid w:val="02784D8D"/>
    <w:rsid w:val="02AF5A88"/>
    <w:rsid w:val="02B40E52"/>
    <w:rsid w:val="02D0730E"/>
    <w:rsid w:val="02D36DFE"/>
    <w:rsid w:val="02DE3881"/>
    <w:rsid w:val="02E42DB9"/>
    <w:rsid w:val="02F27FB9"/>
    <w:rsid w:val="02FE20CD"/>
    <w:rsid w:val="034B1C34"/>
    <w:rsid w:val="0350044F"/>
    <w:rsid w:val="03556403"/>
    <w:rsid w:val="03672AC1"/>
    <w:rsid w:val="037203C5"/>
    <w:rsid w:val="03767BE7"/>
    <w:rsid w:val="038023C6"/>
    <w:rsid w:val="0388609F"/>
    <w:rsid w:val="038A20DB"/>
    <w:rsid w:val="039F6B6F"/>
    <w:rsid w:val="03A30B4B"/>
    <w:rsid w:val="03A74168"/>
    <w:rsid w:val="03D051CB"/>
    <w:rsid w:val="03F24543"/>
    <w:rsid w:val="03FF434E"/>
    <w:rsid w:val="042D05CB"/>
    <w:rsid w:val="043D6C25"/>
    <w:rsid w:val="04572F0C"/>
    <w:rsid w:val="04733AC4"/>
    <w:rsid w:val="04A24CDA"/>
    <w:rsid w:val="04AD1447"/>
    <w:rsid w:val="04AE36DF"/>
    <w:rsid w:val="04DF1A8A"/>
    <w:rsid w:val="04E13A54"/>
    <w:rsid w:val="04E4640D"/>
    <w:rsid w:val="04E87649"/>
    <w:rsid w:val="04EB6F45"/>
    <w:rsid w:val="04FA0856"/>
    <w:rsid w:val="050229A3"/>
    <w:rsid w:val="050A5DDB"/>
    <w:rsid w:val="051304EF"/>
    <w:rsid w:val="05162819"/>
    <w:rsid w:val="0520485B"/>
    <w:rsid w:val="05230E9A"/>
    <w:rsid w:val="0523406D"/>
    <w:rsid w:val="052651AC"/>
    <w:rsid w:val="05485881"/>
    <w:rsid w:val="05552570"/>
    <w:rsid w:val="056559E8"/>
    <w:rsid w:val="05726DA2"/>
    <w:rsid w:val="0575419C"/>
    <w:rsid w:val="057A7DDC"/>
    <w:rsid w:val="05A131E3"/>
    <w:rsid w:val="05A156A4"/>
    <w:rsid w:val="05A84572"/>
    <w:rsid w:val="05B3073B"/>
    <w:rsid w:val="05B42F17"/>
    <w:rsid w:val="05BB272D"/>
    <w:rsid w:val="05CC64B2"/>
    <w:rsid w:val="05D219C6"/>
    <w:rsid w:val="05D37841"/>
    <w:rsid w:val="05E9731B"/>
    <w:rsid w:val="05FF2170"/>
    <w:rsid w:val="06075061"/>
    <w:rsid w:val="06250FB6"/>
    <w:rsid w:val="06392448"/>
    <w:rsid w:val="063F0DD6"/>
    <w:rsid w:val="06491C48"/>
    <w:rsid w:val="066C559F"/>
    <w:rsid w:val="06723038"/>
    <w:rsid w:val="06783F44"/>
    <w:rsid w:val="067C4911"/>
    <w:rsid w:val="06A12A74"/>
    <w:rsid w:val="06AB3C93"/>
    <w:rsid w:val="06BB0913"/>
    <w:rsid w:val="06BD160A"/>
    <w:rsid w:val="06C40204"/>
    <w:rsid w:val="06D41FB2"/>
    <w:rsid w:val="06D77BEA"/>
    <w:rsid w:val="06F8207B"/>
    <w:rsid w:val="070A2DF8"/>
    <w:rsid w:val="071E49E8"/>
    <w:rsid w:val="072916E2"/>
    <w:rsid w:val="073A23B4"/>
    <w:rsid w:val="075F6EB2"/>
    <w:rsid w:val="0767793C"/>
    <w:rsid w:val="077E1A2E"/>
    <w:rsid w:val="0780099C"/>
    <w:rsid w:val="07987C02"/>
    <w:rsid w:val="07B43F81"/>
    <w:rsid w:val="07D93C92"/>
    <w:rsid w:val="07E15B19"/>
    <w:rsid w:val="07E63DF2"/>
    <w:rsid w:val="07F60B29"/>
    <w:rsid w:val="07FA5171"/>
    <w:rsid w:val="08031B00"/>
    <w:rsid w:val="081005C7"/>
    <w:rsid w:val="08335BAA"/>
    <w:rsid w:val="0837398B"/>
    <w:rsid w:val="08443B8C"/>
    <w:rsid w:val="0845254C"/>
    <w:rsid w:val="08655D3C"/>
    <w:rsid w:val="086B2998"/>
    <w:rsid w:val="08760957"/>
    <w:rsid w:val="0883445E"/>
    <w:rsid w:val="08A41BB0"/>
    <w:rsid w:val="08D5350B"/>
    <w:rsid w:val="08ED64C0"/>
    <w:rsid w:val="08F27B0E"/>
    <w:rsid w:val="09025338"/>
    <w:rsid w:val="090E4F55"/>
    <w:rsid w:val="09142B56"/>
    <w:rsid w:val="09222872"/>
    <w:rsid w:val="092F2C98"/>
    <w:rsid w:val="09371E95"/>
    <w:rsid w:val="09441A83"/>
    <w:rsid w:val="0960344D"/>
    <w:rsid w:val="096B1B3E"/>
    <w:rsid w:val="097924AD"/>
    <w:rsid w:val="097E3F67"/>
    <w:rsid w:val="098D7D07"/>
    <w:rsid w:val="098E2076"/>
    <w:rsid w:val="09992B4F"/>
    <w:rsid w:val="09AB2897"/>
    <w:rsid w:val="09DB5391"/>
    <w:rsid w:val="09DC6B54"/>
    <w:rsid w:val="09DE4868"/>
    <w:rsid w:val="09E241A0"/>
    <w:rsid w:val="0A2F38BD"/>
    <w:rsid w:val="0A3B170E"/>
    <w:rsid w:val="0A506B79"/>
    <w:rsid w:val="0A6A629A"/>
    <w:rsid w:val="0A74130E"/>
    <w:rsid w:val="0AB15C77"/>
    <w:rsid w:val="0AC830AB"/>
    <w:rsid w:val="0AD96F7B"/>
    <w:rsid w:val="0AE0655C"/>
    <w:rsid w:val="0AE56AFC"/>
    <w:rsid w:val="0AEC3153"/>
    <w:rsid w:val="0B0B3459"/>
    <w:rsid w:val="0B435A6B"/>
    <w:rsid w:val="0B564557"/>
    <w:rsid w:val="0B6D57EE"/>
    <w:rsid w:val="0B7B5702"/>
    <w:rsid w:val="0B88052B"/>
    <w:rsid w:val="0B8C6C48"/>
    <w:rsid w:val="0B937211"/>
    <w:rsid w:val="0B9778B9"/>
    <w:rsid w:val="0BC21E73"/>
    <w:rsid w:val="0BCF2858"/>
    <w:rsid w:val="0BEC38DF"/>
    <w:rsid w:val="0BFB6C8E"/>
    <w:rsid w:val="0C085D6A"/>
    <w:rsid w:val="0C0B6C4B"/>
    <w:rsid w:val="0C4A717C"/>
    <w:rsid w:val="0C4D5E73"/>
    <w:rsid w:val="0C641F7E"/>
    <w:rsid w:val="0C7B653C"/>
    <w:rsid w:val="0C923C39"/>
    <w:rsid w:val="0C9902E6"/>
    <w:rsid w:val="0CC2416B"/>
    <w:rsid w:val="0CCD2A69"/>
    <w:rsid w:val="0CE02843"/>
    <w:rsid w:val="0CEA6853"/>
    <w:rsid w:val="0D1644B7"/>
    <w:rsid w:val="0D1677BA"/>
    <w:rsid w:val="0D2069B3"/>
    <w:rsid w:val="0D272220"/>
    <w:rsid w:val="0D307327"/>
    <w:rsid w:val="0D336E17"/>
    <w:rsid w:val="0D4B23B2"/>
    <w:rsid w:val="0D6202EA"/>
    <w:rsid w:val="0D681925"/>
    <w:rsid w:val="0D7D4F6C"/>
    <w:rsid w:val="0D88388F"/>
    <w:rsid w:val="0DCA1189"/>
    <w:rsid w:val="0DF639D5"/>
    <w:rsid w:val="0DFA5954"/>
    <w:rsid w:val="0DFE7425"/>
    <w:rsid w:val="0E0A7B61"/>
    <w:rsid w:val="0E106B7D"/>
    <w:rsid w:val="0E2A3BCA"/>
    <w:rsid w:val="0E612358"/>
    <w:rsid w:val="0E7616B1"/>
    <w:rsid w:val="0E99714E"/>
    <w:rsid w:val="0EBBF58D"/>
    <w:rsid w:val="0EE45107"/>
    <w:rsid w:val="0EF32D02"/>
    <w:rsid w:val="0F096BC6"/>
    <w:rsid w:val="0F0C5B71"/>
    <w:rsid w:val="0F277392"/>
    <w:rsid w:val="0F31743E"/>
    <w:rsid w:val="0F5057C5"/>
    <w:rsid w:val="0F515506"/>
    <w:rsid w:val="0F6A2D9B"/>
    <w:rsid w:val="0F7F5A4A"/>
    <w:rsid w:val="0F8D7913"/>
    <w:rsid w:val="0FA97864"/>
    <w:rsid w:val="0FCE72CB"/>
    <w:rsid w:val="0FD56FF3"/>
    <w:rsid w:val="0FDC310F"/>
    <w:rsid w:val="0FDC5544"/>
    <w:rsid w:val="0FDF3286"/>
    <w:rsid w:val="0FE745A6"/>
    <w:rsid w:val="0FF34F08"/>
    <w:rsid w:val="0FF705D0"/>
    <w:rsid w:val="0FFD467D"/>
    <w:rsid w:val="10080115"/>
    <w:rsid w:val="10310171"/>
    <w:rsid w:val="1035533C"/>
    <w:rsid w:val="103B2AF6"/>
    <w:rsid w:val="103D6825"/>
    <w:rsid w:val="104E54E3"/>
    <w:rsid w:val="104F031B"/>
    <w:rsid w:val="10560240"/>
    <w:rsid w:val="105F23D9"/>
    <w:rsid w:val="10747B27"/>
    <w:rsid w:val="107E1739"/>
    <w:rsid w:val="107F68F0"/>
    <w:rsid w:val="108C1B65"/>
    <w:rsid w:val="108C1CE9"/>
    <w:rsid w:val="108C6F6A"/>
    <w:rsid w:val="10953A75"/>
    <w:rsid w:val="109D4566"/>
    <w:rsid w:val="10A122E9"/>
    <w:rsid w:val="10AD6886"/>
    <w:rsid w:val="10B93AD7"/>
    <w:rsid w:val="10BB28DC"/>
    <w:rsid w:val="10C06C14"/>
    <w:rsid w:val="10E6462C"/>
    <w:rsid w:val="10EB7DE0"/>
    <w:rsid w:val="10F13271"/>
    <w:rsid w:val="110864A9"/>
    <w:rsid w:val="111B4C45"/>
    <w:rsid w:val="111C0E47"/>
    <w:rsid w:val="113F09A6"/>
    <w:rsid w:val="114C04A7"/>
    <w:rsid w:val="115932FD"/>
    <w:rsid w:val="116C6D9B"/>
    <w:rsid w:val="117F528C"/>
    <w:rsid w:val="11A05BE9"/>
    <w:rsid w:val="11A222C1"/>
    <w:rsid w:val="11B732CA"/>
    <w:rsid w:val="11E93033"/>
    <w:rsid w:val="11EC637D"/>
    <w:rsid w:val="1215598D"/>
    <w:rsid w:val="121F14FE"/>
    <w:rsid w:val="12237139"/>
    <w:rsid w:val="12331667"/>
    <w:rsid w:val="12462449"/>
    <w:rsid w:val="12594B3E"/>
    <w:rsid w:val="125D0F66"/>
    <w:rsid w:val="126B21C9"/>
    <w:rsid w:val="12900868"/>
    <w:rsid w:val="12975D5A"/>
    <w:rsid w:val="129F0930"/>
    <w:rsid w:val="12BC7A84"/>
    <w:rsid w:val="12D31BDC"/>
    <w:rsid w:val="13070C75"/>
    <w:rsid w:val="13296866"/>
    <w:rsid w:val="132A027E"/>
    <w:rsid w:val="133652E7"/>
    <w:rsid w:val="135A75B2"/>
    <w:rsid w:val="13651CF4"/>
    <w:rsid w:val="137244AF"/>
    <w:rsid w:val="13A46CEC"/>
    <w:rsid w:val="13E946D3"/>
    <w:rsid w:val="13F76DF0"/>
    <w:rsid w:val="13FA41EA"/>
    <w:rsid w:val="140A090B"/>
    <w:rsid w:val="14115C6F"/>
    <w:rsid w:val="14186369"/>
    <w:rsid w:val="142B46CE"/>
    <w:rsid w:val="142D3E10"/>
    <w:rsid w:val="144D4C62"/>
    <w:rsid w:val="145C3B57"/>
    <w:rsid w:val="14633821"/>
    <w:rsid w:val="14717CCD"/>
    <w:rsid w:val="14835F2F"/>
    <w:rsid w:val="149125EE"/>
    <w:rsid w:val="1494428C"/>
    <w:rsid w:val="149D72C4"/>
    <w:rsid w:val="149E5BA0"/>
    <w:rsid w:val="14AC790D"/>
    <w:rsid w:val="14C75975"/>
    <w:rsid w:val="14E55D68"/>
    <w:rsid w:val="14EC447B"/>
    <w:rsid w:val="14F670A8"/>
    <w:rsid w:val="15003A82"/>
    <w:rsid w:val="1527393E"/>
    <w:rsid w:val="153C0642"/>
    <w:rsid w:val="15465954"/>
    <w:rsid w:val="154E1850"/>
    <w:rsid w:val="15506F6D"/>
    <w:rsid w:val="15527217"/>
    <w:rsid w:val="155D1FEC"/>
    <w:rsid w:val="1570073A"/>
    <w:rsid w:val="1598015F"/>
    <w:rsid w:val="159863B1"/>
    <w:rsid w:val="15A74FD0"/>
    <w:rsid w:val="15A82F64"/>
    <w:rsid w:val="15BA3CBE"/>
    <w:rsid w:val="15C060C7"/>
    <w:rsid w:val="15CE5CF0"/>
    <w:rsid w:val="15FC00F6"/>
    <w:rsid w:val="160E4BFE"/>
    <w:rsid w:val="162419F3"/>
    <w:rsid w:val="16277C99"/>
    <w:rsid w:val="16324D1A"/>
    <w:rsid w:val="16413743"/>
    <w:rsid w:val="164A3AD6"/>
    <w:rsid w:val="16674575"/>
    <w:rsid w:val="167664C6"/>
    <w:rsid w:val="167D106E"/>
    <w:rsid w:val="168227FD"/>
    <w:rsid w:val="168E7D52"/>
    <w:rsid w:val="16900E36"/>
    <w:rsid w:val="169E23FD"/>
    <w:rsid w:val="16A3500D"/>
    <w:rsid w:val="16A86080"/>
    <w:rsid w:val="16B26FFE"/>
    <w:rsid w:val="16C02329"/>
    <w:rsid w:val="16C23E3D"/>
    <w:rsid w:val="16E11040"/>
    <w:rsid w:val="16E54855"/>
    <w:rsid w:val="16EA2594"/>
    <w:rsid w:val="16ED44DA"/>
    <w:rsid w:val="16FE2244"/>
    <w:rsid w:val="170846C1"/>
    <w:rsid w:val="17234346"/>
    <w:rsid w:val="1724330D"/>
    <w:rsid w:val="1725090D"/>
    <w:rsid w:val="17254A0B"/>
    <w:rsid w:val="17454D35"/>
    <w:rsid w:val="174A5448"/>
    <w:rsid w:val="174E1C68"/>
    <w:rsid w:val="174F10AF"/>
    <w:rsid w:val="175E3336"/>
    <w:rsid w:val="176C18A3"/>
    <w:rsid w:val="1784056A"/>
    <w:rsid w:val="17915F58"/>
    <w:rsid w:val="17935ADC"/>
    <w:rsid w:val="17936D07"/>
    <w:rsid w:val="179C00E9"/>
    <w:rsid w:val="17AC7EF2"/>
    <w:rsid w:val="17B13B40"/>
    <w:rsid w:val="17D60E0D"/>
    <w:rsid w:val="17DF2075"/>
    <w:rsid w:val="17E07B9B"/>
    <w:rsid w:val="17E52734"/>
    <w:rsid w:val="17FD074D"/>
    <w:rsid w:val="18042F0E"/>
    <w:rsid w:val="180513B0"/>
    <w:rsid w:val="180E5A70"/>
    <w:rsid w:val="181006A8"/>
    <w:rsid w:val="181A12FF"/>
    <w:rsid w:val="182201B4"/>
    <w:rsid w:val="18307B13"/>
    <w:rsid w:val="1831400C"/>
    <w:rsid w:val="189270E7"/>
    <w:rsid w:val="189B016B"/>
    <w:rsid w:val="18AC2047"/>
    <w:rsid w:val="18B9320D"/>
    <w:rsid w:val="18C211A6"/>
    <w:rsid w:val="18D205AB"/>
    <w:rsid w:val="18DC4A8F"/>
    <w:rsid w:val="18DF61D6"/>
    <w:rsid w:val="18EA56F8"/>
    <w:rsid w:val="19017C80"/>
    <w:rsid w:val="19050CAD"/>
    <w:rsid w:val="190D49C0"/>
    <w:rsid w:val="191479B4"/>
    <w:rsid w:val="191A70DD"/>
    <w:rsid w:val="191F46F3"/>
    <w:rsid w:val="19334FC0"/>
    <w:rsid w:val="193C52C1"/>
    <w:rsid w:val="19411A03"/>
    <w:rsid w:val="19460078"/>
    <w:rsid w:val="19595E57"/>
    <w:rsid w:val="195D78AF"/>
    <w:rsid w:val="19682232"/>
    <w:rsid w:val="197A28F7"/>
    <w:rsid w:val="19931603"/>
    <w:rsid w:val="19BB1086"/>
    <w:rsid w:val="19DE7872"/>
    <w:rsid w:val="19E36B88"/>
    <w:rsid w:val="1A0C2EC9"/>
    <w:rsid w:val="1A101CA0"/>
    <w:rsid w:val="1A134258"/>
    <w:rsid w:val="1A4742D9"/>
    <w:rsid w:val="1A474465"/>
    <w:rsid w:val="1A6B6459"/>
    <w:rsid w:val="1A7346AC"/>
    <w:rsid w:val="1A7655F5"/>
    <w:rsid w:val="1A7F0073"/>
    <w:rsid w:val="1A872550"/>
    <w:rsid w:val="1A9B01A9"/>
    <w:rsid w:val="1ABC044C"/>
    <w:rsid w:val="1ABD75A1"/>
    <w:rsid w:val="1AEC730C"/>
    <w:rsid w:val="1AF220BF"/>
    <w:rsid w:val="1B3D392E"/>
    <w:rsid w:val="1B46240B"/>
    <w:rsid w:val="1B4D1DD5"/>
    <w:rsid w:val="1B552828"/>
    <w:rsid w:val="1B574618"/>
    <w:rsid w:val="1B6F1962"/>
    <w:rsid w:val="1B7156DA"/>
    <w:rsid w:val="1B782A89"/>
    <w:rsid w:val="1B7C26C0"/>
    <w:rsid w:val="1B8758B3"/>
    <w:rsid w:val="1BA73847"/>
    <w:rsid w:val="1BD0072A"/>
    <w:rsid w:val="1BF11741"/>
    <w:rsid w:val="1C177904"/>
    <w:rsid w:val="1C2362A8"/>
    <w:rsid w:val="1C2A3ADB"/>
    <w:rsid w:val="1C3A2558"/>
    <w:rsid w:val="1C3D2D03"/>
    <w:rsid w:val="1C3D43D1"/>
    <w:rsid w:val="1C3D4670"/>
    <w:rsid w:val="1C446B77"/>
    <w:rsid w:val="1C470054"/>
    <w:rsid w:val="1C801C74"/>
    <w:rsid w:val="1C9D301D"/>
    <w:rsid w:val="1CD44C7E"/>
    <w:rsid w:val="1CD83C92"/>
    <w:rsid w:val="1CE72A9C"/>
    <w:rsid w:val="1D00380F"/>
    <w:rsid w:val="1D294709"/>
    <w:rsid w:val="1D3A5FA0"/>
    <w:rsid w:val="1D5C5F16"/>
    <w:rsid w:val="1D7966B5"/>
    <w:rsid w:val="1DA5543D"/>
    <w:rsid w:val="1DA95B25"/>
    <w:rsid w:val="1DB10899"/>
    <w:rsid w:val="1DC8063C"/>
    <w:rsid w:val="1DEA3522"/>
    <w:rsid w:val="1DFE701D"/>
    <w:rsid w:val="1E0102F8"/>
    <w:rsid w:val="1E0C0584"/>
    <w:rsid w:val="1E124827"/>
    <w:rsid w:val="1E150A33"/>
    <w:rsid w:val="1E1916E1"/>
    <w:rsid w:val="1E320F02"/>
    <w:rsid w:val="1E3B4E46"/>
    <w:rsid w:val="1E406A42"/>
    <w:rsid w:val="1E4F2A7A"/>
    <w:rsid w:val="1E6037E4"/>
    <w:rsid w:val="1E6D2E78"/>
    <w:rsid w:val="1E7D6539"/>
    <w:rsid w:val="1E7F5406"/>
    <w:rsid w:val="1E844CEA"/>
    <w:rsid w:val="1EAC4C7B"/>
    <w:rsid w:val="1EB3732D"/>
    <w:rsid w:val="1EC8234E"/>
    <w:rsid w:val="1ECB6C57"/>
    <w:rsid w:val="1ECE50AB"/>
    <w:rsid w:val="1EEE1D87"/>
    <w:rsid w:val="1EFF2F91"/>
    <w:rsid w:val="1F042D95"/>
    <w:rsid w:val="1F281065"/>
    <w:rsid w:val="1F435143"/>
    <w:rsid w:val="1F6C5CF8"/>
    <w:rsid w:val="1F8E1A67"/>
    <w:rsid w:val="1F8F4381"/>
    <w:rsid w:val="1FA60835"/>
    <w:rsid w:val="1FA65E0D"/>
    <w:rsid w:val="1FAD696C"/>
    <w:rsid w:val="1FD224BF"/>
    <w:rsid w:val="1FD40B49"/>
    <w:rsid w:val="1FDB4A82"/>
    <w:rsid w:val="1FE4510F"/>
    <w:rsid w:val="1FEE11A2"/>
    <w:rsid w:val="1FF22DC3"/>
    <w:rsid w:val="1FF40688"/>
    <w:rsid w:val="20352061"/>
    <w:rsid w:val="204B439B"/>
    <w:rsid w:val="204E156C"/>
    <w:rsid w:val="208104D5"/>
    <w:rsid w:val="20887022"/>
    <w:rsid w:val="20AA343C"/>
    <w:rsid w:val="20AC5BBF"/>
    <w:rsid w:val="20AD0837"/>
    <w:rsid w:val="20C869F7"/>
    <w:rsid w:val="20D14202"/>
    <w:rsid w:val="20D475BB"/>
    <w:rsid w:val="20DB1848"/>
    <w:rsid w:val="20E029BA"/>
    <w:rsid w:val="20EE77BE"/>
    <w:rsid w:val="20F44BDA"/>
    <w:rsid w:val="20F73D8C"/>
    <w:rsid w:val="20FD5125"/>
    <w:rsid w:val="212136FE"/>
    <w:rsid w:val="216D6ACE"/>
    <w:rsid w:val="21763EA3"/>
    <w:rsid w:val="218C3A94"/>
    <w:rsid w:val="219536BB"/>
    <w:rsid w:val="21983295"/>
    <w:rsid w:val="21994A87"/>
    <w:rsid w:val="219D77D1"/>
    <w:rsid w:val="219E5944"/>
    <w:rsid w:val="21AA36F4"/>
    <w:rsid w:val="21B77BBF"/>
    <w:rsid w:val="21C5052E"/>
    <w:rsid w:val="21CB26DB"/>
    <w:rsid w:val="21F9443D"/>
    <w:rsid w:val="220C1B70"/>
    <w:rsid w:val="22283B6E"/>
    <w:rsid w:val="22356D36"/>
    <w:rsid w:val="223E208E"/>
    <w:rsid w:val="225C57E4"/>
    <w:rsid w:val="22894810"/>
    <w:rsid w:val="229323DA"/>
    <w:rsid w:val="22B365D8"/>
    <w:rsid w:val="22C5333E"/>
    <w:rsid w:val="22E04EF3"/>
    <w:rsid w:val="22E449E3"/>
    <w:rsid w:val="22F35FE8"/>
    <w:rsid w:val="23087261"/>
    <w:rsid w:val="231A5982"/>
    <w:rsid w:val="232144AA"/>
    <w:rsid w:val="234611FA"/>
    <w:rsid w:val="2369138D"/>
    <w:rsid w:val="237C6EB4"/>
    <w:rsid w:val="238F58C3"/>
    <w:rsid w:val="23910AF4"/>
    <w:rsid w:val="2398757C"/>
    <w:rsid w:val="239A7714"/>
    <w:rsid w:val="23C0545D"/>
    <w:rsid w:val="23C1633C"/>
    <w:rsid w:val="23D47212"/>
    <w:rsid w:val="23DA7B95"/>
    <w:rsid w:val="23F20B3E"/>
    <w:rsid w:val="23F92DD6"/>
    <w:rsid w:val="23F94F42"/>
    <w:rsid w:val="24082954"/>
    <w:rsid w:val="240B487F"/>
    <w:rsid w:val="241D6CEE"/>
    <w:rsid w:val="2437653E"/>
    <w:rsid w:val="24390F15"/>
    <w:rsid w:val="249A1DD6"/>
    <w:rsid w:val="24A614DE"/>
    <w:rsid w:val="24D215AA"/>
    <w:rsid w:val="24FA4A4D"/>
    <w:rsid w:val="25165DC8"/>
    <w:rsid w:val="252B190C"/>
    <w:rsid w:val="25494FC2"/>
    <w:rsid w:val="25506360"/>
    <w:rsid w:val="25513E86"/>
    <w:rsid w:val="25575658"/>
    <w:rsid w:val="255B52B4"/>
    <w:rsid w:val="25692F3C"/>
    <w:rsid w:val="25710085"/>
    <w:rsid w:val="25787665"/>
    <w:rsid w:val="25814843"/>
    <w:rsid w:val="259764B2"/>
    <w:rsid w:val="259C11D0"/>
    <w:rsid w:val="259C15A5"/>
    <w:rsid w:val="25A0096A"/>
    <w:rsid w:val="25A42208"/>
    <w:rsid w:val="25AE3087"/>
    <w:rsid w:val="25C65751"/>
    <w:rsid w:val="25C92E87"/>
    <w:rsid w:val="25C97EC1"/>
    <w:rsid w:val="25DF1E90"/>
    <w:rsid w:val="25E85959"/>
    <w:rsid w:val="260D5EA8"/>
    <w:rsid w:val="26350AE1"/>
    <w:rsid w:val="263A0C36"/>
    <w:rsid w:val="26415CA9"/>
    <w:rsid w:val="26460C04"/>
    <w:rsid w:val="264C1A99"/>
    <w:rsid w:val="265579A6"/>
    <w:rsid w:val="26694CB8"/>
    <w:rsid w:val="26855C00"/>
    <w:rsid w:val="268F3983"/>
    <w:rsid w:val="269831F2"/>
    <w:rsid w:val="269F09A9"/>
    <w:rsid w:val="26A01849"/>
    <w:rsid w:val="26BA77F9"/>
    <w:rsid w:val="26BD6A9C"/>
    <w:rsid w:val="26FE1DEC"/>
    <w:rsid w:val="26FE22C7"/>
    <w:rsid w:val="27042DFE"/>
    <w:rsid w:val="27177B08"/>
    <w:rsid w:val="27186068"/>
    <w:rsid w:val="27291DCA"/>
    <w:rsid w:val="272C2865"/>
    <w:rsid w:val="272E26D1"/>
    <w:rsid w:val="2741744E"/>
    <w:rsid w:val="274F0899"/>
    <w:rsid w:val="276A0D01"/>
    <w:rsid w:val="27733CE2"/>
    <w:rsid w:val="278129B7"/>
    <w:rsid w:val="27863A45"/>
    <w:rsid w:val="278B4D52"/>
    <w:rsid w:val="27965C2C"/>
    <w:rsid w:val="27A02EA3"/>
    <w:rsid w:val="27BB0DA8"/>
    <w:rsid w:val="27BD4EFC"/>
    <w:rsid w:val="27C44DE4"/>
    <w:rsid w:val="27D01156"/>
    <w:rsid w:val="27DF1C1D"/>
    <w:rsid w:val="27F136FF"/>
    <w:rsid w:val="2812669E"/>
    <w:rsid w:val="28153D7B"/>
    <w:rsid w:val="28424850"/>
    <w:rsid w:val="284718FB"/>
    <w:rsid w:val="284D38D9"/>
    <w:rsid w:val="28551DA2"/>
    <w:rsid w:val="28802331"/>
    <w:rsid w:val="288527C5"/>
    <w:rsid w:val="289F49F4"/>
    <w:rsid w:val="28B77E47"/>
    <w:rsid w:val="28CF7E3C"/>
    <w:rsid w:val="28DC06A6"/>
    <w:rsid w:val="2917304F"/>
    <w:rsid w:val="291D48EE"/>
    <w:rsid w:val="294B373D"/>
    <w:rsid w:val="29700480"/>
    <w:rsid w:val="297B3BC8"/>
    <w:rsid w:val="2989268F"/>
    <w:rsid w:val="298E7457"/>
    <w:rsid w:val="29962F99"/>
    <w:rsid w:val="29A51F1F"/>
    <w:rsid w:val="29BB3FC4"/>
    <w:rsid w:val="29C3697C"/>
    <w:rsid w:val="29CA31EB"/>
    <w:rsid w:val="29D52C4E"/>
    <w:rsid w:val="29D75B1D"/>
    <w:rsid w:val="29DA4603"/>
    <w:rsid w:val="29DB4666"/>
    <w:rsid w:val="29E820F6"/>
    <w:rsid w:val="2A027F88"/>
    <w:rsid w:val="2A0E497A"/>
    <w:rsid w:val="2A135F32"/>
    <w:rsid w:val="2A4058E9"/>
    <w:rsid w:val="2A532F19"/>
    <w:rsid w:val="2A571F3F"/>
    <w:rsid w:val="2A7368EC"/>
    <w:rsid w:val="2A811B25"/>
    <w:rsid w:val="2A905451"/>
    <w:rsid w:val="2AAE4EDE"/>
    <w:rsid w:val="2AB90CCE"/>
    <w:rsid w:val="2AEC6418"/>
    <w:rsid w:val="2AED4651"/>
    <w:rsid w:val="2AF17DD2"/>
    <w:rsid w:val="2AF47C4B"/>
    <w:rsid w:val="2AF91248"/>
    <w:rsid w:val="2B360FD7"/>
    <w:rsid w:val="2B5A6013"/>
    <w:rsid w:val="2B5C5333"/>
    <w:rsid w:val="2B683324"/>
    <w:rsid w:val="2B97636B"/>
    <w:rsid w:val="2BA51A72"/>
    <w:rsid w:val="2BC323B3"/>
    <w:rsid w:val="2BC45765"/>
    <w:rsid w:val="2BCD562D"/>
    <w:rsid w:val="2BED6332"/>
    <w:rsid w:val="2C123EBE"/>
    <w:rsid w:val="2C2E1EAF"/>
    <w:rsid w:val="2C340B61"/>
    <w:rsid w:val="2C604777"/>
    <w:rsid w:val="2C893CDB"/>
    <w:rsid w:val="2C954DCD"/>
    <w:rsid w:val="2C9D1056"/>
    <w:rsid w:val="2CA970CB"/>
    <w:rsid w:val="2CBB3255"/>
    <w:rsid w:val="2CBF201D"/>
    <w:rsid w:val="2CCB451E"/>
    <w:rsid w:val="2CCD0296"/>
    <w:rsid w:val="2CD51841"/>
    <w:rsid w:val="2CDA57F7"/>
    <w:rsid w:val="2CF12331"/>
    <w:rsid w:val="2CF5626A"/>
    <w:rsid w:val="2D0C55A1"/>
    <w:rsid w:val="2D1B54A6"/>
    <w:rsid w:val="2D297FDD"/>
    <w:rsid w:val="2D682308"/>
    <w:rsid w:val="2D704E26"/>
    <w:rsid w:val="2D865769"/>
    <w:rsid w:val="2D96552C"/>
    <w:rsid w:val="2DAA0022"/>
    <w:rsid w:val="2DAC3D46"/>
    <w:rsid w:val="2DCA2A28"/>
    <w:rsid w:val="2DF53F49"/>
    <w:rsid w:val="2DF65309"/>
    <w:rsid w:val="2DF67CC1"/>
    <w:rsid w:val="2E0C517F"/>
    <w:rsid w:val="2E1D3A94"/>
    <w:rsid w:val="2E1E574B"/>
    <w:rsid w:val="2E217FC6"/>
    <w:rsid w:val="2E2B378F"/>
    <w:rsid w:val="2E2E4AC1"/>
    <w:rsid w:val="2E383000"/>
    <w:rsid w:val="2E387907"/>
    <w:rsid w:val="2E4900E3"/>
    <w:rsid w:val="2E542540"/>
    <w:rsid w:val="2E5505E5"/>
    <w:rsid w:val="2E572056"/>
    <w:rsid w:val="2E6263DB"/>
    <w:rsid w:val="2E861327"/>
    <w:rsid w:val="2E951288"/>
    <w:rsid w:val="2EA74CDE"/>
    <w:rsid w:val="2EAB5D2A"/>
    <w:rsid w:val="2EC37F09"/>
    <w:rsid w:val="2EC947E6"/>
    <w:rsid w:val="2ED578D6"/>
    <w:rsid w:val="2EFD7B35"/>
    <w:rsid w:val="2F0149FF"/>
    <w:rsid w:val="2F0401BB"/>
    <w:rsid w:val="2F285C58"/>
    <w:rsid w:val="2F6806E7"/>
    <w:rsid w:val="2F6A13F9"/>
    <w:rsid w:val="2F7665BB"/>
    <w:rsid w:val="2F7B0D2B"/>
    <w:rsid w:val="2F7B66D0"/>
    <w:rsid w:val="2F81180C"/>
    <w:rsid w:val="2F8C7C30"/>
    <w:rsid w:val="2FAC4C7D"/>
    <w:rsid w:val="2FBE036A"/>
    <w:rsid w:val="2FC647D1"/>
    <w:rsid w:val="2FD34BF1"/>
    <w:rsid w:val="2FDE0A0C"/>
    <w:rsid w:val="2FE801F5"/>
    <w:rsid w:val="2FEA5603"/>
    <w:rsid w:val="2FED2A6C"/>
    <w:rsid w:val="30136908"/>
    <w:rsid w:val="3017452B"/>
    <w:rsid w:val="30314A42"/>
    <w:rsid w:val="303C0BE7"/>
    <w:rsid w:val="30446AC1"/>
    <w:rsid w:val="3061033F"/>
    <w:rsid w:val="30703D5A"/>
    <w:rsid w:val="30770B77"/>
    <w:rsid w:val="3091713E"/>
    <w:rsid w:val="309D08C8"/>
    <w:rsid w:val="30AA685F"/>
    <w:rsid w:val="30CF5D84"/>
    <w:rsid w:val="30D32C5B"/>
    <w:rsid w:val="30D405DD"/>
    <w:rsid w:val="30DF4A3C"/>
    <w:rsid w:val="30FC0182"/>
    <w:rsid w:val="314174A5"/>
    <w:rsid w:val="3172765E"/>
    <w:rsid w:val="31906155"/>
    <w:rsid w:val="31B76BE2"/>
    <w:rsid w:val="31C91625"/>
    <w:rsid w:val="31CB4544"/>
    <w:rsid w:val="31D125D7"/>
    <w:rsid w:val="31D32F83"/>
    <w:rsid w:val="31EC5604"/>
    <w:rsid w:val="32056A82"/>
    <w:rsid w:val="321D38B2"/>
    <w:rsid w:val="322C27D0"/>
    <w:rsid w:val="32385280"/>
    <w:rsid w:val="32434EFD"/>
    <w:rsid w:val="32723F04"/>
    <w:rsid w:val="327408BF"/>
    <w:rsid w:val="32867865"/>
    <w:rsid w:val="32877139"/>
    <w:rsid w:val="32881493"/>
    <w:rsid w:val="328F69F4"/>
    <w:rsid w:val="329A1838"/>
    <w:rsid w:val="32B53CA7"/>
    <w:rsid w:val="32CE61B4"/>
    <w:rsid w:val="32D16607"/>
    <w:rsid w:val="33006783"/>
    <w:rsid w:val="33145C30"/>
    <w:rsid w:val="33174D63"/>
    <w:rsid w:val="33263D63"/>
    <w:rsid w:val="332B21BB"/>
    <w:rsid w:val="33550C7E"/>
    <w:rsid w:val="33552D94"/>
    <w:rsid w:val="335C5F80"/>
    <w:rsid w:val="33661445"/>
    <w:rsid w:val="33664FA1"/>
    <w:rsid w:val="33745910"/>
    <w:rsid w:val="33955886"/>
    <w:rsid w:val="33BB60DF"/>
    <w:rsid w:val="33D463AE"/>
    <w:rsid w:val="342235BE"/>
    <w:rsid w:val="342A2472"/>
    <w:rsid w:val="342C3630"/>
    <w:rsid w:val="342F1837"/>
    <w:rsid w:val="344F3C87"/>
    <w:rsid w:val="345A40F8"/>
    <w:rsid w:val="345D2848"/>
    <w:rsid w:val="345E559A"/>
    <w:rsid w:val="34666D8C"/>
    <w:rsid w:val="34751ABB"/>
    <w:rsid w:val="34831B82"/>
    <w:rsid w:val="349249DB"/>
    <w:rsid w:val="349A290B"/>
    <w:rsid w:val="34AA6DC0"/>
    <w:rsid w:val="34AE6E2A"/>
    <w:rsid w:val="34B06DA2"/>
    <w:rsid w:val="34B81592"/>
    <w:rsid w:val="34C93A39"/>
    <w:rsid w:val="34CC0F05"/>
    <w:rsid w:val="34DD5737"/>
    <w:rsid w:val="34F12F90"/>
    <w:rsid w:val="34FE3F99"/>
    <w:rsid w:val="350C1B78"/>
    <w:rsid w:val="35132F06"/>
    <w:rsid w:val="351D6DD0"/>
    <w:rsid w:val="356F5F4B"/>
    <w:rsid w:val="3575771D"/>
    <w:rsid w:val="3584324B"/>
    <w:rsid w:val="358F1B65"/>
    <w:rsid w:val="3598340C"/>
    <w:rsid w:val="35B35E83"/>
    <w:rsid w:val="35C227AA"/>
    <w:rsid w:val="35CF1523"/>
    <w:rsid w:val="35D30569"/>
    <w:rsid w:val="35D54660"/>
    <w:rsid w:val="361F4081"/>
    <w:rsid w:val="36240A39"/>
    <w:rsid w:val="36392FE9"/>
    <w:rsid w:val="364A2958"/>
    <w:rsid w:val="366458EC"/>
    <w:rsid w:val="368340BC"/>
    <w:rsid w:val="369167D9"/>
    <w:rsid w:val="36B00B9A"/>
    <w:rsid w:val="36B5404E"/>
    <w:rsid w:val="36C95F72"/>
    <w:rsid w:val="36D40BB6"/>
    <w:rsid w:val="36EB56A8"/>
    <w:rsid w:val="36F417B7"/>
    <w:rsid w:val="3736778D"/>
    <w:rsid w:val="37476F50"/>
    <w:rsid w:val="37545AB6"/>
    <w:rsid w:val="376B527C"/>
    <w:rsid w:val="377F3076"/>
    <w:rsid w:val="37C0415E"/>
    <w:rsid w:val="37D22C05"/>
    <w:rsid w:val="37D44BCF"/>
    <w:rsid w:val="37DE4B11"/>
    <w:rsid w:val="37F6100F"/>
    <w:rsid w:val="37FD54B3"/>
    <w:rsid w:val="380F20AB"/>
    <w:rsid w:val="38311C1E"/>
    <w:rsid w:val="3839066A"/>
    <w:rsid w:val="384E678E"/>
    <w:rsid w:val="38545D10"/>
    <w:rsid w:val="386677F1"/>
    <w:rsid w:val="387A66D5"/>
    <w:rsid w:val="388B5124"/>
    <w:rsid w:val="389645B4"/>
    <w:rsid w:val="389B749B"/>
    <w:rsid w:val="38A30A45"/>
    <w:rsid w:val="38BE5E78"/>
    <w:rsid w:val="38CE0D67"/>
    <w:rsid w:val="38E02DEB"/>
    <w:rsid w:val="390C0398"/>
    <w:rsid w:val="391543B8"/>
    <w:rsid w:val="391B0C5D"/>
    <w:rsid w:val="392C4597"/>
    <w:rsid w:val="393366D9"/>
    <w:rsid w:val="393A1227"/>
    <w:rsid w:val="393F299B"/>
    <w:rsid w:val="39447BE2"/>
    <w:rsid w:val="394F0490"/>
    <w:rsid w:val="396175DC"/>
    <w:rsid w:val="396816E7"/>
    <w:rsid w:val="39756CB4"/>
    <w:rsid w:val="397C1C5A"/>
    <w:rsid w:val="39855933"/>
    <w:rsid w:val="398A1517"/>
    <w:rsid w:val="398D329E"/>
    <w:rsid w:val="39B16FF1"/>
    <w:rsid w:val="39BC0A19"/>
    <w:rsid w:val="39C649EB"/>
    <w:rsid w:val="39C742BF"/>
    <w:rsid w:val="39DA5AEC"/>
    <w:rsid w:val="39F3557E"/>
    <w:rsid w:val="39FF0BE3"/>
    <w:rsid w:val="3A070042"/>
    <w:rsid w:val="3A114F18"/>
    <w:rsid w:val="3A2E2891"/>
    <w:rsid w:val="3A30455A"/>
    <w:rsid w:val="3A4C482B"/>
    <w:rsid w:val="3A5363B9"/>
    <w:rsid w:val="3A7043E9"/>
    <w:rsid w:val="3A78617D"/>
    <w:rsid w:val="3A850402"/>
    <w:rsid w:val="3A935D4C"/>
    <w:rsid w:val="3A952BF2"/>
    <w:rsid w:val="3A9F4E8C"/>
    <w:rsid w:val="3AB568F6"/>
    <w:rsid w:val="3AC95E1B"/>
    <w:rsid w:val="3ACC71B4"/>
    <w:rsid w:val="3AD3386A"/>
    <w:rsid w:val="3AEC0481"/>
    <w:rsid w:val="3AEF1D20"/>
    <w:rsid w:val="3B005D33"/>
    <w:rsid w:val="3B20661D"/>
    <w:rsid w:val="3B4E2EEA"/>
    <w:rsid w:val="3B5878C5"/>
    <w:rsid w:val="3B605EEB"/>
    <w:rsid w:val="3B7F5BEF"/>
    <w:rsid w:val="3B8F6EF5"/>
    <w:rsid w:val="3B977C23"/>
    <w:rsid w:val="3B9B3C21"/>
    <w:rsid w:val="3BB53EFA"/>
    <w:rsid w:val="3BC03A30"/>
    <w:rsid w:val="3BF07AFD"/>
    <w:rsid w:val="3BF85353"/>
    <w:rsid w:val="3C057968"/>
    <w:rsid w:val="3C08753D"/>
    <w:rsid w:val="3C0C5496"/>
    <w:rsid w:val="3C0D6319"/>
    <w:rsid w:val="3C195720"/>
    <w:rsid w:val="3C2944EC"/>
    <w:rsid w:val="3C320116"/>
    <w:rsid w:val="3C37397E"/>
    <w:rsid w:val="3C382B6A"/>
    <w:rsid w:val="3C383FA8"/>
    <w:rsid w:val="3C437A2A"/>
    <w:rsid w:val="3C463BC1"/>
    <w:rsid w:val="3C5E53AF"/>
    <w:rsid w:val="3C6348C7"/>
    <w:rsid w:val="3C811ABC"/>
    <w:rsid w:val="3C863F50"/>
    <w:rsid w:val="3C920BB5"/>
    <w:rsid w:val="3C9F32D2"/>
    <w:rsid w:val="3CA64660"/>
    <w:rsid w:val="3CF46EDF"/>
    <w:rsid w:val="3CFD3744"/>
    <w:rsid w:val="3D171054"/>
    <w:rsid w:val="3D2D205A"/>
    <w:rsid w:val="3D37175C"/>
    <w:rsid w:val="3D390512"/>
    <w:rsid w:val="3D3D1714"/>
    <w:rsid w:val="3D3E4011"/>
    <w:rsid w:val="3D3F6549"/>
    <w:rsid w:val="3D464256"/>
    <w:rsid w:val="3D634550"/>
    <w:rsid w:val="3D6B048D"/>
    <w:rsid w:val="3D6D1CBD"/>
    <w:rsid w:val="3D6D517E"/>
    <w:rsid w:val="3D8726E3"/>
    <w:rsid w:val="3D913562"/>
    <w:rsid w:val="3DA12DBB"/>
    <w:rsid w:val="3DA61906"/>
    <w:rsid w:val="3DB35B35"/>
    <w:rsid w:val="3DB80AEF"/>
    <w:rsid w:val="3DB82E8F"/>
    <w:rsid w:val="3DBB1BA6"/>
    <w:rsid w:val="3DBC7EA9"/>
    <w:rsid w:val="3DD671C7"/>
    <w:rsid w:val="3DFD4754"/>
    <w:rsid w:val="3E357B32"/>
    <w:rsid w:val="3E3C6F8E"/>
    <w:rsid w:val="3E3F6B1A"/>
    <w:rsid w:val="3E4B54BF"/>
    <w:rsid w:val="3E4E3201"/>
    <w:rsid w:val="3E6C3FB1"/>
    <w:rsid w:val="3E795C86"/>
    <w:rsid w:val="3E9805EB"/>
    <w:rsid w:val="3EB72C41"/>
    <w:rsid w:val="3EB96E07"/>
    <w:rsid w:val="3ECA0FAD"/>
    <w:rsid w:val="3ECE3ED7"/>
    <w:rsid w:val="3ED11CE6"/>
    <w:rsid w:val="3ED2798E"/>
    <w:rsid w:val="3EF06066"/>
    <w:rsid w:val="3EFB7060"/>
    <w:rsid w:val="3F177A97"/>
    <w:rsid w:val="3F291A23"/>
    <w:rsid w:val="3F2C2B0E"/>
    <w:rsid w:val="3F6A406B"/>
    <w:rsid w:val="3FBD4B2F"/>
    <w:rsid w:val="3FC007D3"/>
    <w:rsid w:val="3FC02324"/>
    <w:rsid w:val="3FC66FBD"/>
    <w:rsid w:val="3FDA2728"/>
    <w:rsid w:val="3FDB17C4"/>
    <w:rsid w:val="3FE014D2"/>
    <w:rsid w:val="3FEE3FBA"/>
    <w:rsid w:val="3FF65710"/>
    <w:rsid w:val="402100F3"/>
    <w:rsid w:val="40375B07"/>
    <w:rsid w:val="403F39C6"/>
    <w:rsid w:val="404C2249"/>
    <w:rsid w:val="406B5A04"/>
    <w:rsid w:val="40730CFD"/>
    <w:rsid w:val="40A35344"/>
    <w:rsid w:val="40CF1B6E"/>
    <w:rsid w:val="40F005A0"/>
    <w:rsid w:val="412070D7"/>
    <w:rsid w:val="413C0E3E"/>
    <w:rsid w:val="41411018"/>
    <w:rsid w:val="414D50D5"/>
    <w:rsid w:val="41596145"/>
    <w:rsid w:val="41736A5E"/>
    <w:rsid w:val="41854814"/>
    <w:rsid w:val="419158DF"/>
    <w:rsid w:val="41A12334"/>
    <w:rsid w:val="41AA2E44"/>
    <w:rsid w:val="41BB6E00"/>
    <w:rsid w:val="420B186A"/>
    <w:rsid w:val="42193718"/>
    <w:rsid w:val="421C1F54"/>
    <w:rsid w:val="42327AD1"/>
    <w:rsid w:val="42402E61"/>
    <w:rsid w:val="42554B5E"/>
    <w:rsid w:val="425E4D1B"/>
    <w:rsid w:val="42686E40"/>
    <w:rsid w:val="42751657"/>
    <w:rsid w:val="427E2307"/>
    <w:rsid w:val="42835316"/>
    <w:rsid w:val="428B7673"/>
    <w:rsid w:val="4292322E"/>
    <w:rsid w:val="42AB0D41"/>
    <w:rsid w:val="42C86431"/>
    <w:rsid w:val="42D40179"/>
    <w:rsid w:val="42D96D71"/>
    <w:rsid w:val="42DB3CEB"/>
    <w:rsid w:val="43244A8B"/>
    <w:rsid w:val="43246963"/>
    <w:rsid w:val="43284021"/>
    <w:rsid w:val="432C2862"/>
    <w:rsid w:val="432D7C1A"/>
    <w:rsid w:val="43495881"/>
    <w:rsid w:val="4359242C"/>
    <w:rsid w:val="436B1AC1"/>
    <w:rsid w:val="438F40A0"/>
    <w:rsid w:val="43AF7095"/>
    <w:rsid w:val="43B83CC5"/>
    <w:rsid w:val="43C30AF8"/>
    <w:rsid w:val="43E821A5"/>
    <w:rsid w:val="43F23906"/>
    <w:rsid w:val="43F90BC7"/>
    <w:rsid w:val="44055539"/>
    <w:rsid w:val="441736F0"/>
    <w:rsid w:val="44240E0B"/>
    <w:rsid w:val="44250CDC"/>
    <w:rsid w:val="442D7CF1"/>
    <w:rsid w:val="44535480"/>
    <w:rsid w:val="445E4BB6"/>
    <w:rsid w:val="44654E01"/>
    <w:rsid w:val="446A0C2B"/>
    <w:rsid w:val="447B3E6D"/>
    <w:rsid w:val="448513D7"/>
    <w:rsid w:val="448516DF"/>
    <w:rsid w:val="44897BB5"/>
    <w:rsid w:val="44922631"/>
    <w:rsid w:val="449D3C3F"/>
    <w:rsid w:val="44A57381"/>
    <w:rsid w:val="44A82426"/>
    <w:rsid w:val="44BA4C4B"/>
    <w:rsid w:val="44BF78A0"/>
    <w:rsid w:val="44C863EB"/>
    <w:rsid w:val="44C9538F"/>
    <w:rsid w:val="44CD1324"/>
    <w:rsid w:val="44DD0E3B"/>
    <w:rsid w:val="44F00DC3"/>
    <w:rsid w:val="44F02046"/>
    <w:rsid w:val="44F65E64"/>
    <w:rsid w:val="450E0CAE"/>
    <w:rsid w:val="451136E8"/>
    <w:rsid w:val="451155C7"/>
    <w:rsid w:val="45120A9B"/>
    <w:rsid w:val="45195537"/>
    <w:rsid w:val="45345385"/>
    <w:rsid w:val="455455A1"/>
    <w:rsid w:val="455A7258"/>
    <w:rsid w:val="456C2437"/>
    <w:rsid w:val="45725A27"/>
    <w:rsid w:val="458A049C"/>
    <w:rsid w:val="45B24076"/>
    <w:rsid w:val="45DB35A1"/>
    <w:rsid w:val="45DE6011"/>
    <w:rsid w:val="45EE77A4"/>
    <w:rsid w:val="4605165B"/>
    <w:rsid w:val="46172559"/>
    <w:rsid w:val="46243F13"/>
    <w:rsid w:val="462705C0"/>
    <w:rsid w:val="4627448B"/>
    <w:rsid w:val="4634585E"/>
    <w:rsid w:val="467557CF"/>
    <w:rsid w:val="469A5CC1"/>
    <w:rsid w:val="46B53EA6"/>
    <w:rsid w:val="46F446D7"/>
    <w:rsid w:val="46F866EA"/>
    <w:rsid w:val="470C2E06"/>
    <w:rsid w:val="473F3F22"/>
    <w:rsid w:val="474A2222"/>
    <w:rsid w:val="47895C4A"/>
    <w:rsid w:val="478B2DD0"/>
    <w:rsid w:val="47AF2F63"/>
    <w:rsid w:val="47B9793D"/>
    <w:rsid w:val="47C167F2"/>
    <w:rsid w:val="47C87ECA"/>
    <w:rsid w:val="47DB3AB4"/>
    <w:rsid w:val="47DB3DAD"/>
    <w:rsid w:val="47E64161"/>
    <w:rsid w:val="47EB386F"/>
    <w:rsid w:val="47F10C19"/>
    <w:rsid w:val="48007658"/>
    <w:rsid w:val="48362D3C"/>
    <w:rsid w:val="48380768"/>
    <w:rsid w:val="48457D47"/>
    <w:rsid w:val="484819E9"/>
    <w:rsid w:val="484A0C35"/>
    <w:rsid w:val="4861637B"/>
    <w:rsid w:val="486275F9"/>
    <w:rsid w:val="486F0D70"/>
    <w:rsid w:val="489E30D7"/>
    <w:rsid w:val="48AE7D6A"/>
    <w:rsid w:val="48C90054"/>
    <w:rsid w:val="48D20FBB"/>
    <w:rsid w:val="48EB1134"/>
    <w:rsid w:val="4909055C"/>
    <w:rsid w:val="491A0DEF"/>
    <w:rsid w:val="491B0C56"/>
    <w:rsid w:val="493C2594"/>
    <w:rsid w:val="494354DB"/>
    <w:rsid w:val="495136C0"/>
    <w:rsid w:val="49521DF7"/>
    <w:rsid w:val="495D552B"/>
    <w:rsid w:val="49705163"/>
    <w:rsid w:val="497E1A84"/>
    <w:rsid w:val="4999531C"/>
    <w:rsid w:val="49B04D70"/>
    <w:rsid w:val="49B41E0D"/>
    <w:rsid w:val="49BD7493"/>
    <w:rsid w:val="49CA0359"/>
    <w:rsid w:val="49CB233B"/>
    <w:rsid w:val="49E83C61"/>
    <w:rsid w:val="49FE5ADB"/>
    <w:rsid w:val="4A02381D"/>
    <w:rsid w:val="4A250518"/>
    <w:rsid w:val="4A4A090E"/>
    <w:rsid w:val="4A9037FC"/>
    <w:rsid w:val="4AAD7564"/>
    <w:rsid w:val="4AAF7EA0"/>
    <w:rsid w:val="4ACC7988"/>
    <w:rsid w:val="4AD36F68"/>
    <w:rsid w:val="4B3244C7"/>
    <w:rsid w:val="4B3C4B0D"/>
    <w:rsid w:val="4B4C23C8"/>
    <w:rsid w:val="4B50219D"/>
    <w:rsid w:val="4B5856BF"/>
    <w:rsid w:val="4B6E38CD"/>
    <w:rsid w:val="4B751C56"/>
    <w:rsid w:val="4B7C13AE"/>
    <w:rsid w:val="4B8C722C"/>
    <w:rsid w:val="4B946639"/>
    <w:rsid w:val="4BA33AB6"/>
    <w:rsid w:val="4BA44460"/>
    <w:rsid w:val="4BC40191"/>
    <w:rsid w:val="4BD44D46"/>
    <w:rsid w:val="4BF61160"/>
    <w:rsid w:val="4C3B4DC5"/>
    <w:rsid w:val="4C3C28EB"/>
    <w:rsid w:val="4C8C73CE"/>
    <w:rsid w:val="4C8E75EA"/>
    <w:rsid w:val="4CB35983"/>
    <w:rsid w:val="4CC72AFC"/>
    <w:rsid w:val="4CD273C8"/>
    <w:rsid w:val="4CF51418"/>
    <w:rsid w:val="4CF70827"/>
    <w:rsid w:val="4D0039E7"/>
    <w:rsid w:val="4D0A4170"/>
    <w:rsid w:val="4D15142C"/>
    <w:rsid w:val="4D187C88"/>
    <w:rsid w:val="4D241CFD"/>
    <w:rsid w:val="4D2C1084"/>
    <w:rsid w:val="4D2E2B7B"/>
    <w:rsid w:val="4D4B4798"/>
    <w:rsid w:val="4D63592D"/>
    <w:rsid w:val="4D687663"/>
    <w:rsid w:val="4D702675"/>
    <w:rsid w:val="4D8F3AA2"/>
    <w:rsid w:val="4D926D97"/>
    <w:rsid w:val="4DB12E65"/>
    <w:rsid w:val="4DB61CC2"/>
    <w:rsid w:val="4DC2586B"/>
    <w:rsid w:val="4E4B466B"/>
    <w:rsid w:val="4E4B53C1"/>
    <w:rsid w:val="4E4C1CF5"/>
    <w:rsid w:val="4E701B72"/>
    <w:rsid w:val="4E756FBA"/>
    <w:rsid w:val="4E797464"/>
    <w:rsid w:val="4E8830AE"/>
    <w:rsid w:val="4EAA0B8E"/>
    <w:rsid w:val="4EAD3FDF"/>
    <w:rsid w:val="4EAD42A2"/>
    <w:rsid w:val="4EBE29A0"/>
    <w:rsid w:val="4EC84DF1"/>
    <w:rsid w:val="4ECA2430"/>
    <w:rsid w:val="4ECC0E03"/>
    <w:rsid w:val="4ECC57C7"/>
    <w:rsid w:val="4ED168D8"/>
    <w:rsid w:val="4EF91787"/>
    <w:rsid w:val="4EFB245D"/>
    <w:rsid w:val="4F135308"/>
    <w:rsid w:val="4F170F2A"/>
    <w:rsid w:val="4F1C1589"/>
    <w:rsid w:val="4F2066D0"/>
    <w:rsid w:val="4F2A271F"/>
    <w:rsid w:val="4F2C30EB"/>
    <w:rsid w:val="4F35039E"/>
    <w:rsid w:val="4F3D0E54"/>
    <w:rsid w:val="4F6B59C1"/>
    <w:rsid w:val="4F730D1A"/>
    <w:rsid w:val="4F866838"/>
    <w:rsid w:val="4F96176E"/>
    <w:rsid w:val="4F98252E"/>
    <w:rsid w:val="4F9A091F"/>
    <w:rsid w:val="4FB214FE"/>
    <w:rsid w:val="4FBA24A4"/>
    <w:rsid w:val="4FCB6460"/>
    <w:rsid w:val="4FCB7248"/>
    <w:rsid w:val="4FF9121F"/>
    <w:rsid w:val="4FFE6B0D"/>
    <w:rsid w:val="500B32A2"/>
    <w:rsid w:val="501610B8"/>
    <w:rsid w:val="502B0D17"/>
    <w:rsid w:val="50517C81"/>
    <w:rsid w:val="505428F9"/>
    <w:rsid w:val="506E3424"/>
    <w:rsid w:val="507B24F0"/>
    <w:rsid w:val="507F7B5F"/>
    <w:rsid w:val="50861674"/>
    <w:rsid w:val="508A631B"/>
    <w:rsid w:val="509D39ED"/>
    <w:rsid w:val="50A31927"/>
    <w:rsid w:val="50B55DBC"/>
    <w:rsid w:val="50B64066"/>
    <w:rsid w:val="50BE37E8"/>
    <w:rsid w:val="50D72C99"/>
    <w:rsid w:val="50E752AD"/>
    <w:rsid w:val="51181B78"/>
    <w:rsid w:val="51226632"/>
    <w:rsid w:val="51377124"/>
    <w:rsid w:val="514166C9"/>
    <w:rsid w:val="51643EE7"/>
    <w:rsid w:val="51675356"/>
    <w:rsid w:val="51870AAC"/>
    <w:rsid w:val="51AE2CEE"/>
    <w:rsid w:val="51B86EB8"/>
    <w:rsid w:val="51EF18C9"/>
    <w:rsid w:val="51F837D1"/>
    <w:rsid w:val="521265C8"/>
    <w:rsid w:val="521E31BF"/>
    <w:rsid w:val="52386093"/>
    <w:rsid w:val="525F5585"/>
    <w:rsid w:val="52693E64"/>
    <w:rsid w:val="526D37FE"/>
    <w:rsid w:val="526F5493"/>
    <w:rsid w:val="52723BA8"/>
    <w:rsid w:val="52834F24"/>
    <w:rsid w:val="52850F3A"/>
    <w:rsid w:val="528B2F87"/>
    <w:rsid w:val="52926741"/>
    <w:rsid w:val="52B94DF7"/>
    <w:rsid w:val="52C11D9C"/>
    <w:rsid w:val="52CC6B7E"/>
    <w:rsid w:val="52CD24EF"/>
    <w:rsid w:val="52DD755D"/>
    <w:rsid w:val="52ED4251"/>
    <w:rsid w:val="532B28E2"/>
    <w:rsid w:val="534544EE"/>
    <w:rsid w:val="534C0229"/>
    <w:rsid w:val="53647D6A"/>
    <w:rsid w:val="53AB3526"/>
    <w:rsid w:val="53D8114B"/>
    <w:rsid w:val="53DD4D4E"/>
    <w:rsid w:val="53E75832"/>
    <w:rsid w:val="53EC118B"/>
    <w:rsid w:val="540168F4"/>
    <w:rsid w:val="541130A2"/>
    <w:rsid w:val="541A259D"/>
    <w:rsid w:val="542924D4"/>
    <w:rsid w:val="54363906"/>
    <w:rsid w:val="543D5452"/>
    <w:rsid w:val="5445799A"/>
    <w:rsid w:val="54665045"/>
    <w:rsid w:val="54C31DFB"/>
    <w:rsid w:val="54CC2441"/>
    <w:rsid w:val="54CC38FF"/>
    <w:rsid w:val="54E064FE"/>
    <w:rsid w:val="55074671"/>
    <w:rsid w:val="551D25A8"/>
    <w:rsid w:val="5527630A"/>
    <w:rsid w:val="55313C0F"/>
    <w:rsid w:val="553D6107"/>
    <w:rsid w:val="553F0828"/>
    <w:rsid w:val="555979D9"/>
    <w:rsid w:val="55642E8C"/>
    <w:rsid w:val="5568579D"/>
    <w:rsid w:val="5579070C"/>
    <w:rsid w:val="55811F26"/>
    <w:rsid w:val="559B06A0"/>
    <w:rsid w:val="55A21B63"/>
    <w:rsid w:val="55A57E0F"/>
    <w:rsid w:val="55AC0AE1"/>
    <w:rsid w:val="55B87486"/>
    <w:rsid w:val="55C57258"/>
    <w:rsid w:val="55D41DE6"/>
    <w:rsid w:val="55F06C20"/>
    <w:rsid w:val="55FD133D"/>
    <w:rsid w:val="560E70A6"/>
    <w:rsid w:val="561D553B"/>
    <w:rsid w:val="562A3ADE"/>
    <w:rsid w:val="56690EDF"/>
    <w:rsid w:val="566E5D97"/>
    <w:rsid w:val="56923312"/>
    <w:rsid w:val="56925B4E"/>
    <w:rsid w:val="56A416CE"/>
    <w:rsid w:val="56C26158"/>
    <w:rsid w:val="56C50BBB"/>
    <w:rsid w:val="56DF3956"/>
    <w:rsid w:val="56E763D8"/>
    <w:rsid w:val="572236C7"/>
    <w:rsid w:val="573D084E"/>
    <w:rsid w:val="575647A8"/>
    <w:rsid w:val="57601C85"/>
    <w:rsid w:val="5774783B"/>
    <w:rsid w:val="577C5AD8"/>
    <w:rsid w:val="57A061D8"/>
    <w:rsid w:val="57B02444"/>
    <w:rsid w:val="57BD0689"/>
    <w:rsid w:val="57C06AC6"/>
    <w:rsid w:val="57C2134D"/>
    <w:rsid w:val="57E24C8E"/>
    <w:rsid w:val="57E70EF1"/>
    <w:rsid w:val="57EB1500"/>
    <w:rsid w:val="580159F6"/>
    <w:rsid w:val="581A0C3B"/>
    <w:rsid w:val="58240E03"/>
    <w:rsid w:val="58260364"/>
    <w:rsid w:val="5857124C"/>
    <w:rsid w:val="585B1BA9"/>
    <w:rsid w:val="58615158"/>
    <w:rsid w:val="586746ED"/>
    <w:rsid w:val="58727595"/>
    <w:rsid w:val="587C592F"/>
    <w:rsid w:val="587D3437"/>
    <w:rsid w:val="588144B9"/>
    <w:rsid w:val="5895585D"/>
    <w:rsid w:val="589D7ADE"/>
    <w:rsid w:val="58A647B6"/>
    <w:rsid w:val="58C6050D"/>
    <w:rsid w:val="58D34740"/>
    <w:rsid w:val="58FC62F2"/>
    <w:rsid w:val="5926708E"/>
    <w:rsid w:val="592E3007"/>
    <w:rsid w:val="59637709"/>
    <w:rsid w:val="596A00C5"/>
    <w:rsid w:val="597114A7"/>
    <w:rsid w:val="597657A6"/>
    <w:rsid w:val="5987789B"/>
    <w:rsid w:val="598B27B6"/>
    <w:rsid w:val="59A84932"/>
    <w:rsid w:val="59C208D3"/>
    <w:rsid w:val="59C96464"/>
    <w:rsid w:val="59DB3743"/>
    <w:rsid w:val="59E9652C"/>
    <w:rsid w:val="5A001D7C"/>
    <w:rsid w:val="5A0B2B06"/>
    <w:rsid w:val="5A136CD7"/>
    <w:rsid w:val="5A274BDA"/>
    <w:rsid w:val="5A48697C"/>
    <w:rsid w:val="5A5839A7"/>
    <w:rsid w:val="5A6A2C66"/>
    <w:rsid w:val="5A6C6FFF"/>
    <w:rsid w:val="5A8D7CFA"/>
    <w:rsid w:val="5A910CA3"/>
    <w:rsid w:val="5AAE2D9B"/>
    <w:rsid w:val="5AC475F4"/>
    <w:rsid w:val="5ACC7530"/>
    <w:rsid w:val="5AD84127"/>
    <w:rsid w:val="5AFD427F"/>
    <w:rsid w:val="5B1909C7"/>
    <w:rsid w:val="5B1A0369"/>
    <w:rsid w:val="5B3A5E49"/>
    <w:rsid w:val="5B3B7CC5"/>
    <w:rsid w:val="5B540D70"/>
    <w:rsid w:val="5B6B41D3"/>
    <w:rsid w:val="5B72162E"/>
    <w:rsid w:val="5B7501B0"/>
    <w:rsid w:val="5B7B61B5"/>
    <w:rsid w:val="5B840833"/>
    <w:rsid w:val="5B886997"/>
    <w:rsid w:val="5B8B15E4"/>
    <w:rsid w:val="5B916B4F"/>
    <w:rsid w:val="5BA46E3D"/>
    <w:rsid w:val="5BD87776"/>
    <w:rsid w:val="5BE36E8A"/>
    <w:rsid w:val="5C1F66E3"/>
    <w:rsid w:val="5C2B3EC1"/>
    <w:rsid w:val="5C4902CE"/>
    <w:rsid w:val="5C4F0418"/>
    <w:rsid w:val="5C5F5108"/>
    <w:rsid w:val="5C64032C"/>
    <w:rsid w:val="5C8265C6"/>
    <w:rsid w:val="5C87693E"/>
    <w:rsid w:val="5CAC7CF8"/>
    <w:rsid w:val="5CB41497"/>
    <w:rsid w:val="5CC152EA"/>
    <w:rsid w:val="5CE748BB"/>
    <w:rsid w:val="5CED210B"/>
    <w:rsid w:val="5CFD285A"/>
    <w:rsid w:val="5D052109"/>
    <w:rsid w:val="5D092AA9"/>
    <w:rsid w:val="5D0A4D9F"/>
    <w:rsid w:val="5D0C77C5"/>
    <w:rsid w:val="5D1257AE"/>
    <w:rsid w:val="5D156F6C"/>
    <w:rsid w:val="5D1A4EE5"/>
    <w:rsid w:val="5D325D70"/>
    <w:rsid w:val="5D656DD2"/>
    <w:rsid w:val="5D697025"/>
    <w:rsid w:val="5D7F0FB0"/>
    <w:rsid w:val="5D8C1BA5"/>
    <w:rsid w:val="5D9F1303"/>
    <w:rsid w:val="5DA477C6"/>
    <w:rsid w:val="5DD83904"/>
    <w:rsid w:val="5DEC1AEA"/>
    <w:rsid w:val="5E1824F1"/>
    <w:rsid w:val="5E290DED"/>
    <w:rsid w:val="5E5D0BCB"/>
    <w:rsid w:val="5E5F0633"/>
    <w:rsid w:val="5E6D09FC"/>
    <w:rsid w:val="5E760E07"/>
    <w:rsid w:val="5EAD6F41"/>
    <w:rsid w:val="5EB2460F"/>
    <w:rsid w:val="5EBA4511"/>
    <w:rsid w:val="5ED86624"/>
    <w:rsid w:val="5EDA6890"/>
    <w:rsid w:val="5F044341"/>
    <w:rsid w:val="5F1020E1"/>
    <w:rsid w:val="5F3F5CA2"/>
    <w:rsid w:val="5F401205"/>
    <w:rsid w:val="5F4B4EC7"/>
    <w:rsid w:val="5F4D21ED"/>
    <w:rsid w:val="5F640A26"/>
    <w:rsid w:val="5F767861"/>
    <w:rsid w:val="5F845D39"/>
    <w:rsid w:val="5FD0613A"/>
    <w:rsid w:val="5FE33E65"/>
    <w:rsid w:val="5FFA67D6"/>
    <w:rsid w:val="60032F94"/>
    <w:rsid w:val="600E35B7"/>
    <w:rsid w:val="60152E22"/>
    <w:rsid w:val="602B2C70"/>
    <w:rsid w:val="6040551A"/>
    <w:rsid w:val="604A5B39"/>
    <w:rsid w:val="60564EA6"/>
    <w:rsid w:val="60603E00"/>
    <w:rsid w:val="607E2E3B"/>
    <w:rsid w:val="60874625"/>
    <w:rsid w:val="608C7E04"/>
    <w:rsid w:val="60944051"/>
    <w:rsid w:val="609F1C2F"/>
    <w:rsid w:val="60AC408B"/>
    <w:rsid w:val="60C22582"/>
    <w:rsid w:val="60F440E8"/>
    <w:rsid w:val="60F63558"/>
    <w:rsid w:val="61037A48"/>
    <w:rsid w:val="6114070F"/>
    <w:rsid w:val="611E60C9"/>
    <w:rsid w:val="61214CAC"/>
    <w:rsid w:val="61306A6A"/>
    <w:rsid w:val="613320B7"/>
    <w:rsid w:val="613E630A"/>
    <w:rsid w:val="61517141"/>
    <w:rsid w:val="61616CF0"/>
    <w:rsid w:val="618A26B5"/>
    <w:rsid w:val="618C72D2"/>
    <w:rsid w:val="61C270AC"/>
    <w:rsid w:val="61C80A6F"/>
    <w:rsid w:val="61D30A56"/>
    <w:rsid w:val="61D4389A"/>
    <w:rsid w:val="61D745D3"/>
    <w:rsid w:val="61D836D6"/>
    <w:rsid w:val="61DE2C95"/>
    <w:rsid w:val="61FB1114"/>
    <w:rsid w:val="620D57F8"/>
    <w:rsid w:val="62137FEA"/>
    <w:rsid w:val="621A17A6"/>
    <w:rsid w:val="624532D2"/>
    <w:rsid w:val="625F75E9"/>
    <w:rsid w:val="627961EF"/>
    <w:rsid w:val="62801522"/>
    <w:rsid w:val="62845AEA"/>
    <w:rsid w:val="629848C7"/>
    <w:rsid w:val="629979FD"/>
    <w:rsid w:val="629A2673"/>
    <w:rsid w:val="629E5C56"/>
    <w:rsid w:val="62AF39BF"/>
    <w:rsid w:val="62E474AF"/>
    <w:rsid w:val="62EE5C3C"/>
    <w:rsid w:val="62F2750C"/>
    <w:rsid w:val="62F71438"/>
    <w:rsid w:val="630962FB"/>
    <w:rsid w:val="630B5DC0"/>
    <w:rsid w:val="632040B0"/>
    <w:rsid w:val="63251BEF"/>
    <w:rsid w:val="633B5253"/>
    <w:rsid w:val="63442359"/>
    <w:rsid w:val="6349032F"/>
    <w:rsid w:val="635168C5"/>
    <w:rsid w:val="635C6E8C"/>
    <w:rsid w:val="637846F9"/>
    <w:rsid w:val="639C03E7"/>
    <w:rsid w:val="63C31153"/>
    <w:rsid w:val="63C7053A"/>
    <w:rsid w:val="63CC6C56"/>
    <w:rsid w:val="63D270D6"/>
    <w:rsid w:val="63D70AA4"/>
    <w:rsid w:val="63E4645A"/>
    <w:rsid w:val="63E72D03"/>
    <w:rsid w:val="63EA1CF2"/>
    <w:rsid w:val="640C4DDE"/>
    <w:rsid w:val="641C6E32"/>
    <w:rsid w:val="6457430E"/>
    <w:rsid w:val="64744EC0"/>
    <w:rsid w:val="64B13C74"/>
    <w:rsid w:val="64BC4A78"/>
    <w:rsid w:val="64CC5391"/>
    <w:rsid w:val="64EC0EFA"/>
    <w:rsid w:val="65291798"/>
    <w:rsid w:val="656A35BA"/>
    <w:rsid w:val="65A91262"/>
    <w:rsid w:val="65B5753E"/>
    <w:rsid w:val="65B85280"/>
    <w:rsid w:val="65DC2D1D"/>
    <w:rsid w:val="65E64E3C"/>
    <w:rsid w:val="65F75DA9"/>
    <w:rsid w:val="66142F69"/>
    <w:rsid w:val="661528F6"/>
    <w:rsid w:val="661E3335"/>
    <w:rsid w:val="66252CA3"/>
    <w:rsid w:val="66373CF7"/>
    <w:rsid w:val="663F3E8A"/>
    <w:rsid w:val="66504D81"/>
    <w:rsid w:val="66521C0D"/>
    <w:rsid w:val="667B5937"/>
    <w:rsid w:val="66A870A3"/>
    <w:rsid w:val="66BB1790"/>
    <w:rsid w:val="66C75668"/>
    <w:rsid w:val="66CD6B09"/>
    <w:rsid w:val="66DC53F8"/>
    <w:rsid w:val="66E17BA1"/>
    <w:rsid w:val="67087B42"/>
    <w:rsid w:val="670B7518"/>
    <w:rsid w:val="671169F6"/>
    <w:rsid w:val="673A296F"/>
    <w:rsid w:val="67440197"/>
    <w:rsid w:val="6744164F"/>
    <w:rsid w:val="67534662"/>
    <w:rsid w:val="67646281"/>
    <w:rsid w:val="67666F7C"/>
    <w:rsid w:val="67671600"/>
    <w:rsid w:val="67823B95"/>
    <w:rsid w:val="67957627"/>
    <w:rsid w:val="67997C61"/>
    <w:rsid w:val="679A0ADE"/>
    <w:rsid w:val="679A2E90"/>
    <w:rsid w:val="67A33326"/>
    <w:rsid w:val="67C5088E"/>
    <w:rsid w:val="67CF53DA"/>
    <w:rsid w:val="67D64A49"/>
    <w:rsid w:val="67D81996"/>
    <w:rsid w:val="67DF62C5"/>
    <w:rsid w:val="67EE6D37"/>
    <w:rsid w:val="67F43098"/>
    <w:rsid w:val="67F65BEC"/>
    <w:rsid w:val="67FD3E87"/>
    <w:rsid w:val="68010C77"/>
    <w:rsid w:val="68351D92"/>
    <w:rsid w:val="683E37AF"/>
    <w:rsid w:val="684C3086"/>
    <w:rsid w:val="68607DBB"/>
    <w:rsid w:val="686C5D79"/>
    <w:rsid w:val="687C2595"/>
    <w:rsid w:val="68C112B0"/>
    <w:rsid w:val="68D26C4D"/>
    <w:rsid w:val="68EE6F9F"/>
    <w:rsid w:val="69076303"/>
    <w:rsid w:val="69164798"/>
    <w:rsid w:val="69256789"/>
    <w:rsid w:val="693C6C3B"/>
    <w:rsid w:val="69AD1036"/>
    <w:rsid w:val="69AE3F0F"/>
    <w:rsid w:val="69D62568"/>
    <w:rsid w:val="69EA18D3"/>
    <w:rsid w:val="69F83E9D"/>
    <w:rsid w:val="69FB573C"/>
    <w:rsid w:val="6A0D76C7"/>
    <w:rsid w:val="6A200B5E"/>
    <w:rsid w:val="6A276531"/>
    <w:rsid w:val="6A6C1798"/>
    <w:rsid w:val="6A783163"/>
    <w:rsid w:val="6A7F636D"/>
    <w:rsid w:val="6A9A167E"/>
    <w:rsid w:val="6ACA155E"/>
    <w:rsid w:val="6AD53C9D"/>
    <w:rsid w:val="6ADA5F95"/>
    <w:rsid w:val="6AE51742"/>
    <w:rsid w:val="6AE822CD"/>
    <w:rsid w:val="6AE96C2B"/>
    <w:rsid w:val="6AFC5C0F"/>
    <w:rsid w:val="6AFE227D"/>
    <w:rsid w:val="6B0A1759"/>
    <w:rsid w:val="6B1C7E2C"/>
    <w:rsid w:val="6B2111D2"/>
    <w:rsid w:val="6B252A70"/>
    <w:rsid w:val="6B2D159A"/>
    <w:rsid w:val="6B440E70"/>
    <w:rsid w:val="6B5B0B88"/>
    <w:rsid w:val="6B625A72"/>
    <w:rsid w:val="6B6C68F1"/>
    <w:rsid w:val="6B860D40"/>
    <w:rsid w:val="6B8C0D41"/>
    <w:rsid w:val="6BB12556"/>
    <w:rsid w:val="6BD41445"/>
    <w:rsid w:val="6BE7410A"/>
    <w:rsid w:val="6BF92453"/>
    <w:rsid w:val="6C1A2856"/>
    <w:rsid w:val="6C1F1BB5"/>
    <w:rsid w:val="6C2268CB"/>
    <w:rsid w:val="6C6677E4"/>
    <w:rsid w:val="6C700663"/>
    <w:rsid w:val="6C7173D5"/>
    <w:rsid w:val="6C7A503E"/>
    <w:rsid w:val="6C830396"/>
    <w:rsid w:val="6C8C5E14"/>
    <w:rsid w:val="6CAB4452"/>
    <w:rsid w:val="6CBC5656"/>
    <w:rsid w:val="6CD75FEC"/>
    <w:rsid w:val="6CDB3B9A"/>
    <w:rsid w:val="6CDE3296"/>
    <w:rsid w:val="6CEB5F3B"/>
    <w:rsid w:val="6CF73A7A"/>
    <w:rsid w:val="6D0D4104"/>
    <w:rsid w:val="6D201D79"/>
    <w:rsid w:val="6D2F157A"/>
    <w:rsid w:val="6D417909"/>
    <w:rsid w:val="6D6F32CB"/>
    <w:rsid w:val="6D711620"/>
    <w:rsid w:val="6D875BFC"/>
    <w:rsid w:val="6D8D7153"/>
    <w:rsid w:val="6D9C1D8A"/>
    <w:rsid w:val="6DD44BAB"/>
    <w:rsid w:val="6DDF3B5A"/>
    <w:rsid w:val="6DE45FE9"/>
    <w:rsid w:val="6DFC207F"/>
    <w:rsid w:val="6E0252AC"/>
    <w:rsid w:val="6E0558A2"/>
    <w:rsid w:val="6E2D4F86"/>
    <w:rsid w:val="6E2E0082"/>
    <w:rsid w:val="6E4F74AA"/>
    <w:rsid w:val="6E6C6C08"/>
    <w:rsid w:val="6E7C1985"/>
    <w:rsid w:val="6E945666"/>
    <w:rsid w:val="6EA57E47"/>
    <w:rsid w:val="6EAB3EF7"/>
    <w:rsid w:val="6EB96263"/>
    <w:rsid w:val="6EC30F1E"/>
    <w:rsid w:val="6ECA565B"/>
    <w:rsid w:val="6ECB00EB"/>
    <w:rsid w:val="6EDB1BBA"/>
    <w:rsid w:val="6EDF101B"/>
    <w:rsid w:val="6EF72741"/>
    <w:rsid w:val="6EF769DB"/>
    <w:rsid w:val="6EFC7F8C"/>
    <w:rsid w:val="6F0350B8"/>
    <w:rsid w:val="6F1D7D16"/>
    <w:rsid w:val="6F243312"/>
    <w:rsid w:val="6F2F65B3"/>
    <w:rsid w:val="6F44572F"/>
    <w:rsid w:val="6F4F679F"/>
    <w:rsid w:val="6F5C552B"/>
    <w:rsid w:val="6F661CA4"/>
    <w:rsid w:val="6F852F4D"/>
    <w:rsid w:val="6FB11C40"/>
    <w:rsid w:val="6FB870D9"/>
    <w:rsid w:val="6FBD0161"/>
    <w:rsid w:val="6FD46AA0"/>
    <w:rsid w:val="6FDF20B7"/>
    <w:rsid w:val="6FF60E7F"/>
    <w:rsid w:val="70005F62"/>
    <w:rsid w:val="701D200D"/>
    <w:rsid w:val="702C664F"/>
    <w:rsid w:val="702F6EF7"/>
    <w:rsid w:val="7051307C"/>
    <w:rsid w:val="709266A3"/>
    <w:rsid w:val="70BC50E2"/>
    <w:rsid w:val="70EF4BFA"/>
    <w:rsid w:val="70F614D3"/>
    <w:rsid w:val="70F71913"/>
    <w:rsid w:val="70FC24C5"/>
    <w:rsid w:val="70FF5B11"/>
    <w:rsid w:val="710475CC"/>
    <w:rsid w:val="71191C1D"/>
    <w:rsid w:val="713C4FB8"/>
    <w:rsid w:val="715D1D52"/>
    <w:rsid w:val="717C7E7D"/>
    <w:rsid w:val="718935BC"/>
    <w:rsid w:val="71B763EC"/>
    <w:rsid w:val="71CF3736"/>
    <w:rsid w:val="71D369E3"/>
    <w:rsid w:val="72173855"/>
    <w:rsid w:val="721750DD"/>
    <w:rsid w:val="72281098"/>
    <w:rsid w:val="72335600"/>
    <w:rsid w:val="723417A0"/>
    <w:rsid w:val="72516841"/>
    <w:rsid w:val="7263239F"/>
    <w:rsid w:val="72785B7B"/>
    <w:rsid w:val="729D1A86"/>
    <w:rsid w:val="72DA5714"/>
    <w:rsid w:val="72EF2133"/>
    <w:rsid w:val="730B4639"/>
    <w:rsid w:val="730F17A8"/>
    <w:rsid w:val="73246F81"/>
    <w:rsid w:val="73374C95"/>
    <w:rsid w:val="73410663"/>
    <w:rsid w:val="734450D2"/>
    <w:rsid w:val="735C1229"/>
    <w:rsid w:val="73604C68"/>
    <w:rsid w:val="736B7FB4"/>
    <w:rsid w:val="736F3422"/>
    <w:rsid w:val="738762C0"/>
    <w:rsid w:val="738814FB"/>
    <w:rsid w:val="73B34DAA"/>
    <w:rsid w:val="73C848E1"/>
    <w:rsid w:val="73D97F55"/>
    <w:rsid w:val="73E3402D"/>
    <w:rsid w:val="73E73FB5"/>
    <w:rsid w:val="73FA3172"/>
    <w:rsid w:val="740A6CA7"/>
    <w:rsid w:val="740F4B26"/>
    <w:rsid w:val="741F716F"/>
    <w:rsid w:val="7428537F"/>
    <w:rsid w:val="742D6CD7"/>
    <w:rsid w:val="74312486"/>
    <w:rsid w:val="744E54AB"/>
    <w:rsid w:val="74620891"/>
    <w:rsid w:val="746A1E3C"/>
    <w:rsid w:val="746E740C"/>
    <w:rsid w:val="74980757"/>
    <w:rsid w:val="74A62F57"/>
    <w:rsid w:val="74B80DF9"/>
    <w:rsid w:val="74EE278D"/>
    <w:rsid w:val="74F87409"/>
    <w:rsid w:val="75185C93"/>
    <w:rsid w:val="751F6782"/>
    <w:rsid w:val="75226272"/>
    <w:rsid w:val="754054D5"/>
    <w:rsid w:val="7544443B"/>
    <w:rsid w:val="75591BDE"/>
    <w:rsid w:val="755A5974"/>
    <w:rsid w:val="756B20C9"/>
    <w:rsid w:val="758863C2"/>
    <w:rsid w:val="75A153E9"/>
    <w:rsid w:val="75BB1FEB"/>
    <w:rsid w:val="75BF62AC"/>
    <w:rsid w:val="75CF746C"/>
    <w:rsid w:val="75D44E39"/>
    <w:rsid w:val="75F60B13"/>
    <w:rsid w:val="76022C37"/>
    <w:rsid w:val="760A2C86"/>
    <w:rsid w:val="76325D56"/>
    <w:rsid w:val="763B75EC"/>
    <w:rsid w:val="766E688F"/>
    <w:rsid w:val="768C7FCD"/>
    <w:rsid w:val="76C2325B"/>
    <w:rsid w:val="76CC293A"/>
    <w:rsid w:val="76E119F5"/>
    <w:rsid w:val="77316A3F"/>
    <w:rsid w:val="77345980"/>
    <w:rsid w:val="776551A7"/>
    <w:rsid w:val="776668EA"/>
    <w:rsid w:val="77681E33"/>
    <w:rsid w:val="776E0387"/>
    <w:rsid w:val="776E1C43"/>
    <w:rsid w:val="777368EB"/>
    <w:rsid w:val="77770AF7"/>
    <w:rsid w:val="777717B3"/>
    <w:rsid w:val="777C48AB"/>
    <w:rsid w:val="778925D9"/>
    <w:rsid w:val="77AD4519"/>
    <w:rsid w:val="77C163D3"/>
    <w:rsid w:val="77C36EAC"/>
    <w:rsid w:val="77D303E2"/>
    <w:rsid w:val="780B224D"/>
    <w:rsid w:val="780F2963"/>
    <w:rsid w:val="78116641"/>
    <w:rsid w:val="781C14B2"/>
    <w:rsid w:val="78296C9B"/>
    <w:rsid w:val="78872EB9"/>
    <w:rsid w:val="78874D6A"/>
    <w:rsid w:val="788B1E2F"/>
    <w:rsid w:val="788F00C3"/>
    <w:rsid w:val="78B418D7"/>
    <w:rsid w:val="78B97648"/>
    <w:rsid w:val="78E63CBE"/>
    <w:rsid w:val="78E72FC9"/>
    <w:rsid w:val="78E84BA9"/>
    <w:rsid w:val="78EA5EB4"/>
    <w:rsid w:val="792D79AB"/>
    <w:rsid w:val="7943071A"/>
    <w:rsid w:val="797A15C6"/>
    <w:rsid w:val="797B41A3"/>
    <w:rsid w:val="797D32C2"/>
    <w:rsid w:val="798412AA"/>
    <w:rsid w:val="79896D85"/>
    <w:rsid w:val="79907C4E"/>
    <w:rsid w:val="799C4622"/>
    <w:rsid w:val="79A90D10"/>
    <w:rsid w:val="79B50780"/>
    <w:rsid w:val="79F838B5"/>
    <w:rsid w:val="7A044199"/>
    <w:rsid w:val="7A067F11"/>
    <w:rsid w:val="7A173939"/>
    <w:rsid w:val="7A3F1960"/>
    <w:rsid w:val="7A4058FD"/>
    <w:rsid w:val="7A48677B"/>
    <w:rsid w:val="7A6425DD"/>
    <w:rsid w:val="7A666C01"/>
    <w:rsid w:val="7A7F1A71"/>
    <w:rsid w:val="7A8F335D"/>
    <w:rsid w:val="7AC10E12"/>
    <w:rsid w:val="7AFF4375"/>
    <w:rsid w:val="7B083DED"/>
    <w:rsid w:val="7B0B61DE"/>
    <w:rsid w:val="7B205002"/>
    <w:rsid w:val="7B29686A"/>
    <w:rsid w:val="7B5A49B8"/>
    <w:rsid w:val="7B5B2D56"/>
    <w:rsid w:val="7B867A62"/>
    <w:rsid w:val="7BCD2144"/>
    <w:rsid w:val="7BDC361F"/>
    <w:rsid w:val="7BDC6EE6"/>
    <w:rsid w:val="7BE424D4"/>
    <w:rsid w:val="7C09018C"/>
    <w:rsid w:val="7C0F0658"/>
    <w:rsid w:val="7C25567E"/>
    <w:rsid w:val="7C2A3220"/>
    <w:rsid w:val="7C316837"/>
    <w:rsid w:val="7C3D0516"/>
    <w:rsid w:val="7C451D76"/>
    <w:rsid w:val="7C4806ED"/>
    <w:rsid w:val="7C4B4301"/>
    <w:rsid w:val="7C611D76"/>
    <w:rsid w:val="7C705B15"/>
    <w:rsid w:val="7C7336AE"/>
    <w:rsid w:val="7C812D3F"/>
    <w:rsid w:val="7C8233E8"/>
    <w:rsid w:val="7CD673E6"/>
    <w:rsid w:val="7CDC0AA2"/>
    <w:rsid w:val="7CDE05A5"/>
    <w:rsid w:val="7CE91545"/>
    <w:rsid w:val="7CFB35B7"/>
    <w:rsid w:val="7CFB5D27"/>
    <w:rsid w:val="7D0A34EC"/>
    <w:rsid w:val="7D1444EC"/>
    <w:rsid w:val="7D2012E9"/>
    <w:rsid w:val="7D22014B"/>
    <w:rsid w:val="7D2708CA"/>
    <w:rsid w:val="7D2D1C58"/>
    <w:rsid w:val="7D2F59D0"/>
    <w:rsid w:val="7D4A280A"/>
    <w:rsid w:val="7D5D3FAA"/>
    <w:rsid w:val="7D71644A"/>
    <w:rsid w:val="7D747887"/>
    <w:rsid w:val="7DAD32FA"/>
    <w:rsid w:val="7DBE2395"/>
    <w:rsid w:val="7DC10D1E"/>
    <w:rsid w:val="7DC4799D"/>
    <w:rsid w:val="7DFA384A"/>
    <w:rsid w:val="7E3C03A5"/>
    <w:rsid w:val="7E452183"/>
    <w:rsid w:val="7E4E00D8"/>
    <w:rsid w:val="7E52501A"/>
    <w:rsid w:val="7E692E43"/>
    <w:rsid w:val="7E795348"/>
    <w:rsid w:val="7E7E276B"/>
    <w:rsid w:val="7EA131CA"/>
    <w:rsid w:val="7EC4192C"/>
    <w:rsid w:val="7EC46660"/>
    <w:rsid w:val="7ED93E46"/>
    <w:rsid w:val="7EDA196C"/>
    <w:rsid w:val="7EE06F82"/>
    <w:rsid w:val="7EF05DF7"/>
    <w:rsid w:val="7EF82271"/>
    <w:rsid w:val="7F1D47AA"/>
    <w:rsid w:val="7F482D79"/>
    <w:rsid w:val="7F4D42B1"/>
    <w:rsid w:val="7F567244"/>
    <w:rsid w:val="7F5921DE"/>
    <w:rsid w:val="7F5E259D"/>
    <w:rsid w:val="7F5E434B"/>
    <w:rsid w:val="7F663868"/>
    <w:rsid w:val="7F863357"/>
    <w:rsid w:val="7F896E44"/>
    <w:rsid w:val="7F945FBF"/>
    <w:rsid w:val="7F98785D"/>
    <w:rsid w:val="7F9A2311"/>
    <w:rsid w:val="7FA56B08"/>
    <w:rsid w:val="7FC83E64"/>
    <w:rsid w:val="7FD26912"/>
    <w:rsid w:val="7FD82DA2"/>
    <w:rsid w:val="7FEC690D"/>
    <w:rsid w:val="7FFB39A3"/>
    <w:rsid w:val="7FFB616F"/>
    <w:rsid w:val="7FFE2E00"/>
    <w:rsid w:val="FDDF109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1"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18"/>
    <w:qFormat/>
    <w:uiPriority w:val="0"/>
    <w:pPr>
      <w:keepNext/>
      <w:keepLines/>
      <w:spacing w:before="340" w:after="330" w:line="576" w:lineRule="auto"/>
      <w:outlineLvl w:val="0"/>
    </w:pPr>
    <w:rPr>
      <w:rFonts w:ascii="Calibri" w:hAnsi="Calibri"/>
      <w:b/>
      <w:kern w:val="44"/>
      <w:sz w:val="44"/>
      <w:szCs w:val="2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semiHidden/>
    <w:unhideWhenUsed/>
    <w:qFormat/>
    <w:uiPriority w:val="1"/>
    <w:pPr>
      <w:ind w:left="111"/>
    </w:pPr>
    <w:rPr>
      <w:rFonts w:ascii="方正仿宋简体" w:hAnsi="方正仿宋简体" w:eastAsia="方正仿宋简体" w:cs="方正仿宋简体"/>
      <w:sz w:val="32"/>
      <w:szCs w:val="32"/>
    </w:rPr>
  </w:style>
  <w:style w:type="paragraph" w:styleId="4">
    <w:name w:val="Normal Indent"/>
    <w:basedOn w:val="1"/>
    <w:next w:val="5"/>
    <w:unhideWhenUsed/>
    <w:qFormat/>
    <w:uiPriority w:val="0"/>
    <w:pPr>
      <w:ind w:firstLine="420" w:firstLineChars="200"/>
    </w:pPr>
    <w:rPr>
      <w:rFonts w:eastAsia="仿宋"/>
      <w:sz w:val="32"/>
    </w:rPr>
  </w:style>
  <w:style w:type="paragraph" w:customStyle="1" w:styleId="5">
    <w:name w:val="明显引用1"/>
    <w:next w:val="1"/>
    <w:qFormat/>
    <w:uiPriority w:val="0"/>
    <w:pPr>
      <w:wordWrap w:val="0"/>
      <w:ind w:left="950" w:right="950"/>
      <w:jc w:val="center"/>
    </w:pPr>
    <w:rPr>
      <w:rFonts w:ascii="Times New Roman" w:hAnsi="Times New Roman" w:eastAsia="宋体" w:cs="Times New Roman"/>
      <w:i/>
      <w:iCs/>
      <w:sz w:val="21"/>
      <w:szCs w:val="21"/>
      <w:lang w:val="en-US" w:eastAsia="zh-CN" w:bidi="ar-SA"/>
    </w:rPr>
  </w:style>
  <w:style w:type="paragraph" w:styleId="6">
    <w:name w:val="Body Text Indent"/>
    <w:basedOn w:val="1"/>
    <w:next w:val="4"/>
    <w:qFormat/>
    <w:uiPriority w:val="0"/>
    <w:pPr>
      <w:spacing w:after="120"/>
      <w:ind w:left="420" w:leftChars="200"/>
    </w:pPr>
  </w:style>
  <w:style w:type="paragraph" w:styleId="7">
    <w:name w:val="Balloon Text"/>
    <w:basedOn w:val="1"/>
    <w:link w:val="21"/>
    <w:qFormat/>
    <w:uiPriority w:val="0"/>
    <w:rPr>
      <w:sz w:val="18"/>
      <w:szCs w:val="18"/>
    </w:rPr>
  </w:style>
  <w:style w:type="paragraph" w:styleId="8">
    <w:name w:val="footer"/>
    <w:basedOn w:val="1"/>
    <w:link w:val="20"/>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index heading"/>
    <w:basedOn w:val="1"/>
    <w:next w:val="11"/>
    <w:qFormat/>
    <w:uiPriority w:val="0"/>
    <w:rPr>
      <w:rFonts w:asciiTheme="majorHAnsi" w:hAnsiTheme="majorHAnsi" w:eastAsiaTheme="majorEastAsia" w:cstheme="majorBidi"/>
      <w:b/>
      <w:bCs/>
    </w:rPr>
  </w:style>
  <w:style w:type="paragraph" w:styleId="11">
    <w:name w:val="index 1"/>
    <w:basedOn w:val="1"/>
    <w:next w:val="1"/>
    <w:qFormat/>
    <w:uiPriority w:val="0"/>
  </w:style>
  <w:style w:type="paragraph" w:styleId="12">
    <w:name w:val="Normal (Web)"/>
    <w:basedOn w:val="1"/>
    <w:qFormat/>
    <w:uiPriority w:val="0"/>
    <w:pPr>
      <w:spacing w:beforeAutospacing="1" w:afterAutospacing="1"/>
      <w:jc w:val="left"/>
    </w:pPr>
    <w:rPr>
      <w:kern w:val="0"/>
      <w:sz w:val="24"/>
    </w:rPr>
  </w:style>
  <w:style w:type="paragraph" w:styleId="13">
    <w:name w:val="Body Text First Indent 2"/>
    <w:basedOn w:val="6"/>
    <w:next w:val="1"/>
    <w:qFormat/>
    <w:uiPriority w:val="0"/>
    <w:pPr>
      <w:ind w:left="0" w:leftChars="0" w:firstLine="420" w:firstLineChars="200"/>
    </w:pPr>
    <w:rPr>
      <w:rFonts w:eastAsia="仿宋"/>
      <w:sz w:val="28"/>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page number"/>
    <w:basedOn w:val="16"/>
    <w:qFormat/>
    <w:uiPriority w:val="0"/>
  </w:style>
  <w:style w:type="character" w:customStyle="1" w:styleId="18">
    <w:name w:val="标题 1 Char"/>
    <w:link w:val="3"/>
    <w:qFormat/>
    <w:uiPriority w:val="0"/>
    <w:rPr>
      <w:rFonts w:ascii="Calibri" w:hAnsi="Calibri" w:eastAsia="宋体"/>
      <w:b/>
      <w:kern w:val="44"/>
      <w:sz w:val="44"/>
      <w:szCs w:val="22"/>
      <w:lang w:val="en-US" w:eastAsia="zh-CN" w:bidi="ar-SA"/>
    </w:rPr>
  </w:style>
  <w:style w:type="paragraph" w:customStyle="1" w:styleId="19">
    <w:name w:val="Table Paragraph"/>
    <w:basedOn w:val="1"/>
    <w:qFormat/>
    <w:uiPriority w:val="0"/>
    <w:pPr>
      <w:autoSpaceDE w:val="0"/>
      <w:autoSpaceDN w:val="0"/>
      <w:jc w:val="left"/>
    </w:pPr>
    <w:rPr>
      <w:rFonts w:ascii="宋体" w:hAnsi="宋体" w:cs="宋体"/>
      <w:kern w:val="0"/>
      <w:sz w:val="22"/>
      <w:szCs w:val="22"/>
      <w:lang w:eastAsia="en-US"/>
    </w:rPr>
  </w:style>
  <w:style w:type="character" w:customStyle="1" w:styleId="20">
    <w:name w:val="页脚 Char"/>
    <w:basedOn w:val="16"/>
    <w:link w:val="8"/>
    <w:qFormat/>
    <w:uiPriority w:val="0"/>
    <w:rPr>
      <w:kern w:val="2"/>
      <w:sz w:val="18"/>
    </w:rPr>
  </w:style>
  <w:style w:type="character" w:customStyle="1" w:styleId="21">
    <w:name w:val="批注框文本 Char"/>
    <w:basedOn w:val="16"/>
    <w:link w:val="7"/>
    <w:qFormat/>
    <w:uiPriority w:val="0"/>
    <w:rPr>
      <w:kern w:val="2"/>
      <w:sz w:val="18"/>
      <w:szCs w:val="18"/>
    </w:rPr>
  </w:style>
  <w:style w:type="paragraph" w:styleId="22">
    <w:name w:val="List Paragraph"/>
    <w:basedOn w:val="1"/>
    <w:unhideWhenUsed/>
    <w:qFormat/>
    <w:uiPriority w:val="99"/>
    <w:pPr>
      <w:ind w:firstLine="420" w:firstLineChars="200"/>
    </w:pPr>
  </w:style>
  <w:style w:type="character" w:customStyle="1" w:styleId="23">
    <w:name w:val="font11"/>
    <w:basedOn w:val="16"/>
    <w:qFormat/>
    <w:uiPriority w:val="0"/>
    <w:rPr>
      <w:rFonts w:hint="eastAsia" w:ascii="方正仿宋简体" w:hAnsi="方正仿宋简体" w:eastAsia="方正仿宋简体" w:cs="方正仿宋简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14</Pages>
  <Words>4952</Words>
  <Characters>757</Characters>
  <Lines>6</Lines>
  <Paragraphs>11</Paragraphs>
  <TotalTime>13</TotalTime>
  <ScaleCrop>false</ScaleCrop>
  <LinksUpToDate>false</LinksUpToDate>
  <CharactersWithSpaces>5698</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2022-08-04T01:05:00Z</dcterms:created>
  <dc:creator>yj</dc:creator>
  <cp:lastModifiedBy>kylin</cp:lastModifiedBy>
  <cp:lastPrinted>2024-12-14T00:10:00Z</cp:lastPrinted>
  <dcterms:modified xsi:type="dcterms:W3CDTF">2025-01-20T16:50:44Z</dcterms:modified>
  <cp:revision>138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36BE76F2403F48029A7A49A246BB4AAC_13</vt:lpwstr>
  </property>
</Properties>
</file>