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组织申报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国家级和省级</w:t>
      </w: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生猪产能调控基地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的通知</w:t>
      </w:r>
    </w:p>
    <w:bookmarkEnd w:id="2"/>
    <w:p>
      <w:pPr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各地级以上市农业农村局，深圳市乡村振兴与协作交流局：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贯彻落实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《农业农村部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国家发展改革委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财政部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生态环境部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商务部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银保监会关于促进生猪产业持续健康发展的意见》（农牧发〔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农业农村部关于印发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生猪产能调控实施方案（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年修订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的通知》(农牧发〔202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号)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和《广东省农业农村厅关于印发〈广东省生猪产能调控实施方案（修订）〉的通知》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粤农农规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等文件要求，我厅将组织开展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国家级和省级生猪产能调控基地申报工作，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现就有关事项通知如下: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一、工作目标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经生猪养殖场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自愿申请、各级农业农村部门审核，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在全省范围内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设立一批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国家级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和省级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生猪产能调控基地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，发挥生猪产能调控作用，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定生猪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基础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，有效防止生猪产能大幅波动，提升猪肉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供应保障能力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left="0" w:leftChars="0" w:firstLine="632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二、申报条件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sectPr>
          <w:pgSz w:w="11906" w:h="16838"/>
          <w:pgMar w:top="1871" w:right="1531" w:bottom="1871" w:left="1531" w:header="851" w:footer="1417" w:gutter="0"/>
          <w:pgNumType w:fmt="decimal" w:start="2"/>
          <w:cols w:space="720" w:num="1"/>
          <w:titlePg/>
          <w:rtlGutter w:val="0"/>
          <w:docGrid w:type="linesAndChars" w:linePitch="590" w:charSpace="-1024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9"/>
          <w:kern w:val="0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9"/>
          <w:kern w:val="0"/>
          <w:sz w:val="32"/>
          <w:szCs w:val="32"/>
          <w:highlight w:val="none"/>
          <w:lang w:val="en-US"/>
        </w:rPr>
        <w:t>国家级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9"/>
          <w:kern w:val="0"/>
          <w:sz w:val="32"/>
          <w:szCs w:val="32"/>
          <w:highlight w:val="none"/>
          <w:lang w:val="en-US" w:eastAsia="zh-CN"/>
        </w:rPr>
        <w:t>和省级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9"/>
          <w:kern w:val="0"/>
          <w:sz w:val="32"/>
          <w:szCs w:val="32"/>
          <w:highlight w:val="none"/>
          <w:lang w:val="en-US"/>
        </w:rPr>
        <w:t>生猪产能调控基地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9"/>
          <w:kern w:val="0"/>
          <w:sz w:val="32"/>
          <w:szCs w:val="32"/>
          <w:highlight w:val="none"/>
          <w:lang w:val="en-US" w:eastAsia="zh-CN"/>
        </w:rPr>
        <w:t>的养殖场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-9"/>
          <w:kern w:val="0"/>
          <w:sz w:val="32"/>
          <w:szCs w:val="32"/>
          <w:highlight w:val="none"/>
          <w:lang w:val="en" w:eastAsia="zh-CN"/>
        </w:rPr>
        <w:t>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9"/>
          <w:kern w:val="0"/>
          <w:sz w:val="32"/>
          <w:szCs w:val="32"/>
          <w:highlight w:val="none"/>
          <w:lang w:val="en-US" w:eastAsia="zh-CN"/>
        </w:rPr>
        <w:t>具备以下条件：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（一）遵守《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畜牧法》《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动物防疫法》《畜禽规模养殖污染防治条例》等相关法律法规；场址不得位于畜禽养殖禁养区内；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养殖用地、生态环境保护、动物防疫等手续完备；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具有县级农业农村部门养殖备案登记证明，养殖档案符合相关法规标准要求。</w:t>
      </w: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（二）国家级生猪产能调控基地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设计年出栏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生猪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1万头以上的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规模养殖场或是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/>
        </w:rPr>
        <w:t>国家生猪核心育种场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（三）省级生猪产能调控基地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年出栏5000-9999头（以检疫证明数据为准）或能繁母猪存栏300头以上（以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Cs w:val="32"/>
          <w:highlight w:val="none"/>
        </w:rPr>
        <w:t>农业农村部养殖场直联直报信息平台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数据为准）的规模养殖场，或是广东省现代化美丽牧场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（生猪）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、省级以上畜禽养殖标准化示范场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（生猪）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eastAsia="zh-CN"/>
        </w:rPr>
        <w:t>（四）确定为生猪产能调控基地的养殖场要每月及时准确报送存栏、出栏等生猪生产信息，并按照要求配合开展产能调控工作，同时依法优先享受相关生猪生产支持政策。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eastAsia="zh-CN"/>
        </w:rPr>
        <w:t>（五）已评选为国家级生猪产能调控基地的养殖场，不需要再次申报。已评选为省级生猪产能调控基地的养殖场，不需要再次申报省级生猪产能调控基地，如符合国家级生猪产能调控基地的要求，可申请国家级生猪产能调控基地。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left="0" w:leftChars="0" w:firstLine="632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三、工作程序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sectPr>
          <w:pgSz w:w="11906" w:h="16838"/>
          <w:pgMar w:top="1871" w:right="1531" w:bottom="1871" w:left="1531" w:header="851" w:footer="1417" w:gutter="0"/>
          <w:pgNumType w:fmt="decimal" w:start="2"/>
          <w:cols w:space="720" w:num="1"/>
          <w:rtlGutter w:val="0"/>
          <w:docGrid w:type="linesAndChars" w:linePitch="590" w:charSpace="-1024"/>
        </w:sect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（一）宣传发动。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各地级以上市、县（市、区）农业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主管部门要高度重视申报工作，结合当地实际，积极做好宣传发动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工作，切实调动广大生猪养殖场积极性，确保养殖场知晓申报内容和要求。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（二）组织申报。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以养殖场自愿申报为原则，县级农业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主管部门组织辖区内符合申报条件的养殖场认真填报《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国家级/省级生猪产能调控基地申请表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1）。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（三）审核确定。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县级农业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对申报材料进行审核，将确认符合条件的养殖场上报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所在地级以上市农业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主管部门；地级以上市农业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主管部门审核后，汇总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推荐名单报省农业农村厅；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厅按照有关工作程序审核确定后，公布国家级和省级生猪产能调控基地。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请各地级以上市农业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于</w:t>
      </w:r>
      <w:r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月10日前将《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国家级/省级生猪产能调控基地挂牌申请汇总表》（附件2）报我厅（畜牧与饲料处）。养殖场申报及市、县审核等材料，由市、县农业农村主管部门保存、备查。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（四）基地挂牌。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对确定为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国家级/省级生猪产能调控基地的养殖场，将予以挂牌。国家级生猪产能调控基地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标牌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由我厅按农业农村部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制作颁发；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省级生猪产能调控基地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标牌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由各地级以上市农业农村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《广东省农业农村厅关于印发〈广东省生猪产能调控实施方案（修订）〉的通知》（粤农农规〔2024〕5号）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的统一样式，自行制作颁发。</w:t>
      </w: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（五）宣传推广。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各地要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充分利用各种新闻媒体和网络平台，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多渠道全方位宣传推进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生猪产能调控基地建设工作成效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，发挥示范带动作用，引领畜牧业转型升级高质量发展。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1.国家级/省级生猪产能调控基地申请表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1580" w:firstLineChars="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2.国家级/省级生猪产能调控基地申请汇总表</w:t>
      </w: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厅</w:t>
      </w: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202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月12日</w:t>
      </w: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7560"/>
        </w:tabs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公开方式：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依申请公开</w:t>
      </w: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u w:val="none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u w:val="none"/>
          <w:lang w:val="en-US" w:eastAsia="zh-CN"/>
        </w:rPr>
        <w:t>国家级/省级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生猪产能调控基地申请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  <w:t>表</w:t>
      </w: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800" w:lineRule="exact"/>
        <w:ind w:left="0" w:leftChars="0" w:firstLine="1242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42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255270</wp:posOffset>
                </wp:positionV>
                <wp:extent cx="133985" cy="152400"/>
                <wp:effectExtent l="7620" t="7620" r="1079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6pt;margin-top:20.1pt;height:12pt;width:10.55pt;z-index:251659264;mso-width-relative:page;mso-height-relative:page;" fillcolor="#FFFFFF" filled="t" stroked="t" coordsize="21600,21600" o:gfxdata="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Sbjvg1gAAAAkBAAAPAAAAAAAAAAEAIAAAACIAAABkcnMvZG93bnJldi54bWxQ&#10;SwECFAAUAAAACACHTuJALIRvWDICAAClBAAADgAAAAAAAAABACAAAAAlAQAAZHJzL2Uyb0RvYy54&#10;bWxQSwUGAAAAAAYABgBZAQAAyQUAAAAA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255270</wp:posOffset>
                </wp:positionV>
                <wp:extent cx="133985" cy="152400"/>
                <wp:effectExtent l="7620" t="7620" r="1079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1pt;margin-top:20.1pt;height:12pt;width:10.55pt;z-index:251660288;mso-width-relative:page;mso-height-relative:page;" fillcolor="#FFFFFF" filled="t" stroked="t" coordsize="21600,21600" o:gfxdata="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nKFGdYAAAAJAQAADwAAAAAAAAABACAAAAAiAAAAZHJzL2Rvd25yZXYueG1s&#10;UEsBAhQAFAAAAAgAh07iQHKPSHj6AQAAHgQAAA4AAAAAAAAAAQAgAAAAJQEAAGRycy9lMm9Eb2Mu&#10;eG1sUEsFBgAAAAAGAAYAWQEAAJEFAAAAAA==&#10;">
                <v:path/>
                <v:fill on="t" color2="#FFFFFF" focussize="0,0"/>
                <v:stroke weight="1.25pt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申请等级：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国家级        省级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64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广东省农业农村厅制</w:t>
      </w: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年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月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t>填 表 说 明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snapToGrid w:val="0"/>
          <w:color w:val="auto"/>
          <w:spacing w:val="0"/>
          <w:kern w:val="0"/>
          <w:sz w:val="44"/>
          <w:szCs w:val="44"/>
          <w:u w:val="single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一、本表适用于国家级/省级生猪产能调控基地的申报。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在封面申报等级栏对应打“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√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”。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二、单位名称应与市场监督管理部门核发的营业执照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动物防疫条件合格证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一致。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三、本表一式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份，用A4纸双面打印，字迹清楚，不得随意涂改。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四、挂牌猪场每月要及时准确报送存栏、出栏等生猪生产信息，并按照要求配合开展产能调控工作，同时依法优先享受相关生猪生产支持政策。</w:t>
      </w:r>
    </w:p>
    <w:p>
      <w:pPr>
        <w:pStyle w:val="2"/>
        <w:numPr>
          <w:ilvl w:val="2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32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一、养殖场基本信息表</w:t>
      </w:r>
    </w:p>
    <w:p>
      <w:pPr>
        <w:adjustRightInd w:val="0"/>
        <w:snapToGrid w:val="0"/>
        <w:spacing w:before="0" w:beforeLines="0" w:afterLines="0"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申报单位（公章）：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82"/>
        <w:gridCol w:w="1751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养殖场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畜禽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养殖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动物防疫条件合格证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土地备案手续是否完备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生态环境保护手续是否完备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firstLine="276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固定资产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人，其中：硕士以上学历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人，本科学历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年年末生猪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1481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年年末能繁母猪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年出栏量（头）</w:t>
            </w:r>
          </w:p>
        </w:tc>
        <w:tc>
          <w:tcPr>
            <w:tcW w:w="389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附件材料目录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0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632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二、企业情况介绍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（包括企业概况、生产能力、技术水平、工艺设备、疫病防控、投入品使用、产品质量、废弃物资源化利用及信息化管理等情况）</w:t>
            </w: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本表可加页</w:t>
      </w:r>
    </w:p>
    <w:p>
      <w:pPr>
        <w:numPr>
          <w:ilvl w:val="0"/>
          <w:numId w:val="0"/>
        </w:numPr>
        <w:adjustRightInd w:val="0"/>
        <w:snapToGrid w:val="0"/>
        <w:spacing w:before="0" w:beforeLines="0" w:line="590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三、审核意见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4297" w:type="pct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55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本单位郑重承诺，本次申报所提供的材料属实，无弄虚作假行为，并为此负责。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负责人签名：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firstLine="3864" w:firstLineChars="1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297" w:type="pct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2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297" w:type="pct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adjustRightInd w:val="0"/>
        <w:snapToGrid w:val="0"/>
        <w:spacing w:before="0" w:beforeLines="0" w:line="590" w:lineRule="exact"/>
        <w:ind w:firstLine="632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四、主要附件材料要求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267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54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《动物防疫条件合格证》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土地备案手续证明材料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复印件，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54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生态环境保护手续证明材料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54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营业执照(或企业审批文件)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354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养殖备案登记证明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54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如有，请加盖企业公章</w:t>
            </w:r>
          </w:p>
        </w:tc>
      </w:tr>
    </w:tbl>
    <w:p>
      <w:pPr>
        <w:tabs>
          <w:tab w:val="left" w:pos="640"/>
        </w:tabs>
        <w:adjustRightInd w:val="0"/>
        <w:snapToGrid w:val="0"/>
        <w:spacing w:line="590" w:lineRule="exact"/>
        <w:ind w:right="157" w:firstLine="632" w:firstLineChars="200"/>
        <w:rPr>
          <w:rFonts w:hint="eastAsia"/>
          <w:snapToGrid w:val="0"/>
          <w:color w:val="1D41D5"/>
          <w:kern w:val="0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/>
          <w:cols w:space="720" w:num="1"/>
          <w:titlePg/>
          <w:rtlGutter w:val="0"/>
          <w:docGrid w:type="linesAndChars" w:linePitch="590" w:charSpace="-1024"/>
        </w:sect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68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6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国家级/省级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生猪产能调控基地挂牌申请汇总表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1"/>
          <w:szCs w:val="21"/>
          <w:u w:val="none"/>
        </w:rPr>
      </w:pPr>
    </w:p>
    <w:p>
      <w:pPr>
        <w:adjustRightInd w:val="0"/>
        <w:snapToGrid w:val="0"/>
        <w:spacing w:beforeLines="0" w:line="590" w:lineRule="exact"/>
        <w:ind w:firstLine="0" w:firstLineChars="0"/>
        <w:rPr>
          <w:rFonts w:hint="eastAsia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填报单位（盖章）：                              填报人：                               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2"/>
        <w:gridCol w:w="989"/>
        <w:gridCol w:w="989"/>
        <w:gridCol w:w="819"/>
        <w:gridCol w:w="890"/>
        <w:gridCol w:w="974"/>
        <w:gridCol w:w="763"/>
        <w:gridCol w:w="946"/>
        <w:gridCol w:w="1016"/>
        <w:gridCol w:w="814"/>
        <w:gridCol w:w="853"/>
        <w:gridCol w:w="947"/>
        <w:gridCol w:w="717"/>
        <w:gridCol w:w="663"/>
        <w:gridCol w:w="75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县（区、市）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养殖场名称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畜禽养殖代码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动物防疫条件合格证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土地备案手续是否完备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生态环境保护手续是否完备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是否属于“两场”，如是，请填类型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详细地址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（市、县、乡、村）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年年末生猪存栏（头）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年年末能繁母猪存栏（头）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年出栏（头）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联系手机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0" w:beforeLines="0" w:afterLines="0" w:line="24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国家级和省级生猪产能调控基地挂牌申请，请分开汇总报送。</w:t>
      </w:r>
      <w:bookmarkStart w:id="0" w:name="抄送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adjustRightInd w:val="0"/>
        <w:snapToGrid w:val="0"/>
        <w:spacing w:before="0" w:beforeLines="0" w:afterLines="0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2.“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两场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指：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" w:eastAsia="zh-CN"/>
        </w:rPr>
        <w:t>广东省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现代化美丽牧场、省级以上畜禽养殖标准化示范场。</w:t>
      </w:r>
    </w:p>
    <w:p>
      <w:pPr>
        <w:pStyle w:val="8"/>
        <w:ind w:left="934" w:leftChars="100" w:right="316" w:rightChars="100" w:hanging="618" w:hangingChars="300"/>
        <w:rPr>
          <w:rFonts w:hint="eastAsia" w:eastAsia="仿宋_GB2312"/>
          <w:snapToGrid w:val="0"/>
          <w:kern w:val="0"/>
          <w:lang w:eastAsia="zh-CN"/>
        </w:rPr>
      </w:pPr>
      <w:bookmarkStart w:id="1" w:name="F_CSDW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252730</wp:posOffset>
                </wp:positionV>
                <wp:extent cx="419100" cy="8039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11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25pt;margin-top:19.9pt;height:63.3pt;width:33pt;z-index:251661312;mso-width-relative:page;mso-height-relative:page;" filled="f" stroked="f" coordsize="21600,21600" o:gfxdata="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WU5TC2QAAAAsBAAAPAAAAAAAAAAEAIAAAACIAAABkcnMvZG93bnJldi54bWxQSwEC&#10;FAAUAAAACACHTuJAXoUFUboBAABkAwAADgAAAAAAAAABACAAAAAoAQAAZHJzL2Uyb0RvYy54bWxQ&#10;SwUGAAAAAAYABgBZAQAAVAUAAAAA&#10;">
                <v:path/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11 —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6" w:type="first"/>
      <w:footerReference r:id="rId5" w:type="default"/>
      <w:pgSz w:w="16838" w:h="11906" w:orient="landscape"/>
      <w:pgMar w:top="1531" w:right="1871" w:bottom="1531" w:left="1871" w:header="851" w:footer="1418" w:gutter="0"/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65D3B"/>
    <w:rsid w:val="289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2025-04-27T00:59:00Z</dcterms:created>
  <dc:creator>不饮流觞</dc:creator>
  <cp:lastModifiedBy>不饮流觞</cp:lastModifiedBy>
  <dcterms:modified xsi:type="dcterms:W3CDTF">2025-04-27T01:01:39Z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97EA803B65F84D23A06CB00EBC76FFBD</vt:lpwstr>
  </property>
</Properties>
</file>