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570" w:lineRule="exact"/>
        <w:jc w:val="center"/>
        <w:rPr>
          <w:rFonts w:hint="eastAsia" w:ascii="Times New Roman" w:hAnsi="Times New Roman" w:eastAsia="方正小标宋简体" w:cs="方正小标宋简体"/>
          <w:sz w:val="44"/>
          <w:szCs w:val="44"/>
        </w:rPr>
      </w:pPr>
      <w:bookmarkStart w:id="1" w:name="_GoBack"/>
      <w:r>
        <w:rPr>
          <w:rFonts w:hint="eastAsia" w:ascii="Times New Roman" w:hAnsi="Times New Roman" w:eastAsia="方正小标宋简体" w:cs="方正小标宋简体"/>
          <w:sz w:val="44"/>
          <w:szCs w:val="44"/>
        </w:rPr>
        <w:t>阳江市阳东区国有建设用地基准地价</w:t>
      </w:r>
    </w:p>
    <w:p>
      <w:pPr>
        <w:wordWrap w:val="0"/>
        <w:spacing w:line="57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标准及实施办法</w:t>
      </w:r>
    </w:p>
    <w:bookmarkEnd w:id="1"/>
    <w:p>
      <w:pPr>
        <w:rPr>
          <w:rFonts w:ascii="Times New Roman" w:hAnsi="Times New Roman" w:cs="Times New Roman"/>
          <w:sz w:val="24"/>
          <w:szCs w:val="32"/>
        </w:rPr>
      </w:pP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第一条</w:t>
      </w:r>
      <w:r>
        <w:rPr>
          <w:rFonts w:ascii="Times New Roman" w:hAnsi="Times New Roman" w:eastAsia="方正仿宋简体" w:cs="Times New Roman"/>
          <w:sz w:val="32"/>
          <w:szCs w:val="28"/>
        </w:rPr>
        <w:t>　为了加强土地市场管理，规范地产市场交易行为，根据《中华人民共和国土地管理法》《中华人民共和国城市房地产管理法》和《中华人民共和国民法典》等法律法规的规定，以及原国土资源部办公厅《国有建设用地使用权出让地价评估技术规范》（国土资厅发〔2018〕4号）的精神，按照《城镇土地分等定级规程》（GB/T 18507-2014）、《城镇土地估价规程》（GB/T 18508-2014）和《广东省国土资源厅关于进一步严格规范基准地价管理的通知》（粤国土资利用发〔2018〕8号）的技术规定，结合本区实际，制定本办法。</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第二条</w:t>
      </w:r>
      <w:r>
        <w:rPr>
          <w:rFonts w:ascii="Times New Roman" w:hAnsi="Times New Roman" w:eastAsia="方正仿宋简体" w:cs="Times New Roman"/>
          <w:sz w:val="32"/>
          <w:szCs w:val="28"/>
        </w:rPr>
        <w:t>　国有建设用地基准地价适用的区域范围</w:t>
      </w:r>
    </w:p>
    <w:p>
      <w:pPr>
        <w:spacing w:line="570" w:lineRule="exact"/>
        <w:ind w:firstLine="616" w:firstLineChars="200"/>
        <w:rPr>
          <w:rFonts w:ascii="Times New Roman" w:hAnsi="Times New Roman" w:eastAsia="方正仿宋简体" w:cs="Times New Roman"/>
          <w:spacing w:val="-6"/>
          <w:sz w:val="32"/>
          <w:szCs w:val="28"/>
        </w:rPr>
      </w:pPr>
      <w:r>
        <w:rPr>
          <w:rFonts w:ascii="Times New Roman" w:hAnsi="Times New Roman" w:eastAsia="方正仿宋简体" w:cs="Times New Roman"/>
          <w:spacing w:val="-6"/>
          <w:sz w:val="32"/>
          <w:szCs w:val="28"/>
        </w:rPr>
        <w:t>本次公布的阳江市阳东区国有建设用地基准地价适用于阳江市阳东区城区建成区及近期规划区约45.72平方公里的城镇国有建设用地。评估范围外的阳东区雅韶镇、合山镇、红丰镇、北惯镇、东平镇镇区范围的国有建设用地基准地价分别按城区基准地价成果中商服用地Ⅲ级、住宅用地Ⅲ级、工业用地Ⅱ级、公共管理与公共服务用地Ⅱ级和公用设施用地Ⅱ级执行；其他镇镇区范围内的国有建设用地基准地价，参照本基准地价成果末级执行。</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第三条</w:t>
      </w:r>
      <w:r>
        <w:rPr>
          <w:rFonts w:ascii="Times New Roman" w:hAnsi="Times New Roman" w:eastAsia="方正仿宋简体" w:cs="Times New Roman"/>
          <w:sz w:val="32"/>
          <w:szCs w:val="28"/>
        </w:rPr>
        <w:t>　国有建设用地基准地价主要作用</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1、是政府宏观调控地价水平和制定地价政策的依据；</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2、是进一步评估宗地价格和确定国有建设用地出让底价的依据；</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3、是企业改制、清算和政府征收土地税赋的依据；</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4、反映土地市场地价变化趋势，为土地使用者投资与开发决策提供依据；</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5、进一步扩大有偿使用，防止国有资产流失，规范土地交易行为，维护土地市场稳定。</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第四条</w:t>
      </w:r>
      <w:r>
        <w:rPr>
          <w:rFonts w:ascii="Times New Roman" w:hAnsi="Times New Roman" w:eastAsia="方正仿宋简体" w:cs="Times New Roman"/>
          <w:sz w:val="32"/>
          <w:szCs w:val="28"/>
        </w:rPr>
        <w:t>　阳江市阳东区国有建设用地基准地价的内涵</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商服用地基准地价内涵：土地在正常市场条件下，估价期日为2025年5月1日，设定容积率为2.0，土地使用年期为40年，土地开发程度为“五通一平”（即宗地红线外通路、供电、供水、排水、通讯，宗地红线内场地平整）条件下，商服用地出让土地使用权的区域平均单位面积地价和平均楼面地价。</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商业路线价内涵：土地在正常市场条件下，估价期日为2025年5月1日，设定容积率为2.0，土地使用年期为40年，土地开发程度为“五通一平”（即宗地红线外通路、供电、供水、排水、通讯，宗地红线内场地平整），宗地标准宽度设定为5米，宗地标准深度设定为12米条件下，商服用地出让土地使用权的区域首层楼面地价。</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住宅用地基准地价内涵：土地在正常市场条件下，估价期日为2025年5月1日，设定容积率为2.0，土地使用年期为70年，土地开发程度为“五通一平”（即宗地红线外通路、供电、供水、排水、通讯，宗地红线内场地平整）条件下，住宅用地出让土地使用权的区域平均单位面积地价和平均楼面地价。</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工业用地基准地价内涵：土地在正常市场条件下，估价期日为2025年5月1日，设定容积率为1.0，土地使用年期为50年，土地开发程度为“五通一平”（即宗地红线外通路、供电、供水、排水、通讯，宗地红线内场地平整）条件下，工业用地出让土地使用权的区域平均单位面积地价。</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公共管理与公共服务用地基准地价内涵：土地在正常市场条件下，估价期日为2025年5月1日，设定容积率为1.0，土地使用年期为50年，土地开发程度为“五通一平”（即宗地红线外通路、供电、供水、排水、通讯，宗地红线内场地平整）条件下，公共管理与公共服务用地出让土地使用权的区域平均单位面积地价。</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公用设施用地基准地价内涵：土地在正常市场条件下，估价期日为2025年5月1日，设定容积率为1.0，土地使用年期为50年，土地开发程度为“五通一平”（即宗地红线外通路、供电、供水、排水、通讯，宗地红线内场地平整）条件下，公用设施用地出让土地使用权的区域平均单位面积地价。</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第五条</w:t>
      </w:r>
      <w:r>
        <w:rPr>
          <w:rFonts w:ascii="Times New Roman" w:hAnsi="Times New Roman" w:eastAsia="方正仿宋简体" w:cs="Times New Roman"/>
          <w:sz w:val="32"/>
          <w:szCs w:val="28"/>
        </w:rPr>
        <w:t>　基准地价的表现形式</w:t>
      </w: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商服用地基准地价表现形式为路线价和级别价；住宅用地基准地价表现形式为级别价；工业用地基准地价表现形式为级别价；公共管理与公共服务用地基准地价表现形式为级别价；公用设施用地基准地价表现形式为级别价。路线价是对临近道路的土地设定标准深度，选取若干标准宗地求取其平均水平价格；级别价是根据土地级别所划分的区域评估出的，能反映同一级别区域的宏观平均地价。</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第六条</w:t>
      </w:r>
      <w:r>
        <w:rPr>
          <w:rFonts w:ascii="Times New Roman" w:hAnsi="Times New Roman" w:eastAsia="方正仿宋简体" w:cs="Times New Roman"/>
          <w:sz w:val="32"/>
          <w:szCs w:val="28"/>
        </w:rPr>
        <w:t>　国有建设用地基准地价应用于具体宗地地价计算时，必须根据估价时点和宗地的具体条件利用基准地价修正系数体系，进行区位因素和期日、使用年期、容积率、开发程度、其它个别因素等个别因素修正。</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第七条</w:t>
      </w:r>
      <w:r>
        <w:rPr>
          <w:rFonts w:ascii="Times New Roman" w:hAnsi="Times New Roman" w:eastAsia="方正仿宋简体" w:cs="Times New Roman"/>
          <w:sz w:val="32"/>
          <w:szCs w:val="28"/>
        </w:rPr>
        <w:t>　各类用地的二级类基准地价参照用地类型修正系数确定，其土地级别、级别范围、修正体系和宗地地价计算公式等参照该类用地基准地价成果。</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第八条</w:t>
      </w:r>
      <w:r>
        <w:rPr>
          <w:rFonts w:ascii="Times New Roman" w:hAnsi="Times New Roman" w:eastAsia="方正仿宋简体" w:cs="Times New Roman"/>
          <w:sz w:val="32"/>
          <w:szCs w:val="28"/>
        </w:rPr>
        <w:t>　利用基准地价修正系数体系法计算宗地价格时，要按照区自然资源部门确定的土地用途和规划条件进行计算。</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第九条</w:t>
      </w:r>
      <w:r>
        <w:rPr>
          <w:rFonts w:ascii="Times New Roman" w:hAnsi="Times New Roman" w:eastAsia="方正仿宋简体" w:cs="Times New Roman"/>
          <w:sz w:val="32"/>
          <w:szCs w:val="28"/>
        </w:rPr>
        <w:t>　本办法由阳江市阳东区自然资源局负责具体实施，区发展改革、财政、住房城乡建设、税务等相关部门应协助自然资源部门做好实施工作。以前发布有关文件与本办法有抵触的，一律以本办法为准。</w:t>
      </w:r>
    </w:p>
    <w:p>
      <w:pPr>
        <w:spacing w:line="570" w:lineRule="exact"/>
        <w:ind w:firstLine="640" w:firstLineChars="200"/>
        <w:rPr>
          <w:rFonts w:ascii="Times New Roman" w:hAnsi="Times New Roman" w:eastAsia="方正仿宋简体" w:cs="Times New Roman"/>
          <w:sz w:val="32"/>
          <w:szCs w:val="28"/>
        </w:rPr>
      </w:pPr>
      <w:r>
        <w:rPr>
          <w:rFonts w:ascii="黑体" w:hAnsi="黑体" w:eastAsia="黑体" w:cs="Times New Roman"/>
          <w:sz w:val="32"/>
          <w:szCs w:val="28"/>
        </w:rPr>
        <w:t>第十条</w:t>
      </w:r>
      <w:r>
        <w:rPr>
          <w:rFonts w:ascii="Times New Roman" w:hAnsi="Times New Roman" w:eastAsia="方正仿宋简体" w:cs="Times New Roman"/>
          <w:sz w:val="32"/>
          <w:szCs w:val="28"/>
        </w:rPr>
        <w:t xml:space="preserve">  本实施办法自公布之日起施行，有效期3年。基准地价具有一定的时效性，自然资源管理部门将根据国家和省的有关规定结合本区的经济发展状况和产业政策等因素适时进行调整。</w:t>
      </w:r>
    </w:p>
    <w:p>
      <w:pPr>
        <w:spacing w:line="570" w:lineRule="exact"/>
        <w:ind w:firstLine="640" w:firstLineChars="200"/>
        <w:rPr>
          <w:rFonts w:ascii="Times New Roman" w:hAnsi="Times New Roman" w:eastAsia="方正仿宋简体" w:cs="Times New Roman"/>
          <w:sz w:val="32"/>
          <w:szCs w:val="28"/>
        </w:rPr>
      </w:pPr>
    </w:p>
    <w:p>
      <w:pPr>
        <w:spacing w:line="570" w:lineRule="exact"/>
        <w:ind w:firstLine="640" w:firstLineChars="200"/>
        <w:rPr>
          <w:rFonts w:ascii="Times New Roman" w:hAnsi="Times New Roman" w:eastAsia="方正仿宋简体" w:cs="Times New Roman"/>
          <w:sz w:val="32"/>
          <w:szCs w:val="28"/>
        </w:rPr>
      </w:pPr>
      <w:r>
        <w:rPr>
          <w:rFonts w:ascii="Times New Roman" w:hAnsi="Times New Roman" w:eastAsia="方正仿宋简体" w:cs="Times New Roman"/>
          <w:sz w:val="32"/>
          <w:szCs w:val="28"/>
        </w:rPr>
        <w:t>附件：1</w:t>
      </w:r>
      <w:r>
        <w:rPr>
          <w:rFonts w:hint="eastAsia" w:ascii="Times New Roman" w:hAnsi="Times New Roman" w:eastAsia="方正仿宋简体" w:cs="Times New Roman"/>
          <w:sz w:val="32"/>
          <w:szCs w:val="28"/>
        </w:rPr>
        <w:t>.</w:t>
      </w:r>
      <w:r>
        <w:rPr>
          <w:rFonts w:ascii="Times New Roman" w:hAnsi="Times New Roman" w:eastAsia="方正仿宋简体" w:cs="Times New Roman"/>
          <w:sz w:val="32"/>
          <w:szCs w:val="28"/>
        </w:rPr>
        <w:t>阳江市阳东区城区商业路线价表</w:t>
      </w:r>
    </w:p>
    <w:p>
      <w:pPr>
        <w:spacing w:line="570" w:lineRule="exact"/>
        <w:ind w:firstLine="1600" w:firstLineChars="500"/>
        <w:rPr>
          <w:rFonts w:ascii="Times New Roman" w:hAnsi="Times New Roman" w:eastAsia="方正仿宋简体" w:cs="Times New Roman"/>
          <w:sz w:val="32"/>
          <w:szCs w:val="28"/>
        </w:rPr>
      </w:pPr>
      <w:r>
        <w:rPr>
          <w:rFonts w:ascii="Times New Roman" w:hAnsi="Times New Roman" w:eastAsia="方正仿宋简体" w:cs="Times New Roman"/>
          <w:sz w:val="32"/>
          <w:szCs w:val="28"/>
        </w:rPr>
        <w:t>2</w:t>
      </w:r>
      <w:r>
        <w:rPr>
          <w:rFonts w:hint="eastAsia" w:ascii="Times New Roman" w:hAnsi="Times New Roman" w:eastAsia="方正仿宋简体" w:cs="Times New Roman"/>
          <w:sz w:val="32"/>
          <w:szCs w:val="28"/>
        </w:rPr>
        <w:t>.</w:t>
      </w:r>
      <w:r>
        <w:rPr>
          <w:rFonts w:ascii="Times New Roman" w:hAnsi="Times New Roman" w:eastAsia="方正仿宋简体" w:cs="Times New Roman"/>
          <w:sz w:val="32"/>
          <w:szCs w:val="28"/>
        </w:rPr>
        <w:t>阳江市阳东城区国有建设用地基准地价表</w:t>
      </w:r>
    </w:p>
    <w:p>
      <w:pPr>
        <w:spacing w:line="570" w:lineRule="exact"/>
        <w:ind w:left="1918" w:leftChars="761" w:hanging="320" w:hangingChars="100"/>
        <w:rPr>
          <w:rFonts w:ascii="Times New Roman" w:hAnsi="Times New Roman" w:eastAsia="宋体" w:cs="Times New Roman"/>
          <w:b/>
          <w:bCs/>
          <w:color w:val="000000" w:themeColor="text1"/>
          <w:sz w:val="24"/>
          <w:szCs w:val="32"/>
          <w14:textFill>
            <w14:solidFill>
              <w14:schemeClr w14:val="tx1"/>
            </w14:solidFill>
          </w14:textFill>
        </w:rPr>
      </w:pPr>
      <w:r>
        <w:rPr>
          <w:rFonts w:hint="eastAsia" w:ascii="Times New Roman" w:hAnsi="Times New Roman" w:eastAsia="方正仿宋简体" w:cs="Times New Roman"/>
          <w:sz w:val="32"/>
          <w:szCs w:val="28"/>
        </w:rPr>
        <w:t>3.</w:t>
      </w:r>
      <w:r>
        <w:rPr>
          <w:rFonts w:ascii="Times New Roman" w:hAnsi="Times New Roman" w:eastAsia="方正仿宋简体" w:cs="Times New Roman"/>
          <w:sz w:val="32"/>
          <w:szCs w:val="28"/>
        </w:rPr>
        <w:t>阳江市阳东城区国有建设用地基准地价二级用地类型修正系数表</w:t>
      </w:r>
      <w:r>
        <w:rPr>
          <w:rFonts w:ascii="Times New Roman" w:hAnsi="Times New Roman" w:eastAsia="宋体" w:cs="Times New Roman"/>
          <w:b/>
          <w:bCs/>
          <w:color w:val="000000" w:themeColor="text1"/>
          <w:sz w:val="24"/>
          <w:szCs w:val="32"/>
          <w14:textFill>
            <w14:solidFill>
              <w14:schemeClr w14:val="tx1"/>
            </w14:solidFill>
          </w14:textFill>
        </w:rPr>
        <w:br w:type="page"/>
      </w:r>
    </w:p>
    <w:p>
      <w:pPr>
        <w:shd w:val="clear" w:color="auto" w:fill="FFFFFF"/>
        <w:adjustRightInd w:val="0"/>
        <w:snapToGrid w:val="0"/>
        <w:spacing w:line="570" w:lineRule="exact"/>
        <w:jc w:val="left"/>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附件</w:t>
      </w:r>
      <w:r>
        <w:rPr>
          <w:rFonts w:ascii="Times New Roman" w:hAnsi="Times New Roman" w:eastAsia="黑体" w:cs="Times New Roman"/>
          <w:bCs/>
          <w:color w:val="000000" w:themeColor="text1"/>
          <w:sz w:val="32"/>
          <w:szCs w:val="32"/>
          <w14:textFill>
            <w14:solidFill>
              <w14:schemeClr w14:val="tx1"/>
            </w14:solidFill>
          </w14:textFill>
        </w:rPr>
        <w:t>1</w:t>
      </w:r>
    </w:p>
    <w:p>
      <w:pPr>
        <w:shd w:val="clear" w:color="auto" w:fill="FFFFFF"/>
        <w:adjustRightInd w:val="0"/>
        <w:snapToGrid w:val="0"/>
        <w:spacing w:line="570" w:lineRule="exact"/>
        <w:jc w:val="left"/>
        <w:rPr>
          <w:rFonts w:ascii="Times New Roman" w:hAnsi="Times New Roman" w:eastAsia="黑体" w:cs="Times New Roman"/>
          <w:bCs/>
          <w:color w:val="000000" w:themeColor="text1"/>
          <w:sz w:val="32"/>
          <w:szCs w:val="32"/>
          <w14:textFill>
            <w14:solidFill>
              <w14:schemeClr w14:val="tx1"/>
            </w14:solidFill>
          </w14:textFill>
        </w:rPr>
      </w:pPr>
    </w:p>
    <w:p>
      <w:pPr>
        <w:shd w:val="clear" w:color="auto" w:fill="FFFFFF"/>
        <w:adjustRightInd w:val="0"/>
        <w:snapToGrid w:val="0"/>
        <w:spacing w:line="570" w:lineRule="exact"/>
        <w:jc w:val="center"/>
        <w:rPr>
          <w:rFonts w:ascii="Times New Roman" w:hAnsi="Times New Roman" w:eastAsia="方正小标宋简体" w:cs="Times New Roman"/>
          <w:bCs/>
          <w:color w:val="000000" w:themeColor="text1"/>
          <w:sz w:val="44"/>
          <w:szCs w:val="28"/>
          <w14:textFill>
            <w14:solidFill>
              <w14:schemeClr w14:val="tx1"/>
            </w14:solidFill>
          </w14:textFill>
        </w:rPr>
      </w:pPr>
      <w:r>
        <w:rPr>
          <w:rFonts w:ascii="Times New Roman" w:hAnsi="Times New Roman" w:eastAsia="方正小标宋简体" w:cs="Times New Roman"/>
          <w:bCs/>
          <w:color w:val="000000" w:themeColor="text1"/>
          <w:sz w:val="44"/>
          <w:szCs w:val="28"/>
          <w14:textFill>
            <w14:solidFill>
              <w14:schemeClr w14:val="tx1"/>
            </w14:solidFill>
          </w14:textFill>
        </w:rPr>
        <w:t>阳东区城区商业路线价表</w:t>
      </w:r>
    </w:p>
    <w:p>
      <w:pPr>
        <w:shd w:val="clear" w:color="auto" w:fill="FFFFFF"/>
        <w:adjustRightInd w:val="0"/>
        <w:snapToGrid w:val="0"/>
        <w:spacing w:line="570" w:lineRule="exact"/>
        <w:jc w:val="center"/>
        <w:rPr>
          <w:rFonts w:ascii="Times New Roman" w:hAnsi="Times New Roman" w:eastAsia="宋体" w:cs="Times New Roman"/>
          <w:color w:val="000000" w:themeColor="text1"/>
          <w:sz w:val="28"/>
          <w:szCs w:val="28"/>
          <w14:textFill>
            <w14:solidFill>
              <w14:schemeClr w14:val="tx1"/>
            </w14:solidFill>
          </w14:textFill>
        </w:rPr>
      </w:pPr>
    </w:p>
    <w:p>
      <w:pPr>
        <w:widowControl/>
        <w:shd w:val="clear" w:color="auto" w:fill="FFFFFF"/>
        <w:adjustRightInd w:val="0"/>
        <w:snapToGrid w:val="0"/>
        <w:ind w:right="162" w:rightChars="77" w:firstLine="482"/>
        <w:jc w:val="right"/>
        <w:rPr>
          <w:rFonts w:ascii="Times New Roman" w:hAnsi="Times New Roman" w:eastAsia="方正楷体简体" w:cs="Times New Roman"/>
          <w:color w:val="000000" w:themeColor="text1"/>
          <w14:textFill>
            <w14:solidFill>
              <w14:schemeClr w14:val="tx1"/>
            </w14:solidFill>
          </w14:textFill>
        </w:rPr>
      </w:pPr>
      <w:r>
        <w:rPr>
          <w:rFonts w:hint="eastAsia" w:ascii="Times New Roman" w:hAnsi="Times New Roman" w:eastAsia="方正楷体简体" w:cs="Times New Roman"/>
          <w:color w:val="000000" w:themeColor="text1"/>
          <w:sz w:val="24"/>
          <w:szCs w:val="32"/>
          <w14:textFill>
            <w14:solidFill>
              <w14:schemeClr w14:val="tx1"/>
            </w14:solidFill>
          </w14:textFill>
        </w:rPr>
        <w:t>单位：元/平方米</w:t>
      </w:r>
    </w:p>
    <w:tbl>
      <w:tblPr>
        <w:tblStyle w:val="5"/>
        <w:tblW w:w="8349" w:type="dxa"/>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873"/>
        <w:gridCol w:w="1585"/>
        <w:gridCol w:w="3943"/>
        <w:gridCol w:w="1948"/>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54" w:hRule="atLeast"/>
          <w:tblHeader/>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adjustRightInd w:val="0"/>
              <w:snapToGrid w:val="0"/>
              <w:jc w:val="center"/>
              <w:rPr>
                <w:rFonts w:ascii="Times New Roman" w:hAnsi="Times New Roman" w:eastAsia="黑体" w:cs="Times New Roman"/>
                <w:color w:val="000000" w:themeColor="text1"/>
                <w:sz w:val="24"/>
                <w14:textFill>
                  <w14:solidFill>
                    <w14:schemeClr w14:val="tx1"/>
                  </w14:solidFill>
                </w14:textFill>
              </w:rPr>
            </w:pPr>
            <w:bookmarkStart w:id="0" w:name="_Toc369607579"/>
            <w:r>
              <w:rPr>
                <w:rFonts w:ascii="Times New Roman" w:hAnsi="Times New Roman" w:eastAsia="黑体" w:cs="Times New Roman"/>
                <w:color w:val="000000" w:themeColor="text1"/>
                <w:sz w:val="24"/>
                <w14:textFill>
                  <w14:solidFill>
                    <w14:schemeClr w14:val="tx1"/>
                  </w14:solidFill>
                </w14:textFill>
              </w:rPr>
              <w:t>序号</w:t>
            </w:r>
            <w:bookmarkEnd w:id="0"/>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adjustRightInd w:val="0"/>
              <w:snapToGrid w:val="0"/>
              <w:jc w:val="center"/>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路线段名称</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adjustRightInd w:val="0"/>
              <w:snapToGrid w:val="0"/>
              <w:jc w:val="center"/>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区段范围</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adjustRightInd w:val="0"/>
              <w:snapToGrid w:val="0"/>
              <w:jc w:val="center"/>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路线价</w:t>
            </w:r>
          </w:p>
          <w:p>
            <w:pPr>
              <w:widowControl/>
              <w:adjustRightInd w:val="0"/>
              <w:snapToGrid w:val="0"/>
              <w:jc w:val="center"/>
              <w:rPr>
                <w:rFonts w:ascii="Times New Roman" w:hAnsi="Times New Roman" w:eastAsia="黑体" w:cs="Times New Roman"/>
                <w:color w:val="000000" w:themeColor="text1"/>
                <w:sz w:val="24"/>
                <w14:textFill>
                  <w14:solidFill>
                    <w14:schemeClr w14:val="tx1"/>
                  </w14:solidFill>
                </w14:textFill>
              </w:rPr>
            </w:pPr>
            <w:r>
              <w:rPr>
                <w:rFonts w:ascii="Times New Roman" w:hAnsi="Times New Roman" w:eastAsia="黑体" w:cs="Times New Roman"/>
                <w:color w:val="000000" w:themeColor="text1"/>
                <w:sz w:val="24"/>
                <w14:textFill>
                  <w14:solidFill>
                    <w14:schemeClr w14:val="tx1"/>
                  </w14:solidFill>
                </w14:textFill>
              </w:rPr>
              <w:t>（首层楼面价）</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迎宾大道1</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北至东风四路，南至陶然路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themeColor="text1"/>
                <w:kern w:val="0"/>
                <w:sz w:val="24"/>
                <w:lang w:bidi="ar"/>
                <w14:textFill>
                  <w14:solidFill>
                    <w14:schemeClr w14:val="tx1"/>
                  </w14:solidFill>
                </w14:textFill>
              </w:rPr>
              <w:t>7280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2</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东风四路1</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东至迎宾大道，西至湖滨路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7150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3</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始兴路1</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北至东风三路，南至东和路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7070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4</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东风四路2</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东至环山北路，西至迎宾大道</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6820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5</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始兴路2</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北至东和路，南至福安路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6650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6</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东风四路3</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东至裕东六路，西至环山北路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6430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7</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迎宾大道2</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北至陶然路，南至广雅路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themeColor="text1"/>
                <w:kern w:val="0"/>
                <w:sz w:val="24"/>
                <w:lang w:bidi="ar"/>
                <w14:textFill>
                  <w14:solidFill>
                    <w14:schemeClr w14:val="tx1"/>
                  </w14:solidFill>
                </w14:textFill>
              </w:rPr>
              <w:t>6260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8</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始兴路3</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北至福安路，南至聚荣路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6140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9</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东风三路</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东至新江路，西至湖滨路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5560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10</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湖滨路</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北至湖滨南路，南至广雅路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5280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11</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广雅路</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东至新江路，南至龙塘路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5020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12</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新江路1</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北至东风三路，南至永安路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5010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13</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新江路2</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北至永安路，南至广雅路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4680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14</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永安路1</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西至新江路，东至湖滨路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4650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15</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振士路1</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北至湖滨南路，南至福安路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4560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16</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福安路1</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西至新江路，东至湖滨路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4520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17</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振士路2</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北至福安路，南至广雅路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4320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18</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永安路2</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西至振士路，东至龙塘路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4260</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19</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福安路2</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西至振士路，东至龙塘路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4185</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87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20</w:t>
            </w:r>
          </w:p>
        </w:tc>
        <w:tc>
          <w:tcPr>
            <w:tcW w:w="1585"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福兴路</w:t>
            </w:r>
          </w:p>
        </w:tc>
        <w:tc>
          <w:tcPr>
            <w:tcW w:w="3943"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kern w:val="0"/>
                <w:sz w:val="24"/>
                <w:lang w:bidi="ar"/>
              </w:rPr>
              <w:t>北至湖滨南路，南至福安路</w:t>
            </w:r>
          </w:p>
        </w:tc>
        <w:tc>
          <w:tcPr>
            <w:tcW w:w="1948" w:type="dxa"/>
            <w:tcBorders>
              <w:top w:val="outset" w:color="000000" w:sz="6" w:space="0"/>
              <w:left w:val="outset" w:color="000000" w:sz="6" w:space="0"/>
              <w:bottom w:val="outset" w:color="000000" w:sz="6" w:space="0"/>
              <w:right w:val="outset" w:color="000000" w:sz="6" w:space="0"/>
            </w:tcBorders>
            <w:shd w:val="clear" w:color="auto" w:fill="FFFFFF"/>
            <w:noWrap/>
            <w:vAlign w:val="center"/>
          </w:tcPr>
          <w:p>
            <w:pPr>
              <w:widowControl/>
              <w:spacing w:line="300" w:lineRule="exact"/>
              <w:jc w:val="center"/>
              <w:textAlignment w:val="center"/>
              <w:rPr>
                <w:rFonts w:ascii="Times New Roman" w:hAnsi="Times New Roman" w:eastAsia="方正仿宋简体" w:cs="Times New Roman"/>
                <w:color w:val="000000" w:themeColor="text1"/>
                <w14:textFill>
                  <w14:solidFill>
                    <w14:schemeClr w14:val="tx1"/>
                  </w14:solidFill>
                </w14:textFill>
              </w:rPr>
            </w:pPr>
            <w:r>
              <w:rPr>
                <w:rFonts w:ascii="Times New Roman" w:hAnsi="Times New Roman" w:eastAsia="方正仿宋简体" w:cs="Times New Roman"/>
                <w:color w:val="000000"/>
                <w:kern w:val="0"/>
                <w:sz w:val="24"/>
                <w:lang w:bidi="ar"/>
              </w:rPr>
              <w:t>3880</w:t>
            </w:r>
          </w:p>
        </w:tc>
      </w:tr>
    </w:tbl>
    <w:p>
      <w:pPr>
        <w:ind w:left="480"/>
        <w:rPr>
          <w:rFonts w:ascii="Times New Roman" w:hAnsi="Times New Roman" w:eastAsia="宋体" w:cs="Times New Roman"/>
          <w:sz w:val="24"/>
          <w:szCs w:val="32"/>
        </w:rPr>
      </w:pPr>
    </w:p>
    <w:p>
      <w:pPr>
        <w:widowControl/>
        <w:shd w:val="clear" w:color="auto" w:fill="FFFFFF"/>
        <w:adjustRightInd w:val="0"/>
        <w:snapToGrid w:val="0"/>
        <w:spacing w:line="360" w:lineRule="auto"/>
        <w:jc w:val="left"/>
        <w:rPr>
          <w:rFonts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14:textFill>
            <w14:solidFill>
              <w14:schemeClr w14:val="tx1"/>
            </w14:solidFill>
          </w14:textFill>
        </w:rPr>
        <w:t>附件</w:t>
      </w:r>
      <w:r>
        <w:rPr>
          <w:rFonts w:ascii="Times New Roman" w:hAnsi="Times New Roman" w:eastAsia="黑体" w:cs="Times New Roman"/>
          <w:bCs/>
          <w:color w:val="000000" w:themeColor="text1"/>
          <w:sz w:val="32"/>
          <w:szCs w:val="32"/>
          <w14:textFill>
            <w14:solidFill>
              <w14:schemeClr w14:val="tx1"/>
            </w14:solidFill>
          </w14:textFill>
        </w:rPr>
        <w:t>2</w:t>
      </w:r>
    </w:p>
    <w:p>
      <w:pPr>
        <w:widowControl/>
        <w:shd w:val="clear" w:color="auto" w:fill="FFFFFF"/>
        <w:adjustRightInd w:val="0"/>
        <w:snapToGrid w:val="0"/>
        <w:spacing w:line="360" w:lineRule="auto"/>
        <w:ind w:firstLine="480"/>
        <w:jc w:val="left"/>
        <w:rPr>
          <w:rFonts w:ascii="Times New Roman" w:hAnsi="Times New Roman" w:eastAsia="黑体" w:cs="Times New Roman"/>
          <w:bCs/>
          <w:color w:val="000000" w:themeColor="text1"/>
          <w:sz w:val="32"/>
          <w:szCs w:val="32"/>
          <w14:textFill>
            <w14:solidFill>
              <w14:schemeClr w14:val="tx1"/>
            </w14:solidFill>
          </w14:textFill>
        </w:rPr>
      </w:pPr>
    </w:p>
    <w:p>
      <w:pPr>
        <w:shd w:val="clear" w:color="auto" w:fill="FFFFFF"/>
        <w:adjustRightInd w:val="0"/>
        <w:snapToGrid w:val="0"/>
        <w:spacing w:line="570" w:lineRule="exact"/>
        <w:jc w:val="center"/>
        <w:rPr>
          <w:rFonts w:ascii="Times New Roman" w:hAnsi="Times New Roman" w:eastAsia="方正小标宋简体" w:cs="Times New Roman"/>
          <w:bCs/>
          <w:color w:val="000000" w:themeColor="text1"/>
          <w:sz w:val="44"/>
          <w:szCs w:val="28"/>
          <w14:textFill>
            <w14:solidFill>
              <w14:schemeClr w14:val="tx1"/>
            </w14:solidFill>
          </w14:textFill>
        </w:rPr>
      </w:pPr>
      <w:r>
        <w:rPr>
          <w:rFonts w:ascii="Times New Roman" w:hAnsi="Times New Roman" w:eastAsia="方正小标宋简体" w:cs="Times New Roman"/>
          <w:bCs/>
          <w:color w:val="000000" w:themeColor="text1"/>
          <w:sz w:val="44"/>
          <w:szCs w:val="28"/>
          <w14:textFill>
            <w14:solidFill>
              <w14:schemeClr w14:val="tx1"/>
            </w14:solidFill>
          </w14:textFill>
        </w:rPr>
        <w:t>阳东区城区国有建设用地级别基准地价结果表</w:t>
      </w:r>
    </w:p>
    <w:p>
      <w:pPr>
        <w:shd w:val="clear" w:color="auto" w:fill="FFFFFF"/>
        <w:adjustRightInd w:val="0"/>
        <w:snapToGrid w:val="0"/>
        <w:spacing w:line="570" w:lineRule="exact"/>
        <w:jc w:val="center"/>
        <w:rPr>
          <w:rFonts w:ascii="Times New Roman" w:hAnsi="Times New Roman" w:eastAsia="方正小标宋简体" w:cs="Times New Roman"/>
          <w:bCs/>
          <w:color w:val="000000" w:themeColor="text1"/>
          <w:sz w:val="44"/>
          <w:szCs w:val="28"/>
          <w14:textFill>
            <w14:solidFill>
              <w14:schemeClr w14:val="tx1"/>
            </w14:solidFill>
          </w14:textFill>
        </w:rPr>
      </w:pPr>
    </w:p>
    <w:tbl>
      <w:tblPr>
        <w:tblStyle w:val="5"/>
        <w:tblW w:w="8710"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531"/>
        <w:gridCol w:w="1155"/>
        <w:gridCol w:w="1204"/>
        <w:gridCol w:w="1204"/>
        <w:gridCol w:w="1204"/>
        <w:gridCol w:w="1204"/>
        <w:gridCol w:w="120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3" w:hRule="atLeast"/>
          <w:tblHeader/>
          <w:jc w:val="center"/>
        </w:trPr>
        <w:tc>
          <w:tcPr>
            <w:tcW w:w="1531" w:type="dxa"/>
            <w:tcBorders>
              <w:tl2br w:val="single" w:color="auto" w:sz="6" w:space="0"/>
            </w:tcBorders>
          </w:tcPr>
          <w:p>
            <w:pPr>
              <w:pStyle w:val="8"/>
              <w:adjustRightInd w:val="0"/>
              <w:snapToGrid w:val="0"/>
              <w:jc w:val="right"/>
              <w:rPr>
                <w:rFonts w:ascii="Times New Roman" w:hAnsi="Times New Roman" w:eastAsia="黑体" w:cs="Times New Roman"/>
                <w:sz w:val="24"/>
                <w:szCs w:val="24"/>
              </w:rPr>
            </w:pPr>
            <w:r>
              <w:rPr>
                <w:rFonts w:ascii="Times New Roman" w:hAnsi="Times New Roman" w:eastAsia="黑体" w:cs="Times New Roman"/>
                <w:sz w:val="24"/>
                <w:szCs w:val="24"/>
                <w:lang w:val="en-US"/>
              </w:rPr>
              <w:t>价格</w:t>
            </w:r>
          </w:p>
          <w:p>
            <w:pPr>
              <w:pStyle w:val="8"/>
              <w:adjustRightInd w:val="0"/>
              <w:snapToGrid w:val="0"/>
              <w:jc w:val="left"/>
              <w:rPr>
                <w:rFonts w:ascii="Times New Roman" w:hAnsi="Times New Roman" w:eastAsia="黑体" w:cs="Times New Roman"/>
                <w:sz w:val="24"/>
                <w:szCs w:val="24"/>
              </w:rPr>
            </w:pPr>
            <w:r>
              <w:rPr>
                <w:rFonts w:ascii="Times New Roman" w:hAnsi="Times New Roman" w:eastAsia="黑体" w:cs="Times New Roman"/>
                <w:sz w:val="24"/>
                <w:szCs w:val="24"/>
                <w:lang w:val="en-US"/>
              </w:rPr>
              <w:t>用途</w:t>
            </w:r>
          </w:p>
        </w:tc>
        <w:tc>
          <w:tcPr>
            <w:tcW w:w="1155" w:type="dxa"/>
            <w:vAlign w:val="center"/>
          </w:tcPr>
          <w:p>
            <w:pPr>
              <w:pStyle w:val="8"/>
              <w:adjustRightInd w:val="0"/>
              <w:snapToGrid w:val="0"/>
              <w:rPr>
                <w:rFonts w:ascii="Times New Roman" w:hAnsi="Times New Roman" w:eastAsia="黑体" w:cs="Times New Roman"/>
                <w:sz w:val="24"/>
                <w:szCs w:val="24"/>
                <w:lang w:val="en-US"/>
              </w:rPr>
            </w:pPr>
            <w:r>
              <w:rPr>
                <w:rFonts w:ascii="Times New Roman" w:hAnsi="Times New Roman" w:eastAsia="黑体" w:cs="Times New Roman"/>
                <w:sz w:val="24"/>
                <w:szCs w:val="24"/>
                <w:lang w:val="en-US"/>
              </w:rPr>
              <w:t>价格类型</w:t>
            </w:r>
          </w:p>
        </w:tc>
        <w:tc>
          <w:tcPr>
            <w:tcW w:w="1204" w:type="dxa"/>
            <w:vAlign w:val="center"/>
          </w:tcPr>
          <w:p>
            <w:pPr>
              <w:pStyle w:val="8"/>
              <w:adjustRightInd w:val="0"/>
              <w:snapToGrid w:val="0"/>
              <w:rPr>
                <w:rFonts w:ascii="Times New Roman" w:hAnsi="Times New Roman" w:eastAsia="黑体" w:cs="Times New Roman"/>
                <w:sz w:val="24"/>
                <w:szCs w:val="24"/>
                <w:lang w:val="en-US"/>
              </w:rPr>
            </w:pPr>
            <w:r>
              <w:rPr>
                <w:rFonts w:ascii="Times New Roman" w:hAnsi="Times New Roman" w:eastAsia="黑体" w:cs="Times New Roman"/>
                <w:sz w:val="24"/>
                <w:szCs w:val="24"/>
                <w:lang w:val="en-US"/>
              </w:rPr>
              <w:t>单位</w:t>
            </w:r>
          </w:p>
        </w:tc>
        <w:tc>
          <w:tcPr>
            <w:tcW w:w="1204" w:type="dxa"/>
            <w:vAlign w:val="center"/>
          </w:tcPr>
          <w:p>
            <w:pPr>
              <w:pStyle w:val="8"/>
              <w:adjustRightInd w:val="0"/>
              <w:snapToGrid w:val="0"/>
              <w:rPr>
                <w:rFonts w:ascii="Times New Roman" w:hAnsi="Times New Roman" w:eastAsia="黑体" w:cs="Times New Roman"/>
                <w:sz w:val="24"/>
                <w:szCs w:val="24"/>
              </w:rPr>
            </w:pPr>
            <w:r>
              <w:rPr>
                <w:rFonts w:ascii="Times New Roman" w:hAnsi="Times New Roman" w:eastAsia="黑体" w:cs="Times New Roman"/>
                <w:sz w:val="24"/>
                <w:szCs w:val="24"/>
              </w:rPr>
              <w:t>Ⅰ级</w:t>
            </w:r>
          </w:p>
        </w:tc>
        <w:tc>
          <w:tcPr>
            <w:tcW w:w="1204" w:type="dxa"/>
            <w:vAlign w:val="center"/>
          </w:tcPr>
          <w:p>
            <w:pPr>
              <w:pStyle w:val="8"/>
              <w:adjustRightInd w:val="0"/>
              <w:snapToGrid w:val="0"/>
              <w:rPr>
                <w:rFonts w:ascii="Times New Roman" w:hAnsi="Times New Roman" w:eastAsia="黑体" w:cs="Times New Roman"/>
                <w:sz w:val="24"/>
                <w:szCs w:val="24"/>
              </w:rPr>
            </w:pPr>
            <w:r>
              <w:rPr>
                <w:rFonts w:ascii="Times New Roman" w:hAnsi="Times New Roman" w:eastAsia="黑体" w:cs="Times New Roman"/>
                <w:sz w:val="24"/>
                <w:szCs w:val="24"/>
              </w:rPr>
              <w:t>Ⅱ级</w:t>
            </w:r>
          </w:p>
        </w:tc>
        <w:tc>
          <w:tcPr>
            <w:tcW w:w="1204" w:type="dxa"/>
            <w:vAlign w:val="center"/>
          </w:tcPr>
          <w:p>
            <w:pPr>
              <w:pStyle w:val="8"/>
              <w:adjustRightInd w:val="0"/>
              <w:snapToGrid w:val="0"/>
              <w:rPr>
                <w:rFonts w:ascii="Times New Roman" w:hAnsi="Times New Roman" w:eastAsia="黑体" w:cs="Times New Roman"/>
                <w:sz w:val="24"/>
                <w:szCs w:val="24"/>
              </w:rPr>
            </w:pPr>
            <w:r>
              <w:rPr>
                <w:rFonts w:ascii="Times New Roman" w:hAnsi="Times New Roman" w:eastAsia="黑体" w:cs="Times New Roman"/>
                <w:sz w:val="24"/>
                <w:szCs w:val="24"/>
              </w:rPr>
              <w:t>Ⅲ级</w:t>
            </w:r>
          </w:p>
        </w:tc>
        <w:tc>
          <w:tcPr>
            <w:tcW w:w="1208" w:type="dxa"/>
            <w:vAlign w:val="center"/>
          </w:tcPr>
          <w:p>
            <w:pPr>
              <w:pStyle w:val="8"/>
              <w:adjustRightInd w:val="0"/>
              <w:snapToGrid w:val="0"/>
              <w:rPr>
                <w:rFonts w:ascii="Times New Roman" w:hAnsi="Times New Roman" w:eastAsia="黑体" w:cs="Times New Roman"/>
                <w:sz w:val="24"/>
                <w:szCs w:val="24"/>
              </w:rPr>
            </w:pPr>
            <w:r>
              <w:rPr>
                <w:rFonts w:ascii="Times New Roman" w:hAnsi="Times New Roman" w:eastAsia="黑体" w:cs="Times New Roman"/>
                <w:sz w:val="24"/>
                <w:szCs w:val="24"/>
              </w:rPr>
              <w:t>Ⅳ级</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restart"/>
            <w:vAlign w:val="center"/>
          </w:tcPr>
          <w:p>
            <w:pPr>
              <w:pStyle w:val="8"/>
              <w:adjustRightInd w:val="0"/>
              <w:snapToGrid w:val="0"/>
              <w:rPr>
                <w:rFonts w:ascii="Times New Roman" w:hAnsi="Times New Roman" w:eastAsia="方正仿宋简体" w:cs="Times New Roman"/>
                <w:b/>
                <w:sz w:val="24"/>
                <w:szCs w:val="24"/>
              </w:rPr>
            </w:pPr>
            <w:r>
              <w:rPr>
                <w:rFonts w:ascii="Times New Roman" w:hAnsi="Times New Roman" w:eastAsia="方正仿宋简体" w:cs="Times New Roman"/>
                <w:b/>
                <w:sz w:val="24"/>
                <w:szCs w:val="24"/>
              </w:rPr>
              <w:t>商服用地</w:t>
            </w:r>
          </w:p>
        </w:tc>
        <w:tc>
          <w:tcPr>
            <w:tcW w:w="1155"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楼面地价</w:t>
            </w: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元/m</w:t>
            </w:r>
            <w:r>
              <w:rPr>
                <w:rFonts w:ascii="Times New Roman" w:hAnsi="Times New Roman" w:eastAsia="方正仿宋简体" w:cs="Times New Roman"/>
                <w:bCs/>
                <w:sz w:val="24"/>
                <w:vertAlign w:val="superscript"/>
              </w:rPr>
              <w:t>2</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1058</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795</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642</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505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continue"/>
            <w:vAlign w:val="center"/>
          </w:tcPr>
          <w:p>
            <w:pPr>
              <w:pStyle w:val="8"/>
              <w:adjustRightInd w:val="0"/>
              <w:snapToGrid w:val="0"/>
              <w:rPr>
                <w:rFonts w:ascii="Times New Roman" w:hAnsi="Times New Roman" w:eastAsia="方正仿宋简体" w:cs="Times New Roman"/>
                <w:b/>
                <w:sz w:val="24"/>
                <w:szCs w:val="24"/>
              </w:rPr>
            </w:pPr>
          </w:p>
        </w:tc>
        <w:tc>
          <w:tcPr>
            <w:tcW w:w="1155" w:type="dxa"/>
            <w:vMerge w:val="restart"/>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单位地价</w:t>
            </w: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元/m</w:t>
            </w:r>
            <w:r>
              <w:rPr>
                <w:rFonts w:ascii="Times New Roman" w:hAnsi="Times New Roman" w:eastAsia="方正仿宋简体" w:cs="Times New Roman"/>
                <w:bCs/>
                <w:sz w:val="24"/>
                <w:vertAlign w:val="superscript"/>
              </w:rPr>
              <w:t>2</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2116</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1590</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1284</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1010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continue"/>
            <w:vAlign w:val="center"/>
          </w:tcPr>
          <w:p>
            <w:pPr>
              <w:pStyle w:val="8"/>
              <w:adjustRightInd w:val="0"/>
              <w:snapToGrid w:val="0"/>
              <w:rPr>
                <w:rFonts w:ascii="Times New Roman" w:hAnsi="Times New Roman" w:eastAsia="方正仿宋简体" w:cs="Times New Roman"/>
                <w:b/>
                <w:sz w:val="24"/>
                <w:szCs w:val="24"/>
              </w:rPr>
            </w:pPr>
          </w:p>
        </w:tc>
        <w:tc>
          <w:tcPr>
            <w:tcW w:w="1155" w:type="dxa"/>
            <w:vMerge w:val="continue"/>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万元/亩</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141.07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106.00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85.60 </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67.33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restart"/>
            <w:vAlign w:val="center"/>
          </w:tcPr>
          <w:p>
            <w:pPr>
              <w:pStyle w:val="8"/>
              <w:adjustRightInd w:val="0"/>
              <w:snapToGrid w:val="0"/>
              <w:rPr>
                <w:rFonts w:ascii="Times New Roman" w:hAnsi="Times New Roman" w:eastAsia="方正仿宋简体" w:cs="Times New Roman"/>
                <w:b/>
                <w:sz w:val="24"/>
                <w:szCs w:val="24"/>
              </w:rPr>
            </w:pPr>
            <w:r>
              <w:rPr>
                <w:rFonts w:ascii="Times New Roman" w:hAnsi="Times New Roman" w:eastAsia="方正仿宋简体" w:cs="Times New Roman"/>
                <w:b/>
                <w:sz w:val="24"/>
                <w:szCs w:val="24"/>
              </w:rPr>
              <w:t>住宅用地</w:t>
            </w:r>
          </w:p>
        </w:tc>
        <w:tc>
          <w:tcPr>
            <w:tcW w:w="1155"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楼面地价</w:t>
            </w: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元/m</w:t>
            </w:r>
            <w:r>
              <w:rPr>
                <w:rFonts w:ascii="Times New Roman" w:hAnsi="Times New Roman" w:eastAsia="方正仿宋简体" w:cs="Times New Roman"/>
                <w:bCs/>
                <w:sz w:val="24"/>
                <w:vertAlign w:val="superscript"/>
              </w:rPr>
              <w:t>2</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705</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558</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437</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325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continue"/>
            <w:vAlign w:val="center"/>
          </w:tcPr>
          <w:p>
            <w:pPr>
              <w:pStyle w:val="8"/>
              <w:adjustRightInd w:val="0"/>
              <w:snapToGrid w:val="0"/>
              <w:rPr>
                <w:rFonts w:ascii="Times New Roman" w:hAnsi="Times New Roman" w:eastAsia="方正仿宋简体" w:cs="Times New Roman"/>
                <w:b/>
                <w:sz w:val="24"/>
                <w:szCs w:val="24"/>
              </w:rPr>
            </w:pPr>
          </w:p>
        </w:tc>
        <w:tc>
          <w:tcPr>
            <w:tcW w:w="1155" w:type="dxa"/>
            <w:vMerge w:val="restart"/>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单位地价</w:t>
            </w: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元/m</w:t>
            </w:r>
            <w:r>
              <w:rPr>
                <w:rFonts w:ascii="Times New Roman" w:hAnsi="Times New Roman" w:eastAsia="方正仿宋简体" w:cs="Times New Roman"/>
                <w:bCs/>
                <w:sz w:val="24"/>
                <w:vertAlign w:val="superscript"/>
              </w:rPr>
              <w:t>2</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1410</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1116</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874</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650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continue"/>
            <w:vAlign w:val="center"/>
          </w:tcPr>
          <w:p>
            <w:pPr>
              <w:pStyle w:val="8"/>
              <w:adjustRightInd w:val="0"/>
              <w:snapToGrid w:val="0"/>
              <w:rPr>
                <w:rFonts w:ascii="Times New Roman" w:hAnsi="Times New Roman" w:eastAsia="方正仿宋简体" w:cs="Times New Roman"/>
                <w:b/>
                <w:sz w:val="24"/>
                <w:szCs w:val="24"/>
              </w:rPr>
            </w:pPr>
          </w:p>
        </w:tc>
        <w:tc>
          <w:tcPr>
            <w:tcW w:w="1155" w:type="dxa"/>
            <w:vMerge w:val="continue"/>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万元/亩</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94.00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74.40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58.27 </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43.33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restart"/>
            <w:vAlign w:val="center"/>
          </w:tcPr>
          <w:p>
            <w:pPr>
              <w:pStyle w:val="8"/>
              <w:adjustRightInd w:val="0"/>
              <w:snapToGrid w:val="0"/>
              <w:rPr>
                <w:rFonts w:ascii="Times New Roman" w:hAnsi="Times New Roman" w:eastAsia="方正仿宋简体" w:cs="Times New Roman"/>
                <w:b/>
                <w:sz w:val="24"/>
                <w:szCs w:val="24"/>
              </w:rPr>
            </w:pPr>
            <w:r>
              <w:rPr>
                <w:rFonts w:ascii="Times New Roman" w:hAnsi="Times New Roman" w:eastAsia="方正仿宋简体" w:cs="Times New Roman"/>
                <w:b/>
                <w:sz w:val="24"/>
                <w:szCs w:val="24"/>
                <w:lang w:val="en-US"/>
              </w:rPr>
              <w:t>工业</w:t>
            </w:r>
            <w:r>
              <w:rPr>
                <w:rFonts w:ascii="Times New Roman" w:hAnsi="Times New Roman" w:eastAsia="方正仿宋简体" w:cs="Times New Roman"/>
                <w:b/>
                <w:sz w:val="24"/>
                <w:szCs w:val="24"/>
              </w:rPr>
              <w:t>用地</w:t>
            </w:r>
          </w:p>
        </w:tc>
        <w:tc>
          <w:tcPr>
            <w:tcW w:w="1155" w:type="dxa"/>
            <w:vMerge w:val="restart"/>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单位地价</w:t>
            </w: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元/m</w:t>
            </w:r>
            <w:r>
              <w:rPr>
                <w:rFonts w:ascii="Times New Roman" w:hAnsi="Times New Roman" w:eastAsia="方正仿宋简体" w:cs="Times New Roman"/>
                <w:bCs/>
                <w:sz w:val="24"/>
                <w:vertAlign w:val="superscript"/>
              </w:rPr>
              <w:t>2</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555</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415</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300</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continue"/>
            <w:vAlign w:val="center"/>
          </w:tcPr>
          <w:p>
            <w:pPr>
              <w:pStyle w:val="8"/>
              <w:adjustRightInd w:val="0"/>
              <w:snapToGrid w:val="0"/>
              <w:rPr>
                <w:rFonts w:ascii="Times New Roman" w:hAnsi="Times New Roman" w:eastAsia="方正仿宋简体" w:cs="Times New Roman"/>
                <w:b/>
                <w:sz w:val="24"/>
                <w:szCs w:val="24"/>
              </w:rPr>
            </w:pPr>
          </w:p>
        </w:tc>
        <w:tc>
          <w:tcPr>
            <w:tcW w:w="1155" w:type="dxa"/>
            <w:vMerge w:val="continue"/>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万元/亩</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37.00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27.67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20.00 </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restart"/>
            <w:vAlign w:val="center"/>
          </w:tcPr>
          <w:p>
            <w:pPr>
              <w:pStyle w:val="8"/>
              <w:adjustRightInd w:val="0"/>
              <w:snapToGrid w:val="0"/>
              <w:rPr>
                <w:rFonts w:ascii="Times New Roman" w:hAnsi="Times New Roman" w:eastAsia="方正仿宋简体" w:cs="Times New Roman"/>
                <w:b/>
                <w:sz w:val="24"/>
                <w:szCs w:val="24"/>
                <w:lang w:val="en-US"/>
              </w:rPr>
            </w:pPr>
            <w:r>
              <w:rPr>
                <w:rFonts w:ascii="Times New Roman" w:hAnsi="Times New Roman" w:eastAsia="方正仿宋简体" w:cs="Times New Roman"/>
                <w:b/>
                <w:sz w:val="24"/>
                <w:szCs w:val="24"/>
                <w:lang w:val="en-US"/>
              </w:rPr>
              <w:t>公共管理与公共服务用地</w:t>
            </w:r>
          </w:p>
        </w:tc>
        <w:tc>
          <w:tcPr>
            <w:tcW w:w="1155" w:type="dxa"/>
            <w:vMerge w:val="restart"/>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单位地价</w:t>
            </w: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元/m</w:t>
            </w:r>
            <w:r>
              <w:rPr>
                <w:rFonts w:ascii="Times New Roman" w:hAnsi="Times New Roman" w:eastAsia="方正仿宋简体" w:cs="Times New Roman"/>
                <w:bCs/>
                <w:sz w:val="24"/>
                <w:vertAlign w:val="superscript"/>
              </w:rPr>
              <w:t>2</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608</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460</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325</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continue"/>
            <w:vAlign w:val="center"/>
          </w:tcPr>
          <w:p>
            <w:pPr>
              <w:pStyle w:val="8"/>
              <w:adjustRightInd w:val="0"/>
              <w:snapToGrid w:val="0"/>
              <w:rPr>
                <w:rFonts w:ascii="Times New Roman" w:hAnsi="Times New Roman" w:eastAsia="方正仿宋简体" w:cs="Times New Roman"/>
                <w:b/>
                <w:sz w:val="24"/>
                <w:szCs w:val="24"/>
              </w:rPr>
            </w:pPr>
          </w:p>
        </w:tc>
        <w:tc>
          <w:tcPr>
            <w:tcW w:w="1155" w:type="dxa"/>
            <w:vMerge w:val="continue"/>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万元/亩</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40.53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30.67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21.67 </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restart"/>
            <w:vAlign w:val="center"/>
          </w:tcPr>
          <w:p>
            <w:pPr>
              <w:pStyle w:val="8"/>
              <w:adjustRightInd w:val="0"/>
              <w:snapToGrid w:val="0"/>
              <w:rPr>
                <w:rFonts w:ascii="Times New Roman" w:hAnsi="Times New Roman" w:eastAsia="方正仿宋简体" w:cs="Times New Roman"/>
                <w:b/>
                <w:sz w:val="24"/>
                <w:szCs w:val="24"/>
                <w:lang w:val="en-US"/>
              </w:rPr>
            </w:pPr>
            <w:r>
              <w:rPr>
                <w:rFonts w:ascii="Times New Roman" w:hAnsi="Times New Roman" w:eastAsia="方正仿宋简体" w:cs="Times New Roman"/>
                <w:b/>
                <w:sz w:val="24"/>
                <w:szCs w:val="24"/>
                <w:lang w:val="en-US"/>
              </w:rPr>
              <w:t>公用设施用地</w:t>
            </w:r>
          </w:p>
        </w:tc>
        <w:tc>
          <w:tcPr>
            <w:tcW w:w="1155" w:type="dxa"/>
            <w:vMerge w:val="restart"/>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单位地价</w:t>
            </w: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sz w:val="24"/>
              </w:rPr>
              <w:t>元/m</w:t>
            </w:r>
            <w:r>
              <w:rPr>
                <w:rFonts w:ascii="Times New Roman" w:hAnsi="Times New Roman" w:eastAsia="方正仿宋简体" w:cs="Times New Roman"/>
                <w:bCs/>
                <w:sz w:val="24"/>
                <w:vertAlign w:val="superscript"/>
              </w:rPr>
              <w:t>2</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578</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445</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326</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7" w:hRule="atLeast"/>
          <w:jc w:val="center"/>
        </w:trPr>
        <w:tc>
          <w:tcPr>
            <w:tcW w:w="1531" w:type="dxa"/>
            <w:vMerge w:val="continue"/>
            <w:vAlign w:val="center"/>
          </w:tcPr>
          <w:p>
            <w:pPr>
              <w:pStyle w:val="8"/>
              <w:adjustRightInd w:val="0"/>
              <w:snapToGrid w:val="0"/>
              <w:rPr>
                <w:rFonts w:ascii="Times New Roman" w:hAnsi="Times New Roman" w:eastAsia="方正仿宋简体" w:cs="Times New Roman"/>
                <w:bCs/>
                <w:sz w:val="24"/>
                <w:szCs w:val="24"/>
              </w:rPr>
            </w:pPr>
          </w:p>
        </w:tc>
        <w:tc>
          <w:tcPr>
            <w:tcW w:w="1155" w:type="dxa"/>
            <w:vMerge w:val="continue"/>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p>
        </w:tc>
        <w:tc>
          <w:tcPr>
            <w:tcW w:w="1204" w:type="dxa"/>
            <w:vAlign w:val="center"/>
          </w:tcPr>
          <w:p>
            <w:pPr>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万元/亩</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38.53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29.67 </w:t>
            </w:r>
          </w:p>
        </w:tc>
        <w:tc>
          <w:tcPr>
            <w:tcW w:w="1204"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snapToGrid w:val="0"/>
                <w:color w:val="000000" w:themeColor="text1"/>
                <w:kern w:val="0"/>
                <w:sz w:val="24"/>
                <w:lang w:bidi="ar"/>
                <w14:textFill>
                  <w14:solidFill>
                    <w14:schemeClr w14:val="tx1"/>
                  </w14:solidFill>
                </w14:textFill>
              </w:rPr>
              <w:t xml:space="preserve">21.73 </w:t>
            </w:r>
          </w:p>
        </w:tc>
        <w:tc>
          <w:tcPr>
            <w:tcW w:w="1208" w:type="dxa"/>
            <w:vAlign w:val="center"/>
          </w:tcPr>
          <w:p>
            <w:pPr>
              <w:widowControl/>
              <w:jc w:val="center"/>
              <w:textAlignment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w:t>
            </w:r>
          </w:p>
        </w:tc>
      </w:tr>
    </w:tbl>
    <w:p>
      <w:pPr>
        <w:spacing w:line="300" w:lineRule="exact"/>
        <w:ind w:left="482"/>
        <w:rPr>
          <w:rFonts w:ascii="Times New Roman" w:hAnsi="Times New Roman" w:eastAsia="方正楷体简体" w:cs="Times New Roman"/>
          <w:sz w:val="24"/>
          <w:szCs w:val="32"/>
        </w:rPr>
      </w:pPr>
      <w:r>
        <w:rPr>
          <w:rFonts w:hint="eastAsia" w:ascii="Times New Roman" w:hAnsi="Times New Roman" w:eastAsia="方正楷体简体" w:cs="Times New Roman"/>
          <w:sz w:val="24"/>
          <w:szCs w:val="32"/>
        </w:rPr>
        <w:t>注：阳江市阳东区国有建设用地基准地价的空间准确表达详见《阳江市阳东区国有建设用地基准地价图》</w:t>
      </w:r>
    </w:p>
    <w:p>
      <w:pPr>
        <w:widowControl/>
        <w:jc w:val="left"/>
        <w:rPr>
          <w:rFonts w:ascii="Times New Roman" w:hAnsi="Times New Roman" w:eastAsia="宋体" w:cs="Times New Roman"/>
          <w:sz w:val="24"/>
          <w:szCs w:val="32"/>
        </w:rPr>
      </w:pPr>
      <w:r>
        <w:rPr>
          <w:rFonts w:ascii="Times New Roman" w:hAnsi="Times New Roman" w:eastAsia="宋体" w:cs="Times New Roman"/>
          <w:sz w:val="24"/>
          <w:szCs w:val="32"/>
        </w:rPr>
        <w:br w:type="page"/>
      </w:r>
    </w:p>
    <w:p>
      <w:pPr>
        <w:widowControl/>
        <w:shd w:val="clear" w:color="auto" w:fill="FFFFFF"/>
        <w:adjustRightInd w:val="0"/>
        <w:snapToGrid w:val="0"/>
        <w:spacing w:line="360" w:lineRule="auto"/>
        <w:jc w:val="left"/>
        <w:rPr>
          <w:rFonts w:ascii="Times New Roman" w:hAnsi="Times New Roman" w:eastAsia="黑体" w:cs="Times New Roman"/>
          <w:bCs/>
          <w:color w:val="000000" w:themeColor="text1"/>
          <w:sz w:val="28"/>
          <w:szCs w:val="28"/>
          <w14:textFill>
            <w14:solidFill>
              <w14:schemeClr w14:val="tx1"/>
            </w14:solidFill>
          </w14:textFill>
        </w:rPr>
      </w:pPr>
      <w:r>
        <w:rPr>
          <w:rFonts w:ascii="Times New Roman" w:hAnsi="Times New Roman" w:eastAsia="黑体" w:cs="Times New Roman"/>
          <w:bCs/>
          <w:color w:val="000000" w:themeColor="text1"/>
          <w:sz w:val="28"/>
          <w:szCs w:val="28"/>
          <w14:textFill>
            <w14:solidFill>
              <w14:schemeClr w14:val="tx1"/>
            </w14:solidFill>
          </w14:textFill>
        </w:rPr>
        <w:t>附件3</w:t>
      </w:r>
    </w:p>
    <w:p>
      <w:pPr>
        <w:widowControl/>
        <w:shd w:val="clear" w:color="auto" w:fill="FFFFFF"/>
        <w:adjustRightInd w:val="0"/>
        <w:snapToGrid w:val="0"/>
        <w:spacing w:line="360" w:lineRule="auto"/>
        <w:ind w:firstLine="482"/>
        <w:jc w:val="left"/>
        <w:rPr>
          <w:rFonts w:ascii="Times New Roman" w:hAnsi="Times New Roman" w:eastAsia="黑体" w:cs="Times New Roman"/>
          <w:bCs/>
          <w:color w:val="000000" w:themeColor="text1"/>
          <w:sz w:val="28"/>
          <w:szCs w:val="28"/>
          <w14:textFill>
            <w14:solidFill>
              <w14:schemeClr w14:val="tx1"/>
            </w14:solidFill>
          </w14:textFill>
        </w:rPr>
      </w:pPr>
    </w:p>
    <w:p>
      <w:pPr>
        <w:shd w:val="clear" w:color="auto" w:fill="FFFFFF"/>
        <w:adjustRightInd w:val="0"/>
        <w:snapToGrid w:val="0"/>
        <w:spacing w:line="570" w:lineRule="exact"/>
        <w:jc w:val="center"/>
        <w:rPr>
          <w:rFonts w:ascii="Times New Roman" w:hAnsi="Times New Roman" w:eastAsia="方正小标宋简体" w:cs="Times New Roman"/>
          <w:bCs/>
          <w:color w:val="000000" w:themeColor="text1"/>
          <w:sz w:val="44"/>
          <w:szCs w:val="28"/>
          <w14:textFill>
            <w14:solidFill>
              <w14:schemeClr w14:val="tx1"/>
            </w14:solidFill>
          </w14:textFill>
        </w:rPr>
      </w:pPr>
      <w:r>
        <w:rPr>
          <w:rFonts w:ascii="Times New Roman" w:hAnsi="Times New Roman" w:eastAsia="方正小标宋简体" w:cs="Times New Roman"/>
          <w:bCs/>
          <w:color w:val="000000" w:themeColor="text1"/>
          <w:sz w:val="44"/>
          <w:szCs w:val="28"/>
          <w14:textFill>
            <w14:solidFill>
              <w14:schemeClr w14:val="tx1"/>
            </w14:solidFill>
          </w14:textFill>
        </w:rPr>
        <w:t>阳东区城区二级用地类型修正系数表</w:t>
      </w:r>
    </w:p>
    <w:tbl>
      <w:tblPr>
        <w:tblStyle w:val="5"/>
        <w:tblW w:w="104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6"/>
        <w:gridCol w:w="2316"/>
        <w:gridCol w:w="992"/>
        <w:gridCol w:w="567"/>
        <w:gridCol w:w="56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blHeader/>
          <w:jc w:val="center"/>
        </w:trPr>
        <w:tc>
          <w:tcPr>
            <w:tcW w:w="936" w:type="dxa"/>
            <w:tcBorders>
              <w:bottom w:val="single" w:color="000000" w:sz="4" w:space="0"/>
            </w:tcBorders>
            <w:vAlign w:val="center"/>
          </w:tcPr>
          <w:p>
            <w:pPr>
              <w:autoSpaceDE w:val="0"/>
              <w:autoSpaceDN w:val="0"/>
              <w:adjustRightInd w:val="0"/>
              <w:snapToGrid w:val="0"/>
              <w:jc w:val="center"/>
              <w:rPr>
                <w:rFonts w:ascii="Times New Roman" w:hAnsi="Times New Roman" w:eastAsia="黑体" w:cs="Times New Roman"/>
                <w:color w:val="000000" w:themeColor="text1"/>
                <w:sz w:val="22"/>
                <w:szCs w:val="22"/>
                <w14:textFill>
                  <w14:solidFill>
                    <w14:schemeClr w14:val="tx1"/>
                  </w14:solidFill>
                </w14:textFill>
              </w:rPr>
            </w:pPr>
            <w:r>
              <w:rPr>
                <w:rFonts w:ascii="Times New Roman" w:hAnsi="Times New Roman" w:eastAsia="黑体" w:cs="Times New Roman"/>
                <w:color w:val="000000" w:themeColor="text1"/>
                <w:sz w:val="22"/>
                <w:szCs w:val="22"/>
                <w14:textFill>
                  <w14:solidFill>
                    <w14:schemeClr w14:val="tx1"/>
                  </w14:solidFill>
                </w14:textFill>
              </w:rPr>
              <w:t>一级用地类别</w:t>
            </w:r>
          </w:p>
        </w:tc>
        <w:tc>
          <w:tcPr>
            <w:tcW w:w="2316" w:type="dxa"/>
            <w:tcBorders>
              <w:bottom w:val="single" w:color="000000" w:sz="4" w:space="0"/>
            </w:tcBorders>
            <w:vAlign w:val="center"/>
          </w:tcPr>
          <w:p>
            <w:pPr>
              <w:autoSpaceDE w:val="0"/>
              <w:autoSpaceDN w:val="0"/>
              <w:adjustRightInd w:val="0"/>
              <w:snapToGrid w:val="0"/>
              <w:jc w:val="center"/>
              <w:rPr>
                <w:rFonts w:ascii="Times New Roman" w:hAnsi="Times New Roman" w:eastAsia="黑体" w:cs="Times New Roman"/>
                <w:color w:val="000000" w:themeColor="text1"/>
                <w:sz w:val="22"/>
                <w:szCs w:val="22"/>
                <w14:textFill>
                  <w14:solidFill>
                    <w14:schemeClr w14:val="tx1"/>
                  </w14:solidFill>
                </w14:textFill>
              </w:rPr>
            </w:pPr>
            <w:r>
              <w:rPr>
                <w:rFonts w:ascii="Times New Roman" w:hAnsi="Times New Roman" w:eastAsia="黑体" w:cs="Times New Roman"/>
                <w:color w:val="000000" w:themeColor="text1"/>
                <w:sz w:val="22"/>
                <w:szCs w:val="22"/>
                <w14:textFill>
                  <w14:solidFill>
                    <w14:schemeClr w14:val="tx1"/>
                  </w14:solidFill>
                </w14:textFill>
              </w:rPr>
              <w:t>用地类型</w:t>
            </w:r>
          </w:p>
        </w:tc>
        <w:tc>
          <w:tcPr>
            <w:tcW w:w="992" w:type="dxa"/>
            <w:tcBorders>
              <w:bottom w:val="single" w:color="000000" w:sz="4" w:space="0"/>
            </w:tcBorders>
            <w:vAlign w:val="center"/>
          </w:tcPr>
          <w:p>
            <w:pPr>
              <w:autoSpaceDE w:val="0"/>
              <w:autoSpaceDN w:val="0"/>
              <w:adjustRightInd w:val="0"/>
              <w:snapToGrid w:val="0"/>
              <w:jc w:val="center"/>
              <w:rPr>
                <w:rFonts w:ascii="Times New Roman" w:hAnsi="Times New Roman" w:eastAsia="黑体" w:cs="Times New Roman"/>
                <w:color w:val="000000" w:themeColor="text1"/>
                <w:sz w:val="22"/>
                <w:szCs w:val="22"/>
                <w14:textFill>
                  <w14:solidFill>
                    <w14:schemeClr w14:val="tx1"/>
                  </w14:solidFill>
                </w14:textFill>
              </w:rPr>
            </w:pPr>
            <w:r>
              <w:rPr>
                <w:rFonts w:ascii="Times New Roman" w:hAnsi="Times New Roman" w:eastAsia="黑体" w:cs="Times New Roman"/>
                <w:color w:val="000000" w:themeColor="text1"/>
                <w:sz w:val="22"/>
                <w:szCs w:val="22"/>
                <w14:textFill>
                  <w14:solidFill>
                    <w14:schemeClr w14:val="tx1"/>
                  </w14:solidFill>
                </w14:textFill>
              </w:rPr>
              <w:t>适用基准地价类型</w:t>
            </w:r>
          </w:p>
        </w:tc>
        <w:tc>
          <w:tcPr>
            <w:tcW w:w="567" w:type="dxa"/>
            <w:tcBorders>
              <w:bottom w:val="single" w:color="000000" w:sz="4" w:space="0"/>
            </w:tcBorders>
            <w:vAlign w:val="center"/>
          </w:tcPr>
          <w:p>
            <w:pPr>
              <w:autoSpaceDE w:val="0"/>
              <w:autoSpaceDN w:val="0"/>
              <w:adjustRightInd w:val="0"/>
              <w:snapToGrid w:val="0"/>
              <w:jc w:val="center"/>
              <w:rPr>
                <w:rFonts w:ascii="Times New Roman" w:hAnsi="Times New Roman" w:eastAsia="黑体" w:cs="Times New Roman"/>
                <w:color w:val="000000" w:themeColor="text1"/>
                <w:sz w:val="22"/>
                <w:szCs w:val="22"/>
                <w14:textFill>
                  <w14:solidFill>
                    <w14:schemeClr w14:val="tx1"/>
                  </w14:solidFill>
                </w14:textFill>
              </w:rPr>
            </w:pPr>
            <w:r>
              <w:rPr>
                <w:rFonts w:ascii="Times New Roman" w:hAnsi="Times New Roman" w:eastAsia="黑体" w:cs="Times New Roman"/>
                <w:color w:val="000000" w:themeColor="text1"/>
                <w:sz w:val="22"/>
                <w:szCs w:val="22"/>
                <w14:textFill>
                  <w14:solidFill>
                    <w14:schemeClr w14:val="tx1"/>
                  </w14:solidFill>
                </w14:textFill>
              </w:rPr>
              <w:t>修正系数</w:t>
            </w:r>
          </w:p>
        </w:tc>
        <w:tc>
          <w:tcPr>
            <w:tcW w:w="5622" w:type="dxa"/>
            <w:tcBorders>
              <w:bottom w:val="single" w:color="000000" w:sz="4" w:space="0"/>
            </w:tcBorders>
            <w:vAlign w:val="center"/>
          </w:tcPr>
          <w:p>
            <w:pPr>
              <w:autoSpaceDE w:val="0"/>
              <w:autoSpaceDN w:val="0"/>
              <w:adjustRightInd w:val="0"/>
              <w:snapToGrid w:val="0"/>
              <w:jc w:val="center"/>
              <w:rPr>
                <w:rFonts w:ascii="Times New Roman" w:hAnsi="Times New Roman" w:eastAsia="黑体" w:cs="Times New Roman"/>
                <w:color w:val="000000" w:themeColor="text1"/>
                <w:sz w:val="22"/>
                <w:szCs w:val="22"/>
                <w14:textFill>
                  <w14:solidFill>
                    <w14:schemeClr w14:val="tx1"/>
                  </w14:solidFill>
                </w14:textFill>
              </w:rPr>
            </w:pPr>
            <w:r>
              <w:rPr>
                <w:rFonts w:ascii="Times New Roman" w:hAnsi="Times New Roman" w:eastAsia="黑体" w:cs="Times New Roman"/>
                <w:color w:val="000000" w:themeColor="text1"/>
                <w:sz w:val="22"/>
                <w:szCs w:val="22"/>
                <w14:textFill>
                  <w14:solidFill>
                    <w14:schemeClr w14:val="tx1"/>
                  </w14:solidFill>
                </w14:textFill>
              </w:rPr>
              <w:t>含义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restart"/>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b/>
                <w:color w:val="000000" w:themeColor="text1"/>
                <w:sz w:val="22"/>
                <w:szCs w:val="22"/>
                <w14:textFill>
                  <w14:solidFill>
                    <w14:schemeClr w14:val="tx1"/>
                  </w14:solidFill>
                </w14:textFill>
              </w:rPr>
              <w:t>商业服务业用地</w:t>
            </w:r>
          </w:p>
        </w:tc>
        <w:tc>
          <w:tcPr>
            <w:tcW w:w="2316" w:type="dxa"/>
            <w:tcBorders>
              <w:top w:val="single" w:color="000000" w:sz="4" w:space="0"/>
              <w:bottom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090101 零售商业用地</w:t>
            </w:r>
          </w:p>
        </w:tc>
        <w:tc>
          <w:tcPr>
            <w:tcW w:w="992" w:type="dxa"/>
            <w:vMerge w:val="restart"/>
            <w:tcBorders>
              <w:top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商服用地</w:t>
            </w: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kern w:val="0"/>
                <w:sz w:val="22"/>
                <w:szCs w:val="22"/>
              </w:rPr>
              <w:t>指</w:t>
            </w:r>
            <w:r>
              <w:rPr>
                <w:rFonts w:ascii="Times New Roman" w:hAnsi="Times New Roman" w:eastAsia="方正仿宋简体" w:cs="Times New Roman"/>
                <w:kern w:val="0"/>
                <w:sz w:val="22"/>
                <w:szCs w:val="22"/>
              </w:rPr>
              <w:t>商铺、商场、超市、服装及小商品市场等用地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090102 批发市场用地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kern w:val="0"/>
                <w:sz w:val="22"/>
                <w:szCs w:val="22"/>
              </w:rPr>
              <w:t>指以批发功能为主的市场用地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090103 餐饮用地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0.7</w:t>
            </w:r>
          </w:p>
        </w:tc>
        <w:tc>
          <w:tcPr>
            <w:tcW w:w="5622" w:type="dxa"/>
            <w:tcBorders>
              <w:top w:val="single" w:color="000000" w:sz="4" w:space="0"/>
              <w:bottom w:val="single" w:color="000000" w:sz="4" w:space="0"/>
            </w:tcBorders>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kern w:val="0"/>
                <w:sz w:val="22"/>
                <w:szCs w:val="22"/>
              </w:rPr>
              <w:t>指</w:t>
            </w:r>
            <w:r>
              <w:rPr>
                <w:rFonts w:ascii="Times New Roman" w:hAnsi="Times New Roman" w:eastAsia="方正仿宋简体" w:cs="Times New Roman"/>
                <w:kern w:val="0"/>
                <w:sz w:val="22"/>
                <w:szCs w:val="22"/>
              </w:rPr>
              <w:t>饭店、餐厅、酒吧等用地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090104旅馆用地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0.6</w:t>
            </w:r>
          </w:p>
        </w:tc>
        <w:tc>
          <w:tcPr>
            <w:tcW w:w="5622" w:type="dxa"/>
            <w:tcBorders>
              <w:top w:val="single" w:color="000000" w:sz="4" w:space="0"/>
              <w:bottom w:val="single" w:color="000000" w:sz="4" w:space="0"/>
            </w:tcBorders>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宾馆、旅馆、招待所、服务型公寓、有住宿功能的度假村等用地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090105 公用设施营业网点用地</w:t>
            </w:r>
          </w:p>
        </w:tc>
        <w:tc>
          <w:tcPr>
            <w:tcW w:w="992" w:type="dxa"/>
            <w:vMerge w:val="continue"/>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p>
        </w:tc>
        <w:tc>
          <w:tcPr>
            <w:tcW w:w="567" w:type="dxa"/>
            <w:tcBorders>
              <w:top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1.8</w:t>
            </w:r>
          </w:p>
        </w:tc>
        <w:tc>
          <w:tcPr>
            <w:tcW w:w="5622" w:type="dxa"/>
            <w:tcBorders>
              <w:top w:val="single" w:color="000000" w:sz="4" w:space="0"/>
            </w:tcBorders>
            <w:shd w:val="clear" w:color="auto" w:fill="auto"/>
            <w:vAlign w:val="center"/>
          </w:tcPr>
          <w:p>
            <w:pPr>
              <w:widowControl/>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零售加油、加气、充换电站、电信、邮政、供水、燃气、供电、供热等公用设施营业网点用地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0902 商务金融用地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0.6</w:t>
            </w:r>
          </w:p>
        </w:tc>
        <w:tc>
          <w:tcPr>
            <w:tcW w:w="5622" w:type="dxa"/>
            <w:tcBorders>
              <w:top w:val="single" w:color="000000" w:sz="4" w:space="0"/>
            </w:tcBorders>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sz w:val="22"/>
                <w:szCs w:val="22"/>
              </w:rPr>
              <w:t>指金融保险、艺术传媒、设计、技术服务、物流管理中心等综合性办公用地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0903 娱乐用地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0.5</w:t>
            </w:r>
          </w:p>
        </w:tc>
        <w:tc>
          <w:tcPr>
            <w:tcW w:w="5622" w:type="dxa"/>
            <w:tcBorders>
              <w:top w:val="single" w:color="000000" w:sz="4" w:space="0"/>
              <w:bottom w:val="single" w:color="000000" w:sz="4" w:space="0"/>
            </w:tcBorders>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剧院、音乐厅、电影院、歌舞厅、网吧以及绿地率小于65%的大型游乐等设施用地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6" w:hRule="atLeast"/>
          <w:jc w:val="center"/>
        </w:trPr>
        <w:tc>
          <w:tcPr>
            <w:tcW w:w="936" w:type="dxa"/>
            <w:vMerge w:val="continue"/>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0904 其他商业服务业用地</w:t>
            </w:r>
          </w:p>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0702 城镇社区服务设施用地</w:t>
            </w:r>
          </w:p>
        </w:tc>
        <w:tc>
          <w:tcPr>
            <w:tcW w:w="992" w:type="dxa"/>
            <w:vMerge w:val="continue"/>
            <w:tcBorders>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0.8</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除以上之外的商业服务业用地，包括高尔夫练习场、赛马场、以观光娱乐为目的的直升机停机坪等通用航空、汽车维修站以及宠物医院、洗车场、洗染店、照相馆、理发美容店、洗浴场所、废旧物资回收站、机动车、电子产品和日用产品修理网点、物流营业网点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jc w:val="center"/>
        </w:trPr>
        <w:tc>
          <w:tcPr>
            <w:tcW w:w="936" w:type="dxa"/>
            <w:vMerge w:val="restart"/>
            <w:tcBorders>
              <w:top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b/>
                <w:color w:val="000000" w:themeColor="text1"/>
                <w:sz w:val="22"/>
                <w:szCs w:val="22"/>
                <w14:textFill>
                  <w14:solidFill>
                    <w14:schemeClr w14:val="tx1"/>
                  </w14:solidFill>
                </w14:textFill>
              </w:rPr>
            </w:pPr>
            <w:r>
              <w:rPr>
                <w:rFonts w:ascii="Times New Roman" w:hAnsi="Times New Roman" w:eastAsia="方正仿宋简体" w:cs="Times New Roman"/>
                <w:b/>
                <w:color w:val="000000" w:themeColor="text1"/>
                <w:sz w:val="22"/>
                <w:szCs w:val="22"/>
                <w14:textFill>
                  <w14:solidFill>
                    <w14:schemeClr w14:val="tx1"/>
                  </w14:solidFill>
                </w14:textFill>
              </w:rPr>
              <w:t>居住用地</w:t>
            </w:r>
          </w:p>
        </w:tc>
        <w:tc>
          <w:tcPr>
            <w:tcW w:w="2316"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070101 一类城镇住宅用地</w:t>
            </w:r>
          </w:p>
        </w:tc>
        <w:tc>
          <w:tcPr>
            <w:tcW w:w="992" w:type="dxa"/>
            <w:vMerge w:val="restart"/>
            <w:tcBorders>
              <w:top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住宅用地</w:t>
            </w:r>
          </w:p>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2.0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配套设施齐全、环境良好，以三层及以下住宅为主的住宅建筑用地及其附属道路、附属绿地、停车场等用地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5" w:hRule="atLeast"/>
          <w:jc w:val="center"/>
        </w:trPr>
        <w:tc>
          <w:tcPr>
            <w:tcW w:w="936"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b/>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070102 二类城镇住宅用地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配套设施较齐全、环境良好，以四层及以上住宅为主的住宅建筑用地及其附属道路、附属绿地、停车场等用地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3" w:hRule="atLeast"/>
          <w:jc w:val="center"/>
        </w:trPr>
        <w:tc>
          <w:tcPr>
            <w:tcW w:w="936" w:type="dxa"/>
            <w:vMerge w:val="continue"/>
            <w:tcBorders>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kern w:val="0"/>
                <w:sz w:val="22"/>
                <w:szCs w:val="22"/>
                <w:lang w:val="zh-CN" w:bidi="ar"/>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070103 三类城镇住宅用地</w:t>
            </w:r>
          </w:p>
        </w:tc>
        <w:tc>
          <w:tcPr>
            <w:tcW w:w="992" w:type="dxa"/>
            <w:vMerge w:val="continue"/>
            <w:tcBorders>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配套设施较欠缺、环境较差，以需要加以改造的简陋住宅为主的住宅建筑用地及其附属道路、附属绿地、停车场等用地，包括危房、棚户区、临时住宅等用地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5" w:hRule="atLeast"/>
          <w:jc w:val="center"/>
        </w:trPr>
        <w:tc>
          <w:tcPr>
            <w:tcW w:w="936" w:type="dxa"/>
            <w:vMerge w:val="restart"/>
            <w:tcBorders>
              <w:top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b/>
                <w:color w:val="000000" w:themeColor="text1"/>
                <w:sz w:val="22"/>
                <w:szCs w:val="22"/>
                <w14:textFill>
                  <w14:solidFill>
                    <w14:schemeClr w14:val="tx1"/>
                  </w14:solidFill>
                </w14:textFill>
              </w:rPr>
            </w:pPr>
            <w:r>
              <w:rPr>
                <w:rFonts w:ascii="Times New Roman" w:hAnsi="Times New Roman" w:eastAsia="方正仿宋简体" w:cs="Times New Roman"/>
                <w:b/>
                <w:color w:val="000000" w:themeColor="text1"/>
                <w:sz w:val="22"/>
                <w:szCs w:val="22"/>
                <w14:textFill>
                  <w14:solidFill>
                    <w14:schemeClr w14:val="tx1"/>
                  </w14:solidFill>
                </w14:textFill>
              </w:rPr>
              <w:t>工矿用地</w:t>
            </w:r>
          </w:p>
        </w:tc>
        <w:tc>
          <w:tcPr>
            <w:tcW w:w="2316"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1001 工业用地</w:t>
            </w:r>
          </w:p>
        </w:tc>
        <w:tc>
          <w:tcPr>
            <w:tcW w:w="992" w:type="dxa"/>
            <w:vMerge w:val="restart"/>
            <w:tcBorders>
              <w:top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工业用地</w:t>
            </w: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vAlign w:val="center"/>
          </w:tcPr>
          <w:p>
            <w:pPr>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sz w:val="22"/>
                <w:szCs w:val="22"/>
              </w:rPr>
              <w:t>指工矿企业的生产车间、装备修理、自用库房及其附属设施用地，包括专用铁路、码头和附属道路、停车场等用地，包括工业生产</w:t>
            </w:r>
            <w:r>
              <w:rPr>
                <w:rFonts w:ascii="Times New Roman" w:hAnsi="Times New Roman" w:eastAsia="方正仿宋简体" w:cs="Times New Roman"/>
                <w:color w:val="000000"/>
                <w:sz w:val="22"/>
                <w:szCs w:val="22"/>
              </w:rPr>
              <w:t>必须的</w:t>
            </w:r>
            <w:r>
              <w:rPr>
                <w:rFonts w:ascii="Times New Roman" w:hAnsi="Times New Roman" w:eastAsia="方正仿宋简体" w:cs="Times New Roman"/>
                <w:sz w:val="22"/>
                <w:szCs w:val="22"/>
              </w:rPr>
              <w:t>研发、设计、测试、中试用地，不包括采矿用地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1002 采矿用地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0.8</w:t>
            </w:r>
          </w:p>
        </w:tc>
        <w:tc>
          <w:tcPr>
            <w:tcW w:w="5622" w:type="dxa"/>
            <w:tcBorders>
              <w:top w:val="single" w:color="000000" w:sz="4" w:space="0"/>
              <w:bottom w:val="single" w:color="000000" w:sz="4" w:space="0"/>
            </w:tcBorders>
            <w:vAlign w:val="center"/>
          </w:tcPr>
          <w:p>
            <w:pPr>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采矿、采石、采砂（沙）场，砖瓦窑等地面生产用地及排土（石）、尾矿堆放用地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936"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b/>
                <w:bCs/>
                <w:color w:val="000000" w:themeColor="text1"/>
                <w:sz w:val="22"/>
                <w:szCs w:val="22"/>
                <w14:textFill>
                  <w14:solidFill>
                    <w14:schemeClr w14:val="tx1"/>
                  </w14:solidFill>
                </w14:textFill>
              </w:rPr>
              <w:t>仓储用地</w:t>
            </w:r>
          </w:p>
        </w:tc>
        <w:tc>
          <w:tcPr>
            <w:tcW w:w="2316"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11 物流仓储用地</w:t>
            </w:r>
          </w:p>
        </w:tc>
        <w:tc>
          <w:tcPr>
            <w:tcW w:w="992" w:type="dxa"/>
            <w:tcBorders>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工业用地</w:t>
            </w: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1.2</w:t>
            </w:r>
          </w:p>
        </w:tc>
        <w:tc>
          <w:tcPr>
            <w:tcW w:w="5622" w:type="dxa"/>
            <w:tcBorders>
              <w:top w:val="single" w:color="000000" w:sz="4" w:space="0"/>
              <w:bottom w:val="single" w:color="000000" w:sz="4" w:space="0"/>
            </w:tcBorders>
            <w:vAlign w:val="center"/>
          </w:tcPr>
          <w:p>
            <w:pPr>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物资存放及物流仓储和战略性物资储备库用地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restart"/>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r>
              <w:rPr>
                <w:rFonts w:ascii="Times New Roman" w:hAnsi="Times New Roman" w:eastAsia="方正仿宋简体" w:cs="Times New Roman"/>
                <w:b/>
                <w:bCs/>
                <w:color w:val="000000" w:themeColor="text1"/>
                <w:sz w:val="22"/>
                <w:szCs w:val="22"/>
                <w14:textFill>
                  <w14:solidFill>
                    <w14:schemeClr w14:val="tx1"/>
                  </w14:solidFill>
                </w14:textFill>
              </w:rPr>
              <w:t>公共管理与公共服务用地</w:t>
            </w:r>
          </w:p>
        </w:tc>
        <w:tc>
          <w:tcPr>
            <w:tcW w:w="2316" w:type="dxa"/>
            <w:tcBorders>
              <w:top w:val="single" w:color="000000" w:sz="4" w:space="0"/>
              <w:bottom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0801 机关团体用地</w:t>
            </w:r>
          </w:p>
        </w:tc>
        <w:tc>
          <w:tcPr>
            <w:tcW w:w="992" w:type="dxa"/>
            <w:vMerge w:val="restart"/>
            <w:tcBorders>
              <w:top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公共管理与公共服务用地</w:t>
            </w: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0.8</w:t>
            </w:r>
          </w:p>
        </w:tc>
        <w:tc>
          <w:tcPr>
            <w:tcW w:w="5622" w:type="dxa"/>
            <w:tcBorders>
              <w:top w:val="single" w:color="000000" w:sz="4" w:space="0"/>
              <w:bottom w:val="single" w:color="000000" w:sz="4" w:space="0"/>
            </w:tcBorders>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党政机关、人民团体及其相关直属机构、派出机构和直属事业单位的办公及附属设施用地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0802 科研用地</w:t>
            </w:r>
          </w:p>
        </w:tc>
        <w:tc>
          <w:tcPr>
            <w:tcW w:w="992" w:type="dxa"/>
            <w:vMerge w:val="continue"/>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科研机构及其科研设施、企业科学研究和研发设施用地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0803 文化用地</w:t>
            </w:r>
          </w:p>
        </w:tc>
        <w:tc>
          <w:tcPr>
            <w:tcW w:w="992" w:type="dxa"/>
            <w:vMerge w:val="continue"/>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图书、展览等公共文化活动设施用地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0804 教育用地</w:t>
            </w:r>
          </w:p>
        </w:tc>
        <w:tc>
          <w:tcPr>
            <w:tcW w:w="992" w:type="dxa"/>
            <w:vMerge w:val="continue"/>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高等教育、中等职业教育、中小学教育、幼儿园、特殊教育设施等用地，包括为学校配建的独立地段的学生生活用地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0805 体育用地</w:t>
            </w:r>
          </w:p>
        </w:tc>
        <w:tc>
          <w:tcPr>
            <w:tcW w:w="992" w:type="dxa"/>
            <w:vMerge w:val="continue"/>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体育场馆、体育训练基地、溜冰场、跳伞场、摩托车场、射击场，以及水上运动的陆域部分等用地，不包括学校、企事业、军队等机构内部专用的体育设施用地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0806 医疗卫生用地</w:t>
            </w:r>
          </w:p>
        </w:tc>
        <w:tc>
          <w:tcPr>
            <w:tcW w:w="992" w:type="dxa"/>
            <w:vMerge w:val="continue"/>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医疗、预防、保健、护理、康复、急救、安宁疗护等用地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bottom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0807 社会福利用地</w:t>
            </w:r>
          </w:p>
        </w:tc>
        <w:tc>
          <w:tcPr>
            <w:tcW w:w="992" w:type="dxa"/>
            <w:vMerge w:val="continue"/>
            <w:tcBorders>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sz w:val="22"/>
                <w:szCs w:val="22"/>
              </w:rPr>
              <w:t>指为老年人、儿童及残疾人等提供社会福利和慈善服务的设施用地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restart"/>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b/>
                <w:bCs/>
                <w:color w:val="000000" w:themeColor="text1"/>
                <w:kern w:val="0"/>
                <w:sz w:val="22"/>
                <w:szCs w:val="22"/>
                <w:lang w:bidi="ar"/>
                <w14:textFill>
                  <w14:solidFill>
                    <w14:schemeClr w14:val="tx1"/>
                  </w14:solidFill>
                </w14:textFill>
              </w:rPr>
              <w:t>公用设施用地</w:t>
            </w:r>
          </w:p>
        </w:tc>
        <w:tc>
          <w:tcPr>
            <w:tcW w:w="2316" w:type="dxa"/>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sz w:val="22"/>
                <w:szCs w:val="22"/>
              </w:rPr>
              <w:t>1301供水用地</w:t>
            </w:r>
          </w:p>
        </w:tc>
        <w:tc>
          <w:tcPr>
            <w:tcW w:w="992" w:type="dxa"/>
            <w:vMerge w:val="restart"/>
            <w:tcBorders>
              <w:top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公用设施用地</w:t>
            </w:r>
          </w:p>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取水设施、供水厂、再生水厂、加压泵站、高位水池等设施用地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sz w:val="22"/>
                <w:szCs w:val="22"/>
              </w:rPr>
              <w:t>1302排水用地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雨水泵站、污水泵站、污水处理、污泥处理厂等设施及其附属的构筑物用地，不包括排水河渠用地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sz w:val="22"/>
                <w:szCs w:val="22"/>
              </w:rPr>
              <w:t>1303供电用地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变电站、开关站、环网柜等设施用地，不包括电厂、可再生能源发电等工业用地。高压走廊下规定的控制范围内的用地应按其地面实际用途归类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1304供燃气用地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分输站、调压站、门站、供气站、储配站、气化站、灌瓶站和地面输气管</w:t>
            </w:r>
            <w:r>
              <w:rPr>
                <w:rFonts w:ascii="Times New Roman" w:hAnsi="Times New Roman" w:eastAsia="方正仿宋简体" w:cs="Times New Roman"/>
                <w:color w:val="000000"/>
                <w:sz w:val="22"/>
                <w:szCs w:val="22"/>
              </w:rPr>
              <w:t>廊</w:t>
            </w:r>
            <w:r>
              <w:rPr>
                <w:rFonts w:ascii="Times New Roman" w:hAnsi="Times New Roman" w:eastAsia="方正仿宋简体" w:cs="Times New Roman"/>
                <w:sz w:val="22"/>
                <w:szCs w:val="22"/>
              </w:rPr>
              <w:t>等设施用地，不包括制气厂等工业用地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1305供热用地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集中供热厂、换热站、区域能源站、分布式能源站和地面输热管</w:t>
            </w:r>
            <w:r>
              <w:rPr>
                <w:rFonts w:ascii="Times New Roman" w:hAnsi="Times New Roman" w:eastAsia="方正仿宋简体" w:cs="Times New Roman"/>
                <w:color w:val="000000"/>
                <w:sz w:val="22"/>
                <w:szCs w:val="22"/>
              </w:rPr>
              <w:t>廊</w:t>
            </w:r>
            <w:r>
              <w:rPr>
                <w:rFonts w:ascii="Times New Roman" w:hAnsi="Times New Roman" w:eastAsia="方正仿宋简体" w:cs="Times New Roman"/>
                <w:sz w:val="22"/>
                <w:szCs w:val="22"/>
              </w:rPr>
              <w:t>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1306通信用地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通信铁塔、基站、卫星地球站、海缆登陆站、电信局、微波站、中继站等设施用地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1307邮政用地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邮政中心局、邮政支局（所）、邮件处理中心等设施用地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1308广播电视设施用地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广播电视的发射、传输和监测设施用地，包括无线电收信区、发信区以及广播电视发射台、转播台、差转台、监测站等设施用地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1309环卫用地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sz w:val="22"/>
                <w:szCs w:val="22"/>
              </w:rPr>
              <w:t>指生活垃圾、医疗垃圾、危险废物处理和处置，以及垃圾转运、公厕、车辆清洗、环卫车辆停放修理等设施用地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1310消防用地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消防站、消防通信及指挥训练中心等设施用地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1311水工设施用地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sz w:val="22"/>
                <w:szCs w:val="22"/>
              </w:rPr>
              <w:t>指人工修建的闸、坝、</w:t>
            </w:r>
            <w:r>
              <w:rPr>
                <w:rFonts w:ascii="Times New Roman" w:hAnsi="Times New Roman" w:eastAsia="方正仿宋简体" w:cs="Times New Roman"/>
                <w:color w:val="000000"/>
                <w:sz w:val="22"/>
                <w:szCs w:val="22"/>
              </w:rPr>
              <w:t>堤</w:t>
            </w:r>
            <w:r>
              <w:rPr>
                <w:rFonts w:ascii="Times New Roman" w:hAnsi="Times New Roman" w:eastAsia="方正仿宋简体" w:cs="Times New Roman"/>
                <w:sz w:val="22"/>
                <w:szCs w:val="22"/>
              </w:rPr>
              <w:t>林路、水电厂房、扬水站等常水位岸线以上的建（构）筑物用地，包括防洪堤、防洪枢纽、排洪沟（渠）等设施用地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1312其他公用设施用地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除以上之外的公用设施用地，包括施工、养护、维修等设施用地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restart"/>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b/>
                <w:bCs/>
                <w:color w:val="000000" w:themeColor="text1"/>
                <w:kern w:val="0"/>
                <w:sz w:val="22"/>
                <w:szCs w:val="22"/>
                <w:lang w:bidi="ar"/>
                <w14:textFill>
                  <w14:solidFill>
                    <w14:schemeClr w14:val="tx1"/>
                  </w14:solidFill>
                </w14:textFill>
              </w:rPr>
              <w:t>绿地与开敞空间用地</w:t>
            </w: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1401公园绿地</w:t>
            </w:r>
          </w:p>
        </w:tc>
        <w:tc>
          <w:tcPr>
            <w:tcW w:w="992" w:type="dxa"/>
            <w:vMerge w:val="restart"/>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公用设施用地</w:t>
            </w: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0.8</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sz w:val="22"/>
                <w:szCs w:val="22"/>
              </w:rPr>
              <w:t>指向公众开放，以游憩为主要功能，兼具生态、景观、文教、体育和应急避险等功能，有一定服务设施的公园和绿地，包括综合公园、社区公园、专类公园和游园等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1402防护绿地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0.8</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kern w:val="0"/>
                <w:sz w:val="22"/>
                <w:szCs w:val="22"/>
                <w:lang w:bidi="ar"/>
                <w14:textFill>
                  <w14:solidFill>
                    <w14:schemeClr w14:val="tx1"/>
                  </w14:solidFill>
                </w14:textFill>
              </w:rPr>
            </w:pPr>
            <w:r>
              <w:rPr>
                <w:rFonts w:ascii="Times New Roman" w:hAnsi="Times New Roman" w:eastAsia="方正仿宋简体" w:cs="Times New Roman"/>
                <w:sz w:val="22"/>
                <w:szCs w:val="22"/>
              </w:rPr>
              <w:t>指具有卫生、隔离、安全、生态防护功能，游人不宜进入的绿地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kern w:val="0"/>
                <w:sz w:val="22"/>
                <w:szCs w:val="22"/>
                <w:lang w:bidi="ar"/>
                <w14:textFill>
                  <w14:solidFill>
                    <w14:schemeClr w14:val="tx1"/>
                  </w14:solidFill>
                </w14:textFill>
              </w:rPr>
            </w:pPr>
          </w:p>
        </w:tc>
        <w:tc>
          <w:tcPr>
            <w:tcW w:w="2316" w:type="dxa"/>
            <w:tcBorders>
              <w:top w:val="single" w:color="000000" w:sz="4" w:space="0"/>
            </w:tcBorders>
            <w:vAlign w:val="center"/>
          </w:tcPr>
          <w:p>
            <w:pPr>
              <w:widowControl/>
              <w:autoSpaceDE w:val="0"/>
              <w:autoSpaceDN w:val="0"/>
              <w:snapToGrid w:val="0"/>
              <w:spacing w:line="300" w:lineRule="exact"/>
              <w:jc w:val="center"/>
              <w:rPr>
                <w:rFonts w:ascii="Times New Roman" w:hAnsi="Times New Roman" w:eastAsia="方正仿宋简体" w:cs="Times New Roman"/>
                <w:b/>
                <w:bCs/>
                <w:color w:val="000000" w:themeColor="text1"/>
                <w:kern w:val="0"/>
                <w:sz w:val="22"/>
                <w:szCs w:val="22"/>
                <w:lang w:bidi="ar"/>
                <w14:textFill>
                  <w14:solidFill>
                    <w14:schemeClr w14:val="tx1"/>
                  </w14:solidFill>
                </w14:textFill>
              </w:rPr>
            </w:pPr>
            <w:r>
              <w:rPr>
                <w:rFonts w:ascii="Times New Roman" w:hAnsi="Times New Roman" w:eastAsia="方正仿宋简体" w:cs="Times New Roman"/>
                <w:kern w:val="0"/>
                <w:sz w:val="22"/>
                <w:szCs w:val="22"/>
              </w:rPr>
              <w:t>1403广场用地</w:t>
            </w:r>
          </w:p>
        </w:tc>
        <w:tc>
          <w:tcPr>
            <w:tcW w:w="992" w:type="dxa"/>
            <w:vMerge w:val="continue"/>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0.8</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sz w:val="22"/>
                <w:szCs w:val="22"/>
              </w:rPr>
              <w:t>指以游憩、健身、纪念、集会和避险等功能为主的公共活动场地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restart"/>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r>
              <w:rPr>
                <w:rFonts w:ascii="Times New Roman" w:hAnsi="Times New Roman" w:eastAsia="方正仿宋简体" w:cs="Times New Roman"/>
                <w:b/>
                <w:bCs/>
                <w:color w:val="000000" w:themeColor="text1"/>
                <w:sz w:val="22"/>
                <w:szCs w:val="22"/>
                <w14:textFill>
                  <w14:solidFill>
                    <w14:schemeClr w14:val="tx1"/>
                  </w14:solidFill>
                </w14:textFill>
              </w:rPr>
              <w:t>交通运输用地</w:t>
            </w: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12 交通运输用地（不含社会停车场用地）</w:t>
            </w:r>
          </w:p>
        </w:tc>
        <w:tc>
          <w:tcPr>
            <w:tcW w:w="992" w:type="dxa"/>
            <w:vMerge w:val="restart"/>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公用设施用地</w:t>
            </w: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0.8</w:t>
            </w:r>
          </w:p>
        </w:tc>
        <w:tc>
          <w:tcPr>
            <w:tcW w:w="5622" w:type="dxa"/>
            <w:tcBorders>
              <w:top w:val="single" w:color="000000" w:sz="4" w:space="0"/>
              <w:bottom w:val="single" w:color="000000" w:sz="4" w:space="0"/>
            </w:tcBorders>
            <w:vAlign w:val="center"/>
          </w:tcPr>
          <w:p>
            <w:pPr>
              <w:widowControl/>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sz w:val="22"/>
                <w:szCs w:val="22"/>
              </w:rPr>
              <w:t>指铁路、公路、机场、港口码头、管道运输、城市轨道交通、各种道路以及交通场站等交通运输设施及其附属设施用地，不包括其他用地内的附属道路、停车场等用地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tcBorders>
              <w:bottom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120803社会停车场用地</w:t>
            </w:r>
          </w:p>
        </w:tc>
        <w:tc>
          <w:tcPr>
            <w:tcW w:w="992" w:type="dxa"/>
            <w:vMerge w:val="continue"/>
            <w:tcBorders>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p>
        </w:tc>
        <w:tc>
          <w:tcPr>
            <w:tcW w:w="567" w:type="dxa"/>
            <w:tcBorders>
              <w:top w:val="single" w:color="000000" w:sz="4" w:space="0"/>
              <w:bottom w:val="single" w:color="000000" w:sz="4" w:space="0"/>
            </w:tcBorders>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1.1</w:t>
            </w:r>
          </w:p>
        </w:tc>
        <w:tc>
          <w:tcPr>
            <w:tcW w:w="5622" w:type="dxa"/>
            <w:tcBorders>
              <w:top w:val="single" w:color="000000" w:sz="4" w:space="0"/>
              <w:bottom w:val="single" w:color="000000" w:sz="4" w:space="0"/>
            </w:tcBorders>
            <w:shd w:val="clear" w:color="auto" w:fill="auto"/>
            <w:vAlign w:val="center"/>
          </w:tcPr>
          <w:p>
            <w:pPr>
              <w:widowControl/>
              <w:autoSpaceDE w:val="0"/>
              <w:autoSpaceDN w:val="0"/>
              <w:snapToGrid w:val="0"/>
              <w:spacing w:line="300" w:lineRule="exact"/>
              <w:jc w:val="left"/>
              <w:rPr>
                <w:rFonts w:ascii="Times New Roman" w:hAnsi="Times New Roman" w:eastAsia="方正仿宋简体" w:cs="Times New Roman"/>
                <w:sz w:val="22"/>
                <w:szCs w:val="22"/>
                <w:lang w:val="zh-CN" w:bidi="zh-CN"/>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独立占地的公共停车场和停车库用地（</w:t>
            </w:r>
            <w:r>
              <w:rPr>
                <w:rFonts w:ascii="Times New Roman" w:hAnsi="Times New Roman" w:eastAsia="方正仿宋简体" w:cs="Times New Roman"/>
                <w:color w:val="000000"/>
                <w:sz w:val="22"/>
                <w:szCs w:val="22"/>
              </w:rPr>
              <w:t>含</w:t>
            </w:r>
            <w:r>
              <w:rPr>
                <w:rFonts w:ascii="Times New Roman" w:hAnsi="Times New Roman" w:eastAsia="方正仿宋简体" w:cs="Times New Roman"/>
                <w:sz w:val="22"/>
                <w:szCs w:val="22"/>
              </w:rPr>
              <w:t>设有充电桩的社会停车场），不包括其他建设用地配建的停车场和停车库用地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restart"/>
            <w:tcBorders>
              <w:top w:val="single" w:color="000000" w:sz="4" w:space="0"/>
            </w:tcBorders>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14:textFill>
                  <w14:solidFill>
                    <w14:schemeClr w14:val="tx1"/>
                  </w14:solidFill>
                </w14:textFill>
              </w:rPr>
            </w:pPr>
            <w:r>
              <w:rPr>
                <w:rFonts w:ascii="Times New Roman" w:hAnsi="Times New Roman" w:eastAsia="方正仿宋简体" w:cs="Times New Roman"/>
                <w:b/>
                <w:bCs/>
                <w:color w:val="000000" w:themeColor="text1"/>
                <w:sz w:val="22"/>
                <w:szCs w:val="22"/>
                <w14:textFill>
                  <w14:solidFill>
                    <w14:schemeClr w14:val="tx1"/>
                  </w14:solidFill>
                </w14:textFill>
              </w:rPr>
              <w:t>特殊用地</w:t>
            </w: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1503 宗教用地</w:t>
            </w:r>
          </w:p>
        </w:tc>
        <w:tc>
          <w:tcPr>
            <w:tcW w:w="992" w:type="dxa"/>
            <w:vMerge w:val="restart"/>
            <w:tcBorders>
              <w:top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公共管理与公共服务用地</w:t>
            </w: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0.8</w:t>
            </w:r>
          </w:p>
        </w:tc>
        <w:tc>
          <w:tcPr>
            <w:tcW w:w="5622"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sz w:val="22"/>
                <w:szCs w:val="22"/>
              </w:rPr>
              <w:t>指宗教活动场所用地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1505 监教场所用地</w:t>
            </w:r>
          </w:p>
        </w:tc>
        <w:tc>
          <w:tcPr>
            <w:tcW w:w="992" w:type="dxa"/>
            <w:vMerge w:val="continue"/>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1.0</w:t>
            </w:r>
          </w:p>
        </w:tc>
        <w:tc>
          <w:tcPr>
            <w:tcW w:w="5622"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监狱、看守所、劳改场、戒毒所等用地范围内的建设用地，不包括公安局等行政办公设施用地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kern w:val="0"/>
                <w:sz w:val="22"/>
                <w:szCs w:val="22"/>
                <w:lang w:bidi="ar"/>
                <w14:textFill>
                  <w14:solidFill>
                    <w14:schemeClr w14:val="tx1"/>
                  </w14:solidFill>
                </w14:textFill>
              </w:rPr>
              <w:t>1504 文物古迹用地</w:t>
            </w:r>
          </w:p>
        </w:tc>
        <w:tc>
          <w:tcPr>
            <w:tcW w:w="992" w:type="dxa"/>
            <w:vMerge w:val="restart"/>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公用设施用地</w:t>
            </w:r>
          </w:p>
        </w:tc>
        <w:tc>
          <w:tcPr>
            <w:tcW w:w="567" w:type="dxa"/>
            <w:tcBorders>
              <w:top w:val="single" w:color="000000" w:sz="4" w:space="0"/>
              <w:bottom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val="zh-CN" w:bidi="zh-CN"/>
                <w14:textFill>
                  <w14:solidFill>
                    <w14:schemeClr w14:val="tx1"/>
                  </w14:solidFill>
                </w14:textFill>
              </w:rPr>
            </w:pPr>
            <w:r>
              <w:rPr>
                <w:rFonts w:ascii="Times New Roman" w:hAnsi="Times New Roman" w:eastAsia="方正仿宋简体" w:cs="Times New Roman"/>
                <w:color w:val="000000" w:themeColor="text1"/>
                <w:sz w:val="22"/>
                <w:szCs w:val="22"/>
                <w:lang w:bidi="zh-CN"/>
                <w14:textFill>
                  <w14:solidFill>
                    <w14:schemeClr w14:val="tx1"/>
                  </w14:solidFill>
                </w14:textFill>
              </w:rPr>
              <w:t>0.8</w:t>
            </w:r>
          </w:p>
        </w:tc>
        <w:tc>
          <w:tcPr>
            <w:tcW w:w="5622" w:type="dxa"/>
            <w:tcBorders>
              <w:top w:val="single" w:color="000000" w:sz="4" w:space="0"/>
              <w:bottom w:val="single" w:color="000000" w:sz="4" w:space="0"/>
            </w:tcBorders>
            <w:shd w:val="clear" w:color="auto" w:fill="auto"/>
            <w:vAlign w:val="center"/>
          </w:tcPr>
          <w:p>
            <w:pPr>
              <w:widowControl/>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sz w:val="22"/>
                <w:szCs w:val="22"/>
              </w:rPr>
              <w:t>指具有保护价值的古遗址、古建筑、古墓葬、石窟寺、近现代史迹及纪念建筑等用地，不包括已作其他用途的文物古迹用地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936" w:type="dxa"/>
            <w:vMerge w:val="continue"/>
            <w:vAlign w:val="center"/>
          </w:tcPr>
          <w:p>
            <w:pPr>
              <w:widowControl/>
              <w:autoSpaceDE w:val="0"/>
              <w:autoSpaceDN w:val="0"/>
              <w:adjustRightInd w:val="0"/>
              <w:snapToGrid w:val="0"/>
              <w:spacing w:line="300" w:lineRule="exact"/>
              <w:jc w:val="center"/>
              <w:rPr>
                <w:rFonts w:ascii="Times New Roman" w:hAnsi="Times New Roman" w:eastAsia="方正仿宋简体" w:cs="Times New Roman"/>
                <w:b/>
                <w:bCs/>
                <w:color w:val="000000" w:themeColor="text1"/>
                <w:sz w:val="22"/>
                <w:szCs w:val="22"/>
                <w14:textFill>
                  <w14:solidFill>
                    <w14:schemeClr w14:val="tx1"/>
                  </w14:solidFill>
                </w14:textFill>
              </w:rPr>
            </w:pPr>
          </w:p>
        </w:tc>
        <w:tc>
          <w:tcPr>
            <w:tcW w:w="2316" w:type="dxa"/>
            <w:tcBorders>
              <w:top w:val="single" w:color="000000" w:sz="4" w:space="0"/>
            </w:tcBorders>
            <w:shd w:val="clear" w:color="auto" w:fill="auto"/>
            <w:vAlign w:val="center"/>
          </w:tcPr>
          <w:p>
            <w:pPr>
              <w:widowControl/>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1506 殡葬用地</w:t>
            </w:r>
          </w:p>
        </w:tc>
        <w:tc>
          <w:tcPr>
            <w:tcW w:w="992" w:type="dxa"/>
            <w:vMerge w:val="continue"/>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p>
        </w:tc>
        <w:tc>
          <w:tcPr>
            <w:tcW w:w="567" w:type="dxa"/>
            <w:tcBorders>
              <w:top w:val="single" w:color="000000" w:sz="4" w:space="0"/>
            </w:tcBorders>
            <w:shd w:val="clear" w:color="auto" w:fill="auto"/>
            <w:vAlign w:val="center"/>
          </w:tcPr>
          <w:p>
            <w:pPr>
              <w:autoSpaceDE w:val="0"/>
              <w:autoSpaceDN w:val="0"/>
              <w:adjustRightInd w:val="0"/>
              <w:snapToGrid w:val="0"/>
              <w:spacing w:line="300" w:lineRule="exact"/>
              <w:jc w:val="center"/>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themeColor="text1"/>
                <w:sz w:val="22"/>
                <w:szCs w:val="22"/>
                <w14:textFill>
                  <w14:solidFill>
                    <w14:schemeClr w14:val="tx1"/>
                  </w14:solidFill>
                </w14:textFill>
              </w:rPr>
              <w:t>2.0</w:t>
            </w:r>
          </w:p>
        </w:tc>
        <w:tc>
          <w:tcPr>
            <w:tcW w:w="5622" w:type="dxa"/>
            <w:tcBorders>
              <w:top w:val="single" w:color="000000" w:sz="4" w:space="0"/>
            </w:tcBorders>
            <w:shd w:val="clear" w:color="auto" w:fill="auto"/>
            <w:vAlign w:val="center"/>
          </w:tcPr>
          <w:p>
            <w:pPr>
              <w:autoSpaceDE w:val="0"/>
              <w:autoSpaceDN w:val="0"/>
              <w:adjustRightInd w:val="0"/>
              <w:snapToGrid w:val="0"/>
              <w:spacing w:line="300" w:lineRule="exact"/>
              <w:jc w:val="left"/>
              <w:rPr>
                <w:rFonts w:ascii="Times New Roman" w:hAnsi="Times New Roman" w:eastAsia="方正仿宋简体" w:cs="Times New Roman"/>
                <w:color w:val="000000" w:themeColor="text1"/>
                <w:sz w:val="22"/>
                <w:szCs w:val="22"/>
                <w:lang w:bidi="zh-CN"/>
                <w14:textFill>
                  <w14:solidFill>
                    <w14:schemeClr w14:val="tx1"/>
                  </w14:solidFill>
                </w14:textFill>
              </w:rPr>
            </w:pPr>
            <w:r>
              <w:rPr>
                <w:rFonts w:ascii="Times New Roman" w:hAnsi="Times New Roman" w:eastAsia="方正仿宋简体" w:cs="Times New Roman"/>
                <w:color w:val="000000"/>
                <w:sz w:val="22"/>
                <w:szCs w:val="22"/>
              </w:rPr>
              <w:t>指</w:t>
            </w:r>
            <w:r>
              <w:rPr>
                <w:rFonts w:ascii="Times New Roman" w:hAnsi="Times New Roman" w:eastAsia="方正仿宋简体" w:cs="Times New Roman"/>
                <w:sz w:val="22"/>
                <w:szCs w:val="22"/>
              </w:rPr>
              <w:t>殡仪馆、火葬场、骨灰存放处和陵园、墓地等用地</w:t>
            </w:r>
          </w:p>
        </w:tc>
      </w:tr>
    </w:tbl>
    <w:p>
      <w:pPr>
        <w:rPr>
          <w:rFonts w:ascii="Times New Roman" w:hAnsi="Times New Roman" w:cs="Times New Roman"/>
          <w:sz w:val="24"/>
          <w:szCs w:val="32"/>
        </w:rPr>
        <w:sectPr>
          <w:footerReference r:id="rId3" w:type="default"/>
          <w:pgSz w:w="11906" w:h="16838"/>
          <w:pgMar w:top="1814" w:right="1531" w:bottom="1814" w:left="1531" w:header="851" w:footer="992" w:gutter="0"/>
          <w:cols w:space="425" w:num="1"/>
          <w:titlePg/>
          <w:docGrid w:type="lines" w:linePitch="312" w:charSpace="0"/>
        </w:sectPr>
      </w:pPr>
    </w:p>
    <w:p>
      <w:pPr>
        <w:spacing w:line="570" w:lineRule="exact"/>
        <w:rPr>
          <w:rFonts w:ascii="Times New Roman" w:hAnsi="Times New Roman" w:eastAsia="方正仿宋简体" w:cs="Times New Roman"/>
          <w:sz w:val="32"/>
          <w:szCs w:val="32"/>
        </w:rPr>
      </w:pPr>
    </w:p>
    <w:sectPr>
      <w:pgSz w:w="11906" w:h="16838"/>
      <w:pgMar w:top="1814" w:right="1531" w:bottom="1814" w:left="153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left="210" w:leftChars="100" w:right="210" w:rightChars="100"/>
      <w:rPr>
        <w:rStyle w:val="7"/>
        <w:rFonts w:ascii="宋体" w:hAnsi="宋体"/>
        <w:sz w:val="28"/>
      </w:rPr>
    </w:pPr>
    <w:r>
      <w:rPr>
        <w:rStyle w:val="7"/>
        <w:rFonts w:hint="eastAsia" w:ascii="宋体" w:hAnsi="宋体"/>
        <w:sz w:val="28"/>
      </w:rPr>
      <w:t xml:space="preserve">- </w:t>
    </w:r>
    <w:r>
      <w:rPr>
        <w:rStyle w:val="7"/>
        <w:rFonts w:ascii="宋体" w:hAnsi="宋体"/>
        <w:sz w:val="28"/>
      </w:rPr>
      <w:fldChar w:fldCharType="begin"/>
    </w:r>
    <w:r>
      <w:rPr>
        <w:rStyle w:val="7"/>
        <w:rFonts w:ascii="宋体" w:hAnsi="宋体"/>
        <w:sz w:val="28"/>
      </w:rPr>
      <w:instrText xml:space="preserve">PAGE  </w:instrText>
    </w:r>
    <w:r>
      <w:rPr>
        <w:rStyle w:val="7"/>
        <w:rFonts w:ascii="宋体" w:hAnsi="宋体"/>
        <w:sz w:val="28"/>
      </w:rPr>
      <w:fldChar w:fldCharType="separate"/>
    </w:r>
    <w:r>
      <w:rPr>
        <w:rStyle w:val="7"/>
        <w:rFonts w:ascii="宋体" w:hAnsi="宋体"/>
        <w:sz w:val="28"/>
      </w:rPr>
      <w:t>2</w:t>
    </w:r>
    <w:r>
      <w:rPr>
        <w:rStyle w:val="7"/>
        <w:rFonts w:ascii="宋体" w:hAnsi="宋体"/>
        <w:sz w:val="28"/>
      </w:rPr>
      <w:fldChar w:fldCharType="end"/>
    </w:r>
    <w:r>
      <w:rPr>
        <w:rStyle w:val="7"/>
        <w:rFonts w:hint="eastAsia" w:ascii="宋体" w:hAnsi="宋体"/>
        <w:sz w:val="28"/>
      </w:rPr>
      <w:t xml:space="preserve"> -</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7C2F5C"/>
    <w:rsid w:val="000C5FFD"/>
    <w:rsid w:val="00103960"/>
    <w:rsid w:val="00127C60"/>
    <w:rsid w:val="00175912"/>
    <w:rsid w:val="002162F9"/>
    <w:rsid w:val="002D0A42"/>
    <w:rsid w:val="003D5A16"/>
    <w:rsid w:val="004603DB"/>
    <w:rsid w:val="00483E8D"/>
    <w:rsid w:val="00494D56"/>
    <w:rsid w:val="004C5AFA"/>
    <w:rsid w:val="005419AB"/>
    <w:rsid w:val="00565F91"/>
    <w:rsid w:val="00853240"/>
    <w:rsid w:val="008D5527"/>
    <w:rsid w:val="00914014"/>
    <w:rsid w:val="00942243"/>
    <w:rsid w:val="00AE5D1E"/>
    <w:rsid w:val="00CB20FC"/>
    <w:rsid w:val="00EE7181"/>
    <w:rsid w:val="0AF520AD"/>
    <w:rsid w:val="0BBC1CA5"/>
    <w:rsid w:val="2A1C17FA"/>
    <w:rsid w:val="3F7C2F5C"/>
    <w:rsid w:val="E7A95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character" w:styleId="7">
    <w:name w:val="page number"/>
    <w:basedOn w:val="6"/>
    <w:qFormat/>
    <w:uiPriority w:val="0"/>
  </w:style>
  <w:style w:type="paragraph" w:customStyle="1" w:styleId="8">
    <w:name w:val="Table Paragraph"/>
    <w:basedOn w:val="1"/>
    <w:qFormat/>
    <w:uiPriority w:val="1"/>
    <w:pPr>
      <w:autoSpaceDE w:val="0"/>
      <w:autoSpaceDN w:val="0"/>
      <w:jc w:val="center"/>
    </w:pPr>
    <w:rPr>
      <w:rFonts w:hAnsi="宋体" w:cs="宋体"/>
      <w:sz w:val="22"/>
      <w:szCs w:val="22"/>
      <w:lang w:val="zh-CN" w:bidi="zh-CN"/>
    </w:rPr>
  </w:style>
  <w:style w:type="character" w:customStyle="1" w:styleId="9">
    <w:name w:val="页眉 Char"/>
    <w:basedOn w:val="6"/>
    <w:link w:val="3"/>
    <w:qFormat/>
    <w:uiPriority w:val="0"/>
    <w:rPr>
      <w:rFonts w:asciiTheme="minorHAnsi" w:hAnsiTheme="minorHAnsi" w:eastAsiaTheme="minorEastAsia" w:cstheme="minorBidi"/>
      <w:kern w:val="2"/>
      <w:sz w:val="18"/>
      <w:szCs w:val="18"/>
    </w:rPr>
  </w:style>
  <w:style w:type="character" w:customStyle="1" w:styleId="10">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gdyd</Company>
  <Pages>12</Pages>
  <Words>5182</Words>
  <Characters>1190</Characters>
  <Lines>9</Lines>
  <Paragraphs>12</Paragraphs>
  <TotalTime>141</TotalTime>
  <ScaleCrop>false</ScaleCrop>
  <LinksUpToDate>false</LinksUpToDate>
  <CharactersWithSpaces>6360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2025-07-28T16:13:00Z</dcterms:created>
  <dc:creator>背朝大海</dc:creator>
  <cp:lastModifiedBy>kylin</cp:lastModifiedBy>
  <cp:lastPrinted>2025-09-12T09:29:00Z</cp:lastPrinted>
  <dcterms:modified xsi:type="dcterms:W3CDTF">2025-09-15T11:39:08Z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31FCFF61A1214F7886A5999F5FD1B055_13</vt:lpwstr>
  </property>
  <property fmtid="{D5CDD505-2E9C-101B-9397-08002B2CF9AE}" pid="4" name="KSOTemplateDocerSaveRecord">
    <vt:lpwstr>eyJoZGlkIjoiOWI3NGI5MTlhZTllMjcyZjFmZjg5ZTRkNzc1Y2VjZjAiLCJ1c2VySWQiOiI0NTI3NzU4MDcifQ==</vt:lpwstr>
  </property>
</Properties>
</file>