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3D7625">
      <w:pPr>
        <w:overflowPunct w:val="0"/>
        <w:spacing w:line="580" w:lineRule="exact"/>
        <w:jc w:val="center"/>
        <w:rPr>
          <w:rFonts w:hint="default" w:ascii="Times New Roman" w:hAnsi="Times New Roman" w:eastAsia="方正小标宋简体" w:cs="Times New Roman"/>
          <w:sz w:val="44"/>
          <w:szCs w:val="44"/>
        </w:rPr>
      </w:pPr>
    </w:p>
    <w:p w14:paraId="40020705">
      <w:pPr>
        <w:overflowPunct w:val="0"/>
        <w:spacing w:line="580" w:lineRule="exact"/>
        <w:jc w:val="both"/>
        <w:rPr>
          <w:rFonts w:hint="default" w:ascii="Times New Roman" w:hAnsi="Times New Roman" w:eastAsia="方正小标宋简体" w:cs="Times New Roman"/>
          <w:sz w:val="44"/>
          <w:szCs w:val="44"/>
        </w:rPr>
      </w:pPr>
    </w:p>
    <w:p w14:paraId="043B5806">
      <w:pPr>
        <w:overflowPunct w:val="0"/>
        <w:spacing w:line="58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征地补偿安置方案</w:t>
      </w:r>
    </w:p>
    <w:p w14:paraId="720AA1C3">
      <w:pPr>
        <w:overflowPunct w:val="0"/>
        <w:spacing w:line="580" w:lineRule="exact"/>
        <w:jc w:val="center"/>
        <w:rPr>
          <w:rFonts w:hint="default" w:ascii="Times New Roman" w:hAnsi="Times New Roman" w:eastAsia="方正小标宋简体" w:cs="Times New Roman"/>
          <w:sz w:val="44"/>
          <w:szCs w:val="44"/>
        </w:rPr>
      </w:pPr>
    </w:p>
    <w:p w14:paraId="07E8071F">
      <w:pPr>
        <w:keepNext w:val="0"/>
        <w:keepLines w:val="0"/>
        <w:pageBreakBefore w:val="0"/>
        <w:widowControl w:val="0"/>
        <w:shd w:val="clear" w:color="auto" w:fill="FFFFFF"/>
        <w:kinsoku/>
        <w:wordWrap/>
        <w:overflowPunct w:val="0"/>
        <w:topLinePunct w:val="0"/>
        <w:autoSpaceDE/>
        <w:autoSpaceDN/>
        <w:bidi w:val="0"/>
        <w:adjustRightInd/>
        <w:snapToGrid w:val="0"/>
        <w:spacing w:line="300" w:lineRule="exact"/>
        <w:textAlignment w:val="auto"/>
        <w:rPr>
          <w:rFonts w:hint="default" w:ascii="Times New Roman" w:hAnsi="Times New Roman" w:eastAsia="仿宋_GB2312" w:cs="Times New Roman"/>
          <w:sz w:val="32"/>
          <w:szCs w:val="32"/>
          <w:highlight w:val="none"/>
          <w:u w:val="none" w:color="auto"/>
        </w:rPr>
      </w:pPr>
    </w:p>
    <w:p w14:paraId="531EE4ED">
      <w:pPr>
        <w:ind w:firstLine="640" w:firstLineChars="200"/>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根据《中华人民共和国土地管理法》和《中华人民共和国土地管理法实施条例》的有关规定，为了公共利益的需要拟征收阳江市阳东区北惯镇那霍、赤光、东</w:t>
      </w:r>
      <w:r>
        <w:rPr>
          <w:rFonts w:hint="default" w:ascii="Times New Roman" w:hAnsi="Times New Roman" w:eastAsia="仿宋_GB2312" w:cs="Times New Roman"/>
          <w:sz w:val="32"/>
          <w:szCs w:val="32"/>
          <w:highlight w:val="none"/>
          <w:lang w:val="en-US" w:eastAsia="zh-CN"/>
        </w:rPr>
        <w:t>莺</w:t>
      </w:r>
      <w:r>
        <w:rPr>
          <w:rFonts w:hint="default" w:ascii="Times New Roman" w:hAnsi="Times New Roman" w:eastAsia="仿宋_GB2312" w:cs="Times New Roman"/>
          <w:sz w:val="32"/>
          <w:szCs w:val="32"/>
          <w:highlight w:val="none"/>
        </w:rPr>
        <w:t>经济联合社，东莺村梁屋经济合作社，赤光村冯屋经济合作社部分集体土地共</w:t>
      </w:r>
      <w:r>
        <w:rPr>
          <w:rFonts w:hint="default" w:ascii="Times New Roman" w:hAnsi="Times New Roman" w:eastAsia="仿宋_GB2312" w:cs="Times New Roman"/>
          <w:sz w:val="32"/>
          <w:szCs w:val="32"/>
          <w:highlight w:val="none"/>
          <w:lang w:val="en-US" w:eastAsia="zh-CN"/>
        </w:rPr>
        <w:t>1.6434</w:t>
      </w:r>
      <w:r>
        <w:rPr>
          <w:rFonts w:hint="default" w:ascii="Times New Roman" w:hAnsi="Times New Roman" w:eastAsia="仿宋_GB2312" w:cs="Times New Roman"/>
          <w:sz w:val="32"/>
          <w:szCs w:val="32"/>
          <w:highlight w:val="none"/>
        </w:rPr>
        <w:t>公顷，作为阳江市阳东区202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年度</w:t>
      </w:r>
      <w:r>
        <w:rPr>
          <w:rFonts w:hint="default" w:ascii="Times New Roman" w:hAnsi="Times New Roman" w:eastAsia="仿宋_GB2312" w:cs="Times New Roman"/>
          <w:sz w:val="32"/>
          <w:szCs w:val="32"/>
          <w:highlight w:val="none"/>
          <w:lang w:eastAsia="zh-CN"/>
        </w:rPr>
        <w:t>第十五批次</w:t>
      </w:r>
      <w:r>
        <w:rPr>
          <w:rFonts w:hint="default" w:ascii="Times New Roman" w:hAnsi="Times New Roman" w:eastAsia="仿宋_GB2312" w:cs="Times New Roman"/>
          <w:sz w:val="32"/>
          <w:szCs w:val="32"/>
          <w:highlight w:val="none"/>
        </w:rPr>
        <w:t>城镇建设用地，现拟订征地补偿安置方案如下</w:t>
      </w:r>
      <w:r>
        <w:rPr>
          <w:rFonts w:hint="default" w:ascii="Times New Roman" w:hAnsi="Times New Roman" w:eastAsia="仿宋_GB2312" w:cs="Times New Roman"/>
          <w:sz w:val="32"/>
          <w:szCs w:val="32"/>
          <w:highlight w:val="none"/>
          <w:lang w:eastAsia="zh-CN"/>
        </w:rPr>
        <w:t>：</w:t>
      </w:r>
    </w:p>
    <w:p w14:paraId="48E3BB2E">
      <w:pPr>
        <w:ind w:firstLine="643"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lang w:val="en-US" w:eastAsia="zh-CN"/>
        </w:rPr>
        <w:t>一、</w:t>
      </w:r>
      <w:r>
        <w:rPr>
          <w:rFonts w:hint="default" w:ascii="Times New Roman" w:hAnsi="Times New Roman" w:eastAsia="仿宋_GB2312" w:cs="Times New Roman"/>
          <w:b/>
          <w:bCs/>
          <w:sz w:val="32"/>
          <w:szCs w:val="32"/>
          <w:highlight w:val="none"/>
        </w:rPr>
        <w:t>征收范围、土地现状</w:t>
      </w:r>
      <w:r>
        <w:rPr>
          <w:rFonts w:hint="default" w:ascii="Times New Roman" w:hAnsi="Times New Roman" w:eastAsia="仿宋_GB2312" w:cs="Times New Roman"/>
          <w:b/>
          <w:bCs/>
          <w:sz w:val="32"/>
          <w:szCs w:val="32"/>
          <w:highlight w:val="none"/>
          <w:lang w:eastAsia="zh-CN"/>
        </w:rPr>
        <w:t>：</w:t>
      </w:r>
      <w:r>
        <w:rPr>
          <w:rFonts w:hint="default" w:ascii="Times New Roman" w:hAnsi="Times New Roman" w:eastAsia="仿宋_GB2312" w:cs="Times New Roman"/>
          <w:sz w:val="32"/>
          <w:szCs w:val="32"/>
          <w:highlight w:val="none"/>
        </w:rPr>
        <w:t>阳江市阳东区北惯镇那霍、赤光、东莺经济联合社，东莺村梁屋经济合作社，赤光村冯屋经济合作社的集体土地1.6434公顷，地类为</w:t>
      </w:r>
      <w:r>
        <w:rPr>
          <w:rFonts w:hint="default" w:ascii="Times New Roman" w:hAnsi="Times New Roman" w:eastAsia="仿宋_GB2312" w:cs="Times New Roman"/>
          <w:sz w:val="32"/>
          <w:szCs w:val="32"/>
          <w:highlight w:val="none"/>
          <w:lang w:val="en-US" w:eastAsia="zh-CN"/>
        </w:rPr>
        <w:t>耕</w:t>
      </w:r>
      <w:r>
        <w:rPr>
          <w:rFonts w:hint="default" w:ascii="Times New Roman" w:hAnsi="Times New Roman" w:eastAsia="仿宋_GB2312" w:cs="Times New Roman"/>
          <w:sz w:val="32"/>
          <w:szCs w:val="32"/>
          <w:highlight w:val="none"/>
        </w:rPr>
        <w:t>地</w:t>
      </w:r>
      <w:r>
        <w:rPr>
          <w:rFonts w:hint="default" w:ascii="Times New Roman" w:hAnsi="Times New Roman" w:eastAsia="仿宋_GB2312" w:cs="Times New Roman"/>
          <w:sz w:val="32"/>
          <w:szCs w:val="32"/>
          <w:highlight w:val="none"/>
          <w:lang w:val="en-US" w:eastAsia="zh-CN"/>
        </w:rPr>
        <w:t>0.5497</w:t>
      </w:r>
      <w:r>
        <w:rPr>
          <w:rFonts w:hint="default" w:ascii="Times New Roman" w:hAnsi="Times New Roman" w:eastAsia="仿宋_GB2312" w:cs="Times New Roman"/>
          <w:sz w:val="32"/>
          <w:szCs w:val="32"/>
          <w:highlight w:val="none"/>
        </w:rPr>
        <w:t>公顷、</w:t>
      </w:r>
      <w:r>
        <w:rPr>
          <w:rFonts w:hint="default" w:ascii="Times New Roman" w:hAnsi="Times New Roman" w:eastAsia="仿宋_GB2312" w:cs="Times New Roman"/>
          <w:sz w:val="32"/>
          <w:szCs w:val="32"/>
          <w:highlight w:val="none"/>
          <w:lang w:val="en-US" w:eastAsia="zh-CN"/>
        </w:rPr>
        <w:t>园地0.1571公顷、林</w:t>
      </w:r>
      <w:r>
        <w:rPr>
          <w:rFonts w:hint="default" w:ascii="Times New Roman" w:hAnsi="Times New Roman" w:eastAsia="仿宋_GB2312" w:cs="Times New Roman"/>
          <w:sz w:val="32"/>
          <w:szCs w:val="32"/>
          <w:highlight w:val="none"/>
        </w:rPr>
        <w:t>地0.</w:t>
      </w:r>
      <w:r>
        <w:rPr>
          <w:rFonts w:hint="default" w:ascii="Times New Roman" w:hAnsi="Times New Roman" w:eastAsia="仿宋_GB2312" w:cs="Times New Roman"/>
          <w:sz w:val="32"/>
          <w:szCs w:val="32"/>
          <w:highlight w:val="none"/>
          <w:lang w:val="en-US" w:eastAsia="zh-CN"/>
        </w:rPr>
        <w:t>4898</w:t>
      </w:r>
      <w:r>
        <w:rPr>
          <w:rFonts w:hint="default" w:ascii="Times New Roman" w:hAnsi="Times New Roman" w:eastAsia="仿宋_GB2312" w:cs="Times New Roman"/>
          <w:sz w:val="32"/>
          <w:szCs w:val="32"/>
          <w:highlight w:val="none"/>
        </w:rPr>
        <w:t>公顷、</w:t>
      </w:r>
      <w:r>
        <w:rPr>
          <w:rFonts w:hint="default" w:ascii="Times New Roman" w:hAnsi="Times New Roman" w:eastAsia="仿宋_GB2312" w:cs="Times New Roman"/>
          <w:sz w:val="32"/>
          <w:szCs w:val="32"/>
          <w:highlight w:val="none"/>
          <w:lang w:val="en-US" w:eastAsia="zh-CN"/>
        </w:rPr>
        <w:t>草地0.3963公顷、其他农用地0</w:t>
      </w:r>
      <w:r>
        <w:rPr>
          <w:rFonts w:hint="default" w:ascii="Times New Roman" w:hAnsi="Times New Roman" w:eastAsia="仿宋_GB2312" w:cs="Times New Roman"/>
          <w:sz w:val="32"/>
          <w:szCs w:val="32"/>
          <w:highlight w:val="none"/>
        </w:rPr>
        <w:t>.0</w:t>
      </w:r>
      <w:r>
        <w:rPr>
          <w:rFonts w:hint="default" w:ascii="Times New Roman" w:hAnsi="Times New Roman" w:eastAsia="仿宋_GB2312" w:cs="Times New Roman"/>
          <w:sz w:val="32"/>
          <w:szCs w:val="32"/>
          <w:highlight w:val="none"/>
          <w:lang w:val="en-US" w:eastAsia="zh-CN"/>
        </w:rPr>
        <w:t>505</w:t>
      </w:r>
      <w:r>
        <w:rPr>
          <w:rFonts w:hint="default" w:ascii="Times New Roman" w:hAnsi="Times New Roman" w:eastAsia="仿宋_GB2312" w:cs="Times New Roman"/>
          <w:sz w:val="32"/>
          <w:szCs w:val="32"/>
          <w:highlight w:val="none"/>
        </w:rPr>
        <w:t>公顷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具体以征地红线图为准</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w:t>
      </w:r>
    </w:p>
    <w:p w14:paraId="0A6A32FB">
      <w:pPr>
        <w:ind w:firstLine="643"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lang w:val="en-US" w:eastAsia="zh-CN"/>
        </w:rPr>
        <w:t>二、建设用地项目名称(征收目的)：</w:t>
      </w:r>
      <w:r>
        <w:rPr>
          <w:rFonts w:hint="default" w:ascii="Times New Roman" w:hAnsi="Times New Roman" w:eastAsia="仿宋_GB2312" w:cs="Times New Roman"/>
          <w:sz w:val="32"/>
          <w:szCs w:val="32"/>
          <w:highlight w:val="none"/>
        </w:rPr>
        <w:t>阳江市阳东区202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年度</w:t>
      </w:r>
      <w:r>
        <w:rPr>
          <w:rFonts w:hint="default" w:ascii="Times New Roman" w:hAnsi="Times New Roman" w:eastAsia="仿宋_GB2312" w:cs="Times New Roman"/>
          <w:sz w:val="32"/>
          <w:szCs w:val="32"/>
          <w:highlight w:val="none"/>
          <w:lang w:eastAsia="zh-CN"/>
        </w:rPr>
        <w:t>第十五批次</w:t>
      </w:r>
      <w:r>
        <w:rPr>
          <w:rFonts w:hint="default" w:ascii="Times New Roman" w:hAnsi="Times New Roman" w:eastAsia="仿宋_GB2312" w:cs="Times New Roman"/>
          <w:sz w:val="32"/>
          <w:szCs w:val="32"/>
          <w:highlight w:val="none"/>
        </w:rPr>
        <w:t>城镇建设用地。</w:t>
      </w:r>
    </w:p>
    <w:p w14:paraId="19974301">
      <w:pPr>
        <w:ind w:firstLine="643"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lang w:val="en-US" w:eastAsia="zh-CN"/>
        </w:rPr>
        <w:t>三、补偿方式和标准：</w:t>
      </w:r>
      <w:r>
        <w:rPr>
          <w:rFonts w:hint="default" w:ascii="Times New Roman" w:hAnsi="Times New Roman" w:eastAsia="仿宋_GB2312" w:cs="Times New Roman"/>
          <w:sz w:val="32"/>
          <w:szCs w:val="32"/>
          <w:highlight w:val="none"/>
        </w:rPr>
        <w:t>土地补偿和安置补助费按《阳江市人民政府关于公布实施征收农用地区片综合地价的公告》</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阳府告</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rPr>
        <w:t>20</w:t>
      </w:r>
      <w:r>
        <w:rPr>
          <w:rFonts w:hint="default" w:ascii="Times New Roman" w:hAnsi="Times New Roman" w:eastAsia="仿宋_GB2312" w:cs="Times New Roman"/>
          <w:sz w:val="32"/>
          <w:szCs w:val="32"/>
          <w:highlight w:val="none"/>
          <w:lang w:val="en-US" w:eastAsia="zh-CN"/>
        </w:rPr>
        <w:t>24</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执行。</w:t>
      </w:r>
      <w:r>
        <w:rPr>
          <w:rFonts w:hint="default" w:ascii="Times New Roman" w:hAnsi="Times New Roman" w:eastAsia="仿宋_GB2312" w:cs="Times New Roman"/>
          <w:sz w:val="32"/>
          <w:szCs w:val="32"/>
          <w:highlight w:val="none"/>
          <w:lang w:val="en-US" w:eastAsia="zh-CN"/>
        </w:rPr>
        <w:t>北惯</w:t>
      </w:r>
      <w:r>
        <w:rPr>
          <w:rFonts w:hint="default" w:ascii="Times New Roman" w:hAnsi="Times New Roman" w:eastAsia="仿宋_GB2312" w:cs="Times New Roman"/>
          <w:sz w:val="32"/>
          <w:szCs w:val="32"/>
          <w:highlight w:val="none"/>
        </w:rPr>
        <w:t>镇农用地区片综合地价70.20万元/公顷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其中园地54.06万元/公顷、林地31.59万元/公顷、建设用地70.20万元/公顷、未利用地28.08万元/公顷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。青苗及地上附着物补偿费按《阳江市人民政府关于印发&lt;阳江市市辖区征收</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征用</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土地青苗及附着物补偿规定&gt;的通知》</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阳府</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rPr>
        <w:t>2020</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rPr>
        <w:t>4号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标准执行征地各项补偿费足额预存入补偿款专户，在征地批准后直接支付给被征地农民。</w:t>
      </w:r>
    </w:p>
    <w:p w14:paraId="230BDE14">
      <w:pPr>
        <w:ind w:firstLine="643"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lang w:val="en-US" w:eastAsia="zh-CN"/>
        </w:rPr>
        <w:t>四、安置对象、安置方式：</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一</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安置对象：</w:t>
      </w:r>
      <w:r>
        <w:rPr>
          <w:rFonts w:hint="default" w:ascii="Times New Roman" w:hAnsi="Times New Roman" w:eastAsia="仿宋_GB2312" w:cs="Times New Roman"/>
          <w:sz w:val="32"/>
          <w:szCs w:val="32"/>
          <w:highlight w:val="none"/>
        </w:rPr>
        <w:t>阳东区北惯镇那霍、赤光、东莺经济联合社，东莺村梁屋经济合作社，赤光村冯屋经济合作社。</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二</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拟采用发放土地补偿和安置补助费。</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三</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根据《广东省人民政府办公厅关于加强征收农村集体土地留用地安置管理工作的意见》</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粤府办</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rPr>
        <w:t>20</w:t>
      </w:r>
      <w:r>
        <w:rPr>
          <w:rFonts w:hint="default" w:ascii="Times New Roman" w:hAnsi="Times New Roman" w:eastAsia="仿宋_GB2312" w:cs="Times New Roman"/>
          <w:sz w:val="32"/>
          <w:szCs w:val="32"/>
          <w:highlight w:val="none"/>
          <w:lang w:val="en-US" w:eastAsia="zh-CN"/>
        </w:rPr>
        <w:t>16</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rPr>
        <w:t>30号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、《印发广东省征收农村集体土地留用地管理办法</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试行</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的通知》</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粤府办</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rPr>
        <w:t>20</w:t>
      </w:r>
      <w:r>
        <w:rPr>
          <w:rFonts w:hint="default" w:ascii="Times New Roman" w:hAnsi="Times New Roman" w:eastAsia="仿宋_GB2312" w:cs="Times New Roman"/>
          <w:sz w:val="32"/>
          <w:szCs w:val="32"/>
          <w:highlight w:val="none"/>
          <w:lang w:val="en-US" w:eastAsia="zh-CN"/>
        </w:rPr>
        <w:t>09</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rPr>
        <w:t>41号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、《阳江市征收农村集体土地留用地管理规定》</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阳府</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rPr>
        <w:t>20</w:t>
      </w:r>
      <w:r>
        <w:rPr>
          <w:rFonts w:hint="default" w:ascii="Times New Roman" w:hAnsi="Times New Roman" w:eastAsia="仿宋_GB2312" w:cs="Times New Roman"/>
          <w:sz w:val="32"/>
          <w:szCs w:val="32"/>
          <w:highlight w:val="none"/>
          <w:lang w:val="en-US" w:eastAsia="zh-CN"/>
        </w:rPr>
        <w:t>18</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rPr>
        <w:t>5</w:t>
      </w:r>
      <w:r>
        <w:rPr>
          <w:rFonts w:hint="default" w:ascii="Times New Roman" w:hAnsi="Times New Roman" w:eastAsia="仿宋_GB2312" w:cs="Times New Roman"/>
          <w:color w:val="auto"/>
          <w:sz w:val="32"/>
          <w:szCs w:val="32"/>
          <w:highlight w:val="none"/>
        </w:rPr>
        <w:t>0号</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文件规定，北惯镇赤光、东莺经济联合社</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东莺村梁屋经济合作社</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赤光村冯屋经济合作社按实际征地面积的15%的比例安置被征地农民集体留用地，作为被征地农民生</w:t>
      </w:r>
      <w:r>
        <w:rPr>
          <w:rFonts w:hint="default" w:ascii="Times New Roman" w:hAnsi="Times New Roman" w:eastAsia="仿宋_GB2312" w:cs="Times New Roman"/>
          <w:color w:val="auto"/>
          <w:sz w:val="32"/>
          <w:szCs w:val="32"/>
          <w:highlight w:val="none"/>
          <w:lang w:val="en-US" w:eastAsia="zh-CN"/>
        </w:rPr>
        <w:t>产</w:t>
      </w:r>
      <w:r>
        <w:rPr>
          <w:rFonts w:hint="default" w:ascii="Times New Roman" w:hAnsi="Times New Roman" w:eastAsia="仿宋_GB2312" w:cs="Times New Roman"/>
          <w:color w:val="auto"/>
          <w:sz w:val="32"/>
          <w:szCs w:val="32"/>
          <w:highlight w:val="none"/>
        </w:rPr>
        <w:t>发展用地并将留用地折算成货币补偿</w:t>
      </w:r>
      <w:r>
        <w:rPr>
          <w:rFonts w:hint="default" w:ascii="Times New Roman" w:hAnsi="Times New Roman" w:eastAsia="仿宋_GB2312" w:cs="Times New Roman"/>
          <w:color w:val="auto"/>
          <w:sz w:val="32"/>
          <w:szCs w:val="32"/>
          <w:highlight w:val="none"/>
          <w:lang w:val="en-US" w:eastAsia="zh-CN"/>
        </w:rPr>
        <w:t>;北惯镇那霍经济联合社按实际征收土地面积的12%的比例安置被征地农民集体留用地，作为被征地农民生产发展用地</w:t>
      </w:r>
      <w:r>
        <w:rPr>
          <w:rFonts w:hint="default" w:ascii="Times New Roman" w:hAnsi="Times New Roman" w:eastAsia="仿宋_GB2312" w:cs="Times New Roman"/>
          <w:color w:val="auto"/>
          <w:sz w:val="32"/>
          <w:szCs w:val="32"/>
          <w:highlight w:val="none"/>
          <w:lang w:eastAsia="zh-CN"/>
        </w:rPr>
        <w:t>。</w:t>
      </w:r>
    </w:p>
    <w:p w14:paraId="517B0B9C">
      <w:pPr>
        <w:ind w:firstLine="643"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lang w:val="en-US" w:eastAsia="zh-CN"/>
        </w:rPr>
        <w:t>五、社会保障：</w:t>
      </w:r>
      <w:r>
        <w:rPr>
          <w:rFonts w:hint="default" w:ascii="Times New Roman" w:hAnsi="Times New Roman" w:eastAsia="仿宋_GB2312" w:cs="Times New Roman"/>
          <w:sz w:val="32"/>
          <w:szCs w:val="32"/>
          <w:highlight w:val="none"/>
        </w:rPr>
        <w:t>按阳江市阳东区人力资源和社会保障局《阳江市阳东区202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年度</w:t>
      </w:r>
      <w:r>
        <w:rPr>
          <w:rFonts w:hint="default" w:ascii="Times New Roman" w:hAnsi="Times New Roman" w:eastAsia="仿宋_GB2312" w:cs="Times New Roman"/>
          <w:sz w:val="32"/>
          <w:szCs w:val="32"/>
          <w:highlight w:val="none"/>
          <w:lang w:eastAsia="zh-CN"/>
        </w:rPr>
        <w:t>第十五批次</w:t>
      </w:r>
      <w:r>
        <w:rPr>
          <w:rFonts w:hint="default" w:ascii="Times New Roman" w:hAnsi="Times New Roman" w:eastAsia="仿宋_GB2312" w:cs="Times New Roman"/>
          <w:sz w:val="32"/>
          <w:szCs w:val="32"/>
          <w:highlight w:val="none"/>
        </w:rPr>
        <w:t>城镇建设用地项目被征地农民养老保障方案》执行。</w:t>
      </w:r>
    </w:p>
    <w:p w14:paraId="43281122">
      <w:pPr>
        <w:numPr>
          <w:ilvl w:val="0"/>
          <w:numId w:val="0"/>
        </w:numPr>
        <w:rPr>
          <w:rFonts w:hint="default" w:ascii="Times New Roman" w:hAnsi="Times New Roman" w:eastAsia="仿宋_GB2312" w:cs="Times New Roman"/>
          <w:sz w:val="32"/>
          <w:szCs w:val="32"/>
          <w:highlight w:val="none"/>
        </w:rPr>
      </w:pPr>
    </w:p>
    <w:p w14:paraId="35EC4F04">
      <w:pPr>
        <w:numPr>
          <w:ilvl w:val="0"/>
          <w:numId w:val="0"/>
        </w:numPr>
        <w:ind w:left="1598" w:leftChars="304" w:hanging="960" w:hangingChars="300"/>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附件</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阳江市阳东区202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年度</w:t>
      </w:r>
      <w:r>
        <w:rPr>
          <w:rFonts w:hint="default" w:ascii="Times New Roman" w:hAnsi="Times New Roman" w:eastAsia="仿宋_GB2312" w:cs="Times New Roman"/>
          <w:sz w:val="32"/>
          <w:szCs w:val="32"/>
          <w:highlight w:val="none"/>
          <w:lang w:eastAsia="zh-CN"/>
        </w:rPr>
        <w:t>第十五批次</w:t>
      </w:r>
      <w:r>
        <w:rPr>
          <w:rFonts w:hint="default" w:ascii="Times New Roman" w:hAnsi="Times New Roman" w:eastAsia="仿宋_GB2312" w:cs="Times New Roman"/>
          <w:sz w:val="32"/>
          <w:szCs w:val="32"/>
          <w:highlight w:val="none"/>
        </w:rPr>
        <w:t>城镇建设用地项目被征地农民养老保障方案</w:t>
      </w:r>
    </w:p>
    <w:p w14:paraId="4975736F">
      <w:pPr>
        <w:numPr>
          <w:ilvl w:val="0"/>
          <w:numId w:val="0"/>
        </w:numPr>
        <w:ind w:firstLine="640" w:firstLineChars="200"/>
        <w:rPr>
          <w:rFonts w:hint="default" w:ascii="Times New Roman" w:hAnsi="Times New Roman" w:eastAsia="仿宋_GB2312" w:cs="Times New Roman"/>
          <w:sz w:val="32"/>
          <w:szCs w:val="32"/>
          <w:highlight w:val="none"/>
        </w:rPr>
      </w:pPr>
    </w:p>
    <w:p w14:paraId="1F7FC31A">
      <w:pPr>
        <w:numPr>
          <w:ilvl w:val="0"/>
          <w:numId w:val="0"/>
        </w:numPr>
        <w:rPr>
          <w:rFonts w:hint="default" w:ascii="Times New Roman" w:hAnsi="Times New Roman" w:eastAsia="仿宋_GB2312" w:cs="Times New Roman"/>
          <w:sz w:val="32"/>
          <w:szCs w:val="32"/>
          <w:highlight w:val="none"/>
        </w:rPr>
      </w:pPr>
      <w:bookmarkStart w:id="0" w:name="_GoBack"/>
      <w:bookmarkEnd w:id="0"/>
    </w:p>
    <w:p w14:paraId="6C2E7A64">
      <w:pPr>
        <w:numPr>
          <w:ilvl w:val="0"/>
          <w:numId w:val="0"/>
        </w:numPr>
        <w:ind w:left="5218" w:leftChars="504" w:hanging="4160" w:hangingChars="130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阳江市</w:t>
      </w:r>
      <w:r>
        <w:rPr>
          <w:rFonts w:hint="default" w:ascii="Times New Roman" w:hAnsi="Times New Roman" w:eastAsia="仿宋_GB2312" w:cs="Times New Roman"/>
          <w:sz w:val="32"/>
          <w:szCs w:val="32"/>
          <w:highlight w:val="none"/>
          <w:lang w:val="en-US" w:eastAsia="zh-CN"/>
        </w:rPr>
        <w:t>阳东区自然资源局</w:t>
      </w:r>
    </w:p>
    <w:p w14:paraId="7F37A3AA">
      <w:pPr>
        <w:numPr>
          <w:ilvl w:val="0"/>
          <w:numId w:val="0"/>
        </w:numPr>
        <w:ind w:left="5218" w:leftChars="504" w:hanging="4160" w:hangingChars="1300"/>
        <w:jc w:val="left"/>
        <w:rPr>
          <w:rFonts w:hint="default" w:ascii="Times New Roman" w:hAnsi="Times New Roman"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val="en-US" w:eastAsia="zh-CN"/>
        </w:rPr>
        <w:t>2025</w:t>
      </w:r>
      <w:r>
        <w:rPr>
          <w:rFonts w:hint="default" w:ascii="Times New Roman" w:hAnsi="Times New Roman" w:eastAsia="仿宋_GB2312" w:cs="Times New Roman"/>
          <w:sz w:val="32"/>
          <w:szCs w:val="32"/>
          <w:highlight w:val="none"/>
          <w:lang w:val="en-US" w:eastAsia="zh-CN"/>
        </w:rPr>
        <w:t>年</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月</w:t>
      </w:r>
      <w:r>
        <w:rPr>
          <w:rFonts w:hint="eastAsia" w:ascii="Times New Roman" w:hAnsi="Times New Roman" w:eastAsia="仿宋_GB2312" w:cs="Times New Roman"/>
          <w:sz w:val="32"/>
          <w:szCs w:val="32"/>
          <w:highlight w:val="none"/>
          <w:lang w:val="en-US" w:eastAsia="zh-CN"/>
        </w:rPr>
        <w:t>17</w:t>
      </w:r>
      <w:r>
        <w:rPr>
          <w:rFonts w:hint="default" w:ascii="Times New Roman" w:hAnsi="Times New Roman" w:eastAsia="仿宋_GB2312" w:cs="Times New Roman"/>
          <w:sz w:val="32"/>
          <w:szCs w:val="32"/>
          <w:highlight w:val="none"/>
          <w:lang w:val="en-US" w:eastAsia="zh-CN"/>
        </w:rPr>
        <w:t>日</w:t>
      </w:r>
    </w:p>
    <w:p w14:paraId="0CE7990A">
      <w:pPr>
        <w:rPr>
          <w:rFonts w:hint="default" w:ascii="Times New Roman" w:hAnsi="Times New Roman" w:cs="Times New Roman"/>
          <w:sz w:val="32"/>
          <w:szCs w:val="32"/>
          <w:highlight w:val="none"/>
          <w:lang w:val="en-US" w:eastAsia="zh-CN"/>
        </w:rPr>
      </w:pPr>
      <w:r>
        <w:rPr>
          <w:rFonts w:hint="default" w:ascii="Times New Roman" w:hAnsi="Times New Roman" w:cs="Times New Roman"/>
          <w:sz w:val="32"/>
          <w:szCs w:val="32"/>
          <w:highlight w:val="none"/>
          <w:lang w:val="en-US" w:eastAsia="zh-CN"/>
        </w:rPr>
        <w:br w:type="page"/>
      </w:r>
      <w:r>
        <w:rPr>
          <w:rFonts w:hint="default" w:ascii="Times New Roman" w:hAnsi="Times New Roman" w:cs="Times New Roman"/>
          <w:sz w:val="32"/>
          <w:szCs w:val="32"/>
          <w:highlight w:val="none"/>
          <w:lang w:val="en-US" w:eastAsia="zh-CN"/>
        </w:rPr>
        <w:t>附件：</w:t>
      </w:r>
    </w:p>
    <w:p w14:paraId="36D636E4">
      <w:pPr>
        <w:rPr>
          <w:rFonts w:hint="default" w:ascii="Times New Roman" w:hAnsi="Times New Roman" w:cs="Times New Roman"/>
          <w:sz w:val="32"/>
          <w:szCs w:val="32"/>
          <w:highlight w:val="none"/>
          <w:lang w:val="en-US" w:eastAsia="zh-CN"/>
        </w:rPr>
      </w:pPr>
      <w:r>
        <w:rPr>
          <w:rFonts w:hint="default" w:ascii="Times New Roman" w:hAnsi="Times New Roman" w:cs="Times New Roman"/>
          <w:sz w:val="32"/>
          <w:szCs w:val="32"/>
          <w:highlight w:val="none"/>
          <w:lang w:val="en-US" w:eastAsia="zh-CN"/>
        </w:rPr>
        <w:drawing>
          <wp:anchor distT="0" distB="0" distL="114300" distR="114300" simplePos="0" relativeHeight="251659264" behindDoc="0" locked="0" layoutInCell="1" allowOverlap="1">
            <wp:simplePos x="0" y="0"/>
            <wp:positionH relativeFrom="column">
              <wp:posOffset>67310</wp:posOffset>
            </wp:positionH>
            <wp:positionV relativeFrom="paragraph">
              <wp:posOffset>40005</wp:posOffset>
            </wp:positionV>
            <wp:extent cx="5297170" cy="7499350"/>
            <wp:effectExtent l="0" t="0" r="6350" b="13970"/>
            <wp:wrapSquare wrapText="bothSides"/>
            <wp:docPr id="2" name="图片 2" descr="养老保障方案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养老保障方案_00"/>
                    <pic:cNvPicPr>
                      <a:picLocks noChangeAspect="1"/>
                    </pic:cNvPicPr>
                  </pic:nvPicPr>
                  <pic:blipFill>
                    <a:blip r:embed="rId4"/>
                    <a:stretch>
                      <a:fillRect/>
                    </a:stretch>
                  </pic:blipFill>
                  <pic:spPr>
                    <a:xfrm>
                      <a:off x="0" y="0"/>
                      <a:ext cx="5297170" cy="7499350"/>
                    </a:xfrm>
                    <a:prstGeom prst="rect">
                      <a:avLst/>
                    </a:prstGeom>
                  </pic:spPr>
                </pic:pic>
              </a:graphicData>
            </a:graphic>
          </wp:anchor>
        </w:drawing>
      </w:r>
      <w:r>
        <w:rPr>
          <w:rFonts w:hint="default" w:ascii="Times New Roman" w:hAnsi="Times New Roman" w:cs="Times New Roman"/>
          <w:sz w:val="32"/>
          <w:szCs w:val="32"/>
          <w:highlight w:val="none"/>
          <w:lang w:val="en-US" w:eastAsia="zh-CN"/>
        </w:rPr>
        <w:br w:type="page"/>
      </w:r>
    </w:p>
    <w:p w14:paraId="4A068BE4">
      <w:pPr>
        <w:rPr>
          <w:rFonts w:hint="default" w:ascii="Times New Roman" w:hAnsi="Times New Roman" w:cs="Times New Roman"/>
          <w:sz w:val="32"/>
          <w:szCs w:val="32"/>
          <w:highlight w:val="none"/>
          <w:lang w:val="en-US" w:eastAsia="zh-CN"/>
        </w:rPr>
      </w:pPr>
      <w:r>
        <w:rPr>
          <w:rFonts w:hint="default" w:ascii="Times New Roman" w:hAnsi="Times New Roman" w:cs="Times New Roman"/>
          <w:sz w:val="32"/>
          <w:szCs w:val="32"/>
          <w:highlight w:val="none"/>
          <w:lang w:val="en-US" w:eastAsia="zh-CN"/>
        </w:rPr>
        <w:drawing>
          <wp:anchor distT="0" distB="0" distL="114300" distR="114300" simplePos="0" relativeHeight="251660288" behindDoc="0" locked="0" layoutInCell="1" allowOverlap="1">
            <wp:simplePos x="0" y="0"/>
            <wp:positionH relativeFrom="column">
              <wp:posOffset>0</wp:posOffset>
            </wp:positionH>
            <wp:positionV relativeFrom="paragraph">
              <wp:posOffset>247015</wp:posOffset>
            </wp:positionV>
            <wp:extent cx="5405120" cy="7651750"/>
            <wp:effectExtent l="0" t="0" r="5080" b="13970"/>
            <wp:wrapSquare wrapText="bothSides"/>
            <wp:docPr id="1" name="图片 1" descr="养老保障方案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养老保障方案_01"/>
                    <pic:cNvPicPr>
                      <a:picLocks noChangeAspect="1"/>
                    </pic:cNvPicPr>
                  </pic:nvPicPr>
                  <pic:blipFill>
                    <a:blip r:embed="rId5"/>
                    <a:stretch>
                      <a:fillRect/>
                    </a:stretch>
                  </pic:blipFill>
                  <pic:spPr>
                    <a:xfrm>
                      <a:off x="0" y="0"/>
                      <a:ext cx="5405120" cy="7651750"/>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iNjNmOTFiYWMyZjM4OTkwZjVkNzI2OGRmNDliYzAifQ=="/>
  </w:docVars>
  <w:rsids>
    <w:rsidRoot w:val="0CEB3E35"/>
    <w:rsid w:val="02C014B2"/>
    <w:rsid w:val="04775D9D"/>
    <w:rsid w:val="0CEB3E35"/>
    <w:rsid w:val="0E1F5511"/>
    <w:rsid w:val="132605EE"/>
    <w:rsid w:val="13A85ACE"/>
    <w:rsid w:val="14AD2260"/>
    <w:rsid w:val="15FE40E3"/>
    <w:rsid w:val="16FE209C"/>
    <w:rsid w:val="177D096E"/>
    <w:rsid w:val="1C913B5A"/>
    <w:rsid w:val="1CD7486F"/>
    <w:rsid w:val="1D3C5874"/>
    <w:rsid w:val="1E6D3444"/>
    <w:rsid w:val="1F070103"/>
    <w:rsid w:val="24E044F1"/>
    <w:rsid w:val="28A11F36"/>
    <w:rsid w:val="30FA731E"/>
    <w:rsid w:val="343717AD"/>
    <w:rsid w:val="36811BDB"/>
    <w:rsid w:val="37093AA0"/>
    <w:rsid w:val="378620B5"/>
    <w:rsid w:val="37961C79"/>
    <w:rsid w:val="37C43C41"/>
    <w:rsid w:val="3BF97748"/>
    <w:rsid w:val="3E437DB2"/>
    <w:rsid w:val="4026115D"/>
    <w:rsid w:val="44242DAB"/>
    <w:rsid w:val="44C9538F"/>
    <w:rsid w:val="4D6B60A2"/>
    <w:rsid w:val="542119A1"/>
    <w:rsid w:val="586C185D"/>
    <w:rsid w:val="590A1BB3"/>
    <w:rsid w:val="63522C66"/>
    <w:rsid w:val="6B677D4F"/>
    <w:rsid w:val="74A026FF"/>
    <w:rsid w:val="78C464A4"/>
    <w:rsid w:val="7B524D46"/>
    <w:rsid w:val="7CA46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TotalTime>
  <ScaleCrop>false</ScaleCrop>
  <LinksUpToDate>false</LinksUpToDate>
  <CharactersWithSpaces>0</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2024-01-26T03:26:00Z</dcterms:created>
  <dc:creator>陈明杰</dc:creator>
  <cp:lastModifiedBy>Administrator</cp:lastModifiedBy>
  <cp:lastPrinted>2024-03-01T02:04:00Z</cp:lastPrinted>
  <dcterms:modified xsi:type="dcterms:W3CDTF">2026-02-13T02:01:06Z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F506EB019D704FB38865312EC856386A_11</vt:lpwstr>
  </property>
  <property fmtid="{D5CDD505-2E9C-101B-9397-08002B2CF9AE}" pid="4" name="KSOTemplateDocerSaveRecord">
    <vt:lpwstr>eyJoZGlkIjoiNDM2OTdhN2JiZTc3NGViY2ZlYjViNGRjMTFmOWQwZmIifQ==</vt:lpwstr>
  </property>
</Properties>
</file>