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i w:val="0"/>
          <w:caps w:val="0"/>
          <w:color w:val="525252"/>
          <w:spacing w:val="9"/>
          <w:kern w:val="0"/>
          <w:sz w:val="36"/>
          <w:szCs w:val="36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i w:val="0"/>
          <w:caps w:val="0"/>
          <w:color w:val="525252"/>
          <w:spacing w:val="9"/>
          <w:kern w:val="0"/>
          <w:sz w:val="36"/>
          <w:szCs w:val="36"/>
          <w:lang w:val="en-US" w:eastAsia="zh-CN" w:bidi="ar"/>
        </w:rPr>
        <w:t>阳江市阳东区公共资产事务中心2026年“</w:t>
      </w:r>
      <w:r>
        <w:rPr>
          <w:rFonts w:hint="eastAsia" w:asciiTheme="majorEastAsia" w:hAnsiTheme="majorEastAsia" w:eastAsiaTheme="majorEastAsia" w:cstheme="majorEastAsia"/>
          <w:b/>
          <w:i w:val="0"/>
          <w:caps w:val="0"/>
          <w:color w:val="525252"/>
          <w:spacing w:val="9"/>
          <w:kern w:val="0"/>
          <w:sz w:val="36"/>
          <w:szCs w:val="36"/>
          <w:lang w:val="en-US" w:eastAsia="zh-CN" w:bidi="ar"/>
        </w:rPr>
        <w:t>三公</w:t>
      </w:r>
      <w:r>
        <w:rPr>
          <w:rFonts w:hint="eastAsia" w:asciiTheme="majorEastAsia" w:hAnsiTheme="majorEastAsia" w:eastAsiaTheme="majorEastAsia" w:cstheme="majorEastAsia"/>
          <w:b/>
          <w:i w:val="0"/>
          <w:caps w:val="0"/>
          <w:color w:val="525252"/>
          <w:spacing w:val="9"/>
          <w:kern w:val="0"/>
          <w:sz w:val="36"/>
          <w:szCs w:val="36"/>
          <w:lang w:val="en-US" w:eastAsia="zh-CN" w:bidi="ar"/>
        </w:rPr>
        <w:t>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Theme="majorEastAsia" w:hAnsiTheme="majorEastAsia" w:eastAsiaTheme="majorEastAsia" w:cstheme="majorEastAsia"/>
          <w:b/>
          <w:i w:val="0"/>
          <w:caps w:val="0"/>
          <w:color w:val="525252"/>
          <w:spacing w:val="9"/>
          <w:kern w:val="0"/>
          <w:sz w:val="36"/>
          <w:szCs w:val="36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b/>
          <w:i w:val="0"/>
          <w:caps w:val="0"/>
          <w:color w:val="525252"/>
          <w:spacing w:val="9"/>
          <w:kern w:val="0"/>
          <w:sz w:val="36"/>
          <w:szCs w:val="36"/>
          <w:lang w:val="en-US" w:eastAsia="zh-CN" w:bidi="ar"/>
        </w:rPr>
        <w:t>经费预算基本情况说明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b/>
          <w:i w:val="0"/>
          <w:caps w:val="0"/>
          <w:color w:val="525252"/>
          <w:spacing w:val="9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Theme="minorEastAsia" w:hAnsiTheme="minorEastAsia" w:eastAsiaTheme="minorEastAsia" w:cstheme="minorEastAsia"/>
          <w:i w:val="0"/>
          <w:caps w:val="0"/>
          <w:color w:val="525252"/>
          <w:spacing w:val="9"/>
          <w:sz w:val="30"/>
          <w:szCs w:val="30"/>
        </w:rPr>
      </w:pPr>
      <w:r>
        <w:rPr>
          <w:rFonts w:hint="eastAsia" w:ascii="宋体" w:hAnsi="宋体" w:eastAsia="宋体" w:cs="宋体"/>
          <w:i w:val="0"/>
          <w:caps w:val="0"/>
          <w:color w:val="525252"/>
          <w:spacing w:val="9"/>
          <w:kern w:val="0"/>
          <w:sz w:val="30"/>
          <w:szCs w:val="30"/>
          <w:lang w:val="en-US" w:eastAsia="zh-CN" w:bidi="ar"/>
        </w:rPr>
        <w:t xml:space="preserve">    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525252"/>
          <w:spacing w:val="9"/>
          <w:kern w:val="0"/>
          <w:sz w:val="30"/>
          <w:szCs w:val="30"/>
          <w:lang w:val="en-US" w:eastAsia="zh-CN" w:bidi="ar"/>
        </w:rPr>
        <w:t>2026年本部门财政拨款安排“三公”经费4.5万元，比上年减少18万元，下降80%，主要原因是上年购置了公务用车，今年不再购置。其中：因公出国（境）费0万元，比上年增加0万元，增长0%，主要原因是上年持平，无增减变化；公务用车购置及运行维护费3.5万元（公务用车购置费0万元，比上年减少18万元；公务用车运行维护费3.5万元，比上年增加0万元。）比上年减少18万元，下降83.7%，主要原因是上年购置了公务用车，今年不再购置；公务接待费1万元，比上年增加0万元，增长0%，主要原因是与上年持平，无增减变化。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585519"/>
    <w:rsid w:val="1C8E3466"/>
    <w:rsid w:val="399E759A"/>
    <w:rsid w:val="50BE42F4"/>
    <w:rsid w:val="63240C37"/>
    <w:rsid w:val="6A585519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2026-03-02T01:13:00Z</dcterms:created>
  <dc:creator>admin</dc:creator>
  <cp:lastModifiedBy>admin</cp:lastModifiedBy>
  <dcterms:modified xsi:type="dcterms:W3CDTF">2026-03-02T01:39:39Z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