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30F46">
      <w:pPr>
        <w:rPr>
          <w:rFonts w:hint="eastAsia" w:eastAsia="宋体"/>
          <w:color w:val="auto"/>
          <w:sz w:val="36"/>
          <w:szCs w:val="36"/>
          <w:lang w:eastAsia="zh-CN"/>
        </w:rPr>
      </w:pPr>
      <w:bookmarkStart w:id="0" w:name="_Toc88612189"/>
      <w:bookmarkStart w:id="1" w:name="_Toc4966"/>
      <w:bookmarkStart w:id="2" w:name="_Toc28369"/>
      <w:bookmarkStart w:id="3" w:name="_Toc81688356"/>
      <w:bookmarkStart w:id="4" w:name="_Toc91192468"/>
      <w:bookmarkStart w:id="5" w:name="_Toc17134"/>
      <w:bookmarkStart w:id="6" w:name="_Toc83684126"/>
      <w:bookmarkStart w:id="7" w:name="_Toc82689769"/>
      <w:bookmarkStart w:id="8" w:name="_Toc82904603"/>
      <w:bookmarkStart w:id="9" w:name="_Toc86877484"/>
      <w:bookmarkStart w:id="10" w:name="_Toc82043743"/>
      <w:bookmarkStart w:id="11" w:name="_Toc30191"/>
      <w:bookmarkStart w:id="12" w:name="_Toc4140"/>
      <w:bookmarkStart w:id="13" w:name="_Toc16966"/>
      <w:bookmarkStart w:id="14" w:name="_Toc1861"/>
      <w:bookmarkStart w:id="15" w:name="_Toc92573265"/>
      <w:bookmarkStart w:id="16" w:name="_Toc81379829"/>
      <w:bookmarkStart w:id="17" w:name="_Toc29931"/>
      <w:bookmarkStart w:id="284" w:name="_GoBack"/>
      <w:bookmarkEnd w:id="284"/>
      <w:r>
        <w:rPr>
          <w:rFonts w:hint="eastAsia" w:eastAsia="宋体"/>
          <w:color w:val="auto"/>
          <w:sz w:val="36"/>
          <w:szCs w:val="36"/>
          <w:lang w:eastAsia="zh-CN"/>
        </w:rPr>
        <w:drawing>
          <wp:anchor distT="0" distB="0" distL="114300" distR="114300" simplePos="0" relativeHeight="251663360" behindDoc="0" locked="0" layoutInCell="1" allowOverlap="1">
            <wp:simplePos x="0" y="0"/>
            <wp:positionH relativeFrom="column">
              <wp:posOffset>-635000</wp:posOffset>
            </wp:positionH>
            <wp:positionV relativeFrom="paragraph">
              <wp:posOffset>-817880</wp:posOffset>
            </wp:positionV>
            <wp:extent cx="7330440" cy="10367010"/>
            <wp:effectExtent l="0" t="0" r="3810" b="15240"/>
            <wp:wrapNone/>
            <wp:docPr id="200" name="图片 200" descr="7711e92e-7e9e-4c57-b143-15087d3a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7711e92e-7e9e-4c57-b143-15087d3a5837"/>
                    <pic:cNvPicPr>
                      <a:picLocks noChangeAspect="1"/>
                    </pic:cNvPicPr>
                  </pic:nvPicPr>
                  <pic:blipFill>
                    <a:blip r:embed="rId14"/>
                    <a:stretch>
                      <a:fillRect/>
                    </a:stretch>
                  </pic:blipFill>
                  <pic:spPr>
                    <a:xfrm>
                      <a:off x="0" y="0"/>
                      <a:ext cx="7330440" cy="10367010"/>
                    </a:xfrm>
                    <a:prstGeom prst="rect">
                      <a:avLst/>
                    </a:prstGeom>
                  </pic:spPr>
                </pic:pic>
              </a:graphicData>
            </a:graphic>
          </wp:anchor>
        </w:drawing>
      </w:r>
    </w:p>
    <w:p w14:paraId="19ADA8DA">
      <w:pPr>
        <w:rPr>
          <w:rFonts w:hint="eastAsia"/>
          <w:color w:val="auto"/>
          <w:sz w:val="36"/>
          <w:szCs w:val="36"/>
        </w:rPr>
      </w:pPr>
    </w:p>
    <w:p w14:paraId="3633846B">
      <w:pPr>
        <w:rPr>
          <w:rFonts w:hint="eastAsia"/>
          <w:color w:val="auto"/>
          <w:sz w:val="36"/>
          <w:szCs w:val="36"/>
        </w:rPr>
      </w:pPr>
    </w:p>
    <w:p w14:paraId="716BD2D0">
      <w:pPr>
        <w:rPr>
          <w:rFonts w:eastAsia="仿宋_GB2312"/>
          <w:color w:val="auto"/>
          <w:sz w:val="36"/>
          <w:szCs w:val="36"/>
        </w:rPr>
      </w:pPr>
    </w:p>
    <w:p w14:paraId="50835C83">
      <w:pPr>
        <w:rPr>
          <w:rFonts w:eastAsia="仿宋_GB2312"/>
          <w:color w:val="auto"/>
          <w:sz w:val="36"/>
          <w:szCs w:val="36"/>
        </w:rPr>
      </w:pPr>
    </w:p>
    <w:p w14:paraId="5A80FD9B">
      <w:pPr>
        <w:widowControl w:val="0"/>
        <w:adjustRightInd w:val="0"/>
        <w:snapToGrid w:val="0"/>
        <w:spacing w:line="240" w:lineRule="auto"/>
        <w:jc w:val="center"/>
        <w:outlineLvl w:val="0"/>
        <w:rPr>
          <w:rFonts w:hint="eastAsia" w:ascii="黑体" w:hAnsi="黑体" w:eastAsia="黑体" w:cs="黑体"/>
          <w:bCs/>
          <w:color w:val="auto"/>
          <w:sz w:val="72"/>
          <w:szCs w:val="72"/>
        </w:rPr>
      </w:pPr>
      <w:bookmarkStart w:id="18" w:name="_Toc21282"/>
      <w:bookmarkStart w:id="19" w:name="_Toc27691"/>
      <w:bookmarkStart w:id="20" w:name="_Toc62"/>
      <w:bookmarkStart w:id="21" w:name="_Toc22818"/>
      <w:bookmarkStart w:id="22" w:name="_Toc6764"/>
      <w:bookmarkStart w:id="23" w:name="_Toc9019"/>
      <w:bookmarkStart w:id="24" w:name="_Toc15757"/>
      <w:bookmarkStart w:id="25" w:name="_Toc22648"/>
      <w:bookmarkStart w:id="26" w:name="_Toc25312"/>
      <w:bookmarkStart w:id="27" w:name="_Toc20092"/>
      <w:bookmarkStart w:id="28" w:name="_Toc28721"/>
      <w:bookmarkStart w:id="29" w:name="_Toc20771"/>
      <w:bookmarkStart w:id="30" w:name="_Toc15756"/>
      <w:bookmarkStart w:id="31" w:name="_Toc24811"/>
      <w:bookmarkStart w:id="32" w:name="_Toc21766"/>
      <w:bookmarkStart w:id="33" w:name="_Toc18581"/>
      <w:bookmarkStart w:id="34" w:name="_Toc7880"/>
      <w:bookmarkStart w:id="35" w:name="_Toc24613"/>
      <w:r>
        <w:rPr>
          <w:rFonts w:hint="eastAsia" w:ascii="黑体" w:hAnsi="黑体" w:eastAsia="黑体" w:cs="黑体"/>
          <w:bCs/>
          <w:color w:val="auto"/>
          <w:sz w:val="72"/>
          <w:szCs w:val="72"/>
        </w:rPr>
        <w:t>建设项目</w:t>
      </w:r>
      <w:r>
        <w:rPr>
          <w:rFonts w:hint="eastAsia" w:ascii="黑体" w:hAnsi="黑体" w:eastAsia="黑体" w:cs="黑体"/>
          <w:bCs/>
          <w:color w:val="auto"/>
          <w:sz w:val="72"/>
          <w:szCs w:val="72"/>
          <w:lang w:val="en-US" w:eastAsia="zh-CN"/>
        </w:rPr>
        <w:t>生态</w:t>
      </w:r>
      <w:r>
        <w:rPr>
          <w:rFonts w:hint="eastAsia" w:ascii="黑体" w:hAnsi="黑体" w:eastAsia="黑体" w:cs="黑体"/>
          <w:bCs/>
          <w:color w:val="auto"/>
          <w:sz w:val="72"/>
          <w:szCs w:val="72"/>
        </w:rPr>
        <w:t>环境影响报告表</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218E125B">
      <w:pPr>
        <w:adjustRightInd w:val="0"/>
        <w:snapToGrid w:val="0"/>
        <w:spacing w:before="192" w:beforeLines="80"/>
        <w:jc w:val="center"/>
        <w:rPr>
          <w:rFonts w:eastAsia="楷体_GB2312"/>
          <w:bCs/>
          <w:color w:val="auto"/>
          <w:sz w:val="48"/>
          <w:szCs w:val="48"/>
        </w:rPr>
      </w:pPr>
      <w:r>
        <w:rPr>
          <w:rFonts w:eastAsia="楷体_GB2312"/>
          <w:bCs/>
          <w:color w:val="auto"/>
          <w:sz w:val="48"/>
          <w:szCs w:val="48"/>
        </w:rPr>
        <w:t>（污染影响类）</w:t>
      </w:r>
    </w:p>
    <w:p w14:paraId="6262E7E0">
      <w:pPr>
        <w:ind w:firstLine="1040"/>
        <w:rPr>
          <w:rFonts w:eastAsia="仿宋"/>
          <w:color w:val="auto"/>
          <w:sz w:val="44"/>
          <w:szCs w:val="44"/>
        </w:rPr>
      </w:pPr>
    </w:p>
    <w:p w14:paraId="07666CC5">
      <w:pPr>
        <w:ind w:firstLine="1040"/>
        <w:rPr>
          <w:rFonts w:eastAsia="仿宋"/>
          <w:color w:val="auto"/>
          <w:sz w:val="44"/>
          <w:szCs w:val="44"/>
        </w:rPr>
      </w:pPr>
    </w:p>
    <w:p w14:paraId="7F6786B9">
      <w:pPr>
        <w:ind w:firstLine="1040"/>
        <w:rPr>
          <w:rFonts w:eastAsia="仿宋"/>
          <w:color w:val="auto"/>
          <w:sz w:val="44"/>
          <w:szCs w:val="44"/>
        </w:rPr>
      </w:pPr>
    </w:p>
    <w:p w14:paraId="41A85A26">
      <w:pPr>
        <w:ind w:firstLine="1040"/>
        <w:rPr>
          <w:rFonts w:eastAsia="仿宋"/>
          <w:color w:val="auto"/>
          <w:sz w:val="44"/>
          <w:szCs w:val="44"/>
        </w:rPr>
      </w:pPr>
    </w:p>
    <w:p w14:paraId="72972FDB">
      <w:pPr>
        <w:adjustRightInd w:val="0"/>
        <w:snapToGrid w:val="0"/>
        <w:spacing w:line="360" w:lineRule="auto"/>
        <w:rPr>
          <w:rFonts w:eastAsia="仿宋_GB2312"/>
          <w:color w:val="auto"/>
          <w:sz w:val="36"/>
          <w:szCs w:val="36"/>
        </w:rPr>
      </w:pPr>
    </w:p>
    <w:p w14:paraId="2D13CC69">
      <w:pPr>
        <w:adjustRightInd w:val="0"/>
        <w:snapToGrid w:val="0"/>
        <w:spacing w:line="360" w:lineRule="auto"/>
        <w:ind w:firstLine="720" w:firstLineChars="200"/>
        <w:rPr>
          <w:rFonts w:eastAsia="仿宋_GB2312"/>
          <w:color w:val="auto"/>
          <w:sz w:val="36"/>
          <w:szCs w:val="36"/>
          <w:u w:val="single"/>
        </w:rPr>
      </w:pPr>
      <w:r>
        <w:rPr>
          <w:rFonts w:eastAsia="仿宋_GB2312"/>
          <w:color w:val="auto"/>
          <w:sz w:val="36"/>
          <w:szCs w:val="36"/>
        </w:rPr>
        <w:t>项目名称：</w:t>
      </w:r>
      <w:r>
        <w:rPr>
          <w:rFonts w:hint="eastAsia" w:eastAsia="仿宋_GB2312"/>
          <w:color w:val="auto"/>
          <w:sz w:val="36"/>
          <w:szCs w:val="36"/>
          <w:u w:val="single" w:color="000000"/>
        </w:rPr>
        <w:t xml:space="preserve">         阳江纳谷科技有限公司</w:t>
      </w:r>
      <w:r>
        <w:rPr>
          <w:rFonts w:hint="eastAsia" w:eastAsia="仿宋_GB2312"/>
          <w:color w:val="auto"/>
          <w:sz w:val="36"/>
          <w:szCs w:val="36"/>
          <w:u w:val="single"/>
        </w:rPr>
        <w:t xml:space="preserve">             </w:t>
      </w:r>
      <w:r>
        <w:rPr>
          <w:rFonts w:hint="eastAsia" w:eastAsia="仿宋_GB2312"/>
          <w:color w:val="FFFFFF" w:themeColor="background1"/>
          <w:sz w:val="36"/>
          <w:szCs w:val="36"/>
          <w:u w:val="single" w:color="000000"/>
          <w14:textFill>
            <w14:solidFill>
              <w14:schemeClr w14:val="bg1"/>
            </w14:solidFill>
          </w14:textFill>
        </w:rPr>
        <w:t>.</w:t>
      </w:r>
    </w:p>
    <w:p w14:paraId="6B95A8B1">
      <w:pPr>
        <w:adjustRightInd w:val="0"/>
        <w:snapToGrid w:val="0"/>
        <w:spacing w:line="360" w:lineRule="auto"/>
        <w:ind w:firstLine="2520" w:firstLineChars="700"/>
        <w:rPr>
          <w:rFonts w:eastAsia="仿宋_GB2312"/>
          <w:color w:val="auto"/>
          <w:sz w:val="36"/>
          <w:szCs w:val="36"/>
          <w:u w:val="single"/>
        </w:rPr>
      </w:pPr>
      <w:r>
        <w:rPr>
          <w:rFonts w:hint="eastAsia" w:eastAsia="仿宋_GB2312"/>
          <w:color w:val="auto"/>
          <w:sz w:val="36"/>
          <w:szCs w:val="36"/>
          <w:u w:val="single"/>
        </w:rPr>
        <w:t xml:space="preserve"> </w:t>
      </w:r>
      <w:r>
        <w:rPr>
          <w:rFonts w:hint="eastAsia" w:eastAsia="仿宋_GB2312"/>
          <w:color w:val="FFFFFF" w:themeColor="background1"/>
          <w:sz w:val="36"/>
          <w:szCs w:val="36"/>
          <w:u w:val="single" w:color="000000"/>
          <w14:textFill>
            <w14:solidFill>
              <w14:schemeClr w14:val="bg1"/>
            </w14:solidFill>
          </w14:textFill>
        </w:rPr>
        <w:t>.</w:t>
      </w:r>
      <w:r>
        <w:rPr>
          <w:rFonts w:hint="eastAsia" w:eastAsia="仿宋_GB2312"/>
          <w:color w:val="auto"/>
          <w:sz w:val="36"/>
          <w:szCs w:val="36"/>
          <w:u w:val="single" w:color="000000"/>
        </w:rPr>
        <w:t xml:space="preserve">  </w:t>
      </w:r>
      <w:r>
        <w:rPr>
          <w:rFonts w:hint="eastAsia" w:eastAsia="仿宋_GB2312"/>
          <w:color w:val="auto"/>
          <w:sz w:val="36"/>
          <w:szCs w:val="36"/>
          <w:u w:val="single" w:color="000000"/>
          <w:lang w:val="en-US" w:eastAsia="zh-CN"/>
        </w:rPr>
        <w:t xml:space="preserve">       </w:t>
      </w:r>
      <w:r>
        <w:rPr>
          <w:rFonts w:hint="eastAsia" w:eastAsia="仿宋_GB2312"/>
          <w:color w:val="auto"/>
          <w:sz w:val="36"/>
          <w:szCs w:val="36"/>
          <w:u w:val="single"/>
          <w:lang w:eastAsia="zh-CN"/>
        </w:rPr>
        <w:t>电泳生产线改建项目</w:t>
      </w:r>
      <w:r>
        <w:rPr>
          <w:rFonts w:hint="eastAsia" w:eastAsia="仿宋_GB2312"/>
          <w:color w:val="auto"/>
          <w:sz w:val="36"/>
          <w:szCs w:val="36"/>
          <w:u w:val="single"/>
          <w:lang w:val="en-US" w:eastAsia="zh-CN"/>
        </w:rPr>
        <w:t xml:space="preserve">           </w:t>
      </w:r>
      <w:r>
        <w:rPr>
          <w:rFonts w:hint="eastAsia" w:eastAsia="仿宋_GB2312"/>
          <w:color w:val="auto"/>
          <w:sz w:val="36"/>
          <w:szCs w:val="36"/>
          <w:u w:val="single" w:color="000000" w:themeColor="text1"/>
          <w:lang w:val="en-US" w:eastAsia="zh-CN"/>
        </w:rPr>
        <w:t xml:space="preserve">  </w:t>
      </w:r>
      <w:r>
        <w:rPr>
          <w:rFonts w:hint="eastAsia" w:eastAsia="仿宋_GB2312"/>
          <w:color w:val="auto"/>
          <w:sz w:val="36"/>
          <w:szCs w:val="36"/>
          <w:u w:val="single" w:color="000000" w:themeColor="text1"/>
        </w:rPr>
        <w:t xml:space="preserve"> </w:t>
      </w:r>
      <w:r>
        <w:rPr>
          <w:rFonts w:hint="eastAsia" w:eastAsia="仿宋_GB2312"/>
          <w:color w:val="FFFFFF" w:themeColor="background1"/>
          <w:sz w:val="36"/>
          <w:szCs w:val="36"/>
          <w:u w:val="single" w:color="000000" w:themeColor="text1"/>
          <w14:textFill>
            <w14:solidFill>
              <w14:schemeClr w14:val="bg1"/>
            </w14:solidFill>
          </w14:textFill>
        </w:rPr>
        <w:t xml:space="preserve"> .</w:t>
      </w:r>
    </w:p>
    <w:p w14:paraId="67757241">
      <w:pPr>
        <w:adjustRightInd w:val="0"/>
        <w:snapToGrid w:val="0"/>
        <w:spacing w:line="360" w:lineRule="auto"/>
        <w:ind w:firstLine="720" w:firstLineChars="200"/>
        <w:rPr>
          <w:rFonts w:eastAsia="仿宋_GB2312"/>
          <w:color w:val="auto"/>
          <w:sz w:val="36"/>
          <w:szCs w:val="36"/>
          <w:u w:val="single" w:color="000000" w:themeColor="text1"/>
        </w:rPr>
      </w:pPr>
      <w:r>
        <w:rPr>
          <w:rFonts w:eastAsia="仿宋_GB2312"/>
          <w:color w:val="auto"/>
          <w:sz w:val="36"/>
          <w:szCs w:val="36"/>
        </w:rPr>
        <w:t>建设单位（盖章）：</w:t>
      </w:r>
      <w:r>
        <w:rPr>
          <w:rFonts w:hint="eastAsia" w:eastAsia="仿宋_GB2312"/>
          <w:color w:val="auto"/>
          <w:sz w:val="36"/>
          <w:szCs w:val="36"/>
          <w:u w:val="single"/>
        </w:rPr>
        <w:t xml:space="preserve">阳江纳谷科技有限公司   </w:t>
      </w:r>
      <w:r>
        <w:rPr>
          <w:rFonts w:hint="eastAsia" w:eastAsia="仿宋_GB2312"/>
          <w:color w:val="auto"/>
          <w:sz w:val="36"/>
          <w:szCs w:val="36"/>
          <w:u w:val="single" w:color="000000" w:themeColor="text1"/>
        </w:rPr>
        <w:t xml:space="preserve">  </w:t>
      </w:r>
      <w:r>
        <w:rPr>
          <w:rFonts w:hint="eastAsia" w:eastAsia="仿宋_GB2312"/>
          <w:color w:val="FFFFFF" w:themeColor="background1"/>
          <w:sz w:val="36"/>
          <w:szCs w:val="36"/>
          <w:u w:val="single" w:color="000000" w:themeColor="text1"/>
          <w14:textFill>
            <w14:solidFill>
              <w14:schemeClr w14:val="bg1"/>
            </w14:solidFill>
          </w14:textFill>
        </w:rPr>
        <w:t xml:space="preserve"> .</w:t>
      </w:r>
    </w:p>
    <w:p w14:paraId="1FAD0D71">
      <w:pPr>
        <w:adjustRightInd w:val="0"/>
        <w:snapToGrid w:val="0"/>
        <w:spacing w:line="360" w:lineRule="auto"/>
        <w:ind w:firstLine="720" w:firstLineChars="200"/>
        <w:rPr>
          <w:rFonts w:hint="eastAsia" w:eastAsia="仿宋_GB2312"/>
          <w:color w:val="auto"/>
          <w:sz w:val="36"/>
          <w:szCs w:val="36"/>
          <w:u w:val="single"/>
        </w:rPr>
      </w:pPr>
      <w:r>
        <w:rPr>
          <w:rFonts w:eastAsia="仿宋_GB2312"/>
          <w:color w:val="auto"/>
          <w:sz w:val="36"/>
          <w:szCs w:val="36"/>
        </w:rPr>
        <w:t>编制日期：</w:t>
      </w:r>
      <w:r>
        <w:rPr>
          <w:rFonts w:hint="eastAsia" w:eastAsia="仿宋_GB2312"/>
          <w:color w:val="FFFFFF" w:themeColor="background1"/>
          <w:sz w:val="36"/>
          <w:szCs w:val="36"/>
          <w:u w:val="single" w:color="000000"/>
          <w14:textFill>
            <w14:solidFill>
              <w14:schemeClr w14:val="bg1"/>
            </w14:solidFill>
          </w14:textFill>
        </w:rPr>
        <w:t>.</w:t>
      </w:r>
      <w:r>
        <w:rPr>
          <w:rFonts w:hint="eastAsia" w:eastAsia="仿宋_GB2312"/>
          <w:color w:val="auto"/>
          <w:sz w:val="36"/>
          <w:szCs w:val="36"/>
          <w:u w:val="single" w:color="000000"/>
        </w:rPr>
        <w:t xml:space="preserve">                       </w:t>
      </w:r>
      <w:r>
        <w:rPr>
          <w:rFonts w:eastAsia="仿宋_GB2312"/>
          <w:color w:val="auto"/>
          <w:sz w:val="36"/>
          <w:szCs w:val="36"/>
          <w:u w:val="single"/>
        </w:rPr>
        <w:t>202</w:t>
      </w:r>
      <w:r>
        <w:rPr>
          <w:rFonts w:hint="eastAsia" w:eastAsia="仿宋_GB2312"/>
          <w:color w:val="auto"/>
          <w:sz w:val="36"/>
          <w:szCs w:val="36"/>
          <w:u w:val="single"/>
        </w:rPr>
        <w:t>6</w:t>
      </w:r>
      <w:r>
        <w:rPr>
          <w:rFonts w:eastAsia="仿宋_GB2312"/>
          <w:color w:val="auto"/>
          <w:sz w:val="36"/>
          <w:szCs w:val="36"/>
          <w:u w:val="single"/>
        </w:rPr>
        <w:t>年</w:t>
      </w:r>
      <w:r>
        <w:rPr>
          <w:rFonts w:hint="eastAsia" w:eastAsia="仿宋_GB2312"/>
          <w:color w:val="auto"/>
          <w:sz w:val="36"/>
          <w:szCs w:val="36"/>
          <w:u w:val="single"/>
          <w:lang w:val="en-US" w:eastAsia="zh-CN"/>
        </w:rPr>
        <w:t>8</w:t>
      </w:r>
      <w:r>
        <w:rPr>
          <w:rFonts w:eastAsia="仿宋_GB2312"/>
          <w:color w:val="auto"/>
          <w:sz w:val="36"/>
          <w:szCs w:val="36"/>
          <w:u w:val="single"/>
        </w:rPr>
        <w:t>月</w:t>
      </w:r>
      <w:r>
        <w:rPr>
          <w:rFonts w:hint="eastAsia" w:eastAsia="仿宋_GB2312"/>
          <w:color w:val="auto"/>
          <w:sz w:val="36"/>
          <w:szCs w:val="36"/>
          <w:u w:val="single"/>
        </w:rPr>
        <w:t xml:space="preserve">                 </w:t>
      </w:r>
      <w:r>
        <w:rPr>
          <w:rFonts w:hint="eastAsia" w:eastAsia="仿宋_GB2312"/>
          <w:color w:val="FFFFFF" w:themeColor="background1"/>
          <w:sz w:val="36"/>
          <w:szCs w:val="36"/>
          <w:u w:val="single" w:color="000000"/>
          <w14:textFill>
            <w14:solidFill>
              <w14:schemeClr w14:val="bg1"/>
            </w14:solidFill>
          </w14:textFill>
        </w:rPr>
        <w:t>.</w:t>
      </w:r>
    </w:p>
    <w:p w14:paraId="4CE97C1F">
      <w:pPr>
        <w:adjustRightInd w:val="0"/>
        <w:snapToGrid w:val="0"/>
        <w:spacing w:line="288" w:lineRule="auto"/>
        <w:ind w:firstLine="1040"/>
        <w:rPr>
          <w:rFonts w:eastAsia="仿宋_GB2312"/>
          <w:color w:val="auto"/>
          <w:sz w:val="36"/>
          <w:szCs w:val="36"/>
          <w:u w:val="single"/>
        </w:rPr>
      </w:pPr>
      <w:bookmarkStart w:id="36" w:name="_Hlk57884087"/>
    </w:p>
    <w:p w14:paraId="344B8376">
      <w:pPr>
        <w:adjustRightInd w:val="0"/>
        <w:snapToGrid w:val="0"/>
        <w:spacing w:line="288" w:lineRule="auto"/>
        <w:ind w:firstLine="1040"/>
        <w:rPr>
          <w:rFonts w:eastAsia="仿宋_GB2312"/>
          <w:color w:val="auto"/>
          <w:sz w:val="36"/>
          <w:szCs w:val="36"/>
          <w:u w:val="single"/>
        </w:rPr>
      </w:pPr>
    </w:p>
    <w:p w14:paraId="4FFF034F">
      <w:pPr>
        <w:adjustRightInd w:val="0"/>
        <w:snapToGrid w:val="0"/>
        <w:spacing w:line="288" w:lineRule="auto"/>
        <w:ind w:firstLine="1040"/>
        <w:rPr>
          <w:rFonts w:eastAsia="仿宋_GB2312"/>
          <w:color w:val="auto"/>
          <w:sz w:val="36"/>
          <w:szCs w:val="36"/>
          <w:u w:val="single"/>
        </w:rPr>
      </w:pPr>
    </w:p>
    <w:p w14:paraId="052EC572">
      <w:pPr>
        <w:adjustRightInd w:val="0"/>
        <w:snapToGrid w:val="0"/>
        <w:spacing w:line="288" w:lineRule="auto"/>
        <w:ind w:firstLine="1040"/>
        <w:rPr>
          <w:rFonts w:eastAsia="仿宋_GB2312"/>
          <w:color w:val="auto"/>
          <w:sz w:val="36"/>
          <w:szCs w:val="36"/>
          <w:u w:val="single"/>
        </w:rPr>
      </w:pPr>
    </w:p>
    <w:p w14:paraId="75FF73D3">
      <w:pPr>
        <w:pStyle w:val="50"/>
        <w:rPr>
          <w:rFonts w:eastAsia="仿宋_GB2312"/>
          <w:color w:val="auto"/>
          <w:sz w:val="36"/>
          <w:szCs w:val="36"/>
          <w:u w:val="single"/>
        </w:rPr>
      </w:pPr>
    </w:p>
    <w:p w14:paraId="5A1B51E3">
      <w:pPr>
        <w:pStyle w:val="52"/>
      </w:pPr>
    </w:p>
    <w:p w14:paraId="73228549">
      <w:pPr>
        <w:pStyle w:val="50"/>
        <w:rPr>
          <w:rFonts w:eastAsia="仿宋_GB2312"/>
          <w:color w:val="auto"/>
          <w:sz w:val="36"/>
          <w:szCs w:val="36"/>
          <w:u w:val="single"/>
        </w:rPr>
      </w:pPr>
    </w:p>
    <w:p w14:paraId="0E602BB2">
      <w:pPr>
        <w:pStyle w:val="12"/>
        <w:ind w:left="420" w:hanging="420"/>
        <w:rPr>
          <w:color w:val="auto"/>
        </w:rPr>
      </w:pPr>
    </w:p>
    <w:bookmarkEnd w:id="36"/>
    <w:p w14:paraId="1A790DFA">
      <w:pPr>
        <w:jc w:val="center"/>
        <w:rPr>
          <w:rFonts w:hAnsi="宋体"/>
          <w:b/>
          <w:bCs/>
          <w:color w:val="auto"/>
          <w:sz w:val="36"/>
          <w:szCs w:val="36"/>
        </w:rPr>
      </w:pPr>
      <w:r>
        <w:rPr>
          <w:rFonts w:eastAsia="楷体_GB2312"/>
          <w:color w:val="auto"/>
          <w:sz w:val="36"/>
          <w:szCs w:val="36"/>
        </w:rPr>
        <w:t>中华人民共和国生态环境部制</w:t>
      </w:r>
    </w:p>
    <w:p w14:paraId="311A0025">
      <w:pPr>
        <w:rPr>
          <w:rFonts w:hAnsi="宋体"/>
          <w:b/>
          <w:bCs/>
          <w:color w:val="auto"/>
          <w:sz w:val="36"/>
          <w:szCs w:val="36"/>
        </w:rPr>
        <w:sectPr>
          <w:headerReference r:id="rId6" w:type="first"/>
          <w:headerReference r:id="rId5" w:type="default"/>
          <w:footerReference r:id="rId7" w:type="default"/>
          <w:pgSz w:w="11906" w:h="16838"/>
          <w:pgMar w:top="1418" w:right="1247" w:bottom="1418" w:left="1247" w:header="851" w:footer="1077" w:gutter="0"/>
          <w:pgBorders>
            <w:top w:val="none" w:sz="0" w:space="0"/>
            <w:left w:val="none" w:sz="0" w:space="0"/>
            <w:bottom w:val="none" w:sz="0" w:space="0"/>
            <w:right w:val="none" w:sz="0" w:space="0"/>
          </w:pgBorders>
          <w:pgNumType w:start="1"/>
          <w:cols w:space="720" w:num="1"/>
          <w:titlePg/>
          <w:docGrid w:linePitch="312" w:charSpace="0"/>
        </w:sectPr>
      </w:pPr>
    </w:p>
    <w:p w14:paraId="69905F73">
      <w:pPr>
        <w:tabs>
          <w:tab w:val="left" w:pos="7770"/>
        </w:tabs>
        <w:rPr>
          <w:rFonts w:hint="eastAsia" w:hAnsi="宋体" w:eastAsia="宋体"/>
          <w:b/>
          <w:bCs/>
          <w:color w:val="auto"/>
          <w:sz w:val="36"/>
          <w:szCs w:val="36"/>
          <w:lang w:eastAsia="zh-CN"/>
        </w:rPr>
      </w:pPr>
      <w:r>
        <w:rPr>
          <w:rFonts w:hint="eastAsia" w:hAnsi="宋体" w:eastAsia="宋体"/>
          <w:b/>
          <w:bCs/>
          <w:color w:val="auto"/>
          <w:sz w:val="36"/>
          <w:szCs w:val="36"/>
          <w:lang w:eastAsia="zh-CN"/>
        </w:rPr>
        <w:drawing>
          <wp:anchor distT="0" distB="0" distL="114300" distR="114300" simplePos="0" relativeHeight="251661312" behindDoc="0" locked="0" layoutInCell="1" allowOverlap="1">
            <wp:simplePos x="0" y="0"/>
            <wp:positionH relativeFrom="column">
              <wp:posOffset>-772795</wp:posOffset>
            </wp:positionH>
            <wp:positionV relativeFrom="paragraph">
              <wp:posOffset>-772795</wp:posOffset>
            </wp:positionV>
            <wp:extent cx="7351395" cy="10391140"/>
            <wp:effectExtent l="0" t="0" r="1905" b="10160"/>
            <wp:wrapNone/>
            <wp:docPr id="163" name="图片 163" descr="20260707纳谷资质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20260707纳谷资质_03"/>
                    <pic:cNvPicPr>
                      <a:picLocks noChangeAspect="1"/>
                    </pic:cNvPicPr>
                  </pic:nvPicPr>
                  <pic:blipFill>
                    <a:blip r:embed="rId15"/>
                    <a:stretch>
                      <a:fillRect/>
                    </a:stretch>
                  </pic:blipFill>
                  <pic:spPr>
                    <a:xfrm>
                      <a:off x="0" y="0"/>
                      <a:ext cx="7351395" cy="10391140"/>
                    </a:xfrm>
                    <a:prstGeom prst="rect">
                      <a:avLst/>
                    </a:prstGeom>
                  </pic:spPr>
                </pic:pic>
              </a:graphicData>
            </a:graphic>
          </wp:anchor>
        </w:drawing>
      </w:r>
    </w:p>
    <w:p w14:paraId="2CFB6A7D">
      <w:pPr>
        <w:tabs>
          <w:tab w:val="left" w:pos="7770"/>
        </w:tabs>
        <w:rPr>
          <w:rFonts w:hAnsi="宋体"/>
          <w:b/>
          <w:bCs/>
          <w:color w:val="auto"/>
          <w:sz w:val="36"/>
          <w:szCs w:val="36"/>
        </w:rPr>
      </w:pPr>
    </w:p>
    <w:p w14:paraId="4946147B">
      <w:pPr>
        <w:tabs>
          <w:tab w:val="left" w:pos="7770"/>
        </w:tabs>
        <w:rPr>
          <w:rFonts w:hAnsi="宋体"/>
          <w:b/>
          <w:bCs/>
          <w:color w:val="auto"/>
          <w:sz w:val="36"/>
          <w:szCs w:val="36"/>
        </w:rPr>
      </w:pPr>
    </w:p>
    <w:p w14:paraId="5157ACB9">
      <w:pPr>
        <w:tabs>
          <w:tab w:val="left" w:pos="7770"/>
        </w:tabs>
        <w:rPr>
          <w:rFonts w:hAnsi="宋体"/>
          <w:b/>
          <w:bCs/>
          <w:color w:val="auto"/>
          <w:sz w:val="36"/>
          <w:szCs w:val="36"/>
        </w:rPr>
      </w:pPr>
    </w:p>
    <w:p w14:paraId="3E0C5620">
      <w:pPr>
        <w:tabs>
          <w:tab w:val="left" w:pos="7770"/>
        </w:tabs>
        <w:rPr>
          <w:rFonts w:hAnsi="宋体"/>
          <w:b/>
          <w:bCs/>
          <w:color w:val="auto"/>
          <w:sz w:val="36"/>
          <w:szCs w:val="36"/>
        </w:rPr>
        <w:sectPr>
          <w:pgSz w:w="11906" w:h="16838"/>
          <w:pgMar w:top="1418" w:right="1417" w:bottom="1418" w:left="1417" w:header="851" w:footer="1077" w:gutter="0"/>
          <w:pgBorders>
            <w:top w:val="none" w:sz="0" w:space="0"/>
            <w:left w:val="none" w:sz="0" w:space="0"/>
            <w:bottom w:val="none" w:sz="0" w:space="0"/>
            <w:right w:val="none" w:sz="0" w:space="0"/>
          </w:pgBorders>
          <w:pgNumType w:start="1"/>
          <w:cols w:space="720" w:num="1"/>
          <w:titlePg/>
          <w:docGrid w:linePitch="312" w:charSpace="0"/>
        </w:sectPr>
      </w:pPr>
    </w:p>
    <w:p w14:paraId="484E58CF">
      <w:pPr>
        <w:jc w:val="center"/>
        <w:outlineLvl w:val="0"/>
        <w:rPr>
          <w:b/>
          <w:bCs/>
          <w:color w:val="auto"/>
          <w:sz w:val="36"/>
          <w:szCs w:val="36"/>
        </w:rPr>
      </w:pPr>
      <w:bookmarkStart w:id="37" w:name="_Toc15147"/>
      <w:bookmarkStart w:id="38" w:name="_Toc15152"/>
      <w:bookmarkStart w:id="39" w:name="_Toc25185"/>
      <w:bookmarkStart w:id="40" w:name="_Toc13891"/>
      <w:bookmarkStart w:id="41" w:name="_Toc29694"/>
      <w:bookmarkStart w:id="42" w:name="_Toc6610"/>
      <w:bookmarkStart w:id="43" w:name="_Toc28848"/>
      <w:bookmarkStart w:id="44" w:name="_Toc13769"/>
      <w:bookmarkStart w:id="45" w:name="_Toc7486"/>
      <w:bookmarkStart w:id="46" w:name="_Toc31654"/>
      <w:bookmarkStart w:id="47" w:name="_Toc2125"/>
      <w:bookmarkStart w:id="48" w:name="_Toc6486"/>
      <w:bookmarkStart w:id="49" w:name="_Toc23188"/>
      <w:r>
        <w:rPr>
          <w:rFonts w:hAnsi="宋体"/>
          <w:b/>
          <w:bCs/>
          <w:color w:val="auto"/>
          <w:sz w:val="36"/>
          <w:szCs w:val="36"/>
        </w:rPr>
        <w:t>目录</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37"/>
      <w:bookmarkEnd w:id="38"/>
      <w:bookmarkEnd w:id="39"/>
      <w:bookmarkEnd w:id="40"/>
      <w:bookmarkEnd w:id="41"/>
      <w:bookmarkEnd w:id="42"/>
      <w:bookmarkEnd w:id="43"/>
      <w:bookmarkEnd w:id="44"/>
      <w:bookmarkEnd w:id="45"/>
      <w:bookmarkEnd w:id="46"/>
      <w:bookmarkEnd w:id="47"/>
      <w:bookmarkEnd w:id="48"/>
      <w:bookmarkEnd w:id="49"/>
    </w:p>
    <w:p w14:paraId="543026A5">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 w:val="0"/>
          <w:bCs w:val="0"/>
          <w:color w:val="auto"/>
          <w:sz w:val="21"/>
          <w:szCs w:val="21"/>
        </w:rPr>
        <w:fldChar w:fldCharType="begin"/>
      </w:r>
      <w:r>
        <w:rPr>
          <w:rFonts w:hint="default" w:ascii="Times New Roman" w:hAnsi="Times New Roman" w:eastAsia="宋体" w:cs="Times New Roman"/>
          <w:b w:val="0"/>
          <w:bCs w:val="0"/>
          <w:color w:val="auto"/>
          <w:sz w:val="21"/>
          <w:szCs w:val="21"/>
        </w:rPr>
        <w:instrText xml:space="preserve">TOC \o "1-1" \h \u </w:instrText>
      </w:r>
      <w:r>
        <w:rPr>
          <w:rFonts w:hint="default" w:ascii="Times New Roman" w:hAnsi="Times New Roman" w:eastAsia="宋体" w:cs="Times New Roman"/>
          <w:b w:val="0"/>
          <w:bCs w:val="0"/>
          <w:color w:val="auto"/>
          <w:sz w:val="21"/>
          <w:szCs w:val="21"/>
        </w:rPr>
        <w:fldChar w:fldCharType="separate"/>
      </w: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_Toc32268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napToGrid w:val="0"/>
          <w:sz w:val="21"/>
          <w:szCs w:val="21"/>
        </w:rPr>
        <w:t>一、建设项目基本情况</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_Toc32268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52E7C3E1">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_Toc29524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napToGrid w:val="0"/>
          <w:sz w:val="21"/>
          <w:szCs w:val="21"/>
        </w:rPr>
        <w:t>二、建设项目工程分析</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_Toc29524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17</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7B9D1382">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_Toc20249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napToGrid w:val="0"/>
          <w:sz w:val="21"/>
          <w:szCs w:val="21"/>
        </w:rPr>
        <w:t>三、区域环境质量现状、环境保护目标及评价标准</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_Toc20249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59</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079B5D43">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_Toc26978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napToGrid w:val="0"/>
          <w:sz w:val="21"/>
          <w:szCs w:val="21"/>
        </w:rPr>
        <w:t>四、主要环境影响和保护措施</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_Toc26978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66</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7A4BE72A">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_Toc12398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napToGrid w:val="0"/>
          <w:sz w:val="21"/>
          <w:szCs w:val="21"/>
        </w:rPr>
        <w:t>五、环境保护措施监督检查清单</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_Toc12398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93</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1864FBDA">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_Toc32130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napToGrid w:val="0"/>
          <w:sz w:val="21"/>
          <w:szCs w:val="21"/>
        </w:rPr>
        <w:t>六、结论</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_Toc32130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95</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0FDEBB0A">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_Toc17359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napToGrid w:val="0"/>
          <w:sz w:val="21"/>
          <w:szCs w:val="21"/>
        </w:rPr>
        <w:t>附表</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_Toc17359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96</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6A358CC2">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_Toc27577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napToGrid w:val="0"/>
          <w:sz w:val="21"/>
          <w:szCs w:val="21"/>
        </w:rPr>
        <w:t>建设项目污染物排放量汇总表</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_Toc27577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96</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2F91765A">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_Toc14647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z w:val="21"/>
          <w:szCs w:val="21"/>
        </w:rPr>
        <w:t>附图1：本项目地理位置图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_Toc14647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98</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5BDC356D">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_Toc8189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z w:val="21"/>
          <w:szCs w:val="21"/>
        </w:rPr>
        <w:t>附图2：本项目四至卫星图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_Toc8189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99</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5E8E496C">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_Toc24862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z w:val="21"/>
          <w:szCs w:val="21"/>
          <w:highlight w:val="none"/>
        </w:rPr>
        <w:t>附图3：本项目</w:t>
      </w:r>
      <w:r>
        <w:rPr>
          <w:rFonts w:hint="default" w:ascii="Times New Roman" w:hAnsi="Times New Roman" w:eastAsia="宋体" w:cs="Times New Roman"/>
          <w:bCs/>
          <w:sz w:val="21"/>
          <w:szCs w:val="21"/>
          <w:highlight w:val="none"/>
        </w:rPr>
        <w:t>四至现状照片图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_Toc24862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100</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22381B63">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_Toc21456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z w:val="21"/>
          <w:szCs w:val="21"/>
          <w:highlight w:val="none"/>
        </w:rPr>
        <w:t>附图4：现有项目生产情况、三废处理措施照片图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_Toc21456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101</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12D91C4B">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_Toc22053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z w:val="21"/>
          <w:szCs w:val="21"/>
        </w:rPr>
        <w:t>附图5：本项目厂界外500米范围内环境保护目标图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_Toc22053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103</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26834270">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_Toc2522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z w:val="21"/>
          <w:szCs w:val="21"/>
        </w:rPr>
        <w:t>附图6</w:t>
      </w:r>
      <w:r>
        <w:rPr>
          <w:rFonts w:hint="default"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rPr>
        <w:t>：本项目总平面布置图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_Toc2522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104</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26738132">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_Toc8402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附图6</w:t>
      </w:r>
      <w:r>
        <w:rPr>
          <w:rFonts w:hint="default" w:ascii="Times New Roman" w:hAnsi="Times New Roman" w:eastAsia="宋体" w:cs="Times New Roman"/>
          <w:bCs/>
          <w:sz w:val="21"/>
          <w:szCs w:val="21"/>
          <w:lang w:val="en-US" w:eastAsia="zh-CN"/>
        </w:rPr>
        <w:t>-2</w:t>
      </w:r>
      <w:r>
        <w:rPr>
          <w:rFonts w:hint="default" w:ascii="Times New Roman" w:hAnsi="Times New Roman" w:eastAsia="宋体" w:cs="Times New Roman"/>
          <w:bCs/>
          <w:sz w:val="21"/>
          <w:szCs w:val="21"/>
        </w:rPr>
        <w:t>：本</w:t>
      </w:r>
      <w:r>
        <w:rPr>
          <w:rFonts w:hint="default" w:ascii="Times New Roman" w:hAnsi="Times New Roman" w:eastAsia="宋体" w:cs="Times New Roman"/>
          <w:bCs/>
          <w:sz w:val="21"/>
          <w:szCs w:val="21"/>
          <w:lang w:val="en-US" w:eastAsia="zh-CN"/>
        </w:rPr>
        <w:t>改建项目电泳车间</w:t>
      </w:r>
      <w:r>
        <w:rPr>
          <w:rFonts w:hint="default" w:ascii="Times New Roman" w:hAnsi="Times New Roman" w:eastAsia="宋体" w:cs="Times New Roman"/>
          <w:bCs/>
          <w:sz w:val="21"/>
          <w:szCs w:val="21"/>
        </w:rPr>
        <w:t>平面布置图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_Toc8402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105</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7200A53D">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_Toc24338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附图7：</w:t>
      </w:r>
      <w:r>
        <w:rPr>
          <w:rFonts w:hint="default" w:ascii="Times New Roman" w:hAnsi="Times New Roman" w:eastAsia="宋体" w:cs="Times New Roman"/>
          <w:bCs/>
          <w:sz w:val="21"/>
          <w:szCs w:val="21"/>
          <w:lang w:val="en-US" w:eastAsia="zh-CN"/>
        </w:rPr>
        <w:t>阳东经济开发区土地利用规划图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_Toc24338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106</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2AADDD74">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_Toc3719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附图</w:t>
      </w:r>
      <w:r>
        <w:rPr>
          <w:rFonts w:hint="default" w:ascii="Times New Roman" w:hAnsi="Times New Roman" w:eastAsia="宋体" w:cs="Times New Roman"/>
          <w:bCs/>
          <w:sz w:val="21"/>
          <w:szCs w:val="21"/>
          <w:lang w:val="en-US" w:eastAsia="zh-CN"/>
        </w:rPr>
        <w:t>8</w:t>
      </w:r>
      <w:r>
        <w:rPr>
          <w:rFonts w:hint="default" w:ascii="Times New Roman" w:hAnsi="Times New Roman" w:eastAsia="宋体" w:cs="Times New Roman"/>
          <w:bCs/>
          <w:sz w:val="21"/>
          <w:szCs w:val="21"/>
        </w:rPr>
        <w:t>：阳江市环境管控单元图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_Toc3719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107</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28D9E5DC">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_Toc11132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附图</w:t>
      </w:r>
      <w:r>
        <w:rPr>
          <w:rFonts w:hint="default" w:ascii="Times New Roman" w:hAnsi="Times New Roman" w:eastAsia="宋体" w:cs="Times New Roman"/>
          <w:bCs/>
          <w:sz w:val="21"/>
          <w:szCs w:val="21"/>
          <w:lang w:val="en-US" w:eastAsia="zh-CN"/>
        </w:rPr>
        <w:t>9</w:t>
      </w:r>
      <w:r>
        <w:rPr>
          <w:rFonts w:hint="default" w:ascii="Times New Roman" w:hAnsi="Times New Roman" w:eastAsia="宋体" w:cs="Times New Roman"/>
          <w:bCs/>
          <w:sz w:val="21"/>
          <w:szCs w:val="21"/>
        </w:rPr>
        <w:t>：广东省</w:t>
      </w:r>
      <w:r>
        <w:rPr>
          <w:rFonts w:hint="default" w:ascii="Times New Roman" w:hAnsi="Times New Roman" w:eastAsia="宋体" w:cs="Times New Roman"/>
          <w:bCs/>
          <w:sz w:val="21"/>
          <w:szCs w:val="21"/>
          <w:lang w:val="en-US" w:eastAsia="zh-CN"/>
        </w:rPr>
        <w:t>生态环境分区管控信息</w:t>
      </w:r>
      <w:r>
        <w:rPr>
          <w:rFonts w:hint="default" w:ascii="Times New Roman" w:hAnsi="Times New Roman" w:eastAsia="宋体" w:cs="Times New Roman"/>
          <w:bCs/>
          <w:sz w:val="21"/>
          <w:szCs w:val="21"/>
        </w:rPr>
        <w:t>平台截图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_Toc11132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108</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CFE4138">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_Toc9461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附图</w:t>
      </w:r>
      <w:r>
        <w:rPr>
          <w:rFonts w:hint="default" w:ascii="Times New Roman" w:hAnsi="Times New Roman" w:eastAsia="宋体" w:cs="Times New Roman"/>
          <w:bCs/>
          <w:sz w:val="21"/>
          <w:szCs w:val="21"/>
          <w:lang w:val="en-US" w:eastAsia="zh-CN"/>
        </w:rPr>
        <w:t>10</w:t>
      </w:r>
      <w:r>
        <w:rPr>
          <w:rFonts w:hint="default" w:ascii="Times New Roman" w:hAnsi="Times New Roman" w:eastAsia="宋体" w:cs="Times New Roman"/>
          <w:bCs/>
          <w:sz w:val="21"/>
          <w:szCs w:val="21"/>
        </w:rPr>
        <w:t>：</w:t>
      </w:r>
      <w:r>
        <w:rPr>
          <w:rFonts w:hint="default" w:ascii="Times New Roman" w:hAnsi="Times New Roman" w:eastAsia="宋体" w:cs="Times New Roman"/>
          <w:bCs/>
          <w:sz w:val="21"/>
          <w:szCs w:val="21"/>
          <w:lang w:val="en-US" w:eastAsia="zh-CN"/>
        </w:rPr>
        <w:t>东城镇环境空气质量功能区划</w:t>
      </w:r>
      <w:r>
        <w:rPr>
          <w:rFonts w:hint="default" w:ascii="Times New Roman" w:hAnsi="Times New Roman" w:eastAsia="宋体" w:cs="Times New Roman"/>
          <w:bCs/>
          <w:sz w:val="21"/>
          <w:szCs w:val="21"/>
        </w:rPr>
        <w:t>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_Toc9461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110</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6B91498C">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_Toc6249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附图1</w:t>
      </w:r>
      <w:r>
        <w:rPr>
          <w:rFonts w:hint="default" w:ascii="Times New Roman" w:hAnsi="Times New Roman" w:eastAsia="宋体" w:cs="Times New Roman"/>
          <w:bCs/>
          <w:sz w:val="21"/>
          <w:szCs w:val="21"/>
          <w:lang w:val="en-US" w:eastAsia="zh-CN"/>
        </w:rPr>
        <w:t>1</w:t>
      </w:r>
      <w:r>
        <w:rPr>
          <w:rFonts w:hint="default" w:ascii="Times New Roman" w:hAnsi="Times New Roman" w:eastAsia="宋体" w:cs="Times New Roman"/>
          <w:bCs/>
          <w:sz w:val="21"/>
          <w:szCs w:val="21"/>
        </w:rPr>
        <w:t>：阳江市</w:t>
      </w:r>
      <w:r>
        <w:rPr>
          <w:rFonts w:hint="default" w:ascii="Times New Roman" w:hAnsi="Times New Roman" w:eastAsia="宋体" w:cs="Times New Roman"/>
          <w:bCs/>
          <w:sz w:val="21"/>
          <w:szCs w:val="21"/>
          <w:lang w:val="en-US" w:eastAsia="zh-CN"/>
        </w:rPr>
        <w:t>地表</w:t>
      </w:r>
      <w:r>
        <w:rPr>
          <w:rFonts w:hint="default" w:ascii="Times New Roman" w:hAnsi="Times New Roman" w:eastAsia="宋体" w:cs="Times New Roman"/>
          <w:bCs/>
          <w:sz w:val="21"/>
          <w:szCs w:val="21"/>
        </w:rPr>
        <w:t>水环境功能区划图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_Toc6249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111</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4AB8DE5">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_Toc10660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附图1</w:t>
      </w:r>
      <w:r>
        <w:rPr>
          <w:rFonts w:hint="default" w:ascii="Times New Roman" w:hAnsi="Times New Roman" w:eastAsia="宋体" w:cs="Times New Roman"/>
          <w:bCs/>
          <w:sz w:val="21"/>
          <w:szCs w:val="21"/>
          <w:lang w:val="en-US" w:eastAsia="zh-CN"/>
        </w:rPr>
        <w:t>2</w:t>
      </w:r>
      <w:r>
        <w:rPr>
          <w:rFonts w:hint="default" w:ascii="Times New Roman" w:hAnsi="Times New Roman" w:eastAsia="宋体" w:cs="Times New Roman"/>
          <w:bCs/>
          <w:sz w:val="21"/>
          <w:szCs w:val="21"/>
        </w:rPr>
        <w:t>：</w:t>
      </w:r>
      <w:r>
        <w:rPr>
          <w:rFonts w:hint="default" w:ascii="Times New Roman" w:hAnsi="Times New Roman" w:eastAsia="宋体" w:cs="Times New Roman"/>
          <w:kern w:val="0"/>
          <w:sz w:val="21"/>
          <w:szCs w:val="21"/>
        </w:rPr>
        <w:t>阳江市市区声环境功能区区划图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_Toc10660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112</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4AF49D85">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_Toc20799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sz w:val="21"/>
          <w:szCs w:val="21"/>
        </w:rPr>
        <w:t>附图1</w:t>
      </w:r>
      <w:r>
        <w:rPr>
          <w:rFonts w:hint="default"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：工程师看现场照片</w:t>
      </w:r>
      <w:r>
        <w:rPr>
          <w:rFonts w:hint="default" w:ascii="Times New Roman" w:hAnsi="Times New Roman" w:eastAsia="宋体" w:cs="Times New Roman"/>
          <w:bCs/>
          <w:sz w:val="21"/>
          <w:szCs w:val="21"/>
        </w:rPr>
        <w:t>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_Toc20799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113</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49F09E26">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_Toc23430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附图1</w:t>
      </w:r>
      <w:r>
        <w:rPr>
          <w:rFonts w:hint="default" w:ascii="Times New Roman" w:hAnsi="Times New Roman" w:eastAsia="宋体" w:cs="Times New Roman"/>
          <w:bCs/>
          <w:sz w:val="21"/>
          <w:szCs w:val="21"/>
          <w:lang w:val="en-US" w:eastAsia="zh-CN"/>
        </w:rPr>
        <w:t>4</w:t>
      </w:r>
      <w:r>
        <w:rPr>
          <w:rFonts w:hint="default" w:ascii="Times New Roman" w:hAnsi="Times New Roman" w:eastAsia="宋体" w:cs="Times New Roman"/>
          <w:bCs/>
          <w:sz w:val="21"/>
          <w:szCs w:val="21"/>
        </w:rPr>
        <w:t>：环境空气质量现状监测布点图</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_Toc23430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114</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6240DE3">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_Toc14495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附件1：委托书</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_Toc14495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115</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718CF550">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_Toc28667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rPr>
        <w:t>附件2：广东省企业投资项目备案证</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_Toc28667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116</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56DBE5D8">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_Toc22179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附件3：营业执照</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_Toc22179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117</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C7A30B4">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_Toc21092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附件4：不动产权证书</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_Toc21092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118</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735E82D4">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_Toc3619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附件5：现有生产厂房项目环评及验收手续</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_Toc3619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119</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8896BA2">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_Toc21327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（1）生产厂房项目环境影响报告表的审查批复</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_Toc21327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119</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6E46E4C0">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_Toc19011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（2）生产厂房、综合楼环保验收意见</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_Toc19011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121</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27E58128">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_Toc17137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附件6：现有铝氧化表面处理车间项目环评及验收手续</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_Toc17137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128</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71A3EA32">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_Toc28026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（1）铝氧化表面处理车间项目环境影响报告书的审查意见</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_Toc28026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128</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4C5FC0D">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_Toc26772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（2）铝氧化表面处理车间建设项目环保验收意见</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_Toc26772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130</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4B6D365A">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_Toc7638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附件7：铝氧化表面处理车间扩建项目环评及验收手续</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_Toc7638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141</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696CF67E">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_Toc1621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（1）铝氧化表面处理车间扩建项目环境影响报告的审查意见</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_Toc1621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141</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19D5D970">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_Toc54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（2）铝氧化表面处理车间扩建项目自主环保验收意见</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_Toc54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143</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13E9F607">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_Toc21475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附件8：排污许可证</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_Toc21475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150</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E966D37">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_Toc17053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rPr>
        <w:t>附件9：污染源检测报告</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_Toc17053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151</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128F3017">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_Toc28701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rPr>
        <w:t>（1）</w:t>
      </w:r>
      <w:r>
        <w:rPr>
          <w:rFonts w:hint="default" w:ascii="Times New Roman" w:hAnsi="Times New Roman" w:eastAsia="宋体" w:cs="Times New Roman"/>
          <w:bCs/>
          <w:sz w:val="21"/>
          <w:szCs w:val="21"/>
          <w:highlight w:val="none"/>
          <w:lang w:val="en-US" w:eastAsia="zh-CN"/>
        </w:rPr>
        <w:t>废气（DA002、DA004）、厨房油烟及无组织</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_Toc28701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151</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D6DA72E">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_Toc5573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rPr>
        <w:t>（2）废气</w:t>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bCs/>
          <w:sz w:val="21"/>
          <w:szCs w:val="21"/>
          <w:highlight w:val="none"/>
          <w:lang w:val="en-US" w:eastAsia="zh-CN"/>
        </w:rPr>
        <w:t>DA003</w:t>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_Toc5573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161</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1E9B301A">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_Toc2243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rPr>
        <w:t>（3）废气</w:t>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bCs/>
          <w:sz w:val="21"/>
          <w:szCs w:val="21"/>
          <w:highlight w:val="none"/>
          <w:lang w:val="en-US" w:eastAsia="zh-CN"/>
        </w:rPr>
        <w:t>DA005</w:t>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_Toc2243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169</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50533D8">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_Toc30872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rPr>
        <w:t>（4）废水</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_Toc30872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175</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029D81BD">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_Toc12441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rPr>
        <w:t>（5）噪声</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_Toc12441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197</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765459FF">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_Toc3141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rPr>
        <w:t>附件10：危废废物处置合同</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_Toc3141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203</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75FA7857">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_Toc24488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bCs/>
          <w:sz w:val="21"/>
          <w:szCs w:val="21"/>
          <w:highlight w:val="none"/>
          <w:lang w:val="en-US" w:eastAsia="zh-CN"/>
        </w:rPr>
        <w:t>1</w:t>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bCs/>
          <w:sz w:val="21"/>
          <w:szCs w:val="21"/>
          <w:highlight w:val="none"/>
          <w:lang w:val="en-US" w:eastAsia="zh-CN"/>
        </w:rPr>
        <w:t>含镍废水</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_Toc24488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203</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182436AC">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_Toc7675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bCs/>
          <w:sz w:val="21"/>
          <w:szCs w:val="21"/>
          <w:highlight w:val="none"/>
          <w:lang w:val="en-US" w:eastAsia="zh-CN"/>
        </w:rPr>
        <w:t>2</w:t>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bCs/>
          <w:spacing w:val="0"/>
          <w:kern w:val="2"/>
          <w:sz w:val="21"/>
          <w:szCs w:val="21"/>
          <w:highlight w:val="none"/>
          <w:lang w:val="en-US" w:eastAsia="zh-CN"/>
        </w:rPr>
        <w:t>废槽液及污泥</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_Toc7675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212</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5C723CA2">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_Toc13954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bCs/>
          <w:sz w:val="21"/>
          <w:szCs w:val="21"/>
          <w:highlight w:val="none"/>
          <w:lang w:val="en-US" w:eastAsia="zh-CN"/>
        </w:rPr>
        <w:t>3</w:t>
      </w:r>
      <w:r>
        <w:rPr>
          <w:rFonts w:hint="default" w:ascii="Times New Roman" w:hAnsi="Times New Roman" w:eastAsia="宋体" w:cs="Times New Roman"/>
          <w:bCs/>
          <w:sz w:val="21"/>
          <w:szCs w:val="21"/>
          <w:highlight w:val="none"/>
          <w:lang w:eastAsia="zh-CN"/>
        </w:rPr>
        <w:t>）</w:t>
      </w:r>
      <w:r>
        <w:rPr>
          <w:rFonts w:hint="default" w:ascii="Times New Roman" w:hAnsi="Times New Roman" w:eastAsia="宋体" w:cs="Times New Roman"/>
          <w:bCs/>
          <w:sz w:val="21"/>
          <w:szCs w:val="21"/>
          <w:highlight w:val="none"/>
          <w:lang w:val="en-US" w:eastAsia="zh-CN"/>
        </w:rPr>
        <w:t>废染料、废脱模剂、废乳化液</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_Toc13954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216</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0D716829">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_Toc15257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bCs/>
          <w:sz w:val="21"/>
          <w:szCs w:val="21"/>
          <w:lang w:val="en-US" w:eastAsia="zh-CN"/>
        </w:rPr>
        <w:t>4</w:t>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bCs/>
          <w:sz w:val="21"/>
          <w:szCs w:val="21"/>
          <w:lang w:val="en-US" w:eastAsia="zh-CN"/>
        </w:rPr>
        <w:t>铝渣</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_Toc15257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223</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0A0B4270">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_Toc9401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bCs/>
          <w:sz w:val="21"/>
          <w:szCs w:val="21"/>
          <w:lang w:val="en-US" w:eastAsia="zh-CN"/>
        </w:rPr>
        <w:t>5</w:t>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bCs/>
          <w:sz w:val="21"/>
          <w:szCs w:val="21"/>
          <w:lang w:val="en-US" w:eastAsia="zh-CN"/>
        </w:rPr>
        <w:t>废活性炭</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_Toc9401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229</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0119F66F">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_Toc4828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bCs/>
          <w:sz w:val="21"/>
          <w:szCs w:val="21"/>
          <w:lang w:val="en-US" w:eastAsia="zh-CN"/>
        </w:rPr>
        <w:t>6</w:t>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bCs/>
          <w:sz w:val="21"/>
          <w:szCs w:val="21"/>
          <w:lang w:val="en-US" w:eastAsia="zh-CN"/>
        </w:rPr>
        <w:t>废机油</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_Toc4828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237</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24DEE8F5">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_Toc21472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附件11：城镇污水排入排水管网许可证</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_Toc21472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240</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30C0574">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_Toc5821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附件12：原辅材料性质报告</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_Toc5821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242</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3E9BF601">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_Toc982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（1）电泳涂料MSDS及VOC含量检测报告</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_Toc982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242</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1C52D92D">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_Toc1326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（2）稳定剂MSDS及VOC含量检测报告</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_Toc1326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249</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1C323B89">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_Toc10795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附件13：2024年阳江市生态环境质量状况公报</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_Toc10795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255</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75A1466E">
      <w:pPr>
        <w:pStyle w:val="25"/>
        <w:tabs>
          <w:tab w:val="right" w:leader="dot" w:pos="9072"/>
          <w:tab w:val="clear" w:pos="9289"/>
        </w:tabs>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_Toc30550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附件14：引用的大气环境质量现状监测报告（TSP）</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_Toc30550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260</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p>
    <w:p w14:paraId="6F902777">
      <w:pPr>
        <w:pStyle w:val="25"/>
        <w:tabs>
          <w:tab w:val="right" w:leader="dot" w:pos="9072"/>
          <w:tab w:val="clear" w:pos="9289"/>
        </w:tabs>
        <w:spacing w:line="360" w:lineRule="auto"/>
        <w:rPr>
          <w:rFonts w:hint="default" w:ascii="Times New Roman" w:hAnsi="Times New Roman" w:eastAsia="宋体" w:cs="Times New Roman"/>
          <w:b w:val="0"/>
          <w:bCs w:val="0"/>
          <w:color w:val="auto"/>
          <w:sz w:val="21"/>
          <w:szCs w:val="21"/>
        </w:rPr>
        <w:sectPr>
          <w:footerReference r:id="rId9" w:type="first"/>
          <w:footerReference r:id="rId8" w:type="default"/>
          <w:pgSz w:w="11906" w:h="16838"/>
          <w:pgMar w:top="1418" w:right="1417" w:bottom="1418" w:left="1417" w:header="851" w:footer="1077" w:gutter="0"/>
          <w:pgBorders>
            <w:top w:val="none" w:sz="0" w:space="0"/>
            <w:left w:val="none" w:sz="0" w:space="0"/>
            <w:bottom w:val="none" w:sz="0" w:space="0"/>
            <w:right w:val="none" w:sz="0" w:space="0"/>
          </w:pgBorders>
          <w:pgNumType w:fmt="upperRoman" w:start="1"/>
          <w:cols w:space="720" w:num="1"/>
          <w:titlePg/>
          <w:docGrid w:linePitch="312" w:charSpace="0"/>
        </w:sectPr>
      </w:pPr>
      <w:r>
        <w:rPr>
          <w:rFonts w:hint="default" w:ascii="Times New Roman" w:hAnsi="Times New Roman" w:eastAsia="宋体" w:cs="Times New Roman"/>
          <w:bCs w:val="0"/>
          <w:color w:val="auto"/>
          <w:sz w:val="21"/>
          <w:szCs w:val="21"/>
        </w:rPr>
        <w:fldChar w:fldCharType="begin"/>
      </w:r>
      <w:r>
        <w:rPr>
          <w:rFonts w:hint="default" w:ascii="Times New Roman" w:hAnsi="Times New Roman" w:eastAsia="宋体" w:cs="Times New Roman"/>
          <w:bCs w:val="0"/>
          <w:sz w:val="21"/>
          <w:szCs w:val="21"/>
        </w:rPr>
        <w:instrText xml:space="preserve"> HYPERLINK \l _Toc30170 </w:instrText>
      </w:r>
      <w:r>
        <w:rPr>
          <w:rFonts w:hint="default" w:ascii="Times New Roman" w:hAnsi="Times New Roman" w:eastAsia="宋体" w:cs="Times New Roman"/>
          <w:bCs w:val="0"/>
          <w:sz w:val="21"/>
          <w:szCs w:val="21"/>
        </w:rPr>
        <w:fldChar w:fldCharType="separate"/>
      </w:r>
      <w:r>
        <w:rPr>
          <w:rFonts w:hint="default" w:ascii="Times New Roman" w:hAnsi="Times New Roman" w:eastAsia="宋体" w:cs="Times New Roman"/>
          <w:bCs/>
          <w:sz w:val="21"/>
          <w:szCs w:val="21"/>
        </w:rPr>
        <w:t>附件1</w:t>
      </w:r>
      <w:r>
        <w:rPr>
          <w:rFonts w:hint="default" w:ascii="Times New Roman" w:hAnsi="Times New Roman" w:eastAsia="宋体" w:cs="Times New Roman"/>
          <w:bCs/>
          <w:sz w:val="21"/>
          <w:szCs w:val="21"/>
          <w:lang w:val="en-US" w:eastAsia="zh-CN"/>
        </w:rPr>
        <w:t>5</w:t>
      </w:r>
      <w:r>
        <w:rPr>
          <w:rFonts w:hint="default" w:ascii="Times New Roman" w:hAnsi="Times New Roman" w:eastAsia="宋体" w:cs="Times New Roman"/>
          <w:bCs/>
          <w:sz w:val="21"/>
          <w:szCs w:val="21"/>
        </w:rPr>
        <w:t>：</w:t>
      </w:r>
      <w:r>
        <w:rPr>
          <w:rFonts w:hint="default" w:ascii="Times New Roman" w:hAnsi="Times New Roman" w:eastAsia="宋体" w:cs="Times New Roman"/>
          <w:bCs/>
          <w:sz w:val="21"/>
          <w:szCs w:val="21"/>
          <w:lang w:val="en-US" w:eastAsia="zh-CN"/>
        </w:rPr>
        <w:t>委托的噪声环境</w:t>
      </w:r>
      <w:r>
        <w:rPr>
          <w:rFonts w:hint="default" w:ascii="Times New Roman" w:hAnsi="Times New Roman" w:eastAsia="宋体" w:cs="Times New Roman"/>
          <w:bCs/>
          <w:sz w:val="21"/>
          <w:szCs w:val="21"/>
        </w:rPr>
        <w:t>质量现状监测报告</w:t>
      </w:r>
      <w:r>
        <w:rPr>
          <w:rFonts w:hint="default" w:ascii="Times New Roman" w:hAnsi="Times New Roman" w:eastAsia="宋体" w:cs="Times New Roman"/>
          <w:sz w:val="21"/>
          <w:szCs w:val="21"/>
        </w:rPr>
        <w:tab/>
      </w:r>
      <w:r>
        <w:rPr>
          <w:rFonts w:hint="default" w:ascii="Times New Roman" w:hAnsi="Times New Roman" w:eastAsia="宋体" w:cs="Times New Roman"/>
          <w:sz w:val="21"/>
          <w:szCs w:val="21"/>
        </w:rPr>
        <w:fldChar w:fldCharType="begin"/>
      </w:r>
      <w:r>
        <w:rPr>
          <w:rFonts w:hint="default" w:ascii="Times New Roman" w:hAnsi="Times New Roman" w:eastAsia="宋体" w:cs="Times New Roman"/>
          <w:sz w:val="21"/>
          <w:szCs w:val="21"/>
        </w:rPr>
        <w:instrText xml:space="preserve"> PAGEREF _Toc30170 \h </w:instrText>
      </w:r>
      <w:r>
        <w:rPr>
          <w:rFonts w:hint="default" w:ascii="Times New Roman" w:hAnsi="Times New Roman" w:eastAsia="宋体" w:cs="Times New Roman"/>
          <w:sz w:val="21"/>
          <w:szCs w:val="21"/>
        </w:rPr>
        <w:fldChar w:fldCharType="separate"/>
      </w:r>
      <w:r>
        <w:rPr>
          <w:rFonts w:hint="default" w:ascii="Times New Roman" w:hAnsi="Times New Roman" w:eastAsia="宋体" w:cs="Times New Roman"/>
          <w:sz w:val="21"/>
          <w:szCs w:val="21"/>
        </w:rPr>
        <w:t>266</w:t>
      </w:r>
      <w:r>
        <w:rPr>
          <w:rFonts w:hint="default" w:ascii="Times New Roman" w:hAnsi="Times New Roman" w:eastAsia="宋体" w:cs="Times New Roman"/>
          <w:sz w:val="21"/>
          <w:szCs w:val="21"/>
        </w:rPr>
        <w:fldChar w:fldCharType="end"/>
      </w:r>
      <w:r>
        <w:rPr>
          <w:rFonts w:hint="default" w:ascii="Times New Roman" w:hAnsi="Times New Roman" w:eastAsia="宋体" w:cs="Times New Roman"/>
          <w:bCs w:val="0"/>
          <w:color w:val="auto"/>
          <w:sz w:val="21"/>
          <w:szCs w:val="21"/>
        </w:rPr>
        <w:fldChar w:fldCharType="end"/>
      </w:r>
      <w:r>
        <w:rPr>
          <w:rFonts w:hint="default" w:ascii="Times New Roman" w:hAnsi="Times New Roman" w:eastAsia="宋体" w:cs="Times New Roman"/>
          <w:bCs w:val="0"/>
          <w:color w:val="auto"/>
          <w:sz w:val="21"/>
          <w:szCs w:val="21"/>
        </w:rPr>
        <w:fldChar w:fldCharType="end"/>
      </w:r>
    </w:p>
    <w:p w14:paraId="42080252">
      <w:pPr>
        <w:pStyle w:val="36"/>
        <w:jc w:val="center"/>
        <w:outlineLvl w:val="0"/>
        <w:rPr>
          <w:rFonts w:ascii="Times New Roman" w:hAnsi="Times New Roman" w:eastAsia="黑体"/>
          <w:snapToGrid w:val="0"/>
          <w:color w:val="auto"/>
          <w:sz w:val="30"/>
          <w:szCs w:val="30"/>
        </w:rPr>
      </w:pPr>
      <w:bookmarkStart w:id="50" w:name="_Toc32268"/>
      <w:bookmarkStart w:id="51" w:name="_Toc9661"/>
      <w:r>
        <w:rPr>
          <w:rFonts w:ascii="Times New Roman" w:hAnsi="Times New Roman" w:eastAsia="黑体"/>
          <w:snapToGrid w:val="0"/>
          <w:color w:val="auto"/>
          <w:sz w:val="30"/>
          <w:szCs w:val="30"/>
        </w:rPr>
        <w:t>一、建设项目基本情况</w:t>
      </w:r>
      <w:bookmarkEnd w:id="50"/>
      <w:bookmarkEnd w:id="51"/>
    </w:p>
    <w:tbl>
      <w:tblPr>
        <w:tblStyle w:val="42"/>
        <w:tblW w:w="556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14"/>
        <w:gridCol w:w="957"/>
        <w:gridCol w:w="2368"/>
        <w:gridCol w:w="2230"/>
        <w:gridCol w:w="3941"/>
      </w:tblGrid>
      <w:tr w14:paraId="34F878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484DE8DE">
            <w:pPr>
              <w:adjustRightInd w:val="0"/>
              <w:snapToGrid w:val="0"/>
              <w:jc w:val="center"/>
              <w:rPr>
                <w:color w:val="auto"/>
                <w:sz w:val="24"/>
              </w:rPr>
            </w:pPr>
            <w:r>
              <w:rPr>
                <w:color w:val="auto"/>
                <w:sz w:val="24"/>
              </w:rPr>
              <w:t>建设项目名称</w:t>
            </w:r>
          </w:p>
        </w:tc>
        <w:tc>
          <w:tcPr>
            <w:tcW w:w="8332" w:type="dxa"/>
            <w:gridSpan w:val="3"/>
            <w:vAlign w:val="center"/>
          </w:tcPr>
          <w:p w14:paraId="6FEB67C2">
            <w:pPr>
              <w:adjustRightInd w:val="0"/>
              <w:snapToGrid w:val="0"/>
              <w:jc w:val="center"/>
              <w:rPr>
                <w:rFonts w:hint="eastAsia" w:eastAsia="宋体"/>
                <w:color w:val="auto"/>
                <w:sz w:val="24"/>
                <w:highlight w:val="yellow"/>
                <w:lang w:eastAsia="zh-CN"/>
              </w:rPr>
            </w:pPr>
            <w:r>
              <w:rPr>
                <w:rFonts w:hint="eastAsia"/>
                <w:color w:val="auto"/>
                <w:sz w:val="24"/>
              </w:rPr>
              <w:t>阳江纳谷科技有限公司</w:t>
            </w:r>
            <w:r>
              <w:rPr>
                <w:rFonts w:hint="eastAsia"/>
                <w:color w:val="auto"/>
                <w:sz w:val="24"/>
                <w:lang w:eastAsia="zh-CN"/>
              </w:rPr>
              <w:t>电泳生产线改建项目</w:t>
            </w:r>
          </w:p>
        </w:tc>
      </w:tr>
      <w:tr w14:paraId="5AD3FC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3B42563C">
            <w:pPr>
              <w:adjustRightInd w:val="0"/>
              <w:snapToGrid w:val="0"/>
              <w:jc w:val="center"/>
              <w:rPr>
                <w:color w:val="auto"/>
                <w:sz w:val="24"/>
                <w:highlight w:val="none"/>
              </w:rPr>
            </w:pPr>
            <w:r>
              <w:rPr>
                <w:color w:val="auto"/>
                <w:sz w:val="24"/>
                <w:highlight w:val="none"/>
              </w:rPr>
              <w:t>项目代码</w:t>
            </w:r>
          </w:p>
        </w:tc>
        <w:tc>
          <w:tcPr>
            <w:tcW w:w="8332" w:type="dxa"/>
            <w:gridSpan w:val="3"/>
            <w:vAlign w:val="center"/>
          </w:tcPr>
          <w:p w14:paraId="7AF3175B">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2607-441704-04-05-686828</w:t>
            </w:r>
          </w:p>
        </w:tc>
      </w:tr>
      <w:tr w14:paraId="66548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119A646B">
            <w:pPr>
              <w:adjustRightInd w:val="0"/>
              <w:snapToGrid w:val="0"/>
              <w:jc w:val="center"/>
              <w:rPr>
                <w:color w:val="auto"/>
                <w:sz w:val="24"/>
              </w:rPr>
            </w:pPr>
            <w:r>
              <w:rPr>
                <w:color w:val="auto"/>
                <w:sz w:val="24"/>
              </w:rPr>
              <w:t>建设单位联系人</w:t>
            </w:r>
          </w:p>
        </w:tc>
        <w:tc>
          <w:tcPr>
            <w:tcW w:w="2389" w:type="dxa"/>
            <w:vAlign w:val="center"/>
          </w:tcPr>
          <w:p w14:paraId="6B0B1451">
            <w:pPr>
              <w:adjustRightInd w:val="0"/>
              <w:snapToGrid w:val="0"/>
              <w:jc w:val="center"/>
              <w:rPr>
                <w:rFonts w:hint="default" w:eastAsia="宋体"/>
                <w:color w:val="auto"/>
                <w:sz w:val="24"/>
                <w:lang w:val="en-US" w:eastAsia="zh-CN"/>
              </w:rPr>
            </w:pPr>
            <w:r>
              <w:rPr>
                <w:rFonts w:hint="eastAsia"/>
                <w:color w:val="auto"/>
                <w:sz w:val="24"/>
                <w:lang w:val="en-US" w:eastAsia="zh-CN"/>
              </w:rPr>
              <w:t>***</w:t>
            </w:r>
          </w:p>
        </w:tc>
        <w:tc>
          <w:tcPr>
            <w:tcW w:w="2149" w:type="dxa"/>
            <w:vAlign w:val="center"/>
          </w:tcPr>
          <w:p w14:paraId="23175127">
            <w:pPr>
              <w:adjustRightInd w:val="0"/>
              <w:snapToGrid w:val="0"/>
              <w:jc w:val="center"/>
              <w:rPr>
                <w:color w:val="auto"/>
                <w:sz w:val="24"/>
              </w:rPr>
            </w:pPr>
            <w:r>
              <w:rPr>
                <w:color w:val="auto"/>
                <w:sz w:val="24"/>
              </w:rPr>
              <w:t>联系方式</w:t>
            </w:r>
          </w:p>
        </w:tc>
        <w:tc>
          <w:tcPr>
            <w:tcW w:w="3794" w:type="dxa"/>
            <w:vAlign w:val="center"/>
          </w:tcPr>
          <w:p w14:paraId="50910408">
            <w:pPr>
              <w:adjustRightInd w:val="0"/>
              <w:snapToGrid w:val="0"/>
              <w:jc w:val="center"/>
              <w:rPr>
                <w:rFonts w:hint="default" w:eastAsia="宋体"/>
                <w:color w:val="auto"/>
                <w:sz w:val="24"/>
                <w:lang w:val="en-US" w:eastAsia="zh-CN"/>
              </w:rPr>
            </w:pPr>
            <w:r>
              <w:rPr>
                <w:rFonts w:hint="eastAsia"/>
                <w:color w:val="auto"/>
                <w:sz w:val="24"/>
                <w:lang w:val="en-US" w:eastAsia="zh-CN"/>
              </w:rPr>
              <w:t>***********</w:t>
            </w:r>
          </w:p>
        </w:tc>
      </w:tr>
      <w:tr w14:paraId="095990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552376CE">
            <w:pPr>
              <w:adjustRightInd w:val="0"/>
              <w:snapToGrid w:val="0"/>
              <w:jc w:val="center"/>
              <w:rPr>
                <w:color w:val="auto"/>
                <w:sz w:val="24"/>
              </w:rPr>
            </w:pPr>
            <w:r>
              <w:rPr>
                <w:color w:val="auto"/>
                <w:sz w:val="24"/>
              </w:rPr>
              <w:t>建设地点</w:t>
            </w:r>
          </w:p>
        </w:tc>
        <w:tc>
          <w:tcPr>
            <w:tcW w:w="8332" w:type="dxa"/>
            <w:gridSpan w:val="3"/>
            <w:vAlign w:val="center"/>
          </w:tcPr>
          <w:p w14:paraId="4C919DA5">
            <w:pPr>
              <w:adjustRightInd w:val="0"/>
              <w:snapToGrid w:val="0"/>
              <w:jc w:val="center"/>
              <w:rPr>
                <w:rFonts w:hint="eastAsia"/>
                <w:color w:val="auto"/>
                <w:sz w:val="24"/>
              </w:rPr>
            </w:pPr>
            <w:r>
              <w:rPr>
                <w:rFonts w:hint="eastAsia"/>
                <w:color w:val="auto"/>
                <w:sz w:val="24"/>
                <w:u w:val="single"/>
              </w:rPr>
              <w:t>阳江</w:t>
            </w:r>
            <w:r>
              <w:rPr>
                <w:rFonts w:hint="eastAsia"/>
                <w:color w:val="auto"/>
                <w:sz w:val="24"/>
              </w:rPr>
              <w:t>市</w:t>
            </w:r>
            <w:r>
              <w:rPr>
                <w:rFonts w:hint="eastAsia"/>
                <w:color w:val="auto"/>
                <w:sz w:val="24"/>
                <w:u w:val="single"/>
              </w:rPr>
              <w:t>阳东</w:t>
            </w:r>
            <w:r>
              <w:rPr>
                <w:rFonts w:hint="eastAsia"/>
                <w:color w:val="auto"/>
                <w:sz w:val="24"/>
              </w:rPr>
              <w:t>区</w:t>
            </w:r>
            <w:r>
              <w:rPr>
                <w:rFonts w:hint="eastAsia"/>
                <w:color w:val="auto"/>
                <w:sz w:val="24"/>
                <w:u w:val="single"/>
              </w:rPr>
              <w:t>东城镇裕东一路25号</w:t>
            </w:r>
          </w:p>
        </w:tc>
      </w:tr>
      <w:tr w14:paraId="035E2A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4C090B8A">
            <w:pPr>
              <w:adjustRightInd w:val="0"/>
              <w:snapToGrid w:val="0"/>
              <w:jc w:val="center"/>
              <w:rPr>
                <w:color w:val="auto"/>
                <w:sz w:val="24"/>
              </w:rPr>
            </w:pPr>
            <w:r>
              <w:rPr>
                <w:color w:val="auto"/>
                <w:sz w:val="24"/>
              </w:rPr>
              <w:t>地理坐标</w:t>
            </w:r>
          </w:p>
        </w:tc>
        <w:tc>
          <w:tcPr>
            <w:tcW w:w="8332" w:type="dxa"/>
            <w:gridSpan w:val="3"/>
            <w:vAlign w:val="center"/>
          </w:tcPr>
          <w:p w14:paraId="120C77D7">
            <w:pPr>
              <w:jc w:val="center"/>
              <w:rPr>
                <w:color w:val="auto"/>
                <w:sz w:val="24"/>
              </w:rPr>
            </w:pPr>
            <w:r>
              <w:rPr>
                <w:rFonts w:hint="eastAsia"/>
                <w:color w:val="auto"/>
                <w:sz w:val="24"/>
                <w:lang w:val="en-US" w:eastAsia="zh-CN"/>
              </w:rPr>
              <w:t>东经</w:t>
            </w:r>
            <w:r>
              <w:rPr>
                <w:color w:val="auto"/>
                <w:sz w:val="24"/>
                <w:u w:val="single"/>
              </w:rPr>
              <w:t>112</w:t>
            </w:r>
            <w:r>
              <w:rPr>
                <w:color w:val="auto"/>
                <w:sz w:val="24"/>
              </w:rPr>
              <w:t>度</w:t>
            </w:r>
            <w:r>
              <w:rPr>
                <w:rFonts w:hint="eastAsia"/>
                <w:color w:val="auto"/>
                <w:sz w:val="24"/>
                <w:u w:val="single"/>
              </w:rPr>
              <w:t>01</w:t>
            </w:r>
            <w:r>
              <w:rPr>
                <w:color w:val="auto"/>
                <w:sz w:val="24"/>
              </w:rPr>
              <w:t>分</w:t>
            </w:r>
            <w:r>
              <w:rPr>
                <w:rFonts w:hint="eastAsia"/>
                <w:color w:val="auto"/>
                <w:sz w:val="24"/>
                <w:u w:val="single"/>
              </w:rPr>
              <w:t>04.621</w:t>
            </w:r>
            <w:r>
              <w:rPr>
                <w:color w:val="auto"/>
                <w:sz w:val="24"/>
              </w:rPr>
              <w:t>秒，</w:t>
            </w:r>
            <w:r>
              <w:rPr>
                <w:rFonts w:hint="eastAsia"/>
                <w:color w:val="auto"/>
                <w:sz w:val="24"/>
                <w:lang w:val="en-US" w:eastAsia="zh-CN"/>
              </w:rPr>
              <w:t>北纬</w:t>
            </w:r>
            <w:r>
              <w:rPr>
                <w:rFonts w:hint="eastAsia"/>
                <w:color w:val="auto"/>
                <w:sz w:val="24"/>
                <w:u w:val="single"/>
              </w:rPr>
              <w:t>21</w:t>
            </w:r>
            <w:r>
              <w:rPr>
                <w:color w:val="auto"/>
                <w:sz w:val="24"/>
              </w:rPr>
              <w:t>度</w:t>
            </w:r>
            <w:r>
              <w:rPr>
                <w:rFonts w:hint="eastAsia"/>
                <w:color w:val="auto"/>
                <w:sz w:val="24"/>
                <w:u w:val="single"/>
              </w:rPr>
              <w:t>54</w:t>
            </w:r>
            <w:r>
              <w:rPr>
                <w:color w:val="auto"/>
                <w:sz w:val="24"/>
              </w:rPr>
              <w:t>分</w:t>
            </w:r>
            <w:r>
              <w:rPr>
                <w:rFonts w:hint="eastAsia"/>
                <w:color w:val="auto"/>
                <w:sz w:val="24"/>
                <w:u w:val="single"/>
              </w:rPr>
              <w:t>10.730</w:t>
            </w:r>
            <w:r>
              <w:rPr>
                <w:color w:val="auto"/>
                <w:sz w:val="24"/>
              </w:rPr>
              <w:t>秒</w:t>
            </w:r>
          </w:p>
        </w:tc>
      </w:tr>
      <w:tr w14:paraId="1B63B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4E87CD77">
            <w:pPr>
              <w:widowControl w:val="0"/>
              <w:adjustRightInd w:val="0"/>
              <w:snapToGrid w:val="0"/>
              <w:ind w:left="21" w:leftChars="10" w:right="21" w:rightChars="10"/>
              <w:jc w:val="center"/>
              <w:rPr>
                <w:color w:val="auto"/>
                <w:sz w:val="24"/>
              </w:rPr>
            </w:pPr>
            <w:r>
              <w:rPr>
                <w:color w:val="auto"/>
                <w:sz w:val="24"/>
              </w:rPr>
              <w:t>国民经济</w:t>
            </w:r>
          </w:p>
          <w:p w14:paraId="4AE21D81">
            <w:pPr>
              <w:widowControl w:val="0"/>
              <w:adjustRightInd w:val="0"/>
              <w:snapToGrid w:val="0"/>
              <w:ind w:left="21" w:leftChars="10" w:right="21" w:rightChars="10"/>
              <w:jc w:val="center"/>
              <w:rPr>
                <w:color w:val="auto"/>
                <w:sz w:val="24"/>
              </w:rPr>
            </w:pPr>
            <w:r>
              <w:rPr>
                <w:color w:val="auto"/>
                <w:sz w:val="24"/>
              </w:rPr>
              <w:t>行业类别</w:t>
            </w:r>
          </w:p>
        </w:tc>
        <w:tc>
          <w:tcPr>
            <w:tcW w:w="2389" w:type="dxa"/>
            <w:vAlign w:val="center"/>
          </w:tcPr>
          <w:p w14:paraId="5F92BE72">
            <w:pPr>
              <w:widowControl w:val="0"/>
              <w:adjustRightInd w:val="0"/>
              <w:snapToGrid w:val="0"/>
              <w:ind w:left="21" w:leftChars="10" w:right="21" w:rightChars="10"/>
              <w:jc w:val="center"/>
              <w:rPr>
                <w:color w:val="auto"/>
                <w:sz w:val="24"/>
              </w:rPr>
            </w:pPr>
            <w:r>
              <w:rPr>
                <w:rFonts w:hint="eastAsia" w:hAnsi="宋体"/>
                <w:color w:val="auto"/>
                <w:sz w:val="24"/>
              </w:rPr>
              <w:t>C3360金属表面处理及热处理加工</w:t>
            </w:r>
          </w:p>
        </w:tc>
        <w:tc>
          <w:tcPr>
            <w:tcW w:w="2149" w:type="dxa"/>
            <w:vAlign w:val="center"/>
          </w:tcPr>
          <w:p w14:paraId="1BA0FA6D">
            <w:pPr>
              <w:widowControl w:val="0"/>
              <w:adjustRightInd w:val="0"/>
              <w:snapToGrid w:val="0"/>
              <w:ind w:left="21" w:leftChars="10" w:right="21" w:rightChars="10"/>
              <w:jc w:val="center"/>
              <w:rPr>
                <w:color w:val="auto"/>
                <w:sz w:val="24"/>
              </w:rPr>
            </w:pPr>
            <w:r>
              <w:rPr>
                <w:color w:val="auto"/>
                <w:sz w:val="24"/>
              </w:rPr>
              <w:t>建设项目</w:t>
            </w:r>
          </w:p>
          <w:p w14:paraId="09B3E75E">
            <w:pPr>
              <w:widowControl w:val="0"/>
              <w:adjustRightInd w:val="0"/>
              <w:snapToGrid w:val="0"/>
              <w:ind w:left="21" w:leftChars="10" w:right="21" w:rightChars="10"/>
              <w:jc w:val="center"/>
              <w:rPr>
                <w:color w:val="auto"/>
                <w:sz w:val="24"/>
              </w:rPr>
            </w:pPr>
            <w:r>
              <w:rPr>
                <w:color w:val="auto"/>
                <w:sz w:val="24"/>
              </w:rPr>
              <w:t>行业类别</w:t>
            </w:r>
          </w:p>
        </w:tc>
        <w:tc>
          <w:tcPr>
            <w:tcW w:w="3794" w:type="dxa"/>
            <w:vAlign w:val="center"/>
          </w:tcPr>
          <w:p w14:paraId="34116BDD">
            <w:pPr>
              <w:widowControl w:val="0"/>
              <w:adjustRightInd w:val="0"/>
              <w:snapToGrid w:val="0"/>
              <w:ind w:left="21" w:leftChars="10" w:right="21" w:rightChars="10"/>
              <w:jc w:val="center"/>
              <w:rPr>
                <w:rFonts w:hint="eastAsia"/>
                <w:color w:val="auto"/>
                <w:sz w:val="24"/>
              </w:rPr>
            </w:pPr>
            <w:r>
              <w:rPr>
                <w:rFonts w:hint="eastAsia" w:hAnsi="宋体"/>
                <w:color w:val="auto"/>
                <w:sz w:val="24"/>
              </w:rPr>
              <w:t>三十、金属制品业33—67金属表面处理及热处理加工—其他（年用非溶剂型低VOCs含量涂料10吨以下的除外）</w:t>
            </w:r>
          </w:p>
        </w:tc>
      </w:tr>
      <w:tr w14:paraId="674601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5C38C6B9">
            <w:pPr>
              <w:adjustRightInd w:val="0"/>
              <w:snapToGrid w:val="0"/>
              <w:jc w:val="center"/>
              <w:rPr>
                <w:color w:val="auto"/>
                <w:sz w:val="24"/>
              </w:rPr>
            </w:pPr>
            <w:r>
              <w:rPr>
                <w:color w:val="auto"/>
                <w:sz w:val="24"/>
              </w:rPr>
              <w:t>建设性质</w:t>
            </w:r>
          </w:p>
        </w:tc>
        <w:tc>
          <w:tcPr>
            <w:tcW w:w="2389" w:type="dxa"/>
            <w:vAlign w:val="center"/>
          </w:tcPr>
          <w:p w14:paraId="092C9641">
            <w:pPr>
              <w:rPr>
                <w:color w:val="auto"/>
                <w:sz w:val="24"/>
              </w:rPr>
            </w:pPr>
            <w:r>
              <w:rPr>
                <w:rFonts w:hint="eastAsia"/>
                <w:color w:val="auto"/>
                <w:sz w:val="24"/>
              </w:rPr>
              <w:t>□</w:t>
            </w:r>
            <w:r>
              <w:rPr>
                <w:color w:val="auto"/>
                <w:sz w:val="24"/>
              </w:rPr>
              <w:t>新建（迁建）</w:t>
            </w:r>
          </w:p>
          <w:p w14:paraId="0E8CF66F">
            <w:pPr>
              <w:rPr>
                <w:color w:val="auto"/>
                <w:sz w:val="24"/>
              </w:rPr>
            </w:pPr>
            <w:r>
              <w:rPr>
                <w:rFonts w:hint="eastAsia"/>
                <w:color w:val="auto"/>
                <w:sz w:val="24"/>
                <w:lang w:eastAsia="zh-CN"/>
              </w:rPr>
              <w:t>☑</w:t>
            </w:r>
            <w:r>
              <w:rPr>
                <w:color w:val="auto"/>
                <w:sz w:val="24"/>
              </w:rPr>
              <w:t>改建</w:t>
            </w:r>
          </w:p>
          <w:p w14:paraId="50D6CA5A">
            <w:pPr>
              <w:rPr>
                <w:color w:val="auto"/>
                <w:sz w:val="24"/>
              </w:rPr>
            </w:pPr>
            <w:r>
              <w:rPr>
                <w:rFonts w:hint="eastAsia"/>
                <w:color w:val="auto"/>
                <w:sz w:val="24"/>
              </w:rPr>
              <w:t>□</w:t>
            </w:r>
            <w:r>
              <w:rPr>
                <w:color w:val="auto"/>
                <w:sz w:val="24"/>
              </w:rPr>
              <w:t>扩建</w:t>
            </w:r>
          </w:p>
          <w:p w14:paraId="5B1DCA37">
            <w:pPr>
              <w:rPr>
                <w:color w:val="auto"/>
                <w:sz w:val="24"/>
              </w:rPr>
            </w:pPr>
            <w:r>
              <w:rPr>
                <w:rFonts w:hint="eastAsia"/>
                <w:color w:val="auto"/>
                <w:sz w:val="24"/>
                <w:lang w:eastAsia="zh-CN"/>
              </w:rPr>
              <w:t>□</w:t>
            </w:r>
            <w:r>
              <w:rPr>
                <w:color w:val="auto"/>
                <w:sz w:val="24"/>
              </w:rPr>
              <w:t>技术改造</w:t>
            </w:r>
          </w:p>
        </w:tc>
        <w:tc>
          <w:tcPr>
            <w:tcW w:w="2149" w:type="dxa"/>
            <w:vAlign w:val="center"/>
          </w:tcPr>
          <w:p w14:paraId="20E392EC">
            <w:pPr>
              <w:adjustRightInd w:val="0"/>
              <w:snapToGrid w:val="0"/>
              <w:jc w:val="center"/>
              <w:rPr>
                <w:color w:val="auto"/>
                <w:sz w:val="24"/>
              </w:rPr>
            </w:pPr>
            <w:r>
              <w:rPr>
                <w:color w:val="auto"/>
                <w:sz w:val="24"/>
              </w:rPr>
              <w:t>建设项目</w:t>
            </w:r>
          </w:p>
          <w:p w14:paraId="558833A3">
            <w:pPr>
              <w:adjustRightInd w:val="0"/>
              <w:snapToGrid w:val="0"/>
              <w:jc w:val="center"/>
              <w:rPr>
                <w:color w:val="auto"/>
                <w:sz w:val="24"/>
              </w:rPr>
            </w:pPr>
            <w:r>
              <w:rPr>
                <w:color w:val="auto"/>
                <w:sz w:val="24"/>
              </w:rPr>
              <w:t>申报情形</w:t>
            </w:r>
          </w:p>
        </w:tc>
        <w:tc>
          <w:tcPr>
            <w:tcW w:w="3794" w:type="dxa"/>
            <w:vAlign w:val="center"/>
          </w:tcPr>
          <w:p w14:paraId="6531CE20">
            <w:pPr>
              <w:rPr>
                <w:rFonts w:hint="eastAsia"/>
                <w:color w:val="auto"/>
                <w:sz w:val="24"/>
              </w:rPr>
            </w:pPr>
            <w:r>
              <w:rPr>
                <w:rFonts w:hint="eastAsia"/>
                <w:color w:val="auto"/>
                <w:sz w:val="24"/>
              </w:rPr>
              <w:t>☑</w:t>
            </w:r>
            <w:r>
              <w:rPr>
                <w:color w:val="auto"/>
                <w:sz w:val="24"/>
              </w:rPr>
              <w:t>首次申报项目</w:t>
            </w:r>
          </w:p>
          <w:p w14:paraId="42BDA0A1">
            <w:pPr>
              <w:rPr>
                <w:color w:val="auto"/>
                <w:sz w:val="24"/>
              </w:rPr>
            </w:pPr>
            <w:r>
              <w:rPr>
                <w:rFonts w:hint="eastAsia"/>
                <w:color w:val="auto"/>
                <w:sz w:val="24"/>
              </w:rPr>
              <w:t>□</w:t>
            </w:r>
            <w:r>
              <w:rPr>
                <w:color w:val="auto"/>
                <w:sz w:val="24"/>
              </w:rPr>
              <w:t>不予批准后再次申报项目</w:t>
            </w:r>
          </w:p>
          <w:p w14:paraId="7FC815C1">
            <w:pPr>
              <w:rPr>
                <w:rFonts w:hint="eastAsia"/>
                <w:color w:val="auto"/>
                <w:sz w:val="24"/>
              </w:rPr>
            </w:pPr>
            <w:r>
              <w:rPr>
                <w:rFonts w:hint="eastAsia"/>
                <w:color w:val="auto"/>
                <w:sz w:val="24"/>
              </w:rPr>
              <w:t>□</w:t>
            </w:r>
            <w:r>
              <w:rPr>
                <w:color w:val="auto"/>
                <w:sz w:val="24"/>
              </w:rPr>
              <w:t>超五年重新审核项目</w:t>
            </w:r>
          </w:p>
          <w:p w14:paraId="39F78214">
            <w:pPr>
              <w:rPr>
                <w:color w:val="auto"/>
                <w:sz w:val="24"/>
              </w:rPr>
            </w:pPr>
            <w:r>
              <w:rPr>
                <w:rFonts w:hint="eastAsia"/>
                <w:color w:val="auto"/>
                <w:sz w:val="24"/>
              </w:rPr>
              <w:t>□</w:t>
            </w:r>
            <w:r>
              <w:rPr>
                <w:color w:val="auto"/>
                <w:sz w:val="24"/>
              </w:rPr>
              <w:t>重大变动重新报批项目</w:t>
            </w:r>
          </w:p>
        </w:tc>
      </w:tr>
      <w:tr w14:paraId="192450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03B722BF">
            <w:pPr>
              <w:adjustRightInd w:val="0"/>
              <w:snapToGrid w:val="0"/>
              <w:jc w:val="center"/>
              <w:rPr>
                <w:color w:val="auto"/>
                <w:sz w:val="24"/>
              </w:rPr>
            </w:pPr>
            <w:r>
              <w:rPr>
                <w:color w:val="auto"/>
                <w:sz w:val="24"/>
              </w:rPr>
              <w:t>项目审批（核准/备案）部门（选填）</w:t>
            </w:r>
          </w:p>
        </w:tc>
        <w:tc>
          <w:tcPr>
            <w:tcW w:w="2389" w:type="dxa"/>
            <w:vAlign w:val="center"/>
          </w:tcPr>
          <w:p w14:paraId="23BCB1A9">
            <w:pPr>
              <w:adjustRightInd w:val="0"/>
              <w:snapToGrid w:val="0"/>
              <w:jc w:val="center"/>
              <w:rPr>
                <w:color w:val="auto"/>
                <w:sz w:val="24"/>
              </w:rPr>
            </w:pPr>
            <w:r>
              <w:rPr>
                <w:color w:val="auto"/>
                <w:sz w:val="24"/>
              </w:rPr>
              <w:t>阳江市阳东区发展和改革局</w:t>
            </w:r>
          </w:p>
        </w:tc>
        <w:tc>
          <w:tcPr>
            <w:tcW w:w="2149" w:type="dxa"/>
            <w:vAlign w:val="center"/>
          </w:tcPr>
          <w:p w14:paraId="18F863AF">
            <w:pPr>
              <w:adjustRightInd w:val="0"/>
              <w:snapToGrid w:val="0"/>
              <w:jc w:val="center"/>
              <w:rPr>
                <w:color w:val="auto"/>
                <w:sz w:val="24"/>
              </w:rPr>
            </w:pPr>
            <w:r>
              <w:rPr>
                <w:color w:val="auto"/>
                <w:sz w:val="24"/>
              </w:rPr>
              <w:t>项目审批（核准/备案）文号（选填）</w:t>
            </w:r>
          </w:p>
        </w:tc>
        <w:tc>
          <w:tcPr>
            <w:tcW w:w="3794" w:type="dxa"/>
            <w:vAlign w:val="center"/>
          </w:tcPr>
          <w:p w14:paraId="0C14E866">
            <w:pPr>
              <w:adjustRightInd w:val="0"/>
              <w:snapToGrid w:val="0"/>
              <w:jc w:val="center"/>
              <w:rPr>
                <w:color w:val="auto"/>
                <w:sz w:val="24"/>
              </w:rPr>
            </w:pPr>
            <w:r>
              <w:rPr>
                <w:rFonts w:hint="eastAsia"/>
                <w:color w:val="auto"/>
                <w:sz w:val="24"/>
              </w:rPr>
              <w:t>/</w:t>
            </w:r>
          </w:p>
        </w:tc>
      </w:tr>
      <w:tr w14:paraId="0C9C66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214031BE">
            <w:pPr>
              <w:adjustRightInd w:val="0"/>
              <w:snapToGrid w:val="0"/>
              <w:jc w:val="center"/>
              <w:rPr>
                <w:color w:val="auto"/>
                <w:sz w:val="24"/>
              </w:rPr>
            </w:pPr>
            <w:r>
              <w:rPr>
                <w:color w:val="auto"/>
                <w:sz w:val="24"/>
              </w:rPr>
              <w:t>总投资（万元）</w:t>
            </w:r>
          </w:p>
        </w:tc>
        <w:tc>
          <w:tcPr>
            <w:tcW w:w="2389" w:type="dxa"/>
            <w:vAlign w:val="center"/>
          </w:tcPr>
          <w:p w14:paraId="36C1039E">
            <w:pPr>
              <w:adjustRightInd w:val="0"/>
              <w:snapToGrid w:val="0"/>
              <w:jc w:val="center"/>
              <w:rPr>
                <w:color w:val="auto"/>
                <w:sz w:val="24"/>
              </w:rPr>
            </w:pPr>
            <w:r>
              <w:rPr>
                <w:color w:val="auto"/>
                <w:sz w:val="24"/>
              </w:rPr>
              <w:t>60</w:t>
            </w:r>
          </w:p>
        </w:tc>
        <w:tc>
          <w:tcPr>
            <w:tcW w:w="2149" w:type="dxa"/>
            <w:tcMar>
              <w:top w:w="16" w:type="dxa"/>
              <w:left w:w="16" w:type="dxa"/>
              <w:right w:w="16" w:type="dxa"/>
            </w:tcMar>
            <w:vAlign w:val="center"/>
          </w:tcPr>
          <w:p w14:paraId="25B483B7">
            <w:pPr>
              <w:adjustRightInd w:val="0"/>
              <w:snapToGrid w:val="0"/>
              <w:jc w:val="center"/>
              <w:rPr>
                <w:color w:val="auto"/>
                <w:sz w:val="24"/>
              </w:rPr>
            </w:pPr>
            <w:r>
              <w:rPr>
                <w:color w:val="auto"/>
                <w:sz w:val="24"/>
              </w:rPr>
              <w:t>环保投资（万元）</w:t>
            </w:r>
          </w:p>
        </w:tc>
        <w:tc>
          <w:tcPr>
            <w:tcW w:w="3794" w:type="dxa"/>
            <w:vAlign w:val="center"/>
          </w:tcPr>
          <w:p w14:paraId="192DC99E">
            <w:pPr>
              <w:adjustRightInd w:val="0"/>
              <w:snapToGrid w:val="0"/>
              <w:jc w:val="center"/>
              <w:rPr>
                <w:color w:val="auto"/>
                <w:sz w:val="24"/>
              </w:rPr>
            </w:pPr>
            <w:r>
              <w:rPr>
                <w:rFonts w:hint="eastAsia"/>
                <w:color w:val="auto"/>
                <w:sz w:val="24"/>
              </w:rPr>
              <w:t>30</w:t>
            </w:r>
          </w:p>
        </w:tc>
      </w:tr>
      <w:tr w14:paraId="4668DC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67141303">
            <w:pPr>
              <w:adjustRightInd w:val="0"/>
              <w:snapToGrid w:val="0"/>
              <w:jc w:val="center"/>
              <w:rPr>
                <w:color w:val="auto"/>
                <w:sz w:val="24"/>
              </w:rPr>
            </w:pPr>
            <w:r>
              <w:rPr>
                <w:color w:val="auto"/>
                <w:sz w:val="24"/>
              </w:rPr>
              <w:t>环保投资占比（%）</w:t>
            </w:r>
          </w:p>
        </w:tc>
        <w:tc>
          <w:tcPr>
            <w:tcW w:w="2389" w:type="dxa"/>
            <w:vAlign w:val="center"/>
          </w:tcPr>
          <w:p w14:paraId="082A38E1">
            <w:pPr>
              <w:adjustRightInd w:val="0"/>
              <w:snapToGrid w:val="0"/>
              <w:jc w:val="center"/>
              <w:rPr>
                <w:color w:val="auto"/>
                <w:sz w:val="24"/>
              </w:rPr>
            </w:pPr>
            <w:r>
              <w:rPr>
                <w:color w:val="auto"/>
                <w:sz w:val="24"/>
              </w:rPr>
              <w:t>50</w:t>
            </w:r>
          </w:p>
        </w:tc>
        <w:tc>
          <w:tcPr>
            <w:tcW w:w="2149" w:type="dxa"/>
            <w:tcMar>
              <w:top w:w="16" w:type="dxa"/>
              <w:left w:w="16" w:type="dxa"/>
              <w:right w:w="16" w:type="dxa"/>
            </w:tcMar>
            <w:vAlign w:val="center"/>
          </w:tcPr>
          <w:p w14:paraId="56D4BA99">
            <w:pPr>
              <w:adjustRightInd w:val="0"/>
              <w:snapToGrid w:val="0"/>
              <w:jc w:val="center"/>
              <w:rPr>
                <w:color w:val="auto"/>
                <w:sz w:val="24"/>
              </w:rPr>
            </w:pPr>
            <w:r>
              <w:rPr>
                <w:color w:val="auto"/>
                <w:sz w:val="24"/>
              </w:rPr>
              <w:t>施工工期</w:t>
            </w:r>
          </w:p>
        </w:tc>
        <w:tc>
          <w:tcPr>
            <w:tcW w:w="3794" w:type="dxa"/>
            <w:vAlign w:val="center"/>
          </w:tcPr>
          <w:p w14:paraId="3A075587">
            <w:pPr>
              <w:adjustRightInd w:val="0"/>
              <w:snapToGrid w:val="0"/>
              <w:jc w:val="center"/>
              <w:rPr>
                <w:color w:val="auto"/>
                <w:sz w:val="24"/>
              </w:rPr>
            </w:pPr>
            <w:r>
              <w:rPr>
                <w:rFonts w:hint="eastAsia"/>
                <w:color w:val="auto"/>
                <w:sz w:val="24"/>
                <w:lang w:val="en-US" w:eastAsia="zh-CN"/>
              </w:rPr>
              <w:t>5</w:t>
            </w:r>
            <w:r>
              <w:rPr>
                <w:color w:val="auto"/>
                <w:sz w:val="24"/>
              </w:rPr>
              <w:t>个月</w:t>
            </w:r>
          </w:p>
        </w:tc>
      </w:tr>
      <w:tr w14:paraId="57CD53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94" w:type="dxa"/>
            <w:gridSpan w:val="2"/>
            <w:tcMar>
              <w:top w:w="16" w:type="dxa"/>
              <w:left w:w="16" w:type="dxa"/>
              <w:right w:w="16" w:type="dxa"/>
            </w:tcMar>
            <w:vAlign w:val="center"/>
          </w:tcPr>
          <w:p w14:paraId="3FE4FC5B">
            <w:pPr>
              <w:adjustRightInd w:val="0"/>
              <w:snapToGrid w:val="0"/>
              <w:jc w:val="center"/>
              <w:rPr>
                <w:color w:val="auto"/>
                <w:sz w:val="24"/>
              </w:rPr>
            </w:pPr>
            <w:r>
              <w:rPr>
                <w:color w:val="auto"/>
                <w:sz w:val="24"/>
              </w:rPr>
              <w:t>是否开工建设</w:t>
            </w:r>
          </w:p>
        </w:tc>
        <w:tc>
          <w:tcPr>
            <w:tcW w:w="2389" w:type="dxa"/>
            <w:vAlign w:val="center"/>
          </w:tcPr>
          <w:p w14:paraId="4EB2102A">
            <w:pPr>
              <w:rPr>
                <w:color w:val="auto"/>
                <w:sz w:val="24"/>
              </w:rPr>
            </w:pPr>
            <w:r>
              <w:rPr>
                <w:rFonts w:hint="eastAsia"/>
                <w:color w:val="auto"/>
                <w:sz w:val="24"/>
              </w:rPr>
              <w:t>☑</w:t>
            </w:r>
            <w:r>
              <w:rPr>
                <w:color w:val="auto"/>
                <w:sz w:val="24"/>
              </w:rPr>
              <w:t>否</w:t>
            </w:r>
          </w:p>
          <w:p w14:paraId="202304AF">
            <w:pPr>
              <w:rPr>
                <w:color w:val="auto"/>
                <w:sz w:val="24"/>
              </w:rPr>
            </w:pPr>
            <w:r>
              <w:rPr>
                <w:rFonts w:hint="eastAsia"/>
                <w:color w:val="auto"/>
                <w:sz w:val="24"/>
              </w:rPr>
              <w:t>□</w:t>
            </w:r>
            <w:r>
              <w:rPr>
                <w:color w:val="auto"/>
                <w:sz w:val="24"/>
              </w:rPr>
              <w:t>是：</w:t>
            </w:r>
            <w:r>
              <w:rPr>
                <w:rFonts w:hint="eastAsia"/>
                <w:color w:val="auto"/>
                <w:sz w:val="24"/>
                <w:u w:val="single"/>
              </w:rPr>
              <w:t xml:space="preserve">          </w:t>
            </w:r>
          </w:p>
        </w:tc>
        <w:tc>
          <w:tcPr>
            <w:tcW w:w="2149" w:type="dxa"/>
            <w:tcMar>
              <w:top w:w="16" w:type="dxa"/>
              <w:left w:w="16" w:type="dxa"/>
              <w:right w:w="16" w:type="dxa"/>
            </w:tcMar>
            <w:vAlign w:val="center"/>
          </w:tcPr>
          <w:p w14:paraId="7A7776DA">
            <w:pPr>
              <w:adjustRightInd w:val="0"/>
              <w:snapToGrid w:val="0"/>
              <w:jc w:val="center"/>
              <w:rPr>
                <w:color w:val="auto"/>
                <w:spacing w:val="-6"/>
                <w:sz w:val="24"/>
              </w:rPr>
            </w:pPr>
            <w:r>
              <w:rPr>
                <w:color w:val="auto"/>
                <w:spacing w:val="-6"/>
                <w:sz w:val="24"/>
              </w:rPr>
              <w:t>用地（用海）</w:t>
            </w:r>
          </w:p>
          <w:p w14:paraId="54177BC3">
            <w:pPr>
              <w:adjustRightInd w:val="0"/>
              <w:snapToGrid w:val="0"/>
              <w:jc w:val="center"/>
              <w:rPr>
                <w:color w:val="auto"/>
                <w:sz w:val="24"/>
              </w:rPr>
            </w:pPr>
            <w:r>
              <w:rPr>
                <w:color w:val="auto"/>
                <w:spacing w:val="-6"/>
                <w:sz w:val="24"/>
              </w:rPr>
              <w:t>面积（m</w:t>
            </w:r>
            <w:r>
              <w:rPr>
                <w:color w:val="auto"/>
                <w:spacing w:val="-6"/>
                <w:sz w:val="24"/>
                <w:vertAlign w:val="superscript"/>
              </w:rPr>
              <w:t>2</w:t>
            </w:r>
            <w:r>
              <w:rPr>
                <w:color w:val="auto"/>
                <w:spacing w:val="-6"/>
                <w:sz w:val="24"/>
              </w:rPr>
              <w:t>）</w:t>
            </w:r>
          </w:p>
        </w:tc>
        <w:tc>
          <w:tcPr>
            <w:tcW w:w="3794" w:type="dxa"/>
            <w:vAlign w:val="center"/>
          </w:tcPr>
          <w:p w14:paraId="23F3B757">
            <w:pPr>
              <w:adjustRightInd w:val="0"/>
              <w:snapToGrid w:val="0"/>
              <w:jc w:val="center"/>
              <w:rPr>
                <w:color w:val="auto"/>
                <w:sz w:val="24"/>
              </w:rPr>
            </w:pPr>
            <w:r>
              <w:rPr>
                <w:rFonts w:hint="eastAsia"/>
                <w:color w:val="auto"/>
                <w:sz w:val="24"/>
              </w:rPr>
              <w:t>310</w:t>
            </w:r>
          </w:p>
        </w:tc>
      </w:tr>
      <w:tr w14:paraId="574E56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94" w:type="dxa"/>
            <w:gridSpan w:val="2"/>
            <w:vAlign w:val="center"/>
          </w:tcPr>
          <w:p w14:paraId="7B11FF94">
            <w:pPr>
              <w:autoSpaceDE w:val="0"/>
              <w:autoSpaceDN w:val="0"/>
              <w:adjustRightInd w:val="0"/>
              <w:snapToGrid w:val="0"/>
              <w:jc w:val="center"/>
              <w:rPr>
                <w:color w:val="auto"/>
                <w:kern w:val="0"/>
                <w:sz w:val="24"/>
              </w:rPr>
            </w:pPr>
            <w:r>
              <w:rPr>
                <w:color w:val="auto"/>
                <w:kern w:val="0"/>
                <w:sz w:val="24"/>
              </w:rPr>
              <w:t>专项评价设置情况</w:t>
            </w:r>
          </w:p>
        </w:tc>
        <w:tc>
          <w:tcPr>
            <w:tcW w:w="8332" w:type="dxa"/>
            <w:gridSpan w:val="3"/>
            <w:vAlign w:val="center"/>
          </w:tcPr>
          <w:p w14:paraId="7C86B803">
            <w:pPr>
              <w:autoSpaceDE w:val="0"/>
              <w:autoSpaceDN w:val="0"/>
              <w:adjustRightInd w:val="0"/>
              <w:snapToGrid w:val="0"/>
              <w:jc w:val="center"/>
              <w:rPr>
                <w:color w:val="auto"/>
                <w:kern w:val="0"/>
                <w:sz w:val="24"/>
              </w:rPr>
            </w:pPr>
            <w:r>
              <w:rPr>
                <w:color w:val="auto"/>
                <w:kern w:val="0"/>
                <w:sz w:val="24"/>
              </w:rPr>
              <w:t>无</w:t>
            </w:r>
          </w:p>
        </w:tc>
      </w:tr>
      <w:tr w14:paraId="391F95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dxa"/>
            <w:vAlign w:val="center"/>
          </w:tcPr>
          <w:p w14:paraId="736BB9D1">
            <w:pPr>
              <w:autoSpaceDE w:val="0"/>
              <w:autoSpaceDN w:val="0"/>
              <w:adjustRightInd w:val="0"/>
              <w:snapToGrid w:val="0"/>
              <w:jc w:val="center"/>
              <w:rPr>
                <w:color w:val="auto"/>
                <w:kern w:val="0"/>
                <w:sz w:val="24"/>
              </w:rPr>
            </w:pPr>
            <w:r>
              <w:rPr>
                <w:color w:val="auto"/>
                <w:sz w:val="24"/>
              </w:rPr>
              <w:t>规划情况</w:t>
            </w:r>
          </w:p>
        </w:tc>
        <w:tc>
          <w:tcPr>
            <w:tcW w:w="9479" w:type="dxa"/>
            <w:gridSpan w:val="4"/>
            <w:vAlign w:val="center"/>
          </w:tcPr>
          <w:p w14:paraId="06C47094">
            <w:pPr>
              <w:spacing w:line="360" w:lineRule="auto"/>
              <w:ind w:firstLine="482" w:firstLineChars="200"/>
              <w:rPr>
                <w:color w:val="auto"/>
                <w:sz w:val="24"/>
              </w:rPr>
            </w:pPr>
            <w:r>
              <w:rPr>
                <w:rFonts w:hint="eastAsia" w:hAnsi="宋体"/>
                <w:b/>
                <w:bCs/>
                <w:color w:val="auto"/>
                <w:sz w:val="24"/>
              </w:rPr>
              <w:t>规划名称：</w:t>
            </w:r>
            <w:r>
              <w:rPr>
                <w:color w:val="auto"/>
                <w:kern w:val="0"/>
                <w:sz w:val="24"/>
              </w:rPr>
              <w:t>《广东阳东经济开发区总体规划（2006-2020）》</w:t>
            </w:r>
            <w:r>
              <w:rPr>
                <w:rFonts w:hint="eastAsia"/>
                <w:color w:val="auto"/>
                <w:kern w:val="0"/>
                <w:sz w:val="24"/>
              </w:rPr>
              <w:t>；</w:t>
            </w:r>
          </w:p>
        </w:tc>
      </w:tr>
      <w:tr w14:paraId="1BFDAC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dxa"/>
            <w:vAlign w:val="center"/>
          </w:tcPr>
          <w:p w14:paraId="0BC04170">
            <w:pPr>
              <w:adjustRightInd w:val="0"/>
              <w:snapToGrid w:val="0"/>
              <w:jc w:val="center"/>
              <w:rPr>
                <w:color w:val="auto"/>
                <w:kern w:val="0"/>
                <w:sz w:val="24"/>
              </w:rPr>
            </w:pPr>
            <w:r>
              <w:rPr>
                <w:color w:val="auto"/>
                <w:sz w:val="24"/>
              </w:rPr>
              <w:t>规划环境影响评价情况</w:t>
            </w:r>
          </w:p>
        </w:tc>
        <w:tc>
          <w:tcPr>
            <w:tcW w:w="9479" w:type="dxa"/>
            <w:gridSpan w:val="4"/>
            <w:vAlign w:val="center"/>
          </w:tcPr>
          <w:p w14:paraId="699B2DFE">
            <w:pPr>
              <w:spacing w:line="360" w:lineRule="auto"/>
              <w:ind w:firstLine="482" w:firstLineChars="200"/>
              <w:jc w:val="both"/>
              <w:rPr>
                <w:rFonts w:hAnsi="宋体"/>
                <w:color w:val="auto"/>
                <w:sz w:val="24"/>
              </w:rPr>
            </w:pPr>
            <w:r>
              <w:rPr>
                <w:rFonts w:hAnsi="宋体"/>
                <w:b/>
                <w:bCs/>
                <w:color w:val="auto"/>
                <w:sz w:val="24"/>
              </w:rPr>
              <w:t>规划环评文件名称：</w:t>
            </w:r>
            <w:r>
              <w:rPr>
                <w:rFonts w:hAnsi="宋体"/>
                <w:color w:val="auto"/>
                <w:sz w:val="24"/>
              </w:rPr>
              <w:t>《广东阳东经济开发区环境影响报告书》</w:t>
            </w:r>
            <w:r>
              <w:rPr>
                <w:rFonts w:hint="eastAsia" w:hAnsi="宋体"/>
                <w:color w:val="auto"/>
                <w:sz w:val="24"/>
              </w:rPr>
              <w:t>；</w:t>
            </w:r>
          </w:p>
          <w:p w14:paraId="01404DFB">
            <w:pPr>
              <w:spacing w:line="360" w:lineRule="auto"/>
              <w:ind w:firstLine="480" w:firstLineChars="200"/>
              <w:jc w:val="both"/>
              <w:rPr>
                <w:rFonts w:hAnsi="宋体"/>
                <w:color w:val="auto"/>
                <w:sz w:val="24"/>
              </w:rPr>
            </w:pPr>
            <w:r>
              <w:rPr>
                <w:rFonts w:hAnsi="宋体"/>
                <w:color w:val="auto"/>
                <w:sz w:val="24"/>
              </w:rPr>
              <w:t>召集审查机关：</w:t>
            </w:r>
            <w:r>
              <w:rPr>
                <w:rFonts w:hint="eastAsia" w:hAnsi="宋体"/>
                <w:color w:val="auto"/>
                <w:sz w:val="24"/>
              </w:rPr>
              <w:t>广东省环境保护厅（现更名为</w:t>
            </w:r>
            <w:r>
              <w:rPr>
                <w:rFonts w:hAnsi="宋体"/>
                <w:color w:val="auto"/>
                <w:sz w:val="24"/>
              </w:rPr>
              <w:t>广东省生态环境厅</w:t>
            </w:r>
            <w:r>
              <w:rPr>
                <w:rFonts w:hint="eastAsia" w:hAnsi="宋体"/>
                <w:color w:val="auto"/>
                <w:sz w:val="24"/>
              </w:rPr>
              <w:t>）；</w:t>
            </w:r>
          </w:p>
          <w:p w14:paraId="1AFC4E75">
            <w:pPr>
              <w:spacing w:line="360" w:lineRule="auto"/>
              <w:ind w:firstLine="480" w:firstLineChars="200"/>
              <w:jc w:val="both"/>
              <w:rPr>
                <w:rFonts w:hint="eastAsia" w:hAnsi="宋体"/>
                <w:color w:val="auto"/>
                <w:sz w:val="24"/>
              </w:rPr>
            </w:pPr>
            <w:r>
              <w:rPr>
                <w:rFonts w:hAnsi="宋体"/>
                <w:color w:val="auto"/>
                <w:sz w:val="24"/>
              </w:rPr>
              <w:t>审查文件名称及文号：《关于广东阳东经济开发区环境影响报告书的</w:t>
            </w:r>
            <w:r>
              <w:rPr>
                <w:rFonts w:hint="eastAsia" w:hAnsi="宋体"/>
                <w:color w:val="auto"/>
                <w:sz w:val="24"/>
              </w:rPr>
              <w:t>审查意见</w:t>
            </w:r>
            <w:r>
              <w:rPr>
                <w:rFonts w:hAnsi="宋体"/>
                <w:color w:val="auto"/>
                <w:sz w:val="24"/>
              </w:rPr>
              <w:t>》（粤环审〔</w:t>
            </w:r>
            <w:r>
              <w:rPr>
                <w:rFonts w:hint="eastAsia" w:hAnsi="宋体"/>
                <w:color w:val="auto"/>
                <w:sz w:val="24"/>
              </w:rPr>
              <w:t>2012</w:t>
            </w:r>
            <w:r>
              <w:rPr>
                <w:rFonts w:hAnsi="宋体"/>
                <w:color w:val="auto"/>
                <w:sz w:val="24"/>
              </w:rPr>
              <w:t>〕172号）</w:t>
            </w:r>
            <w:r>
              <w:rPr>
                <w:rFonts w:hint="eastAsia" w:hAnsi="宋体"/>
                <w:color w:val="auto"/>
                <w:sz w:val="24"/>
              </w:rPr>
              <w:t>。</w:t>
            </w:r>
          </w:p>
          <w:p w14:paraId="5C5AA1CA">
            <w:pPr>
              <w:spacing w:line="360" w:lineRule="auto"/>
              <w:ind w:firstLine="482" w:firstLineChars="200"/>
              <w:jc w:val="both"/>
              <w:rPr>
                <w:rFonts w:hAnsi="宋体"/>
                <w:color w:val="auto"/>
                <w:sz w:val="24"/>
              </w:rPr>
            </w:pPr>
            <w:r>
              <w:rPr>
                <w:rFonts w:hint="eastAsia" w:ascii="Times New Roman" w:hAnsi="宋体" w:eastAsia="宋体" w:cs="Times New Roman"/>
                <w:b/>
                <w:bCs/>
                <w:color w:val="auto"/>
                <w:sz w:val="24"/>
                <w:szCs w:val="24"/>
                <w:highlight w:val="none"/>
                <w:lang w:val="en-US" w:eastAsia="zh-CN"/>
              </w:rPr>
              <w:t>规划环评文件名称：</w:t>
            </w:r>
            <w:r>
              <w:rPr>
                <w:rFonts w:hint="eastAsia" w:ascii="Times New Roman" w:hAnsi="宋体" w:eastAsia="宋体" w:cs="Times New Roman"/>
                <w:b w:val="0"/>
                <w:bCs w:val="0"/>
                <w:color w:val="auto"/>
                <w:sz w:val="24"/>
                <w:szCs w:val="24"/>
                <w:highlight w:val="none"/>
                <w:lang w:val="en-US" w:eastAsia="zh-CN"/>
              </w:rPr>
              <w:t>《广东阳东经济开发区规划环境影响跟踪评价报告书》（2021年7月12日上报广东省生态环境厅备案）。</w:t>
            </w:r>
          </w:p>
        </w:tc>
      </w:tr>
      <w:tr w14:paraId="674316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dxa"/>
            <w:vAlign w:val="center"/>
          </w:tcPr>
          <w:p w14:paraId="6DBEFD10">
            <w:pPr>
              <w:autoSpaceDE w:val="0"/>
              <w:autoSpaceDN w:val="0"/>
              <w:adjustRightInd w:val="0"/>
              <w:snapToGrid w:val="0"/>
              <w:jc w:val="center"/>
              <w:rPr>
                <w:color w:val="auto"/>
                <w:sz w:val="24"/>
              </w:rPr>
            </w:pPr>
            <w:r>
              <w:rPr>
                <w:rFonts w:hint="eastAsia" w:ascii="宋体" w:hAnsi="宋体" w:cs="宋体"/>
                <w:color w:val="auto"/>
                <w:kern w:val="0"/>
                <w:sz w:val="24"/>
              </w:rPr>
              <w:t>规划及规划环境影响评价符合性分析</w:t>
            </w:r>
          </w:p>
        </w:tc>
        <w:tc>
          <w:tcPr>
            <w:tcW w:w="9479" w:type="dxa"/>
            <w:gridSpan w:val="4"/>
            <w:vAlign w:val="center"/>
          </w:tcPr>
          <w:p w14:paraId="52FF3670">
            <w:pPr>
              <w:widowControl w:val="0"/>
              <w:autoSpaceDE w:val="0"/>
              <w:autoSpaceDN w:val="0"/>
              <w:adjustRightInd w:val="0"/>
              <w:snapToGrid w:val="0"/>
              <w:spacing w:line="360" w:lineRule="auto"/>
              <w:ind w:firstLine="482" w:firstLineChars="200"/>
              <w:jc w:val="both"/>
              <w:rPr>
                <w:rFonts w:hint="eastAsia"/>
                <w:color w:val="auto"/>
                <w:kern w:val="0"/>
                <w:sz w:val="24"/>
                <w:lang w:val="zh-CN"/>
              </w:rPr>
            </w:pPr>
            <w:r>
              <w:rPr>
                <w:rFonts w:hint="eastAsia"/>
                <w:b/>
                <w:bCs/>
                <w:color w:val="auto"/>
                <w:kern w:val="0"/>
                <w:sz w:val="24"/>
              </w:rPr>
              <w:t>1、与</w:t>
            </w:r>
            <w:r>
              <w:rPr>
                <w:b/>
                <w:bCs/>
                <w:color w:val="auto"/>
                <w:kern w:val="0"/>
                <w:sz w:val="24"/>
              </w:rPr>
              <w:t>《广东阳东经济开发区总体规划（2006-2020）》</w:t>
            </w:r>
            <w:r>
              <w:rPr>
                <w:rFonts w:hint="eastAsia"/>
                <w:b/>
                <w:bCs/>
                <w:color w:val="auto"/>
                <w:kern w:val="0"/>
                <w:sz w:val="24"/>
              </w:rPr>
              <w:t>的相符性分析</w:t>
            </w:r>
          </w:p>
          <w:p w14:paraId="23D8489F">
            <w:pPr>
              <w:spacing w:line="360" w:lineRule="auto"/>
              <w:ind w:firstLine="480" w:firstLineChars="200"/>
              <w:rPr>
                <w:rFonts w:hAnsi="宋体"/>
                <w:color w:val="auto"/>
                <w:sz w:val="24"/>
              </w:rPr>
            </w:pPr>
            <w:r>
              <w:rPr>
                <w:rFonts w:hAnsi="宋体"/>
                <w:color w:val="auto"/>
                <w:sz w:val="24"/>
              </w:rPr>
              <w:t>根据《广东阳东经济开发区总体规划（2006-2020）》</w:t>
            </w:r>
            <w:r>
              <w:rPr>
                <w:rFonts w:hint="eastAsia" w:hAnsi="宋体"/>
                <w:color w:val="auto"/>
                <w:sz w:val="24"/>
              </w:rPr>
              <w:t>规定</w:t>
            </w:r>
            <w:r>
              <w:rPr>
                <w:rFonts w:hAnsi="宋体"/>
                <w:color w:val="auto"/>
                <w:sz w:val="24"/>
              </w:rPr>
              <w:t>，广东阳东经济开发区前身为2006年经省政府批准设立的阳东民营科技园，核准面积1500公顷，分为两个区块，区块一（东城片区）位于东城镇、北惯镇，东至飞鹅山、狗山、崩坑山，南至沿海高速公路、那味阁村背，西至东莺新村，北至法王山、合岗村；东城片区重点发展五金机械、电子电器、海产品深加工及健康食品。区块二（万象片区）位于北惯镇，东至合山高速公路入口，南至黄屋寨村背，牛脯埔垌，西至北惯砖厂、三北公路，北至金鑫砖厂、大塘村前；万象片区主要发展五金、新材料、电子电器、装备制造等产业。</w:t>
            </w:r>
            <w:r>
              <w:rPr>
                <w:rFonts w:hint="eastAsia"/>
                <w:color w:val="auto"/>
                <w:kern w:val="0"/>
                <w:sz w:val="24"/>
              </w:rPr>
              <w:t>由于后来规划的广东阳东经济开发区区块二（万象片区）大部分占地范围与万象转移园重叠，因此有部分地区属于两者重叠区。</w:t>
            </w:r>
          </w:p>
          <w:p w14:paraId="3B66BEC0">
            <w:pPr>
              <w:widowControl w:val="0"/>
              <w:autoSpaceDE w:val="0"/>
              <w:autoSpaceDN w:val="0"/>
              <w:adjustRightInd w:val="0"/>
              <w:snapToGrid w:val="0"/>
              <w:spacing w:line="360" w:lineRule="auto"/>
              <w:ind w:firstLine="480" w:firstLineChars="200"/>
              <w:jc w:val="both"/>
              <w:rPr>
                <w:rFonts w:hAnsi="宋体"/>
                <w:color w:val="auto"/>
                <w:sz w:val="24"/>
              </w:rPr>
            </w:pPr>
            <w:r>
              <w:rPr>
                <w:color w:val="auto"/>
                <w:kern w:val="0"/>
                <w:sz w:val="24"/>
              </w:rPr>
              <w:t>本项目位于</w:t>
            </w:r>
            <w:r>
              <w:rPr>
                <w:rFonts w:hint="eastAsia" w:hAnsi="宋体"/>
                <w:color w:val="auto"/>
                <w:sz w:val="24"/>
              </w:rPr>
              <w:t>阳江市阳东区东城镇裕东一路25号</w:t>
            </w:r>
            <w:r>
              <w:rPr>
                <w:color w:val="auto"/>
                <w:kern w:val="0"/>
                <w:sz w:val="24"/>
              </w:rPr>
              <w:t>，隶属于广东阳东经济开发区区块</w:t>
            </w:r>
            <w:r>
              <w:rPr>
                <w:rFonts w:hint="eastAsia"/>
                <w:color w:val="auto"/>
                <w:kern w:val="0"/>
                <w:sz w:val="24"/>
              </w:rPr>
              <w:t>一</w:t>
            </w:r>
            <w:r>
              <w:rPr>
                <w:color w:val="auto"/>
                <w:kern w:val="0"/>
                <w:sz w:val="24"/>
              </w:rPr>
              <w:t>（</w:t>
            </w:r>
            <w:r>
              <w:rPr>
                <w:rFonts w:hint="eastAsia"/>
                <w:color w:val="auto"/>
                <w:kern w:val="0"/>
                <w:sz w:val="24"/>
              </w:rPr>
              <w:t>东城</w:t>
            </w:r>
            <w:r>
              <w:rPr>
                <w:color w:val="auto"/>
                <w:kern w:val="0"/>
                <w:sz w:val="24"/>
              </w:rPr>
              <w:t>片区）</w:t>
            </w:r>
            <w:r>
              <w:rPr>
                <w:rFonts w:hint="eastAsia"/>
                <w:color w:val="auto"/>
                <w:kern w:val="0"/>
                <w:sz w:val="24"/>
              </w:rPr>
              <w:t>。本项目</w:t>
            </w:r>
            <w:r>
              <w:rPr>
                <w:color w:val="auto"/>
                <w:kern w:val="0"/>
                <w:sz w:val="24"/>
              </w:rPr>
              <w:t>属于</w:t>
            </w:r>
            <w:r>
              <w:rPr>
                <w:rFonts w:hint="eastAsia" w:hAnsi="宋体"/>
                <w:color w:val="auto"/>
                <w:sz w:val="24"/>
              </w:rPr>
              <w:t>铝制品加工</w:t>
            </w:r>
            <w:r>
              <w:rPr>
                <w:rFonts w:hAnsi="宋体"/>
                <w:color w:val="auto"/>
                <w:sz w:val="24"/>
              </w:rPr>
              <w:t>项目</w:t>
            </w:r>
            <w:r>
              <w:rPr>
                <w:color w:val="auto"/>
                <w:kern w:val="0"/>
                <w:sz w:val="24"/>
              </w:rPr>
              <w:t>，符合</w:t>
            </w:r>
            <w:r>
              <w:rPr>
                <w:color w:val="auto"/>
                <w:kern w:val="0"/>
                <w:sz w:val="24"/>
                <w:lang w:val="zh-CN"/>
              </w:rPr>
              <w:t>广东</w:t>
            </w:r>
            <w:r>
              <w:rPr>
                <w:color w:val="auto"/>
                <w:kern w:val="0"/>
                <w:sz w:val="24"/>
              </w:rPr>
              <w:t>阳东经济开发区区块</w:t>
            </w:r>
            <w:r>
              <w:rPr>
                <w:rFonts w:hint="eastAsia"/>
                <w:color w:val="auto"/>
                <w:kern w:val="0"/>
                <w:sz w:val="24"/>
              </w:rPr>
              <w:t>一（东城片区）</w:t>
            </w:r>
            <w:r>
              <w:rPr>
                <w:color w:val="auto"/>
                <w:kern w:val="0"/>
                <w:sz w:val="24"/>
              </w:rPr>
              <w:t>中</w:t>
            </w:r>
            <w:r>
              <w:rPr>
                <w:rFonts w:hint="eastAsia"/>
                <w:color w:val="auto"/>
                <w:kern w:val="0"/>
                <w:sz w:val="24"/>
              </w:rPr>
              <w:t>重点发展</w:t>
            </w:r>
            <w:r>
              <w:rPr>
                <w:color w:val="auto"/>
                <w:kern w:val="0"/>
                <w:sz w:val="24"/>
              </w:rPr>
              <w:t>产业，</w:t>
            </w:r>
            <w:r>
              <w:rPr>
                <w:rFonts w:hint="eastAsia"/>
                <w:color w:val="auto"/>
                <w:kern w:val="0"/>
                <w:sz w:val="24"/>
              </w:rPr>
              <w:t>因此，本</w:t>
            </w:r>
            <w:r>
              <w:rPr>
                <w:color w:val="auto"/>
                <w:kern w:val="0"/>
                <w:sz w:val="24"/>
              </w:rPr>
              <w:t>项目建设符合《广东阳东经济开发区总体规划（2006-2020）》</w:t>
            </w:r>
            <w:r>
              <w:rPr>
                <w:rFonts w:hint="eastAsia"/>
                <w:color w:val="auto"/>
                <w:sz w:val="24"/>
              </w:rPr>
              <w:t>的</w:t>
            </w:r>
            <w:r>
              <w:rPr>
                <w:color w:val="auto"/>
                <w:kern w:val="0"/>
                <w:sz w:val="24"/>
              </w:rPr>
              <w:t>相关要求。</w:t>
            </w:r>
          </w:p>
          <w:p w14:paraId="6FB08E0F">
            <w:pPr>
              <w:widowControl w:val="0"/>
              <w:autoSpaceDE w:val="0"/>
              <w:autoSpaceDN w:val="0"/>
              <w:adjustRightInd w:val="0"/>
              <w:snapToGrid w:val="0"/>
              <w:spacing w:line="360" w:lineRule="auto"/>
              <w:ind w:firstLine="482" w:firstLineChars="200"/>
              <w:jc w:val="both"/>
              <w:rPr>
                <w:rFonts w:hint="eastAsia" w:ascii="Times New Roman" w:hAnsi="宋体" w:eastAsia="宋体" w:cs="Times New Roman"/>
                <w:b/>
                <w:bCs/>
                <w:color w:val="auto"/>
                <w:sz w:val="24"/>
                <w:lang w:val="zh-CN"/>
              </w:rPr>
            </w:pPr>
            <w:r>
              <w:rPr>
                <w:rFonts w:hint="eastAsia" w:ascii="Times New Roman" w:hAnsi="宋体" w:eastAsia="宋体" w:cs="Times New Roman"/>
                <w:b/>
                <w:bCs/>
                <w:color w:val="auto"/>
                <w:sz w:val="24"/>
              </w:rPr>
              <w:t>2、与《广东阳东经济开发区环境影响报告书》、《关于广东阳东经济开发区环境影响报告书的审查意见》（粤环审〔2012〕172号）</w:t>
            </w:r>
            <w:r>
              <w:rPr>
                <w:rFonts w:hint="eastAsia" w:ascii="Times New Roman" w:hAnsi="宋体" w:eastAsia="宋体" w:cs="Times New Roman"/>
                <w:b/>
                <w:bCs/>
                <w:color w:val="auto"/>
                <w:sz w:val="24"/>
                <w:lang w:eastAsia="zh-CN"/>
              </w:rPr>
              <w:t>、</w:t>
            </w:r>
            <w:r>
              <w:rPr>
                <w:rFonts w:hint="eastAsia" w:ascii="Times New Roman" w:hAnsi="宋体" w:eastAsia="宋体" w:cs="Times New Roman"/>
                <w:b/>
                <w:bCs/>
                <w:color w:val="auto"/>
                <w:sz w:val="24"/>
                <w:lang w:val="en-US" w:eastAsia="zh-CN"/>
              </w:rPr>
              <w:t>《广东阳东经济开发区规划环境影响跟踪评价报告书》</w:t>
            </w:r>
            <w:r>
              <w:rPr>
                <w:rFonts w:hint="eastAsia" w:ascii="Times New Roman" w:hAnsi="宋体" w:eastAsia="宋体" w:cs="Times New Roman"/>
                <w:b/>
                <w:bCs/>
                <w:color w:val="auto"/>
                <w:sz w:val="24"/>
              </w:rPr>
              <w:t>的相符性分析</w:t>
            </w:r>
          </w:p>
          <w:p w14:paraId="6346CC22">
            <w:pPr>
              <w:widowControl w:val="0"/>
              <w:autoSpaceDE w:val="0"/>
              <w:autoSpaceDN w:val="0"/>
              <w:adjustRightInd w:val="0"/>
              <w:snapToGrid w:val="0"/>
              <w:spacing w:line="360" w:lineRule="auto"/>
              <w:ind w:firstLine="480" w:firstLineChars="200"/>
              <w:jc w:val="both"/>
              <w:rPr>
                <w:color w:val="auto"/>
                <w:kern w:val="0"/>
                <w:sz w:val="24"/>
              </w:rPr>
            </w:pPr>
            <w:r>
              <w:rPr>
                <w:rFonts w:hint="eastAsia"/>
                <w:color w:val="auto"/>
                <w:kern w:val="0"/>
                <w:sz w:val="24"/>
                <w:lang w:val="zh-CN"/>
              </w:rPr>
              <w:t>“</w:t>
            </w:r>
            <w:r>
              <w:rPr>
                <w:color w:val="auto"/>
                <w:kern w:val="0"/>
                <w:sz w:val="24"/>
                <w:lang w:val="zh-CN"/>
              </w:rPr>
              <w:t>广东</w:t>
            </w:r>
            <w:r>
              <w:rPr>
                <w:color w:val="auto"/>
                <w:kern w:val="0"/>
                <w:sz w:val="24"/>
              </w:rPr>
              <w:t>阳东经济开发区</w:t>
            </w:r>
            <w:r>
              <w:rPr>
                <w:rFonts w:hint="eastAsia"/>
                <w:color w:val="auto"/>
                <w:kern w:val="0"/>
                <w:sz w:val="24"/>
              </w:rPr>
              <w:t>”</w:t>
            </w:r>
            <w:r>
              <w:rPr>
                <w:color w:val="auto"/>
                <w:kern w:val="0"/>
                <w:sz w:val="24"/>
              </w:rPr>
              <w:t>于2006年8月经国家发改委核准，是阳江市通过国家审核公告的三个开发区之一，范围主要包括万象产业转移园、城区工业园、那霍工业区、以及东城、北惯的工业开发区，共1560公顷。阳东区的工业项目应集中布局在阳东经济开发区，以便充分发挥专业工业区的优势。1、开发区东城片包括一个片区配套服务中心和六个产业组团的结构。（1）一个片区配套服务中心，即东城片服务中心，主要安排一些居住、商业设施，服务开发区东城片中北部地区。（2）六个产业组团如下：五金刀剪产业组团：沿325国道布置，发挥现有产业基地优势，优化提升五金刀剪产业。电子电器产业组团：沿裕园一路</w:t>
            </w:r>
            <w:r>
              <w:rPr>
                <w:rFonts w:hint="eastAsia"/>
                <w:color w:val="auto"/>
                <w:kern w:val="0"/>
                <w:sz w:val="24"/>
              </w:rPr>
              <w:t>-</w:t>
            </w:r>
            <w:r>
              <w:rPr>
                <w:color w:val="auto"/>
                <w:kern w:val="0"/>
                <w:sz w:val="24"/>
              </w:rPr>
              <w:t>霍达五路布置，发挥纳谷科技园的龙头作用，带动和扩大电子电器产业的发展。纺织服装产业组团：规划布置在创新路以南、沿海高速公路以西地带。发挥靠近城区的劳动力资源密集优势，布置纺织服装产业。制鞋、塑料、玩具、工艺品产业组团：规划安排在东城片的西北部。以承接珠三角部分转移产业为主。考虑这些产业具有一定的关联性和污染性，且需要的劳动力也较多，故将其安排在相对独立地段而又离城区不远的位置。生物制药产业组团：规划布置在沿海高速公路以东、霍达五路以北的地段。食品产业组团：生物制药产业组团的东面。以喜之郎果冻布丁产业基地为核心，打造食品产业基地。2、开发区万象片包括一个片区配套服务中心和四个产业组团。（1）一个片区配套服务中心，即万象片服务中心，位于兴平三路与赤城五路交汇区域，集中安排商业、医院、文化体育等公共服务设施和居住用地，服务开发区的东部片区。（2）四个产业组团如下：机械装备、汽车配件产业组团：位于万象片西部。发挥土地资源优势和成本优势，以配套广佛机械、广州汽车、江门摩托车等产业为主，建设机械装备、汽车配件产业组团，提升阳东工业发展层次。新材料产业组团：位于万象片中部。主要发展包括环保材料、高性能金属、复合材料、精细化工等新型材料产业。家具产业组团：发挥阳江地区的木材资源优势和靠近广佛地区的市场优势，打造珠三角相关家具企业第二工厂聚集地。五金制品产业组团：规划整合平地村预留工业发展用地，集中发展五金制品业，以配套开发区和区域的其他产业。</w:t>
            </w:r>
          </w:p>
          <w:p w14:paraId="2E1229C4">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本项目</w:t>
            </w:r>
            <w:r>
              <w:rPr>
                <w:rFonts w:hint="eastAsia"/>
                <w:color w:val="auto"/>
                <w:kern w:val="0"/>
                <w:sz w:val="24"/>
              </w:rPr>
              <w:t>选址</w:t>
            </w:r>
            <w:r>
              <w:rPr>
                <w:color w:val="auto"/>
                <w:kern w:val="0"/>
                <w:sz w:val="24"/>
              </w:rPr>
              <w:t>位于</w:t>
            </w:r>
            <w:r>
              <w:rPr>
                <w:rFonts w:hint="eastAsia"/>
                <w:color w:val="auto"/>
                <w:sz w:val="24"/>
              </w:rPr>
              <w:t>阳江市阳东区东城镇裕东一路25号</w:t>
            </w:r>
            <w:r>
              <w:rPr>
                <w:color w:val="auto"/>
                <w:kern w:val="0"/>
                <w:sz w:val="24"/>
              </w:rPr>
              <w:t>，隶属于广东阳东经济开发区</w:t>
            </w:r>
            <w:r>
              <w:rPr>
                <w:rFonts w:hAnsi="宋体"/>
                <w:color w:val="auto"/>
                <w:sz w:val="24"/>
              </w:rPr>
              <w:t>区块</w:t>
            </w:r>
            <w:r>
              <w:rPr>
                <w:rFonts w:hint="eastAsia" w:hAnsi="宋体"/>
                <w:color w:val="auto"/>
                <w:sz w:val="24"/>
              </w:rPr>
              <w:t>一</w:t>
            </w:r>
            <w:r>
              <w:rPr>
                <w:rFonts w:hAnsi="宋体"/>
                <w:color w:val="auto"/>
                <w:sz w:val="24"/>
              </w:rPr>
              <w:t>（</w:t>
            </w:r>
            <w:r>
              <w:rPr>
                <w:rFonts w:hint="eastAsia" w:hAnsi="宋体"/>
                <w:color w:val="auto"/>
                <w:sz w:val="24"/>
              </w:rPr>
              <w:t>东城</w:t>
            </w:r>
            <w:r>
              <w:rPr>
                <w:rFonts w:hAnsi="宋体"/>
                <w:color w:val="auto"/>
                <w:sz w:val="24"/>
              </w:rPr>
              <w:t>片区），属于</w:t>
            </w:r>
            <w:r>
              <w:rPr>
                <w:rFonts w:hint="eastAsia" w:hAnsi="宋体"/>
                <w:color w:val="auto"/>
                <w:sz w:val="24"/>
              </w:rPr>
              <w:t>铝制品加工项目</w:t>
            </w:r>
            <w:r>
              <w:rPr>
                <w:rFonts w:hAnsi="宋体"/>
                <w:color w:val="auto"/>
                <w:sz w:val="24"/>
              </w:rPr>
              <w:t>，属于广东阳东经济开发区允许产业，</w:t>
            </w:r>
            <w:r>
              <w:rPr>
                <w:rFonts w:hint="eastAsia" w:hAnsi="宋体"/>
                <w:color w:val="auto"/>
                <w:sz w:val="24"/>
              </w:rPr>
              <w:t>本</w:t>
            </w:r>
            <w:r>
              <w:rPr>
                <w:rFonts w:hAnsi="宋体"/>
                <w:color w:val="auto"/>
                <w:sz w:val="24"/>
              </w:rPr>
              <w:t>项目建设符合《广东阳东经济开发区环境影响报告书》</w:t>
            </w:r>
            <w:r>
              <w:rPr>
                <w:rFonts w:hint="eastAsia" w:hAnsi="宋体"/>
                <w:color w:val="auto"/>
                <w:sz w:val="24"/>
              </w:rPr>
              <w:t>、</w:t>
            </w:r>
            <w:r>
              <w:rPr>
                <w:rFonts w:hAnsi="宋体"/>
                <w:color w:val="auto"/>
                <w:sz w:val="24"/>
              </w:rPr>
              <w:t>《关于广东阳东经济开发区环境影响报告书的</w:t>
            </w:r>
            <w:r>
              <w:rPr>
                <w:rFonts w:hint="eastAsia" w:hAnsi="宋体"/>
                <w:color w:val="auto"/>
                <w:sz w:val="24"/>
              </w:rPr>
              <w:t>审查意见</w:t>
            </w:r>
            <w:r>
              <w:rPr>
                <w:rFonts w:hAnsi="宋体"/>
                <w:color w:val="auto"/>
                <w:sz w:val="24"/>
              </w:rPr>
              <w:t>》（粤环审〔</w:t>
            </w:r>
            <w:r>
              <w:rPr>
                <w:rFonts w:hint="eastAsia" w:hAnsi="宋体"/>
                <w:color w:val="auto"/>
                <w:sz w:val="24"/>
              </w:rPr>
              <w:t>2012</w:t>
            </w:r>
            <w:r>
              <w:rPr>
                <w:rFonts w:hAnsi="宋体"/>
                <w:color w:val="auto"/>
                <w:sz w:val="24"/>
              </w:rPr>
              <w:t>〕172号）</w:t>
            </w:r>
            <w:r>
              <w:rPr>
                <w:rFonts w:hint="eastAsia" w:hAnsi="宋体"/>
                <w:color w:val="auto"/>
                <w:sz w:val="24"/>
                <w:lang w:eastAsia="zh-CN"/>
              </w:rPr>
              <w:t>、</w:t>
            </w:r>
            <w:r>
              <w:rPr>
                <w:rFonts w:hint="eastAsia" w:ascii="Times New Roman" w:hAnsi="宋体" w:eastAsia="宋体" w:cs="Times New Roman"/>
                <w:b w:val="0"/>
                <w:bCs w:val="0"/>
                <w:color w:val="auto"/>
                <w:sz w:val="24"/>
                <w:szCs w:val="24"/>
                <w:highlight w:val="none"/>
                <w:lang w:val="en-US" w:eastAsia="zh-CN"/>
              </w:rPr>
              <w:t>《广东阳东经济开发区规划环境影响跟踪评价报告书》</w:t>
            </w:r>
            <w:r>
              <w:rPr>
                <w:rFonts w:hAnsi="宋体"/>
                <w:color w:val="auto"/>
                <w:sz w:val="24"/>
              </w:rPr>
              <w:t>相关</w:t>
            </w:r>
            <w:r>
              <w:rPr>
                <w:color w:val="auto"/>
                <w:kern w:val="0"/>
                <w:sz w:val="24"/>
              </w:rPr>
              <w:t>要求。</w:t>
            </w:r>
          </w:p>
          <w:p w14:paraId="09D90FE2">
            <w:pPr>
              <w:widowControl w:val="0"/>
              <w:autoSpaceDE w:val="0"/>
              <w:autoSpaceDN w:val="0"/>
              <w:adjustRightInd w:val="0"/>
              <w:snapToGrid w:val="0"/>
              <w:spacing w:line="360" w:lineRule="auto"/>
              <w:ind w:firstLine="480" w:firstLineChars="200"/>
              <w:jc w:val="both"/>
              <w:rPr>
                <w:color w:val="auto"/>
                <w:kern w:val="0"/>
                <w:sz w:val="24"/>
              </w:rPr>
            </w:pPr>
          </w:p>
        </w:tc>
      </w:tr>
      <w:tr w14:paraId="080902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7" w:type="dxa"/>
            <w:vAlign w:val="center"/>
          </w:tcPr>
          <w:p w14:paraId="13B4152E">
            <w:pPr>
              <w:autoSpaceDE w:val="0"/>
              <w:autoSpaceDN w:val="0"/>
              <w:adjustRightInd w:val="0"/>
              <w:snapToGrid w:val="0"/>
              <w:jc w:val="center"/>
              <w:rPr>
                <w:color w:val="auto"/>
                <w:kern w:val="0"/>
                <w:sz w:val="24"/>
              </w:rPr>
            </w:pPr>
            <w:r>
              <w:rPr>
                <w:color w:val="auto"/>
                <w:kern w:val="0"/>
                <w:sz w:val="24"/>
              </w:rPr>
              <w:t>其他符合性分析</w:t>
            </w:r>
          </w:p>
        </w:tc>
        <w:tc>
          <w:tcPr>
            <w:tcW w:w="9479" w:type="dxa"/>
            <w:gridSpan w:val="4"/>
            <w:vAlign w:val="center"/>
          </w:tcPr>
          <w:p w14:paraId="7E9D337D">
            <w:pPr>
              <w:pStyle w:val="193"/>
              <w:spacing w:line="360" w:lineRule="auto"/>
              <w:ind w:firstLine="482"/>
              <w:rPr>
                <w:rFonts w:ascii="Times New Roman" w:hAnsi="Times New Roman"/>
                <w:b/>
                <w:bCs w:val="0"/>
                <w:color w:val="auto"/>
                <w:sz w:val="24"/>
              </w:rPr>
            </w:pPr>
            <w:r>
              <w:rPr>
                <w:rFonts w:ascii="Times New Roman" w:hAnsi="Times New Roman"/>
                <w:b/>
                <w:bCs w:val="0"/>
                <w:color w:val="auto"/>
                <w:sz w:val="24"/>
              </w:rPr>
              <w:t>1、与产业政策相符性分析</w:t>
            </w:r>
          </w:p>
          <w:p w14:paraId="6FCD41EF">
            <w:pPr>
              <w:pStyle w:val="193"/>
              <w:spacing w:line="360" w:lineRule="auto"/>
              <w:rPr>
                <w:rFonts w:ascii="Times New Roman" w:hAnsi="Times New Roman"/>
                <w:color w:val="auto"/>
                <w:sz w:val="24"/>
              </w:rPr>
            </w:pPr>
            <w:r>
              <w:rPr>
                <w:rFonts w:ascii="Times New Roman" w:hAnsi="Times New Roman"/>
                <w:color w:val="auto"/>
                <w:sz w:val="24"/>
              </w:rPr>
              <w:t>（1）本项目主要从事铝制品表面加工，根据《国民经济行业分类与代码》（GB/T4754-2017）及第1号修改单，本</w:t>
            </w:r>
            <w:r>
              <w:rPr>
                <w:rFonts w:hint="eastAsia" w:ascii="Times New Roman" w:hAnsi="Times New Roman"/>
                <w:color w:val="auto"/>
                <w:sz w:val="24"/>
                <w:lang w:eastAsia="zh-CN"/>
              </w:rPr>
              <w:t>改建</w:t>
            </w:r>
            <w:r>
              <w:rPr>
                <w:rFonts w:ascii="Times New Roman" w:hAnsi="Times New Roman"/>
                <w:color w:val="auto"/>
                <w:sz w:val="24"/>
              </w:rPr>
              <w:t>项目属于C3360金属表面处理及热处理加工。对照《产业结构调整指导目录》（2024年本）》（国家发展和改革委员会令第7号），本</w:t>
            </w:r>
            <w:r>
              <w:rPr>
                <w:rFonts w:hint="eastAsia" w:ascii="Times New Roman" w:hAnsi="Times New Roman"/>
                <w:color w:val="auto"/>
                <w:sz w:val="24"/>
                <w:lang w:eastAsia="zh-CN"/>
              </w:rPr>
              <w:t>改建</w:t>
            </w:r>
            <w:r>
              <w:rPr>
                <w:rFonts w:ascii="Times New Roman" w:hAnsi="Times New Roman"/>
                <w:color w:val="auto"/>
                <w:sz w:val="24"/>
              </w:rPr>
              <w:t>项目产品、工艺、设备均不属于目录中鼓励类、限制类、淘汰类之列，</w:t>
            </w:r>
            <w:r>
              <w:rPr>
                <w:rFonts w:hint="default" w:ascii="Times New Roman" w:hAnsi="Times New Roman" w:eastAsia="宋体" w:cs="Times New Roman"/>
                <w:b w:val="0"/>
                <w:bCs w:val="0"/>
                <w:color w:val="auto"/>
                <w:sz w:val="24"/>
                <w:szCs w:val="24"/>
                <w:highlight w:val="none"/>
                <w:lang w:val="en-US" w:eastAsia="zh-CN"/>
              </w:rPr>
              <w:t>根据国务院关于发布实施《促进产业结构调整方向暂行规定》的决定（国发〔2005〕40号）中第十三条“不属于鼓励类、限制类和淘汰类，且符合国家有关法律法规规定的，为“允许类”的规定，因此</w:t>
            </w:r>
            <w:r>
              <w:rPr>
                <w:rFonts w:hint="eastAsia" w:ascii="Times New Roman" w:hAnsi="Times New Roman" w:eastAsia="宋体" w:cs="Times New Roman"/>
                <w:b w:val="0"/>
                <w:bCs w:val="0"/>
                <w:color w:val="auto"/>
                <w:sz w:val="24"/>
                <w:szCs w:val="24"/>
                <w:highlight w:val="none"/>
                <w:lang w:val="en-US" w:eastAsia="zh-CN"/>
              </w:rPr>
              <w:t>本</w:t>
            </w:r>
            <w:r>
              <w:rPr>
                <w:rFonts w:hint="default" w:ascii="Times New Roman" w:hAnsi="Times New Roman" w:eastAsia="宋体" w:cs="Times New Roman"/>
                <w:b w:val="0"/>
                <w:bCs w:val="0"/>
                <w:color w:val="auto"/>
                <w:sz w:val="24"/>
                <w:szCs w:val="24"/>
                <w:highlight w:val="none"/>
                <w:lang w:val="en-US" w:eastAsia="zh-CN"/>
              </w:rPr>
              <w:t>项目属于允许类</w:t>
            </w:r>
            <w:r>
              <w:rPr>
                <w:rFonts w:ascii="Times New Roman" w:hAnsi="Times New Roman"/>
                <w:color w:val="auto"/>
                <w:sz w:val="24"/>
              </w:rPr>
              <w:t>，符合国家产业政策的要求。</w:t>
            </w:r>
          </w:p>
          <w:p w14:paraId="30677406">
            <w:pPr>
              <w:pStyle w:val="193"/>
              <w:spacing w:line="360" w:lineRule="auto"/>
              <w:rPr>
                <w:rFonts w:ascii="Times New Roman" w:hAnsi="Times New Roman"/>
                <w:color w:val="auto"/>
                <w:sz w:val="24"/>
              </w:rPr>
            </w:pPr>
            <w:r>
              <w:rPr>
                <w:rFonts w:ascii="Times New Roman" w:hAnsi="Times New Roman"/>
                <w:color w:val="auto"/>
                <w:sz w:val="24"/>
              </w:rPr>
              <w:t>（2）根据国家发展改革委、商务部、市场监管总局关于印发《市场准入负面清单（2025年版）》（发改体改规〔2025〕466号），市场准入负面清单分为禁止和许可两类事项。对禁止准入事项，经营主体不得进入，政府依法不予审批、核准，不予办理有关手续；对许可准入事项，地方各级政府要公开法律法规依据、技术标准、许可要求、办理流程、办理时限，制定市场准入服务规程，由经营主体按照规定的条件和方式合规进入；对市场准入负面清单以外的行业、领域、业务等，各类经营主体皆可依法平等进入。本</w:t>
            </w:r>
            <w:r>
              <w:rPr>
                <w:rFonts w:hint="eastAsia" w:ascii="Times New Roman" w:hAnsi="Times New Roman"/>
                <w:color w:val="auto"/>
                <w:sz w:val="24"/>
                <w:lang w:eastAsia="zh-CN"/>
              </w:rPr>
              <w:t>改建</w:t>
            </w:r>
            <w:r>
              <w:rPr>
                <w:rFonts w:ascii="Times New Roman" w:hAnsi="Times New Roman"/>
                <w:color w:val="auto"/>
                <w:sz w:val="24"/>
              </w:rPr>
              <w:t>项目不属于市场准入负面清单中的禁止准入类、许可准入类项目，属于可依法平等进入项目，符合国家现行产业政策。</w:t>
            </w:r>
          </w:p>
          <w:p w14:paraId="0BDAC9F2">
            <w:pPr>
              <w:pStyle w:val="193"/>
              <w:spacing w:line="360" w:lineRule="auto"/>
              <w:ind w:firstLine="482"/>
              <w:rPr>
                <w:rFonts w:ascii="Times New Roman" w:hAnsi="Times New Roman"/>
                <w:b/>
                <w:bCs w:val="0"/>
                <w:color w:val="auto"/>
                <w:kern w:val="0"/>
                <w:sz w:val="24"/>
              </w:rPr>
            </w:pPr>
            <w:r>
              <w:rPr>
                <w:rFonts w:ascii="Times New Roman" w:hAnsi="Times New Roman"/>
                <w:b/>
                <w:color w:val="auto"/>
                <w:sz w:val="24"/>
              </w:rPr>
              <w:t>2、</w:t>
            </w:r>
            <w:r>
              <w:rPr>
                <w:rFonts w:ascii="Times New Roman" w:hAnsi="Times New Roman"/>
                <w:b/>
                <w:bCs w:val="0"/>
                <w:color w:val="auto"/>
                <w:kern w:val="0"/>
                <w:sz w:val="24"/>
              </w:rPr>
              <w:t>选址合理性分析</w:t>
            </w:r>
          </w:p>
          <w:p w14:paraId="6382127E">
            <w:pPr>
              <w:pStyle w:val="189"/>
              <w:spacing w:line="360" w:lineRule="auto"/>
              <w:ind w:firstLine="480"/>
              <w:rPr>
                <w:color w:val="auto"/>
                <w:sz w:val="24"/>
              </w:rPr>
            </w:pPr>
            <w:r>
              <w:rPr>
                <w:color w:val="auto"/>
                <w:sz w:val="24"/>
              </w:rPr>
              <w:t>本</w:t>
            </w:r>
            <w:r>
              <w:rPr>
                <w:rFonts w:hint="eastAsia"/>
                <w:color w:val="auto"/>
                <w:sz w:val="24"/>
                <w:lang w:eastAsia="zh-CN"/>
              </w:rPr>
              <w:t>改建</w:t>
            </w:r>
            <w:r>
              <w:rPr>
                <w:color w:val="auto"/>
                <w:sz w:val="24"/>
              </w:rPr>
              <w:t>项目选址位于阳江市阳东区东城镇裕东一路25号现有厂房内，根据《不动产权证书》（粤（2022）阳江市（阳东）不动产权第0011082号）可知，详见附件4，本项目所在地用途为工业用地，本项目用地合法，符合国家现行的土地使用政策</w:t>
            </w:r>
            <w:r>
              <w:rPr>
                <w:color w:val="auto"/>
                <w:kern w:val="0"/>
                <w:sz w:val="24"/>
              </w:rPr>
              <w:t>。</w:t>
            </w:r>
            <w:r>
              <w:rPr>
                <w:color w:val="auto"/>
                <w:sz w:val="24"/>
              </w:rPr>
              <w:t>且项目所在区域基础配套设施齐全，给水、排水、供电等各种公用工程设施、管道系统完备，满足本项目建设生产要求。</w:t>
            </w:r>
          </w:p>
          <w:p w14:paraId="100C53DA">
            <w:pPr>
              <w:pStyle w:val="189"/>
              <w:spacing w:line="360" w:lineRule="auto"/>
              <w:ind w:firstLine="480"/>
              <w:rPr>
                <w:color w:val="auto"/>
                <w:sz w:val="24"/>
              </w:rPr>
            </w:pPr>
            <w:r>
              <w:rPr>
                <w:rFonts w:hint="eastAsia"/>
                <w:color w:val="auto"/>
                <w:sz w:val="24"/>
              </w:rPr>
              <w:t>根据《阳江市国土空间总体规划（2021-2035年）》（粤府函〔2023〕230号），本项目所在地不属于生态保护红线、永久基本农田，属于城镇开发区</w:t>
            </w:r>
            <w:r>
              <w:rPr>
                <w:color w:val="auto"/>
                <w:sz w:val="24"/>
              </w:rPr>
              <w:t>。</w:t>
            </w:r>
          </w:p>
          <w:p w14:paraId="43F99123">
            <w:pPr>
              <w:widowControl w:val="0"/>
              <w:autoSpaceDE w:val="0"/>
              <w:autoSpaceDN w:val="0"/>
              <w:adjustRightInd w:val="0"/>
              <w:snapToGrid w:val="0"/>
              <w:spacing w:line="360" w:lineRule="auto"/>
              <w:ind w:firstLine="480" w:firstLineChars="200"/>
              <w:jc w:val="both"/>
              <w:rPr>
                <w:color w:val="auto"/>
                <w:sz w:val="24"/>
              </w:rPr>
            </w:pPr>
            <w:r>
              <w:rPr>
                <w:color w:val="auto"/>
                <w:sz w:val="24"/>
              </w:rPr>
              <w:t>本项目厂界外500米范围内没有地下水集中式饮用水水源和热水、矿泉水、温泉等特殊地下水资源，无风景名胜区、自然保护区及文化遗产等特殊保护目标，不属于生态环境敏感区。场地内无分散居民饮用水源等其他地下水敏感目标。本项目厂界外50m范围内</w:t>
            </w:r>
            <w:r>
              <w:rPr>
                <w:rFonts w:hint="eastAsia"/>
                <w:color w:val="auto"/>
                <w:sz w:val="24"/>
              </w:rPr>
              <w:t>有学校、居住区等环境敏感目标</w:t>
            </w:r>
            <w:r>
              <w:rPr>
                <w:color w:val="auto"/>
                <w:sz w:val="24"/>
              </w:rPr>
              <w:t>。本项目厂界外500米范围内</w:t>
            </w:r>
            <w:r>
              <w:rPr>
                <w:rFonts w:hint="eastAsia"/>
                <w:color w:val="auto"/>
                <w:sz w:val="24"/>
              </w:rPr>
              <w:t>有学校、居住区等环境敏感目标。</w:t>
            </w:r>
            <w:r>
              <w:rPr>
                <w:color w:val="auto"/>
                <w:sz w:val="24"/>
              </w:rPr>
              <w:t>根据工程分析可知，在落实本环评提出的各项污染防治措施后，</w:t>
            </w:r>
            <w:r>
              <w:rPr>
                <w:rFonts w:hint="eastAsia"/>
                <w:color w:val="auto"/>
                <w:sz w:val="24"/>
              </w:rPr>
              <w:t>本</w:t>
            </w:r>
            <w:r>
              <w:rPr>
                <w:color w:val="auto"/>
                <w:sz w:val="24"/>
              </w:rPr>
              <w:t>项目产生的各项污染物经过处理后能做到达标排放，对周围环境</w:t>
            </w:r>
            <w:r>
              <w:rPr>
                <w:rFonts w:hint="eastAsia"/>
                <w:color w:val="auto"/>
                <w:sz w:val="24"/>
                <w:lang w:eastAsia="zh-CN"/>
              </w:rPr>
              <w:t>影响不大</w:t>
            </w:r>
            <w:r>
              <w:rPr>
                <w:color w:val="auto"/>
                <w:sz w:val="24"/>
              </w:rPr>
              <w:t>，</w:t>
            </w:r>
            <w:r>
              <w:rPr>
                <w:color w:val="auto"/>
                <w:sz w:val="24"/>
              </w:rPr>
              <w:t>周围环境空气质量、声环境质量均能满足其功能要求，水环境质量能维持现有等级</w:t>
            </w:r>
            <w:r>
              <w:rPr>
                <w:rFonts w:hint="eastAsia"/>
                <w:color w:val="auto"/>
                <w:sz w:val="24"/>
              </w:rPr>
              <w:t>，对周围环境敏感区的影响较少</w:t>
            </w:r>
            <w:r>
              <w:rPr>
                <w:color w:val="auto"/>
                <w:sz w:val="24"/>
              </w:rPr>
              <w:t>。</w:t>
            </w:r>
          </w:p>
          <w:p w14:paraId="5841B55E">
            <w:pPr>
              <w:pStyle w:val="189"/>
              <w:spacing w:line="360" w:lineRule="auto"/>
              <w:ind w:firstLine="480"/>
              <w:rPr>
                <w:b/>
                <w:bCs/>
                <w:color w:val="auto"/>
                <w:sz w:val="24"/>
              </w:rPr>
            </w:pPr>
            <w:r>
              <w:rPr>
                <w:color w:val="auto"/>
                <w:sz w:val="24"/>
              </w:rPr>
              <w:t>综上所述，本项目的</w:t>
            </w:r>
            <w:r>
              <w:rPr>
                <w:rFonts w:hint="eastAsia"/>
                <w:color w:val="auto"/>
                <w:sz w:val="24"/>
              </w:rPr>
              <w:t>选址是</w:t>
            </w:r>
            <w:r>
              <w:rPr>
                <w:color w:val="auto"/>
                <w:sz w:val="24"/>
              </w:rPr>
              <w:t>合理</w:t>
            </w:r>
            <w:r>
              <w:rPr>
                <w:rFonts w:hint="eastAsia"/>
                <w:color w:val="auto"/>
                <w:sz w:val="24"/>
              </w:rPr>
              <w:t>的</w:t>
            </w:r>
            <w:r>
              <w:rPr>
                <w:color w:val="auto"/>
                <w:sz w:val="24"/>
              </w:rPr>
              <w:t>。</w:t>
            </w:r>
          </w:p>
          <w:p w14:paraId="6BD7C631">
            <w:pPr>
              <w:pStyle w:val="189"/>
              <w:spacing w:line="360" w:lineRule="auto"/>
              <w:ind w:firstLine="482"/>
              <w:rPr>
                <w:b/>
                <w:bCs/>
                <w:color w:val="auto"/>
                <w:sz w:val="24"/>
              </w:rPr>
            </w:pPr>
            <w:r>
              <w:rPr>
                <w:b/>
                <w:bCs/>
                <w:color w:val="auto"/>
                <w:sz w:val="24"/>
              </w:rPr>
              <w:t>3、环境功能规划相符性分析</w:t>
            </w:r>
          </w:p>
          <w:p w14:paraId="4FDB26FB">
            <w:pPr>
              <w:pStyle w:val="189"/>
              <w:spacing w:line="360" w:lineRule="auto"/>
              <w:ind w:firstLine="480"/>
              <w:rPr>
                <w:color w:val="auto"/>
                <w:sz w:val="24"/>
              </w:rPr>
            </w:pPr>
            <w:r>
              <w:rPr>
                <w:color w:val="auto"/>
                <w:sz w:val="24"/>
              </w:rPr>
              <w:t>根据</w:t>
            </w:r>
            <w:r>
              <w:rPr>
                <w:rFonts w:hint="default" w:ascii="Times New Roman" w:hAnsi="Times New Roman" w:eastAsia="宋体" w:cs="Times New Roman"/>
                <w:color w:val="auto"/>
                <w:sz w:val="24"/>
              </w:rPr>
              <w:t>根据《阳江市阳东区人民政府办公室关于印发阳江市阳东区环境空气质量功能区划调整方案的通知》（东府办函〔2026〕9号）及</w:t>
            </w:r>
            <w:r>
              <w:rPr>
                <w:rFonts w:hint="eastAsia" w:ascii="Times New Roman" w:hAnsi="Times New Roman" w:eastAsia="宋体" w:cs="Times New Roman"/>
                <w:color w:val="auto"/>
                <w:sz w:val="24"/>
                <w:lang w:val="en-US" w:eastAsia="zh-CN"/>
              </w:rPr>
              <w:t>东城镇环境空气质量功能区划</w:t>
            </w:r>
            <w:r>
              <w:rPr>
                <w:rFonts w:hint="default" w:ascii="Times New Roman" w:hAnsi="Times New Roman" w:eastAsia="宋体" w:cs="Times New Roman"/>
                <w:color w:val="auto"/>
                <w:sz w:val="24"/>
              </w:rPr>
              <w:t>图</w:t>
            </w:r>
            <w:r>
              <w:rPr>
                <w:color w:val="auto"/>
                <w:sz w:val="24"/>
              </w:rPr>
              <w:t>，见附图</w:t>
            </w:r>
            <w:r>
              <w:rPr>
                <w:rFonts w:hint="eastAsia"/>
                <w:color w:val="auto"/>
                <w:sz w:val="24"/>
                <w:lang w:val="en-US" w:eastAsia="zh-CN"/>
              </w:rPr>
              <w:t>10</w:t>
            </w:r>
            <w:r>
              <w:rPr>
                <w:color w:val="auto"/>
                <w:sz w:val="24"/>
              </w:rPr>
              <w:t>所示，项目所在地属于环境空气二类区，执行《环境空气质量标准》（GB3095-2026）过渡阶段二级标准的相关规定。</w:t>
            </w:r>
          </w:p>
          <w:p w14:paraId="25735BA7">
            <w:pPr>
              <w:pStyle w:val="189"/>
              <w:spacing w:line="360" w:lineRule="auto"/>
              <w:ind w:firstLine="480"/>
              <w:rPr>
                <w:color w:val="auto"/>
                <w:sz w:val="24"/>
              </w:rPr>
            </w:pPr>
            <w:r>
              <w:rPr>
                <w:color w:val="auto"/>
                <w:sz w:val="24"/>
              </w:rPr>
              <w:t>本项目所在区域属于广东阳东经济开发区污水处理厂纳污范围，最终纳污水体为那龙河，根据《广东省地表水环境功能区划》（粤府函〔2011〕29号），见附图</w:t>
            </w:r>
            <w:r>
              <w:rPr>
                <w:rFonts w:hint="eastAsia"/>
                <w:color w:val="auto"/>
                <w:sz w:val="24"/>
                <w:lang w:val="en-US" w:eastAsia="zh-CN"/>
              </w:rPr>
              <w:t>11</w:t>
            </w:r>
            <w:r>
              <w:rPr>
                <w:color w:val="auto"/>
                <w:sz w:val="24"/>
              </w:rPr>
              <w:t>所示，那龙河（“阳东北惯东莺”至“阳东北津”）属于Ⅲ类水体，执行《地表水环境质量标准》（GB3838-2002）中的Ⅲ类标准。</w:t>
            </w:r>
          </w:p>
          <w:p w14:paraId="558FE1CB">
            <w:pPr>
              <w:pStyle w:val="189"/>
              <w:spacing w:line="360" w:lineRule="auto"/>
              <w:ind w:firstLine="480"/>
              <w:rPr>
                <w:color w:val="auto"/>
                <w:sz w:val="24"/>
              </w:rPr>
            </w:pPr>
            <w:r>
              <w:rPr>
                <w:color w:val="auto"/>
                <w:sz w:val="24"/>
              </w:rPr>
              <w:t>本项目位于阳江市阳东区东城镇裕东一路25号现有厂房内，</w:t>
            </w:r>
            <w:r>
              <w:rPr>
                <w:color w:val="auto"/>
                <w:kern w:val="0"/>
                <w:sz w:val="24"/>
              </w:rPr>
              <w:t>本</w:t>
            </w:r>
            <w:r>
              <w:rPr>
                <w:color w:val="auto"/>
                <w:sz w:val="24"/>
              </w:rPr>
              <w:t>项目所在地为工业园区，根据</w:t>
            </w:r>
            <w:r>
              <w:rPr>
                <w:color w:val="auto"/>
                <w:kern w:val="0"/>
                <w:sz w:val="24"/>
              </w:rPr>
              <w:t>《阳江市市区声环境功能区区划》，见附图</w:t>
            </w:r>
            <w:r>
              <w:rPr>
                <w:rFonts w:hint="eastAsia"/>
                <w:color w:val="auto"/>
                <w:kern w:val="0"/>
                <w:sz w:val="24"/>
                <w:lang w:val="en-US" w:eastAsia="zh-CN"/>
              </w:rPr>
              <w:t>12</w:t>
            </w:r>
            <w:r>
              <w:rPr>
                <w:color w:val="auto"/>
                <w:kern w:val="0"/>
                <w:sz w:val="24"/>
              </w:rPr>
              <w:t>所示，本项目所在地</w:t>
            </w:r>
            <w:r>
              <w:rPr>
                <w:color w:val="auto"/>
                <w:sz w:val="24"/>
              </w:rPr>
              <w:t>属于3类功能区，声环境质量执行《声环境质量标准》（GB3096-2008）中的3类标准。</w:t>
            </w:r>
          </w:p>
          <w:p w14:paraId="0BD61792">
            <w:pPr>
              <w:pStyle w:val="189"/>
              <w:spacing w:line="360" w:lineRule="auto"/>
              <w:ind w:firstLine="480"/>
              <w:rPr>
                <w:b/>
                <w:bCs/>
                <w:color w:val="auto"/>
                <w:sz w:val="24"/>
              </w:rPr>
            </w:pPr>
            <w:r>
              <w:rPr>
                <w:color w:val="auto"/>
                <w:sz w:val="24"/>
              </w:rPr>
              <w:t>根据工程分析可知，本</w:t>
            </w:r>
            <w:r>
              <w:rPr>
                <w:rFonts w:hint="eastAsia"/>
                <w:color w:val="auto"/>
                <w:sz w:val="24"/>
                <w:lang w:eastAsia="zh-CN"/>
              </w:rPr>
              <w:t>改建</w:t>
            </w:r>
            <w:r>
              <w:rPr>
                <w:color w:val="auto"/>
                <w:sz w:val="24"/>
              </w:rPr>
              <w:t>项目废（污）水、废气、噪声和固体废物通过采取评价中提出的治理措施后，不会改变区域现有环境功能。因此，本项目与周边环境功能区划相适应。</w:t>
            </w:r>
          </w:p>
          <w:p w14:paraId="2F52E1F4">
            <w:pPr>
              <w:pStyle w:val="189"/>
              <w:spacing w:line="360" w:lineRule="auto"/>
              <w:ind w:firstLine="482"/>
              <w:rPr>
                <w:b/>
                <w:bCs/>
                <w:color w:val="auto"/>
                <w:sz w:val="24"/>
              </w:rPr>
            </w:pPr>
            <w:r>
              <w:rPr>
                <w:b/>
                <w:bCs/>
                <w:color w:val="auto"/>
                <w:sz w:val="24"/>
              </w:rPr>
              <w:t>4、与阳江市“三线一单”生态环境分区管控方案相符性分析</w:t>
            </w:r>
          </w:p>
          <w:p w14:paraId="19B32409">
            <w:pPr>
              <w:widowControl w:val="0"/>
              <w:autoSpaceDE w:val="0"/>
              <w:autoSpaceDN w:val="0"/>
              <w:adjustRightInd w:val="0"/>
              <w:snapToGrid w:val="0"/>
              <w:spacing w:line="360" w:lineRule="auto"/>
              <w:ind w:firstLine="480" w:firstLineChars="200"/>
              <w:jc w:val="both"/>
              <w:rPr>
                <w:color w:val="auto"/>
                <w:kern w:val="0"/>
                <w:sz w:val="24"/>
              </w:rPr>
            </w:pPr>
            <w:r>
              <w:rPr>
                <w:rFonts w:hint="eastAsia" w:ascii="Times New Roman" w:hAnsi="Times New Roman" w:cs="Times New Roman"/>
                <w:color w:val="auto"/>
                <w:kern w:val="0"/>
                <w:sz w:val="24"/>
                <w:lang w:val="en-US" w:eastAsia="zh-CN"/>
              </w:rPr>
              <w:t>根据</w:t>
            </w:r>
            <w:r>
              <w:rPr>
                <w:rFonts w:hint="default" w:ascii="Times New Roman" w:hAnsi="Times New Roman" w:cs="Times New Roman"/>
                <w:color w:val="auto"/>
                <w:kern w:val="0"/>
                <w:sz w:val="24"/>
              </w:rPr>
              <w:t>广东省人民政府关于印发《广东省“三线一单”生态环境分区管控方案》的通知（粤府〔2020〕71号</w:t>
            </w:r>
            <w:r>
              <w:rPr>
                <w:rFonts w:hint="default" w:ascii="Times New Roman" w:hAnsi="Times New Roman" w:eastAsia="宋体" w:cs="Times New Roman"/>
                <w:color w:val="auto"/>
                <w:kern w:val="0"/>
                <w:sz w:val="24"/>
              </w:rPr>
              <w:t>）</w:t>
            </w:r>
            <w:r>
              <w:rPr>
                <w:rFonts w:hint="eastAsia" w:ascii="Times New Roman" w:hAnsi="Times New Roman" w:eastAsia="宋体" w:cs="Times New Roman"/>
                <w:color w:val="auto"/>
                <w:kern w:val="0"/>
                <w:sz w:val="24"/>
                <w:lang w:eastAsia="zh-CN"/>
              </w:rPr>
              <w:t>、</w:t>
            </w:r>
            <w:r>
              <w:rPr>
                <w:rFonts w:hint="default" w:ascii="Times New Roman" w:hAnsi="Times New Roman" w:eastAsia="宋体" w:cs="Times New Roman"/>
                <w:color w:val="auto"/>
                <w:kern w:val="0"/>
                <w:sz w:val="24"/>
              </w:rPr>
              <w:t>广东省人民政府关于延长《广东省</w:t>
            </w:r>
            <w:r>
              <w:rPr>
                <w:rFonts w:hint="default" w:ascii="Times New Roman" w:hAnsi="Times New Roman" w:cs="Times New Roman"/>
                <w:color w:val="auto"/>
                <w:kern w:val="0"/>
                <w:sz w:val="24"/>
              </w:rPr>
              <w:t>“三线一单”</w:t>
            </w:r>
            <w:r>
              <w:rPr>
                <w:rFonts w:hint="default" w:ascii="Times New Roman" w:hAnsi="Times New Roman" w:eastAsia="宋体" w:cs="Times New Roman"/>
                <w:color w:val="auto"/>
                <w:kern w:val="0"/>
                <w:sz w:val="24"/>
              </w:rPr>
              <w:t>生态环境分区管控方案》有效期的通知（粤府函〔2025〕248号）</w:t>
            </w:r>
            <w:r>
              <w:rPr>
                <w:rFonts w:hint="eastAsia" w:ascii="Times New Roman" w:hAnsi="Times New Roman" w:eastAsia="宋体" w:cs="Times New Roman"/>
                <w:color w:val="auto"/>
                <w:kern w:val="0"/>
                <w:sz w:val="24"/>
                <w:lang w:eastAsia="zh-CN"/>
              </w:rPr>
              <w:t>、</w:t>
            </w:r>
            <w:r>
              <w:rPr>
                <w:rFonts w:hint="default" w:ascii="Times New Roman" w:hAnsi="Times New Roman" w:cs="Times New Roman"/>
                <w:color w:val="auto"/>
                <w:kern w:val="0"/>
                <w:sz w:val="24"/>
              </w:rPr>
              <w:t>阳江市人民政府关于印发《阳江市“三线一单”生态环境分区管控方案》的通知（阳府〔2021〕28号）、《</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阳江市“三线一单”生态环境分区管控方案</w:t>
            </w:r>
            <w:r>
              <w:rPr>
                <w:rFonts w:hint="eastAsia" w:ascii="Times New Roman" w:hAnsi="Times New Roman" w:cs="Times New Roman"/>
                <w:color w:val="auto"/>
                <w:kern w:val="0"/>
                <w:sz w:val="24"/>
                <w:lang w:eastAsia="zh-CN"/>
              </w:rPr>
              <w:t>〉</w:t>
            </w:r>
            <w:r>
              <w:rPr>
                <w:rFonts w:hint="default" w:ascii="Times New Roman" w:hAnsi="Times New Roman" w:cs="Times New Roman"/>
                <w:color w:val="auto"/>
                <w:kern w:val="0"/>
                <w:sz w:val="24"/>
              </w:rPr>
              <w:t>更新调整内容清</w:t>
            </w:r>
            <w:r>
              <w:rPr>
                <w:rFonts w:hint="default" w:ascii="Times New Roman" w:hAnsi="Times New Roman" w:eastAsia="宋体" w:cs="Times New Roman"/>
                <w:color w:val="auto"/>
                <w:kern w:val="0"/>
                <w:sz w:val="24"/>
              </w:rPr>
              <w:t>单》</w:t>
            </w:r>
            <w:r>
              <w:rPr>
                <w:rFonts w:hint="eastAsia" w:ascii="Times New Roman" w:hAnsi="Times New Roman" w:eastAsia="宋体" w:cs="Times New Roman"/>
                <w:color w:val="auto"/>
                <w:kern w:val="0"/>
                <w:sz w:val="24"/>
                <w:lang w:eastAsia="zh-CN"/>
              </w:rPr>
              <w:t>（</w:t>
            </w:r>
            <w:r>
              <w:rPr>
                <w:rFonts w:hint="default" w:ascii="Times New Roman" w:hAnsi="Times New Roman" w:eastAsia="宋体" w:cs="Times New Roman"/>
                <w:color w:val="auto"/>
                <w:kern w:val="0"/>
                <w:sz w:val="24"/>
              </w:rPr>
              <w:t>2024年3月8日</w:t>
            </w:r>
            <w:r>
              <w:rPr>
                <w:rFonts w:hint="eastAsia" w:ascii="Times New Roman" w:hAnsi="Times New Roman" w:eastAsia="宋体" w:cs="Times New Roman"/>
                <w:color w:val="auto"/>
                <w:kern w:val="0"/>
                <w:sz w:val="24"/>
                <w:lang w:eastAsia="zh-CN"/>
              </w:rPr>
              <w:t>）、</w:t>
            </w:r>
            <w:r>
              <w:rPr>
                <w:rFonts w:hint="eastAsia" w:cs="Times New Roman"/>
                <w:color w:val="auto"/>
                <w:sz w:val="24"/>
                <w:szCs w:val="24"/>
                <w:lang w:val="en-US" w:eastAsia="zh-CN"/>
              </w:rPr>
              <w:t>阳江市人民政府关于延长《阳江市“三线一单”生态环境分区管控方案》有效期的通知（阳府函〔2026〕196号）</w:t>
            </w:r>
            <w:r>
              <w:rPr>
                <w:color w:val="auto"/>
                <w:kern w:val="0"/>
                <w:sz w:val="24"/>
              </w:rPr>
              <w:t>，本</w:t>
            </w:r>
            <w:r>
              <w:rPr>
                <w:rFonts w:hint="eastAsia"/>
                <w:color w:val="auto"/>
                <w:kern w:val="0"/>
                <w:sz w:val="24"/>
                <w:lang w:eastAsia="zh-CN"/>
              </w:rPr>
              <w:t>改建</w:t>
            </w:r>
            <w:r>
              <w:rPr>
                <w:color w:val="auto"/>
                <w:kern w:val="0"/>
                <w:sz w:val="24"/>
              </w:rPr>
              <w:t>项目选址位于方案中划定的“珠海（阳江万象）产业转移工业园并广东阳东经济开发区重点管控单元”内（环境管控单元编号：ZH44170420004），详见附图</w:t>
            </w:r>
            <w:r>
              <w:rPr>
                <w:rFonts w:hint="eastAsia"/>
                <w:color w:val="auto"/>
                <w:kern w:val="0"/>
                <w:sz w:val="24"/>
                <w:lang w:val="en-US" w:eastAsia="zh-CN"/>
              </w:rPr>
              <w:t>8</w:t>
            </w:r>
            <w:r>
              <w:rPr>
                <w:color w:val="auto"/>
                <w:kern w:val="0"/>
                <w:sz w:val="24"/>
              </w:rPr>
              <w:t>、附图</w:t>
            </w:r>
            <w:r>
              <w:rPr>
                <w:rFonts w:hint="eastAsia"/>
                <w:color w:val="auto"/>
                <w:kern w:val="0"/>
                <w:sz w:val="24"/>
                <w:lang w:val="en-US" w:eastAsia="zh-CN"/>
              </w:rPr>
              <w:t>9</w:t>
            </w:r>
            <w:r>
              <w:rPr>
                <w:color w:val="auto"/>
                <w:kern w:val="0"/>
                <w:sz w:val="24"/>
              </w:rPr>
              <w:t>。与本</w:t>
            </w:r>
            <w:r>
              <w:rPr>
                <w:rFonts w:hint="eastAsia"/>
                <w:color w:val="auto"/>
                <w:kern w:val="0"/>
                <w:sz w:val="24"/>
                <w:lang w:eastAsia="zh-CN"/>
              </w:rPr>
              <w:t>改建</w:t>
            </w:r>
            <w:r>
              <w:rPr>
                <w:color w:val="auto"/>
                <w:kern w:val="0"/>
                <w:sz w:val="24"/>
              </w:rPr>
              <w:t>项目相关联的管控要求对照分析见下表1-1。由下表对照分析得出，本</w:t>
            </w:r>
            <w:r>
              <w:rPr>
                <w:rFonts w:hint="eastAsia"/>
                <w:color w:val="auto"/>
                <w:kern w:val="0"/>
                <w:sz w:val="24"/>
                <w:lang w:eastAsia="zh-CN"/>
              </w:rPr>
              <w:t>改建</w:t>
            </w:r>
            <w:r>
              <w:rPr>
                <w:color w:val="auto"/>
                <w:kern w:val="0"/>
                <w:sz w:val="24"/>
              </w:rPr>
              <w:t>项目符合阳江市“三线一单”生态环境分区管控方案的相关要求。</w:t>
            </w:r>
          </w:p>
          <w:p w14:paraId="087A314F">
            <w:pPr>
              <w:ind w:left="21" w:leftChars="10" w:right="21" w:rightChars="10"/>
              <w:jc w:val="center"/>
              <w:rPr>
                <w:b/>
                <w:bCs/>
                <w:color w:val="auto"/>
                <w:szCs w:val="21"/>
              </w:rPr>
            </w:pPr>
            <w:r>
              <w:rPr>
                <w:b/>
                <w:bCs/>
                <w:color w:val="auto"/>
                <w:szCs w:val="21"/>
              </w:rPr>
              <w:t>表1-1本</w:t>
            </w:r>
            <w:r>
              <w:rPr>
                <w:rFonts w:hint="eastAsia"/>
                <w:b/>
                <w:bCs/>
                <w:color w:val="auto"/>
                <w:szCs w:val="21"/>
                <w:lang w:eastAsia="zh-CN"/>
              </w:rPr>
              <w:t>改建</w:t>
            </w:r>
            <w:r>
              <w:rPr>
                <w:b/>
                <w:bCs/>
                <w:color w:val="auto"/>
                <w:szCs w:val="21"/>
              </w:rPr>
              <w:t>项目与阳江市“三线一单”生态环境分区管控要求相符性</w:t>
            </w:r>
          </w:p>
          <w:tbl>
            <w:tblPr>
              <w:tblStyle w:val="42"/>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1"/>
              <w:gridCol w:w="4150"/>
              <w:gridCol w:w="3544"/>
              <w:gridCol w:w="928"/>
            </w:tblGrid>
            <w:tr w14:paraId="27924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6" w:type="pct"/>
                  <w:tcMar>
                    <w:top w:w="0" w:type="dxa"/>
                    <w:left w:w="28" w:type="dxa"/>
                    <w:bottom w:w="0" w:type="dxa"/>
                    <w:right w:w="28" w:type="dxa"/>
                  </w:tcMar>
                  <w:vAlign w:val="center"/>
                </w:tcPr>
                <w:p w14:paraId="52C2547A">
                  <w:pPr>
                    <w:pStyle w:val="50"/>
                    <w:snapToGrid w:val="0"/>
                    <w:ind w:left="21" w:leftChars="10" w:right="21" w:rightChars="1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管控纬度</w:t>
                  </w:r>
                </w:p>
              </w:tc>
              <w:tc>
                <w:tcPr>
                  <w:tcW w:w="2240" w:type="pct"/>
                  <w:tcMar>
                    <w:top w:w="0" w:type="dxa"/>
                    <w:left w:w="28" w:type="dxa"/>
                    <w:bottom w:w="0" w:type="dxa"/>
                    <w:right w:w="28" w:type="dxa"/>
                  </w:tcMar>
                  <w:vAlign w:val="center"/>
                </w:tcPr>
                <w:p w14:paraId="042FAFAE">
                  <w:pPr>
                    <w:pStyle w:val="50"/>
                    <w:snapToGrid w:val="0"/>
                    <w:ind w:left="21" w:leftChars="10" w:right="21" w:rightChars="1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与本</w:t>
                  </w:r>
                  <w:r>
                    <w:rPr>
                      <w:rFonts w:hint="eastAsia" w:ascii="Times New Roman" w:hAnsi="Times New Roman" w:cs="Times New Roman"/>
                      <w:b/>
                      <w:bCs/>
                      <w:color w:val="auto"/>
                      <w:sz w:val="21"/>
                      <w:szCs w:val="21"/>
                      <w:lang w:eastAsia="zh-CN"/>
                    </w:rPr>
                    <w:t>改建</w:t>
                  </w:r>
                  <w:r>
                    <w:rPr>
                      <w:rFonts w:ascii="Times New Roman" w:hAnsi="Times New Roman" w:cs="Times New Roman"/>
                      <w:b/>
                      <w:bCs/>
                      <w:color w:val="auto"/>
                      <w:sz w:val="21"/>
                      <w:szCs w:val="21"/>
                    </w:rPr>
                    <w:t>项目相关联的管控要求</w:t>
                  </w:r>
                </w:p>
              </w:tc>
              <w:tc>
                <w:tcPr>
                  <w:tcW w:w="1913" w:type="pct"/>
                  <w:tcMar>
                    <w:top w:w="0" w:type="dxa"/>
                    <w:left w:w="28" w:type="dxa"/>
                    <w:bottom w:w="0" w:type="dxa"/>
                    <w:right w:w="28" w:type="dxa"/>
                  </w:tcMar>
                  <w:vAlign w:val="center"/>
                </w:tcPr>
                <w:p w14:paraId="34735425">
                  <w:pPr>
                    <w:pStyle w:val="50"/>
                    <w:snapToGrid w:val="0"/>
                    <w:ind w:left="21" w:leftChars="10" w:right="21" w:rightChars="1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本</w:t>
                  </w:r>
                  <w:r>
                    <w:rPr>
                      <w:rFonts w:hint="eastAsia" w:ascii="Times New Roman" w:hAnsi="Times New Roman" w:cs="Times New Roman"/>
                      <w:b/>
                      <w:bCs/>
                      <w:color w:val="auto"/>
                      <w:sz w:val="21"/>
                      <w:szCs w:val="21"/>
                      <w:lang w:eastAsia="zh-CN"/>
                    </w:rPr>
                    <w:t>改建</w:t>
                  </w:r>
                  <w:r>
                    <w:rPr>
                      <w:rFonts w:ascii="Times New Roman" w:hAnsi="Times New Roman" w:cs="Times New Roman"/>
                      <w:b/>
                      <w:bCs/>
                      <w:color w:val="auto"/>
                      <w:sz w:val="21"/>
                      <w:szCs w:val="21"/>
                    </w:rPr>
                    <w:t>项目情况</w:t>
                  </w:r>
                </w:p>
              </w:tc>
              <w:tc>
                <w:tcPr>
                  <w:tcW w:w="499" w:type="pct"/>
                  <w:tcMar>
                    <w:top w:w="0" w:type="dxa"/>
                    <w:left w:w="28" w:type="dxa"/>
                    <w:bottom w:w="0" w:type="dxa"/>
                    <w:right w:w="28" w:type="dxa"/>
                  </w:tcMar>
                  <w:vAlign w:val="center"/>
                </w:tcPr>
                <w:p w14:paraId="476FD02E">
                  <w:pPr>
                    <w:pStyle w:val="50"/>
                    <w:snapToGrid w:val="0"/>
                    <w:ind w:left="21" w:leftChars="10" w:right="21" w:rightChars="1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相符性</w:t>
                  </w:r>
                </w:p>
              </w:tc>
            </w:tr>
            <w:tr w14:paraId="7F181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00" w:type="pct"/>
                  <w:gridSpan w:val="4"/>
                  <w:tcMar>
                    <w:top w:w="0" w:type="dxa"/>
                    <w:left w:w="28" w:type="dxa"/>
                    <w:bottom w:w="0" w:type="dxa"/>
                    <w:right w:w="28" w:type="dxa"/>
                  </w:tcMar>
                  <w:vAlign w:val="center"/>
                </w:tcPr>
                <w:p w14:paraId="32804D09">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pacing w:val="-8"/>
                      <w:sz w:val="21"/>
                      <w:szCs w:val="21"/>
                    </w:rPr>
                    <w:t>珠海（阳江万象）产业转移工业园并广东阳东经济开发区重点管控单元（环境管控单元编号：ZH44170420004）</w:t>
                  </w:r>
                </w:p>
              </w:tc>
            </w:tr>
            <w:tr w14:paraId="5380A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6" w:type="pct"/>
                  <w:tcMar>
                    <w:top w:w="0" w:type="dxa"/>
                    <w:left w:w="28" w:type="dxa"/>
                    <w:bottom w:w="0" w:type="dxa"/>
                    <w:right w:w="28" w:type="dxa"/>
                  </w:tcMar>
                  <w:vAlign w:val="center"/>
                </w:tcPr>
                <w:p w14:paraId="5A13E5DD">
                  <w:pPr>
                    <w:pStyle w:val="50"/>
                    <w:snapToGrid w:val="0"/>
                    <w:ind w:left="21" w:leftChars="10" w:right="21" w:rightChars="10"/>
                    <w:jc w:val="center"/>
                    <w:rPr>
                      <w:rFonts w:ascii="Times New Roman" w:hAnsi="Times New Roman" w:cs="Times New Roman"/>
                      <w:color w:val="auto"/>
                      <w:sz w:val="21"/>
                      <w:szCs w:val="21"/>
                    </w:rPr>
                  </w:pPr>
                  <w:r>
                    <w:rPr>
                      <w:rFonts w:ascii="Times New Roman" w:hAnsi="Times New Roman" w:cs="Times New Roman"/>
                      <w:color w:val="auto"/>
                      <w:sz w:val="21"/>
                      <w:szCs w:val="21"/>
                    </w:rPr>
                    <w:t>区域布局管控</w:t>
                  </w:r>
                </w:p>
              </w:tc>
              <w:tc>
                <w:tcPr>
                  <w:tcW w:w="2240" w:type="pct"/>
                  <w:tcMar>
                    <w:top w:w="0" w:type="dxa"/>
                    <w:left w:w="28" w:type="dxa"/>
                    <w:bottom w:w="0" w:type="dxa"/>
                    <w:right w:w="28" w:type="dxa"/>
                  </w:tcMar>
                  <w:vAlign w:val="center"/>
                </w:tcPr>
                <w:p w14:paraId="48663F01">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1-1.【产业/限制类】新入园项目应符合《产业结构调整指导目录》《市场准入负面清单》等相关产业政策要求。</w:t>
                  </w:r>
                </w:p>
                <w:p w14:paraId="158BDC89">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1-2.【产业/鼓励引导类】园区优先引入无污染或轻污染的项目。</w:t>
                  </w:r>
                </w:p>
                <w:p w14:paraId="31983F13">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1-3.【产业/限制类】园区严格控制重金属水污染型行业项目入园。</w:t>
                  </w:r>
                </w:p>
                <w:p w14:paraId="38B8846F">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1-4.【其他/综合类】园区内工业用地或企业与居民区、学校等环境敏感点之间应设置合理的环境防护距离，并通过绿化带进行有效隔离。</w:t>
                  </w:r>
                </w:p>
              </w:tc>
              <w:tc>
                <w:tcPr>
                  <w:tcW w:w="1913" w:type="pct"/>
                  <w:tcMar>
                    <w:top w:w="0" w:type="dxa"/>
                    <w:left w:w="28" w:type="dxa"/>
                    <w:bottom w:w="0" w:type="dxa"/>
                    <w:right w:w="28" w:type="dxa"/>
                  </w:tcMar>
                  <w:vAlign w:val="center"/>
                </w:tcPr>
                <w:p w14:paraId="19BD6992">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1-1.</w:t>
                  </w:r>
                  <w:r>
                    <w:rPr>
                      <w:rFonts w:ascii="Times New Roman" w:hAnsi="Times New Roman" w:cs="Times New Roman"/>
                      <w:bCs/>
                      <w:color w:val="auto"/>
                      <w:sz w:val="21"/>
                      <w:szCs w:val="21"/>
                    </w:rPr>
                    <w:t>本</w:t>
                  </w:r>
                  <w:r>
                    <w:rPr>
                      <w:rFonts w:hint="eastAsia" w:ascii="Times New Roman" w:hAnsi="Times New Roman" w:cs="Times New Roman"/>
                      <w:bCs/>
                      <w:color w:val="auto"/>
                      <w:sz w:val="21"/>
                      <w:szCs w:val="21"/>
                      <w:lang w:eastAsia="zh-CN"/>
                    </w:rPr>
                    <w:t>改建</w:t>
                  </w:r>
                  <w:r>
                    <w:rPr>
                      <w:rFonts w:ascii="Times New Roman" w:hAnsi="Times New Roman" w:cs="Times New Roman"/>
                      <w:bCs/>
                      <w:color w:val="auto"/>
                      <w:sz w:val="21"/>
                      <w:szCs w:val="21"/>
                    </w:rPr>
                    <w:t>项目</w:t>
                  </w:r>
                  <w:r>
                    <w:rPr>
                      <w:rFonts w:ascii="Times New Roman" w:hAnsi="Times New Roman" w:cs="Times New Roman"/>
                      <w:color w:val="auto"/>
                      <w:sz w:val="21"/>
                      <w:szCs w:val="21"/>
                    </w:rPr>
                    <w:t>主要从事铝制品</w:t>
                  </w:r>
                  <w:r>
                    <w:rPr>
                      <w:rFonts w:hint="eastAsia" w:ascii="Times New Roman" w:hAnsi="Times New Roman" w:cs="Times New Roman"/>
                      <w:color w:val="auto"/>
                      <w:sz w:val="21"/>
                      <w:szCs w:val="21"/>
                      <w:lang w:val="en-US" w:eastAsia="zh-CN"/>
                    </w:rPr>
                    <w:t>表面</w:t>
                  </w:r>
                  <w:r>
                    <w:rPr>
                      <w:rFonts w:ascii="Times New Roman" w:hAnsi="Times New Roman" w:cs="Times New Roman"/>
                      <w:color w:val="auto"/>
                      <w:sz w:val="21"/>
                      <w:szCs w:val="21"/>
                    </w:rPr>
                    <w:t>加工</w:t>
                  </w:r>
                  <w:r>
                    <w:rPr>
                      <w:rFonts w:ascii="Times New Roman" w:hAnsi="Times New Roman" w:cs="Times New Roman"/>
                      <w:bCs/>
                      <w:color w:val="auto"/>
                      <w:sz w:val="21"/>
                      <w:szCs w:val="21"/>
                    </w:rPr>
                    <w:t>，对照《产业结构调整指导目录》（2024年本）》（国家发展和改革委员</w:t>
                  </w:r>
                  <w:r>
                    <w:rPr>
                      <w:rFonts w:ascii="Times New Roman" w:hAnsi="Times New Roman" w:cs="Times New Roman"/>
                      <w:color w:val="auto"/>
                      <w:sz w:val="21"/>
                      <w:szCs w:val="21"/>
                    </w:rPr>
                    <w:t>会令第7号），本</w:t>
                  </w:r>
                  <w:r>
                    <w:rPr>
                      <w:rFonts w:hint="eastAsia" w:ascii="Times New Roman" w:hAnsi="Times New Roman" w:cs="Times New Roman"/>
                      <w:color w:val="auto"/>
                      <w:sz w:val="21"/>
                      <w:szCs w:val="21"/>
                      <w:lang w:eastAsia="zh-CN"/>
                    </w:rPr>
                    <w:t>改建</w:t>
                  </w:r>
                  <w:r>
                    <w:rPr>
                      <w:rFonts w:ascii="Times New Roman" w:hAnsi="Times New Roman" w:cs="Times New Roman"/>
                      <w:color w:val="auto"/>
                      <w:sz w:val="21"/>
                      <w:szCs w:val="21"/>
                    </w:rPr>
                    <w:t>项目产品、工艺、设备均不属于目录中鼓励类、限制类、淘汰类之列，为允许类，符合国家产业政策的要求。根据国家发展改革委、商务部、市场监管总局关于印发《市场准入负面清单（2025年版）》（发改体改规〔2025〕466号），本</w:t>
                  </w:r>
                  <w:r>
                    <w:rPr>
                      <w:rFonts w:hint="eastAsia" w:ascii="Times New Roman" w:hAnsi="Times New Roman" w:cs="Times New Roman"/>
                      <w:color w:val="auto"/>
                      <w:sz w:val="21"/>
                      <w:szCs w:val="21"/>
                      <w:lang w:eastAsia="zh-CN"/>
                    </w:rPr>
                    <w:t>改建</w:t>
                  </w:r>
                  <w:r>
                    <w:rPr>
                      <w:rFonts w:ascii="Times New Roman" w:hAnsi="Times New Roman" w:cs="Times New Roman"/>
                      <w:color w:val="auto"/>
                      <w:sz w:val="21"/>
                      <w:szCs w:val="21"/>
                    </w:rPr>
                    <w:t>项目不属于市场准入负面清单中的禁止准入类、许可准入类项目，属于可依法平等进入项目。</w:t>
                  </w:r>
                </w:p>
                <w:p w14:paraId="1287D850">
                  <w:pPr>
                    <w:pStyle w:val="50"/>
                    <w:snapToGrid w:val="0"/>
                    <w:ind w:left="21" w:leftChars="10" w:right="21" w:rightChars="10"/>
                    <w:rPr>
                      <w:rFonts w:ascii="Times New Roman" w:hAnsi="Times New Roman" w:cs="Times New Roman"/>
                      <w:bCs/>
                      <w:color w:val="auto"/>
                      <w:sz w:val="21"/>
                      <w:szCs w:val="21"/>
                    </w:rPr>
                  </w:pPr>
                  <w:r>
                    <w:rPr>
                      <w:rFonts w:ascii="Times New Roman" w:hAnsi="Times New Roman" w:cs="Times New Roman"/>
                      <w:color w:val="auto"/>
                      <w:sz w:val="21"/>
                      <w:szCs w:val="21"/>
                    </w:rPr>
                    <w:t>1-2.本</w:t>
                  </w:r>
                  <w:r>
                    <w:rPr>
                      <w:rFonts w:hint="eastAsia" w:ascii="Times New Roman" w:hAnsi="Times New Roman" w:cs="Times New Roman"/>
                      <w:color w:val="auto"/>
                      <w:sz w:val="21"/>
                      <w:szCs w:val="21"/>
                      <w:lang w:eastAsia="zh-CN"/>
                    </w:rPr>
                    <w:t>改建</w:t>
                  </w:r>
                  <w:r>
                    <w:rPr>
                      <w:rFonts w:ascii="Times New Roman" w:hAnsi="Times New Roman" w:cs="Times New Roman"/>
                      <w:color w:val="auto"/>
                      <w:sz w:val="21"/>
                      <w:szCs w:val="21"/>
                    </w:rPr>
                    <w:t>项目主要</w:t>
                  </w:r>
                  <w:r>
                    <w:rPr>
                      <w:rFonts w:hint="eastAsia" w:ascii="Times New Roman" w:hAnsi="Times New Roman" w:cs="Times New Roman"/>
                      <w:color w:val="auto"/>
                      <w:sz w:val="21"/>
                      <w:szCs w:val="21"/>
                    </w:rPr>
                    <w:t>加工铝制品</w:t>
                  </w:r>
                  <w:r>
                    <w:rPr>
                      <w:rFonts w:ascii="Times New Roman" w:hAnsi="Times New Roman" w:cs="Times New Roman"/>
                      <w:color w:val="auto"/>
                      <w:sz w:val="21"/>
                      <w:szCs w:val="21"/>
                    </w:rPr>
                    <w:t>，</w:t>
                  </w:r>
                  <w:r>
                    <w:rPr>
                      <w:rFonts w:hint="eastAsia" w:ascii="Times New Roman" w:hAnsi="Times New Roman" w:cs="Times New Roman"/>
                      <w:color w:val="auto"/>
                      <w:sz w:val="21"/>
                      <w:szCs w:val="21"/>
                    </w:rPr>
                    <w:t>电泳漆涂装、烘干固化产生的</w:t>
                  </w:r>
                  <w:r>
                    <w:rPr>
                      <w:rFonts w:ascii="Times New Roman" w:hAnsi="Times New Roman" w:cs="Times New Roman"/>
                      <w:bCs/>
                      <w:color w:val="auto"/>
                      <w:sz w:val="21"/>
                      <w:szCs w:val="21"/>
                    </w:rPr>
                    <w:t>有机废气经收集后经“水喷淋塔+除雾器+两级活性炭吸附装置”处理后由20米高排气筒高空排放</w:t>
                  </w:r>
                  <w:r>
                    <w:rPr>
                      <w:rFonts w:hint="eastAsia" w:ascii="Times New Roman" w:hAnsi="Times New Roman" w:cs="Times New Roman"/>
                      <w:bCs/>
                      <w:color w:val="auto"/>
                      <w:sz w:val="21"/>
                      <w:szCs w:val="21"/>
                    </w:rPr>
                    <w:t>，废气排放量较少，本项目属于轻污染项目</w:t>
                  </w:r>
                  <w:r>
                    <w:rPr>
                      <w:rFonts w:ascii="Times New Roman" w:hAnsi="Times New Roman" w:cs="Times New Roman"/>
                      <w:bCs/>
                      <w:color w:val="auto"/>
                      <w:sz w:val="21"/>
                      <w:szCs w:val="21"/>
                    </w:rPr>
                    <w:t>。</w:t>
                  </w:r>
                </w:p>
                <w:p w14:paraId="0082397A">
                  <w:pPr>
                    <w:rPr>
                      <w:bCs/>
                      <w:color w:val="auto"/>
                      <w:szCs w:val="21"/>
                    </w:rPr>
                  </w:pPr>
                  <w:r>
                    <w:rPr>
                      <w:bCs/>
                      <w:color w:val="auto"/>
                      <w:szCs w:val="21"/>
                    </w:rPr>
                    <w:t>1-3.本</w:t>
                  </w:r>
                  <w:r>
                    <w:rPr>
                      <w:rFonts w:hint="eastAsia"/>
                      <w:bCs/>
                      <w:color w:val="auto"/>
                      <w:szCs w:val="21"/>
                      <w:lang w:eastAsia="zh-CN"/>
                    </w:rPr>
                    <w:t>改建</w:t>
                  </w:r>
                  <w:r>
                    <w:rPr>
                      <w:bCs/>
                      <w:color w:val="auto"/>
                      <w:szCs w:val="21"/>
                    </w:rPr>
                    <w:t>项目不产生含重金属废水，</w:t>
                  </w:r>
                  <w:r>
                    <w:rPr>
                      <w:rFonts w:hint="eastAsia"/>
                      <w:bCs/>
                      <w:color w:val="auto"/>
                      <w:szCs w:val="21"/>
                    </w:rPr>
                    <w:t>电泳前后产生的清洗废水经自建综合废水处理站</w:t>
                  </w:r>
                  <w:r>
                    <w:rPr>
                      <w:bCs/>
                      <w:color w:val="auto"/>
                      <w:szCs w:val="21"/>
                    </w:rPr>
                    <w:t>处理后</w:t>
                  </w:r>
                  <w:r>
                    <w:rPr>
                      <w:rFonts w:hint="eastAsia"/>
                      <w:bCs/>
                      <w:color w:val="auto"/>
                      <w:szCs w:val="21"/>
                      <w:lang w:eastAsia="zh-CN"/>
                    </w:rPr>
                    <w:t>回用于阳极氧化线</w:t>
                  </w:r>
                  <w:r>
                    <w:rPr>
                      <w:bCs/>
                      <w:color w:val="auto"/>
                      <w:szCs w:val="21"/>
                    </w:rPr>
                    <w:t>，不外排</w:t>
                  </w:r>
                  <w:r>
                    <w:rPr>
                      <w:color w:val="auto"/>
                      <w:kern w:val="0"/>
                      <w:szCs w:val="21"/>
                      <w:lang w:bidi="ar"/>
                    </w:rPr>
                    <w:t>。</w:t>
                  </w:r>
                </w:p>
                <w:p w14:paraId="1EE3AA94">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bCs/>
                      <w:color w:val="auto"/>
                      <w:sz w:val="21"/>
                      <w:szCs w:val="21"/>
                    </w:rPr>
                    <w:t>1-4.本</w:t>
                  </w:r>
                  <w:r>
                    <w:rPr>
                      <w:rFonts w:hint="eastAsia" w:ascii="Times New Roman" w:hAnsi="Times New Roman" w:cs="Times New Roman"/>
                      <w:bCs/>
                      <w:color w:val="auto"/>
                      <w:sz w:val="21"/>
                      <w:szCs w:val="21"/>
                      <w:lang w:eastAsia="zh-CN"/>
                    </w:rPr>
                    <w:t>改建</w:t>
                  </w:r>
                  <w:r>
                    <w:rPr>
                      <w:rFonts w:ascii="Times New Roman" w:hAnsi="Times New Roman" w:cs="Times New Roman"/>
                      <w:bCs/>
                      <w:color w:val="auto"/>
                      <w:sz w:val="21"/>
                      <w:szCs w:val="21"/>
                    </w:rPr>
                    <w:t>项目与居民区、学校环境敏感点有一定距离，项目周边有绿化带隔离。</w:t>
                  </w:r>
                </w:p>
              </w:tc>
              <w:tc>
                <w:tcPr>
                  <w:tcW w:w="499" w:type="pct"/>
                  <w:tcMar>
                    <w:top w:w="0" w:type="dxa"/>
                    <w:left w:w="28" w:type="dxa"/>
                    <w:bottom w:w="0" w:type="dxa"/>
                    <w:right w:w="28" w:type="dxa"/>
                  </w:tcMar>
                  <w:vAlign w:val="center"/>
                </w:tcPr>
                <w:p w14:paraId="1F13BE85">
                  <w:pPr>
                    <w:pStyle w:val="50"/>
                    <w:snapToGrid w:val="0"/>
                    <w:ind w:left="21" w:leftChars="10" w:right="21" w:rightChars="10"/>
                    <w:jc w:val="center"/>
                    <w:rPr>
                      <w:rFonts w:ascii="Times New Roman" w:hAnsi="Times New Roman" w:cs="Times New Roman"/>
                      <w:color w:val="auto"/>
                      <w:sz w:val="21"/>
                      <w:szCs w:val="21"/>
                    </w:rPr>
                  </w:pPr>
                  <w:r>
                    <w:rPr>
                      <w:rFonts w:ascii="Times New Roman" w:hAnsi="Times New Roman" w:cs="Times New Roman"/>
                      <w:color w:val="auto"/>
                      <w:sz w:val="21"/>
                      <w:szCs w:val="21"/>
                    </w:rPr>
                    <w:t>相符</w:t>
                  </w:r>
                </w:p>
              </w:tc>
            </w:tr>
            <w:tr w14:paraId="57DEC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6" w:type="pct"/>
                  <w:tcMar>
                    <w:top w:w="0" w:type="dxa"/>
                    <w:left w:w="28" w:type="dxa"/>
                    <w:bottom w:w="0" w:type="dxa"/>
                    <w:right w:w="28" w:type="dxa"/>
                  </w:tcMar>
                  <w:vAlign w:val="center"/>
                </w:tcPr>
                <w:p w14:paraId="0ADE4AE8">
                  <w:pPr>
                    <w:pStyle w:val="50"/>
                    <w:snapToGrid w:val="0"/>
                    <w:ind w:left="21" w:leftChars="10" w:right="21" w:rightChars="10"/>
                    <w:jc w:val="center"/>
                    <w:rPr>
                      <w:rFonts w:ascii="Times New Roman" w:hAnsi="Times New Roman" w:cs="Times New Roman"/>
                      <w:color w:val="auto"/>
                      <w:sz w:val="21"/>
                      <w:szCs w:val="21"/>
                    </w:rPr>
                  </w:pPr>
                  <w:r>
                    <w:rPr>
                      <w:rFonts w:ascii="Times New Roman" w:hAnsi="Times New Roman" w:cs="Times New Roman"/>
                      <w:color w:val="auto"/>
                      <w:sz w:val="21"/>
                      <w:szCs w:val="21"/>
                    </w:rPr>
                    <w:t>能源资源利用</w:t>
                  </w:r>
                </w:p>
              </w:tc>
              <w:tc>
                <w:tcPr>
                  <w:tcW w:w="2240" w:type="pct"/>
                  <w:tcMar>
                    <w:top w:w="0" w:type="dxa"/>
                    <w:left w:w="28" w:type="dxa"/>
                    <w:bottom w:w="0" w:type="dxa"/>
                    <w:right w:w="28" w:type="dxa"/>
                  </w:tcMar>
                  <w:vAlign w:val="center"/>
                </w:tcPr>
                <w:p w14:paraId="0CEC63E0">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2-1.【其他/综合类】新入园项目应符合清洁生产的要求，现有企业加强清洁生产审核。</w:t>
                  </w:r>
                </w:p>
                <w:p w14:paraId="63C047B0">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2-2.【能源/综合类】园区能源以电能、天然气、轻质柴油为主，不得新建燃煤、燃重油锅炉。</w:t>
                  </w:r>
                </w:p>
              </w:tc>
              <w:tc>
                <w:tcPr>
                  <w:tcW w:w="1913" w:type="pct"/>
                  <w:tcMar>
                    <w:top w:w="0" w:type="dxa"/>
                    <w:left w:w="28" w:type="dxa"/>
                    <w:bottom w:w="0" w:type="dxa"/>
                    <w:right w:w="28" w:type="dxa"/>
                  </w:tcMar>
                  <w:vAlign w:val="center"/>
                </w:tcPr>
                <w:p w14:paraId="628B176F">
                  <w:pPr>
                    <w:rPr>
                      <w:color w:val="auto"/>
                      <w:szCs w:val="21"/>
                    </w:rPr>
                  </w:pPr>
                  <w:r>
                    <w:rPr>
                      <w:bCs/>
                      <w:color w:val="auto"/>
                      <w:szCs w:val="21"/>
                    </w:rPr>
                    <w:t>2-1.本项目</w:t>
                  </w:r>
                  <w:r>
                    <w:rPr>
                      <w:rFonts w:hint="eastAsia"/>
                      <w:bCs/>
                      <w:color w:val="auto"/>
                      <w:szCs w:val="21"/>
                      <w:lang w:eastAsia="zh-CN"/>
                    </w:rPr>
                    <w:t>改建</w:t>
                  </w:r>
                  <w:r>
                    <w:rPr>
                      <w:bCs/>
                      <w:color w:val="auto"/>
                      <w:szCs w:val="21"/>
                    </w:rPr>
                    <w:t>前后均通过内部管理、设备选择、原辅材料的选用和管理、废物回收利用、污染治理等方面采取合理可行的防治措施，以“节能、降耗、减污”为目标，有效地控制污染，符合清洁生产的要求</w:t>
                  </w:r>
                  <w:r>
                    <w:rPr>
                      <w:color w:val="auto"/>
                      <w:kern w:val="0"/>
                      <w:szCs w:val="21"/>
                      <w:lang w:bidi="ar"/>
                    </w:rPr>
                    <w:t>。</w:t>
                  </w:r>
                </w:p>
                <w:p w14:paraId="0D0ED7C4">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bCs/>
                      <w:color w:val="auto"/>
                      <w:sz w:val="21"/>
                      <w:szCs w:val="21"/>
                    </w:rPr>
                    <w:t>2-2.</w:t>
                  </w:r>
                  <w:r>
                    <w:rPr>
                      <w:rFonts w:ascii="Times New Roman" w:hAnsi="Times New Roman" w:cs="Times New Roman"/>
                      <w:color w:val="auto"/>
                      <w:sz w:val="21"/>
                      <w:szCs w:val="21"/>
                    </w:rPr>
                    <w:t>本</w:t>
                  </w:r>
                  <w:r>
                    <w:rPr>
                      <w:rFonts w:hint="eastAsia" w:ascii="Times New Roman" w:hAnsi="Times New Roman" w:cs="Times New Roman"/>
                      <w:color w:val="auto"/>
                      <w:sz w:val="21"/>
                      <w:szCs w:val="21"/>
                      <w:lang w:eastAsia="zh-CN"/>
                    </w:rPr>
                    <w:t>改建</w:t>
                  </w:r>
                  <w:r>
                    <w:rPr>
                      <w:rFonts w:ascii="Times New Roman" w:hAnsi="Times New Roman" w:cs="Times New Roman"/>
                      <w:color w:val="auto"/>
                      <w:sz w:val="21"/>
                      <w:szCs w:val="21"/>
                    </w:rPr>
                    <w:t>项目生产过程使用电能</w:t>
                  </w:r>
                  <w:r>
                    <w:rPr>
                      <w:rFonts w:ascii="Times New Roman" w:hAnsi="Times New Roman" w:cs="Times New Roman"/>
                      <w:bCs/>
                      <w:color w:val="auto"/>
                      <w:kern w:val="0"/>
                      <w:sz w:val="21"/>
                      <w:szCs w:val="21"/>
                    </w:rPr>
                    <w:t>，不使用高污染燃料。</w:t>
                  </w:r>
                </w:p>
              </w:tc>
              <w:tc>
                <w:tcPr>
                  <w:tcW w:w="499" w:type="pct"/>
                  <w:tcMar>
                    <w:top w:w="0" w:type="dxa"/>
                    <w:left w:w="28" w:type="dxa"/>
                    <w:bottom w:w="0" w:type="dxa"/>
                    <w:right w:w="28" w:type="dxa"/>
                  </w:tcMar>
                  <w:vAlign w:val="center"/>
                </w:tcPr>
                <w:p w14:paraId="0D7836E6">
                  <w:pPr>
                    <w:pStyle w:val="50"/>
                    <w:snapToGrid w:val="0"/>
                    <w:ind w:left="21" w:leftChars="10" w:right="21" w:rightChars="10"/>
                    <w:jc w:val="center"/>
                    <w:rPr>
                      <w:rFonts w:ascii="Times New Roman" w:hAnsi="Times New Roman" w:cs="Times New Roman"/>
                      <w:color w:val="auto"/>
                      <w:sz w:val="21"/>
                      <w:szCs w:val="21"/>
                    </w:rPr>
                  </w:pPr>
                  <w:r>
                    <w:rPr>
                      <w:rFonts w:ascii="Times New Roman" w:hAnsi="Times New Roman" w:cs="Times New Roman"/>
                      <w:color w:val="auto"/>
                      <w:sz w:val="21"/>
                      <w:szCs w:val="21"/>
                    </w:rPr>
                    <w:t>相符</w:t>
                  </w:r>
                </w:p>
              </w:tc>
            </w:tr>
            <w:tr w14:paraId="5CD57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6" w:type="pct"/>
                  <w:tcMar>
                    <w:top w:w="0" w:type="dxa"/>
                    <w:left w:w="28" w:type="dxa"/>
                    <w:bottom w:w="0" w:type="dxa"/>
                    <w:right w:w="28" w:type="dxa"/>
                  </w:tcMar>
                  <w:vAlign w:val="center"/>
                </w:tcPr>
                <w:p w14:paraId="1990C10C">
                  <w:pPr>
                    <w:pStyle w:val="50"/>
                    <w:snapToGrid w:val="0"/>
                    <w:ind w:left="21" w:leftChars="10" w:right="21" w:rightChars="10"/>
                    <w:jc w:val="center"/>
                    <w:rPr>
                      <w:rFonts w:ascii="Times New Roman" w:hAnsi="Times New Roman" w:cs="Times New Roman"/>
                      <w:color w:val="auto"/>
                      <w:sz w:val="21"/>
                      <w:szCs w:val="21"/>
                    </w:rPr>
                  </w:pPr>
                  <w:r>
                    <w:rPr>
                      <w:rFonts w:ascii="Times New Roman" w:hAnsi="Times New Roman" w:cs="Times New Roman"/>
                      <w:color w:val="auto"/>
                      <w:sz w:val="21"/>
                      <w:szCs w:val="21"/>
                    </w:rPr>
                    <w:t>污染物排放管控</w:t>
                  </w:r>
                </w:p>
              </w:tc>
              <w:tc>
                <w:tcPr>
                  <w:tcW w:w="2240" w:type="pct"/>
                  <w:tcMar>
                    <w:top w:w="0" w:type="dxa"/>
                    <w:left w:w="28" w:type="dxa"/>
                    <w:bottom w:w="0" w:type="dxa"/>
                    <w:right w:w="28" w:type="dxa"/>
                  </w:tcMar>
                  <w:vAlign w:val="center"/>
                </w:tcPr>
                <w:p w14:paraId="614A98F0">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3-1.【其他/限制类】园区各项污染物排放总量应控制在规划环评论证确定或生态环境部门核定的排放总量以内。</w:t>
                  </w:r>
                </w:p>
                <w:p w14:paraId="05DA1625">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3-2.【水/限制类】加快完善园区污水处理厂及配套管网建设，推进工业废水、生活污水全收集、全处理。</w:t>
                  </w:r>
                </w:p>
                <w:p w14:paraId="1A902C96">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3-3.【大气/限制类】大气污染物排放执行广东省《大气污染物排放限值》（DB44/27）或相应行业型排放标准限值要求。</w:t>
                  </w:r>
                </w:p>
                <w:p w14:paraId="280B313D">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3-4.【大气/综合类】锅炉废气排放执行广东省《锅炉大气污染物排放标准》（DB44-765）相应限值要求。</w:t>
                  </w:r>
                </w:p>
                <w:p w14:paraId="506CB438">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3-5.【大气/限制类】恶臭污染物排放执行《恶臭污染物排放标准》（GB14554）相应要求。</w:t>
                  </w:r>
                </w:p>
                <w:p w14:paraId="754AB7FC">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3-6.【大气/综合类】严格落实国家产品挥发性有机物（VOCs）含量限值标准，现有生产项目鼓励优先使用低挥发性有机物（VOCs）含量原辅料，强化工艺废气的收集处理措施，减少无组织排放。</w:t>
                  </w:r>
                </w:p>
                <w:p w14:paraId="4E81311D">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3-7.【土壤/禁止类】禁止向土壤排放重金属或者其他有毒有害物质含量超标的污水、污泥等。</w:t>
                  </w:r>
                </w:p>
                <w:p w14:paraId="4D45F509">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3-8.【土壤/综合类】土壤环境污染重点监管工业企业应落实《工矿用地土壤环境管理办法（试行）》要求，实施项目环评、设计建设、拆除设施、终止经营等环节全生命周期土壤和地下水污染防治。</w:t>
                  </w:r>
                </w:p>
              </w:tc>
              <w:tc>
                <w:tcPr>
                  <w:tcW w:w="1913" w:type="pct"/>
                  <w:tcMar>
                    <w:top w:w="0" w:type="dxa"/>
                    <w:left w:w="28" w:type="dxa"/>
                    <w:bottom w:w="0" w:type="dxa"/>
                    <w:right w:w="28" w:type="dxa"/>
                  </w:tcMar>
                  <w:vAlign w:val="center"/>
                </w:tcPr>
                <w:p w14:paraId="0FD62966">
                  <w:pPr>
                    <w:rPr>
                      <w:color w:val="auto"/>
                      <w:szCs w:val="21"/>
                    </w:rPr>
                  </w:pPr>
                  <w:r>
                    <w:rPr>
                      <w:color w:val="auto"/>
                      <w:szCs w:val="21"/>
                    </w:rPr>
                    <w:t>3-1.</w:t>
                  </w:r>
                  <w:r>
                    <w:rPr>
                      <w:color w:val="auto"/>
                      <w:kern w:val="0"/>
                      <w:szCs w:val="21"/>
                      <w:lang w:bidi="ar"/>
                    </w:rPr>
                    <w:t>根据生态环境部门相关要求申请废气排放总量。</w:t>
                  </w:r>
                </w:p>
                <w:p w14:paraId="25FEDA57">
                  <w:pPr>
                    <w:pStyle w:val="75"/>
                    <w:ind w:left="21" w:leftChars="10" w:right="21" w:rightChars="10"/>
                    <w:jc w:val="left"/>
                    <w:rPr>
                      <w:rFonts w:ascii="Times New Roman" w:cs="Times New Roman"/>
                      <w:bCs w:val="0"/>
                      <w:color w:val="auto"/>
                      <w:sz w:val="21"/>
                      <w:szCs w:val="21"/>
                    </w:rPr>
                  </w:pPr>
                  <w:r>
                    <w:rPr>
                      <w:rFonts w:ascii="Times New Roman" w:cs="Times New Roman"/>
                      <w:bCs w:val="0"/>
                      <w:color w:val="auto"/>
                      <w:sz w:val="21"/>
                      <w:szCs w:val="21"/>
                    </w:rPr>
                    <w:t>3-2.</w:t>
                  </w:r>
                  <w:r>
                    <w:rPr>
                      <w:rFonts w:hint="eastAsia" w:ascii="Times New Roman" w:cs="Times New Roman"/>
                      <w:bCs w:val="0"/>
                      <w:color w:val="auto"/>
                      <w:sz w:val="21"/>
                      <w:szCs w:val="21"/>
                    </w:rPr>
                    <w:t>本</w:t>
                  </w:r>
                  <w:r>
                    <w:rPr>
                      <w:rFonts w:hint="eastAsia" w:ascii="Times New Roman" w:cs="Times New Roman"/>
                      <w:bCs w:val="0"/>
                      <w:color w:val="auto"/>
                      <w:sz w:val="21"/>
                      <w:szCs w:val="21"/>
                      <w:lang w:eastAsia="zh-CN"/>
                    </w:rPr>
                    <w:t>改建</w:t>
                  </w:r>
                  <w:r>
                    <w:rPr>
                      <w:rFonts w:ascii="Times New Roman" w:cs="Times New Roman"/>
                      <w:bCs w:val="0"/>
                      <w:color w:val="auto"/>
                      <w:sz w:val="21"/>
                      <w:szCs w:val="21"/>
                    </w:rPr>
                    <w:t>项目</w:t>
                  </w:r>
                  <w:r>
                    <w:rPr>
                      <w:rFonts w:hint="eastAsia" w:ascii="Times New Roman" w:cs="Times New Roman"/>
                      <w:bCs w:val="0"/>
                      <w:color w:val="auto"/>
                      <w:sz w:val="21"/>
                      <w:szCs w:val="21"/>
                    </w:rPr>
                    <w:t>不涉及排水，电泳前后产生的清洗废水经自建综合废水处理站</w:t>
                  </w:r>
                  <w:r>
                    <w:rPr>
                      <w:rFonts w:ascii="Times New Roman" w:cs="Times New Roman"/>
                      <w:bCs w:val="0"/>
                      <w:color w:val="auto"/>
                      <w:sz w:val="21"/>
                      <w:szCs w:val="21"/>
                    </w:rPr>
                    <w:t>处理后</w:t>
                  </w:r>
                  <w:r>
                    <w:rPr>
                      <w:rFonts w:hint="eastAsia" w:ascii="Times New Roman" w:cs="Times New Roman"/>
                      <w:bCs w:val="0"/>
                      <w:color w:val="auto"/>
                      <w:sz w:val="21"/>
                      <w:szCs w:val="21"/>
                      <w:lang w:eastAsia="zh-CN"/>
                    </w:rPr>
                    <w:t>回用于阳极氧化线</w:t>
                  </w:r>
                  <w:r>
                    <w:rPr>
                      <w:rFonts w:ascii="Times New Roman" w:cs="Times New Roman"/>
                      <w:bCs w:val="0"/>
                      <w:color w:val="auto"/>
                      <w:sz w:val="21"/>
                      <w:szCs w:val="21"/>
                    </w:rPr>
                    <w:t>，不外排。</w:t>
                  </w:r>
                </w:p>
                <w:p w14:paraId="3D0AFC7E">
                  <w:pPr>
                    <w:pStyle w:val="50"/>
                    <w:wordWrap w:val="0"/>
                    <w:snapToGrid w:val="0"/>
                    <w:ind w:left="21" w:leftChars="10" w:right="21" w:rightChars="10"/>
                    <w:rPr>
                      <w:rFonts w:ascii="Times New Roman" w:hAnsi="Times New Roman" w:cs="Times New Roman"/>
                      <w:bCs/>
                      <w:color w:val="auto"/>
                      <w:sz w:val="21"/>
                      <w:szCs w:val="21"/>
                    </w:rPr>
                  </w:pPr>
                  <w:r>
                    <w:rPr>
                      <w:rFonts w:ascii="Times New Roman" w:hAnsi="Times New Roman" w:cs="Times New Roman"/>
                      <w:color w:val="auto"/>
                      <w:sz w:val="21"/>
                      <w:szCs w:val="21"/>
                    </w:rPr>
                    <w:t>3-3、3-5、3-6</w:t>
                  </w:r>
                  <w:r>
                    <w:rPr>
                      <w:rFonts w:hint="eastAsia" w:ascii="Times New Roman" w:hAnsi="Times New Roman" w:cs="Times New Roman"/>
                      <w:color w:val="auto"/>
                      <w:sz w:val="21"/>
                      <w:szCs w:val="21"/>
                    </w:rPr>
                    <w:t>本</w:t>
                  </w:r>
                  <w:r>
                    <w:rPr>
                      <w:rFonts w:hint="eastAsia" w:ascii="Times New Roman" w:hAnsi="Times New Roman" w:cs="Times New Roman"/>
                      <w:color w:val="auto"/>
                      <w:sz w:val="21"/>
                      <w:szCs w:val="21"/>
                      <w:lang w:eastAsia="zh-CN"/>
                    </w:rPr>
                    <w:t>改建</w:t>
                  </w:r>
                  <w:r>
                    <w:rPr>
                      <w:rFonts w:ascii="Times New Roman" w:hAnsi="Times New Roman" w:cs="Times New Roman"/>
                      <w:bCs/>
                      <w:color w:val="auto"/>
                      <w:sz w:val="21"/>
                      <w:szCs w:val="21"/>
                    </w:rPr>
                    <w:t>项目有机废气经收集后经“水喷淋塔+除雾器+两级活性炭吸附装置”处理后由</w:t>
                  </w:r>
                  <w:r>
                    <w:rPr>
                      <w:rFonts w:hint="eastAsia" w:ascii="Times New Roman" w:hAnsi="Times New Roman" w:cs="Times New Roman"/>
                      <w:bCs/>
                      <w:color w:val="auto"/>
                      <w:sz w:val="21"/>
                      <w:szCs w:val="21"/>
                      <w:lang w:val="en-US" w:eastAsia="zh-CN"/>
                    </w:rPr>
                    <w:t>20</w:t>
                  </w:r>
                  <w:r>
                    <w:rPr>
                      <w:rFonts w:ascii="Times New Roman" w:hAnsi="Times New Roman" w:cs="Times New Roman"/>
                      <w:bCs/>
                      <w:color w:val="auto"/>
                      <w:sz w:val="21"/>
                      <w:szCs w:val="21"/>
                    </w:rPr>
                    <w:t>米高排气筒高空排放，属于轻污染项目，项目在生产过程中尽量减少无组织排放。</w:t>
                  </w:r>
                </w:p>
                <w:p w14:paraId="69855326">
                  <w:pPr>
                    <w:pStyle w:val="50"/>
                    <w:wordWrap w:val="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3-4</w:t>
                  </w:r>
                  <w:r>
                    <w:rPr>
                      <w:rFonts w:hint="eastAsia" w:ascii="Times New Roman" w:hAnsi="Times New Roman" w:cs="Times New Roman"/>
                      <w:color w:val="auto"/>
                      <w:sz w:val="21"/>
                      <w:szCs w:val="21"/>
                    </w:rPr>
                    <w:t>.本</w:t>
                  </w:r>
                  <w:r>
                    <w:rPr>
                      <w:rFonts w:hint="eastAsia" w:ascii="Times New Roman" w:hAnsi="Times New Roman" w:cs="Times New Roman"/>
                      <w:color w:val="auto"/>
                      <w:sz w:val="21"/>
                      <w:szCs w:val="21"/>
                      <w:lang w:eastAsia="zh-CN"/>
                    </w:rPr>
                    <w:t>改建</w:t>
                  </w:r>
                  <w:r>
                    <w:rPr>
                      <w:rFonts w:hint="eastAsia" w:ascii="Times New Roman" w:hAnsi="Times New Roman" w:cs="Times New Roman"/>
                      <w:color w:val="auto"/>
                      <w:sz w:val="21"/>
                      <w:szCs w:val="21"/>
                    </w:rPr>
                    <w:t>项目无需设置锅炉，因此本</w:t>
                  </w:r>
                  <w:r>
                    <w:rPr>
                      <w:rFonts w:hint="eastAsia" w:ascii="Times New Roman" w:hAnsi="Times New Roman" w:cs="Times New Roman"/>
                      <w:color w:val="auto"/>
                      <w:sz w:val="21"/>
                      <w:szCs w:val="21"/>
                      <w:lang w:eastAsia="zh-CN"/>
                    </w:rPr>
                    <w:t>改建</w:t>
                  </w:r>
                  <w:r>
                    <w:rPr>
                      <w:rFonts w:hint="eastAsia" w:ascii="Times New Roman" w:hAnsi="Times New Roman" w:cs="Times New Roman"/>
                      <w:color w:val="auto"/>
                      <w:sz w:val="21"/>
                      <w:szCs w:val="21"/>
                    </w:rPr>
                    <w:t>项目不涉及此类别。</w:t>
                  </w:r>
                </w:p>
                <w:p w14:paraId="3AD3CFCB">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3-7.项目不产生含重金属废水，</w:t>
                  </w:r>
                  <w:r>
                    <w:rPr>
                      <w:rFonts w:hint="eastAsia" w:ascii="Times New Roman" w:hAnsi="Times New Roman" w:cs="Times New Roman"/>
                      <w:color w:val="auto"/>
                      <w:sz w:val="21"/>
                      <w:szCs w:val="21"/>
                    </w:rPr>
                    <w:t>电泳前后产生的清洗废水经自建综合废水处理站</w:t>
                  </w:r>
                  <w:r>
                    <w:rPr>
                      <w:rFonts w:ascii="Times New Roman" w:hAnsi="Times New Roman" w:cs="Times New Roman"/>
                      <w:color w:val="auto"/>
                      <w:sz w:val="21"/>
                      <w:szCs w:val="21"/>
                    </w:rPr>
                    <w:t>处理后</w:t>
                  </w:r>
                  <w:r>
                    <w:rPr>
                      <w:rFonts w:hint="eastAsia" w:ascii="Times New Roman" w:hAnsi="Times New Roman" w:cs="Times New Roman"/>
                      <w:color w:val="auto"/>
                      <w:sz w:val="21"/>
                      <w:szCs w:val="21"/>
                      <w:lang w:eastAsia="zh-CN"/>
                    </w:rPr>
                    <w:t>回用于阳极氧化线</w:t>
                  </w:r>
                  <w:r>
                    <w:rPr>
                      <w:rFonts w:ascii="Times New Roman" w:hAnsi="Times New Roman" w:cs="Times New Roman"/>
                      <w:color w:val="auto"/>
                      <w:sz w:val="21"/>
                      <w:szCs w:val="21"/>
                    </w:rPr>
                    <w:t>，不外排。废水处理产生的污泥等交由有危废资质的单位收集处置。</w:t>
                  </w:r>
                </w:p>
                <w:p w14:paraId="6AD7634E">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3-8.本项目不涉及此类别。</w:t>
                  </w:r>
                </w:p>
              </w:tc>
              <w:tc>
                <w:tcPr>
                  <w:tcW w:w="499" w:type="pct"/>
                  <w:tcMar>
                    <w:top w:w="0" w:type="dxa"/>
                    <w:left w:w="28" w:type="dxa"/>
                    <w:bottom w:w="0" w:type="dxa"/>
                    <w:right w:w="28" w:type="dxa"/>
                  </w:tcMar>
                  <w:vAlign w:val="center"/>
                </w:tcPr>
                <w:p w14:paraId="640988E4">
                  <w:pPr>
                    <w:pStyle w:val="50"/>
                    <w:snapToGrid w:val="0"/>
                    <w:ind w:left="21" w:leftChars="10" w:right="21" w:rightChars="10"/>
                    <w:jc w:val="center"/>
                    <w:rPr>
                      <w:rFonts w:ascii="Times New Roman" w:hAnsi="Times New Roman" w:cs="Times New Roman"/>
                      <w:color w:val="auto"/>
                      <w:sz w:val="21"/>
                      <w:szCs w:val="21"/>
                    </w:rPr>
                  </w:pPr>
                  <w:r>
                    <w:rPr>
                      <w:rFonts w:ascii="Times New Roman" w:hAnsi="Times New Roman" w:cs="Times New Roman"/>
                      <w:color w:val="auto"/>
                      <w:sz w:val="21"/>
                      <w:szCs w:val="21"/>
                    </w:rPr>
                    <w:t>相符</w:t>
                  </w:r>
                </w:p>
              </w:tc>
            </w:tr>
            <w:tr w14:paraId="1C27C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6" w:type="pct"/>
                  <w:tcBorders>
                    <w:bottom w:val="single" w:color="auto" w:sz="4" w:space="0"/>
                  </w:tcBorders>
                  <w:tcMar>
                    <w:top w:w="0" w:type="dxa"/>
                    <w:left w:w="28" w:type="dxa"/>
                    <w:bottom w:w="0" w:type="dxa"/>
                    <w:right w:w="28" w:type="dxa"/>
                  </w:tcMar>
                  <w:vAlign w:val="center"/>
                </w:tcPr>
                <w:p w14:paraId="05968CB0">
                  <w:pPr>
                    <w:pStyle w:val="50"/>
                    <w:snapToGrid w:val="0"/>
                    <w:ind w:left="21" w:leftChars="10" w:right="21" w:rightChars="10"/>
                    <w:jc w:val="center"/>
                    <w:rPr>
                      <w:rFonts w:ascii="Times New Roman" w:hAnsi="Times New Roman" w:cs="Times New Roman"/>
                      <w:color w:val="auto"/>
                      <w:sz w:val="21"/>
                      <w:szCs w:val="21"/>
                    </w:rPr>
                  </w:pPr>
                  <w:r>
                    <w:rPr>
                      <w:rFonts w:ascii="Times New Roman" w:hAnsi="Times New Roman" w:cs="Times New Roman"/>
                      <w:color w:val="auto"/>
                      <w:sz w:val="21"/>
                      <w:szCs w:val="21"/>
                    </w:rPr>
                    <w:t>环境风险防控</w:t>
                  </w:r>
                </w:p>
              </w:tc>
              <w:tc>
                <w:tcPr>
                  <w:tcW w:w="2240" w:type="pct"/>
                  <w:tcBorders>
                    <w:bottom w:val="single" w:color="auto" w:sz="4" w:space="0"/>
                  </w:tcBorders>
                  <w:tcMar>
                    <w:top w:w="0" w:type="dxa"/>
                    <w:left w:w="28" w:type="dxa"/>
                    <w:bottom w:w="0" w:type="dxa"/>
                    <w:right w:w="28" w:type="dxa"/>
                  </w:tcMar>
                  <w:vAlign w:val="center"/>
                </w:tcPr>
                <w:p w14:paraId="7BA00224">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4-1.【风险/综合类】制定园区环境风险事故防范和应急预案，并与污水处理厂应急预案相衔接，落实有效的事故风险防范和应急措施。</w:t>
                  </w:r>
                </w:p>
                <w:p w14:paraId="447F26D9">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4-2.【风险/综合类】纳入《突发环境事件应急预案备案行业名录（指导性意见）》管理的工业企业要编制环境风险应急预案并备案，防止因渗漏污染地下水、土壤，以及因事故废水直排污染地表水体。</w:t>
                  </w:r>
                </w:p>
              </w:tc>
              <w:tc>
                <w:tcPr>
                  <w:tcW w:w="1913" w:type="pct"/>
                  <w:tcBorders>
                    <w:bottom w:val="single" w:color="auto" w:sz="4" w:space="0"/>
                  </w:tcBorders>
                  <w:tcMar>
                    <w:top w:w="0" w:type="dxa"/>
                    <w:left w:w="28" w:type="dxa"/>
                    <w:bottom w:w="0" w:type="dxa"/>
                    <w:right w:w="28" w:type="dxa"/>
                  </w:tcMar>
                  <w:vAlign w:val="center"/>
                </w:tcPr>
                <w:p w14:paraId="5D0231C4">
                  <w:pPr>
                    <w:rPr>
                      <w:color w:val="auto"/>
                      <w:szCs w:val="21"/>
                    </w:rPr>
                  </w:pPr>
                  <w:r>
                    <w:rPr>
                      <w:color w:val="auto"/>
                      <w:szCs w:val="21"/>
                    </w:rPr>
                    <w:t>4-1.</w:t>
                  </w:r>
                  <w:r>
                    <w:rPr>
                      <w:rFonts w:hint="eastAsia"/>
                      <w:color w:val="auto"/>
                      <w:szCs w:val="21"/>
                      <w:lang w:val="en-US" w:eastAsia="zh-CN"/>
                    </w:rPr>
                    <w:t>本</w:t>
                  </w:r>
                  <w:r>
                    <w:rPr>
                      <w:color w:val="auto"/>
                      <w:kern w:val="0"/>
                      <w:szCs w:val="21"/>
                      <w:lang w:bidi="ar"/>
                    </w:rPr>
                    <w:t>项目建立健全的事故应急体系，可配合园区及生态环境主管部门建立防控联动体系。</w:t>
                  </w:r>
                </w:p>
                <w:p w14:paraId="383C0B5D">
                  <w:pPr>
                    <w:pStyle w:val="50"/>
                    <w:snapToGrid w:val="0"/>
                    <w:ind w:left="21" w:leftChars="10" w:right="21" w:rightChars="10"/>
                    <w:rPr>
                      <w:rFonts w:ascii="Times New Roman" w:hAnsi="Times New Roman" w:cs="Times New Roman"/>
                      <w:color w:val="auto"/>
                      <w:sz w:val="21"/>
                      <w:szCs w:val="21"/>
                    </w:rPr>
                  </w:pPr>
                  <w:r>
                    <w:rPr>
                      <w:rFonts w:ascii="Times New Roman" w:hAnsi="Times New Roman" w:cs="Times New Roman"/>
                      <w:color w:val="auto"/>
                      <w:sz w:val="21"/>
                      <w:szCs w:val="21"/>
                    </w:rPr>
                    <w:t>4-2.对照广东省生态环境厅《关于发布〈突发环境事件应急预案备案行业名录（指导性意见）〉的通知》（粤环〔2018〕44号），本</w:t>
                  </w:r>
                  <w:r>
                    <w:rPr>
                      <w:rFonts w:hint="eastAsia" w:ascii="Times New Roman" w:hAnsi="Times New Roman" w:cs="Times New Roman"/>
                      <w:color w:val="auto"/>
                      <w:sz w:val="21"/>
                      <w:szCs w:val="21"/>
                      <w:lang w:eastAsia="zh-CN"/>
                    </w:rPr>
                    <w:t>改建</w:t>
                  </w:r>
                  <w:r>
                    <w:rPr>
                      <w:rFonts w:ascii="Times New Roman" w:hAnsi="Times New Roman" w:cs="Times New Roman"/>
                      <w:color w:val="auto"/>
                      <w:sz w:val="21"/>
                      <w:szCs w:val="21"/>
                    </w:rPr>
                    <w:t>项目纳入该行业名录，需编制环境应急预案，完善事故风险防范和应急措施。</w:t>
                  </w:r>
                </w:p>
              </w:tc>
              <w:tc>
                <w:tcPr>
                  <w:tcW w:w="499" w:type="pct"/>
                  <w:tcBorders>
                    <w:bottom w:val="single" w:color="auto" w:sz="4" w:space="0"/>
                  </w:tcBorders>
                  <w:tcMar>
                    <w:top w:w="0" w:type="dxa"/>
                    <w:left w:w="28" w:type="dxa"/>
                    <w:bottom w:w="0" w:type="dxa"/>
                    <w:right w:w="28" w:type="dxa"/>
                  </w:tcMar>
                  <w:vAlign w:val="center"/>
                </w:tcPr>
                <w:p w14:paraId="728CBC7C">
                  <w:pPr>
                    <w:pStyle w:val="50"/>
                    <w:snapToGrid w:val="0"/>
                    <w:ind w:left="21" w:leftChars="10" w:right="21" w:rightChars="10"/>
                    <w:jc w:val="center"/>
                    <w:rPr>
                      <w:rFonts w:ascii="Times New Roman" w:hAnsi="Times New Roman" w:cs="Times New Roman"/>
                      <w:color w:val="auto"/>
                      <w:sz w:val="21"/>
                      <w:szCs w:val="21"/>
                    </w:rPr>
                  </w:pPr>
                  <w:r>
                    <w:rPr>
                      <w:rFonts w:ascii="Times New Roman" w:hAnsi="Times New Roman" w:cs="Times New Roman"/>
                      <w:color w:val="auto"/>
                      <w:sz w:val="21"/>
                      <w:szCs w:val="21"/>
                    </w:rPr>
                    <w:t>相符</w:t>
                  </w:r>
                </w:p>
              </w:tc>
            </w:tr>
          </w:tbl>
          <w:p w14:paraId="3D4D3036">
            <w:pPr>
              <w:widowControl w:val="0"/>
              <w:autoSpaceDE w:val="0"/>
              <w:autoSpaceDN w:val="0"/>
              <w:adjustRightInd w:val="0"/>
              <w:snapToGrid w:val="0"/>
              <w:spacing w:line="360" w:lineRule="auto"/>
              <w:ind w:firstLine="482" w:firstLineChars="200"/>
              <w:jc w:val="both"/>
              <w:rPr>
                <w:b/>
                <w:bCs/>
                <w:color w:val="auto"/>
                <w:kern w:val="0"/>
                <w:sz w:val="24"/>
              </w:rPr>
            </w:pPr>
            <w:r>
              <w:rPr>
                <w:b/>
                <w:bCs/>
                <w:color w:val="auto"/>
                <w:kern w:val="0"/>
                <w:sz w:val="24"/>
              </w:rPr>
              <w:t>5、与生态环境保护“十四五”规划相符性分析</w:t>
            </w:r>
          </w:p>
          <w:p w14:paraId="553F65E0">
            <w:pPr>
              <w:widowControl w:val="0"/>
              <w:autoSpaceDE w:val="0"/>
              <w:autoSpaceDN w:val="0"/>
              <w:adjustRightInd w:val="0"/>
              <w:snapToGrid w:val="0"/>
              <w:spacing w:line="360" w:lineRule="auto"/>
              <w:ind w:firstLine="482" w:firstLineChars="200"/>
              <w:jc w:val="both"/>
              <w:rPr>
                <w:b/>
                <w:bCs/>
                <w:color w:val="auto"/>
                <w:kern w:val="0"/>
                <w:sz w:val="24"/>
              </w:rPr>
            </w:pPr>
            <w:r>
              <w:rPr>
                <w:b/>
                <w:bCs/>
                <w:color w:val="auto"/>
                <w:kern w:val="0"/>
                <w:sz w:val="24"/>
              </w:rPr>
              <w:t>（1）与《广东省生态环境保护“十四五”规划》</w:t>
            </w:r>
            <w:r>
              <w:rPr>
                <w:b/>
                <w:color w:val="auto"/>
                <w:sz w:val="24"/>
              </w:rPr>
              <w:t>（粤环〔2021〕10号）</w:t>
            </w:r>
            <w:r>
              <w:rPr>
                <w:b/>
                <w:bCs/>
                <w:color w:val="auto"/>
                <w:kern w:val="0"/>
                <w:sz w:val="24"/>
              </w:rPr>
              <w:t>相符性分析</w:t>
            </w:r>
          </w:p>
          <w:p w14:paraId="7C342F8B">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根据《广东省生态环境保护“十四五”规划》（粤环〔2021〕10号）规定：在石化、化工、包装印刷、工业涂装等重点行业建立完善源头、过程和末端的VOCs全过程控制体系。大力推进低VOCs含量原辅材料源头替代，严格落实国家和地方产品VOCs含量限值质量标准，禁止建设生产和使用高VOCs含量的溶剂型涂料、油墨、胶粘剂等项目。严格实施VOCs排放企业分级管控，全面推进涉VOCs排放企业深度治理。开展中小型企业废气收集和治理设施建设、运行情况的评估，强化对企业涉VOCs生产车间/工序废气的收集管理，推动企业开展治理设施升级改造。推进工业园区、企业集群因地制宜统筹规划建设一批集中喷涂中心（共性工厂）、活性炭集中再生中心，实现VOCs集中高效处理。开展无组织排放源排查，加强含VOCs物料全方位、全链条、全环节密闭管理，深入推进泄漏检测与修复（LDAR）工作。提升水资源利用效率。深入抓好工业、农业城镇节水，在工业领域，加快企业节水改造，重点抓好高耗水行业节水减排技改以及重复用水工程建设，提高工业用水循环利用率；推广再生水循环利用于工业生产，市政非饮用水及景观环境等领域，实现“优质优用、低质低用”。强化土壤污染源头管控。结合土壤、地下水等环境风险状况，合理确定区域功能定位、空间布局和建设项目选址，严禁在优先保护类耕地集中区、敏感区周边新建、扩建排放重金属污染物和持久性有机污染物的建设项目。大力推进“无废城市”建设。加强环境应急能力建设等等。</w:t>
            </w:r>
          </w:p>
          <w:p w14:paraId="7910DA48">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本</w:t>
            </w:r>
            <w:r>
              <w:rPr>
                <w:rFonts w:hint="eastAsia"/>
                <w:color w:val="auto"/>
                <w:kern w:val="0"/>
                <w:sz w:val="24"/>
                <w:lang w:eastAsia="zh-CN"/>
              </w:rPr>
              <w:t>改建</w:t>
            </w:r>
            <w:r>
              <w:rPr>
                <w:color w:val="auto"/>
                <w:kern w:val="0"/>
                <w:sz w:val="24"/>
              </w:rPr>
              <w:t>项目不使用高挥发性有机物原辅材料，本项目从事铝制品加工，不涉及胶粘、印刷工序，但是属于工业涂装项目，符合源头、过程和末端的VOCs全过程控制技术规范，含VOCs原辅材料使用过程中产生少量有机废气，</w:t>
            </w:r>
            <w:r>
              <w:rPr>
                <w:rFonts w:hint="eastAsia"/>
                <w:color w:val="auto"/>
                <w:kern w:val="0"/>
                <w:sz w:val="24"/>
                <w:lang w:val="en-US" w:eastAsia="zh-CN"/>
              </w:rPr>
              <w:t>本改建</w:t>
            </w:r>
            <w:r>
              <w:rPr>
                <w:color w:val="auto"/>
                <w:kern w:val="0"/>
                <w:sz w:val="24"/>
              </w:rPr>
              <w:t>项目</w:t>
            </w:r>
            <w:r>
              <w:rPr>
                <w:rFonts w:hint="eastAsia"/>
                <w:color w:val="auto"/>
                <w:kern w:val="0"/>
                <w:sz w:val="24"/>
              </w:rPr>
              <w:t>电泳漆涂装、烘干固化产生的有机废气</w:t>
            </w:r>
            <w:r>
              <w:rPr>
                <w:color w:val="auto"/>
                <w:kern w:val="0"/>
                <w:sz w:val="24"/>
              </w:rPr>
              <w:t>收集后经“水喷淋塔+除雾器+两级活性炭吸附装置”处理后引至20m高的排气筒排放，满足相应的排放标准。</w:t>
            </w:r>
            <w:r>
              <w:rPr>
                <w:rFonts w:hint="eastAsia"/>
                <w:color w:val="auto"/>
                <w:kern w:val="0"/>
                <w:sz w:val="24"/>
              </w:rPr>
              <w:t>电泳前后产生的清洗废水经自建综合废水处理站</w:t>
            </w:r>
            <w:r>
              <w:rPr>
                <w:color w:val="auto"/>
                <w:kern w:val="0"/>
                <w:sz w:val="24"/>
              </w:rPr>
              <w:t>处理后</w:t>
            </w:r>
            <w:r>
              <w:rPr>
                <w:rFonts w:hint="eastAsia"/>
                <w:color w:val="auto"/>
                <w:kern w:val="0"/>
                <w:sz w:val="24"/>
                <w:lang w:eastAsia="zh-CN"/>
              </w:rPr>
              <w:t>回用于阳极氧化线</w:t>
            </w:r>
            <w:r>
              <w:rPr>
                <w:color w:val="auto"/>
                <w:kern w:val="0"/>
                <w:sz w:val="24"/>
              </w:rPr>
              <w:t>，不外排，对纳污水体的环境影响在可接受范围内。固废可以达到有效的处置，并加强项目环境应急设施建设。因此，本</w:t>
            </w:r>
            <w:r>
              <w:rPr>
                <w:rFonts w:hint="eastAsia"/>
                <w:color w:val="auto"/>
                <w:kern w:val="0"/>
                <w:sz w:val="24"/>
                <w:lang w:eastAsia="zh-CN"/>
              </w:rPr>
              <w:t>改建</w:t>
            </w:r>
            <w:r>
              <w:rPr>
                <w:color w:val="auto"/>
                <w:kern w:val="0"/>
                <w:sz w:val="24"/>
              </w:rPr>
              <w:t>项目与《广东省生态环境保护“十四五”规划》（粤环〔2021〕10号）是相符的。</w:t>
            </w:r>
          </w:p>
          <w:p w14:paraId="169306DA">
            <w:pPr>
              <w:widowControl w:val="0"/>
              <w:autoSpaceDE w:val="0"/>
              <w:autoSpaceDN w:val="0"/>
              <w:adjustRightInd w:val="0"/>
              <w:snapToGrid w:val="0"/>
              <w:spacing w:line="360" w:lineRule="auto"/>
              <w:ind w:firstLine="482" w:firstLineChars="200"/>
              <w:jc w:val="both"/>
              <w:rPr>
                <w:b/>
                <w:bCs/>
                <w:color w:val="auto"/>
                <w:kern w:val="0"/>
                <w:sz w:val="24"/>
              </w:rPr>
            </w:pPr>
            <w:r>
              <w:rPr>
                <w:b/>
                <w:bCs/>
                <w:color w:val="auto"/>
                <w:kern w:val="0"/>
                <w:sz w:val="24"/>
              </w:rPr>
              <w:t>（2）与《阳江市生态环境保护“十四五”规划》（阳府〔2022〕14号）相符性分析</w:t>
            </w:r>
          </w:p>
          <w:p w14:paraId="217A9511">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根据《阳江市生态环境保护“十四五”规划》</w:t>
            </w:r>
            <w:r>
              <w:rPr>
                <w:color w:val="auto"/>
                <w:sz w:val="24"/>
              </w:rPr>
              <w:t>（阳府〔2022〕14号）</w:t>
            </w:r>
            <w:r>
              <w:rPr>
                <w:color w:val="auto"/>
                <w:kern w:val="0"/>
                <w:sz w:val="24"/>
              </w:rPr>
              <w:t>规定：大力推进VOCs源头控制和重点行业深度治理。推动重点监管企业实施新一轮“一企一策”深化治理，加快推进工业涂装、化工以及油品储运销等重点领域VOCs减排，大力推进低VOCs含量的涂料、油墨、胶粘剂、清洗剂等原辅材料源头替代，对VOCs收集、治理设施进行更换或升级改造，加强过程管控和末端排放在线监测等实用管控手段应用，全面提升VOCs废气收集率、治理设施同步运行率和去除率。推行含VOCs物料全方位、全链条、全环节密闭管理，加强储罐、装卸、设备管线组件、污水处理厂等通用设施污染源管理，全面加强无组织排放控制。加强工业企业生产季节性调控力度，在夏秋季等臭氧污染易发时段实施限产或停产的错峰生产。重点推进钢铁、化工、有色金属等行业企业开展清洁生产审核，将VOCs省级、市级重点监管企业纳入清洁生产审核范围，对已实施清洁生产审核企业建立长效管理机制。</w:t>
            </w:r>
          </w:p>
          <w:p w14:paraId="76B565AB">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本</w:t>
            </w:r>
            <w:r>
              <w:rPr>
                <w:rFonts w:hint="eastAsia"/>
                <w:color w:val="auto"/>
                <w:kern w:val="0"/>
                <w:sz w:val="24"/>
                <w:lang w:eastAsia="zh-CN"/>
              </w:rPr>
              <w:t>改建</w:t>
            </w:r>
            <w:r>
              <w:rPr>
                <w:color w:val="auto"/>
                <w:kern w:val="0"/>
                <w:sz w:val="24"/>
              </w:rPr>
              <w:t>项目不使用高挥发性有机物原辅材料，</w:t>
            </w:r>
            <w:r>
              <w:rPr>
                <w:rFonts w:hint="eastAsia"/>
                <w:color w:val="auto"/>
                <w:kern w:val="0"/>
                <w:sz w:val="24"/>
                <w:lang w:val="en-US" w:eastAsia="zh-CN"/>
              </w:rPr>
              <w:t>本改建</w:t>
            </w:r>
            <w:r>
              <w:rPr>
                <w:color w:val="auto"/>
                <w:kern w:val="0"/>
                <w:sz w:val="24"/>
              </w:rPr>
              <w:t>项目</w:t>
            </w:r>
            <w:r>
              <w:rPr>
                <w:rFonts w:hint="eastAsia"/>
                <w:color w:val="auto"/>
                <w:kern w:val="0"/>
                <w:sz w:val="24"/>
              </w:rPr>
              <w:t>电泳漆涂装、烘干固化产生的有机废气</w:t>
            </w:r>
            <w:r>
              <w:rPr>
                <w:color w:val="auto"/>
                <w:kern w:val="0"/>
                <w:sz w:val="24"/>
              </w:rPr>
              <w:t>收集后经“水喷淋塔+除雾器+两级活性炭吸附装置”处理后引至20m高的排气筒排放，满足相应的排放标准。项目</w:t>
            </w:r>
            <w:r>
              <w:rPr>
                <w:rFonts w:hint="eastAsia"/>
                <w:color w:val="auto"/>
                <w:kern w:val="0"/>
                <w:sz w:val="24"/>
              </w:rPr>
              <w:t>电泳前后产生的清洗废水经自建综合废水处理站处理后</w:t>
            </w:r>
            <w:r>
              <w:rPr>
                <w:rFonts w:hint="eastAsia"/>
                <w:color w:val="auto"/>
                <w:kern w:val="0"/>
                <w:sz w:val="24"/>
                <w:lang w:eastAsia="zh-CN"/>
              </w:rPr>
              <w:t>回用于阳极氧化线</w:t>
            </w:r>
            <w:r>
              <w:rPr>
                <w:color w:val="auto"/>
                <w:kern w:val="0"/>
                <w:sz w:val="24"/>
              </w:rPr>
              <w:t>，不外排，对纳污水体的环境影响在可接受范围内。固废可以达到有效的处置，并加强项目环境应急设施建设。因此，本</w:t>
            </w:r>
            <w:r>
              <w:rPr>
                <w:rFonts w:hint="eastAsia"/>
                <w:color w:val="auto"/>
                <w:kern w:val="0"/>
                <w:sz w:val="24"/>
                <w:lang w:eastAsia="zh-CN"/>
              </w:rPr>
              <w:t>改建</w:t>
            </w:r>
            <w:r>
              <w:rPr>
                <w:color w:val="auto"/>
                <w:kern w:val="0"/>
                <w:sz w:val="24"/>
              </w:rPr>
              <w:t>项目与《阳江市生态环境保护“十四五”规划》是相符的。</w:t>
            </w:r>
          </w:p>
          <w:p w14:paraId="280A4FAD">
            <w:pPr>
              <w:widowControl w:val="0"/>
              <w:autoSpaceDE w:val="0"/>
              <w:autoSpaceDN w:val="0"/>
              <w:adjustRightInd w:val="0"/>
              <w:snapToGrid w:val="0"/>
              <w:spacing w:line="360" w:lineRule="auto"/>
              <w:ind w:firstLine="482" w:firstLineChars="200"/>
              <w:jc w:val="both"/>
              <w:rPr>
                <w:b/>
                <w:bCs/>
                <w:color w:val="auto"/>
                <w:kern w:val="0"/>
                <w:sz w:val="24"/>
              </w:rPr>
            </w:pPr>
            <w:r>
              <w:rPr>
                <w:b/>
                <w:bCs/>
                <w:color w:val="auto"/>
                <w:kern w:val="0"/>
                <w:sz w:val="24"/>
              </w:rPr>
              <w:t>（3）与《阳江市阳东区生态环境保护“十四五”规划》（东府〔2024〕1号）相符性分析</w:t>
            </w:r>
          </w:p>
          <w:p w14:paraId="2E9F71BF">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根据《阳江市阳东区生态环境保护“十四五”规划》（东府〔2024〕1号）规定：推进挥发性有机物（VOCs）深度治理。落实涉VOCs排放企业分级和清单化管理，并动态更新本地区涉VOCs重点企业分级管理台账。依据省涉VOCs重点行业指引，实施新一轮“一企一策”深度治理，全面推进阳东区VOCs重点监管企业销号式综合整治（第二批），推动涉VOCs排放企业制定并实施挥发性有机物深度治理手册，加强重点企业日常监督和“散乱污”企业后续监管。大力推进低VOCs含量原辅材料和产品源头替代，落实国家和地方产品VOCs含量限值质量标准，除现阶段确无法实施替代的工序外，禁止新建生产和使用高VOCs含量原辅材料项目。强化对企业涉挥VOCs生产车间/工序废气的收集管理，推动企业开展治理设施升级改造，加强过程管控和末端排放在线监测等实用管控手段应用，鼓励企业主动开展涉及VOCs物料环节的自查，指导企业使用一次性活性炭吸附治理技术等适宜高效的治理技术，淘汰光氧化、光催化和低温等离子等低效落后的治理设施，推行活性炭厂内脱附和专用移动车上门脱附，引导建设活性炭集中处理中心、溶剂回收中心，推动家具、干洗、汽车配件生产、汽车维修业等典型行业建设共性工厂或共享喷涂车间，全面提升VOCs废气收集率、治理设施同步运行率和去除率。</w:t>
            </w:r>
          </w:p>
          <w:p w14:paraId="35DB7452">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本</w:t>
            </w:r>
            <w:r>
              <w:rPr>
                <w:rFonts w:hint="eastAsia"/>
                <w:color w:val="auto"/>
                <w:kern w:val="0"/>
                <w:sz w:val="24"/>
                <w:lang w:eastAsia="zh-CN"/>
              </w:rPr>
              <w:t>改建</w:t>
            </w:r>
            <w:r>
              <w:rPr>
                <w:color w:val="auto"/>
                <w:kern w:val="0"/>
                <w:sz w:val="24"/>
              </w:rPr>
              <w:t>项目不使用高挥发性有机物原辅材料，项目</w:t>
            </w:r>
            <w:r>
              <w:rPr>
                <w:rFonts w:hint="eastAsia"/>
                <w:color w:val="auto"/>
                <w:kern w:val="0"/>
                <w:sz w:val="24"/>
              </w:rPr>
              <w:t>电泳漆涂装、烘干固化产生的有机废气</w:t>
            </w:r>
            <w:r>
              <w:rPr>
                <w:color w:val="auto"/>
                <w:kern w:val="0"/>
                <w:sz w:val="24"/>
              </w:rPr>
              <w:t>收集后经“水喷淋塔+除雾器+两级活性炭吸附装置”处理后引至20m高的排气筒排放，满足相应的排放标准。项目</w:t>
            </w:r>
            <w:r>
              <w:rPr>
                <w:rFonts w:hint="eastAsia"/>
                <w:color w:val="auto"/>
                <w:kern w:val="0"/>
                <w:sz w:val="24"/>
              </w:rPr>
              <w:t>电泳前后产生的清洗废水经自建综合废水处理站处理后</w:t>
            </w:r>
            <w:r>
              <w:rPr>
                <w:rFonts w:hint="eastAsia"/>
                <w:color w:val="auto"/>
                <w:kern w:val="0"/>
                <w:sz w:val="24"/>
                <w:lang w:eastAsia="zh-CN"/>
              </w:rPr>
              <w:t>回用于阳极氧化线</w:t>
            </w:r>
            <w:r>
              <w:rPr>
                <w:color w:val="auto"/>
                <w:kern w:val="0"/>
                <w:sz w:val="24"/>
              </w:rPr>
              <w:t>，不外排，对纳污水体的环境影响在可接受范围内。固废可以达到有效的处置，并加强项目环境应急设施建设。因此，本</w:t>
            </w:r>
            <w:r>
              <w:rPr>
                <w:rFonts w:hint="eastAsia"/>
                <w:color w:val="auto"/>
                <w:kern w:val="0"/>
                <w:sz w:val="24"/>
                <w:lang w:eastAsia="zh-CN"/>
              </w:rPr>
              <w:t>改建</w:t>
            </w:r>
            <w:r>
              <w:rPr>
                <w:color w:val="auto"/>
                <w:kern w:val="0"/>
                <w:sz w:val="24"/>
              </w:rPr>
              <w:t>项目与《阳江市阳东区生态环境保护“十四五”规划》（东府〔2024〕1号）是相符的。</w:t>
            </w:r>
          </w:p>
          <w:p w14:paraId="3F0A2FA7">
            <w:pPr>
              <w:widowControl w:val="0"/>
              <w:autoSpaceDE w:val="0"/>
              <w:autoSpaceDN w:val="0"/>
              <w:adjustRightInd w:val="0"/>
              <w:snapToGrid w:val="0"/>
              <w:spacing w:line="360" w:lineRule="auto"/>
              <w:ind w:firstLine="482" w:firstLineChars="200"/>
              <w:jc w:val="both"/>
              <w:rPr>
                <w:b/>
                <w:bCs/>
                <w:color w:val="auto"/>
                <w:kern w:val="0"/>
                <w:sz w:val="24"/>
              </w:rPr>
            </w:pPr>
            <w:r>
              <w:rPr>
                <w:b/>
                <w:bCs/>
                <w:color w:val="auto"/>
                <w:kern w:val="0"/>
                <w:sz w:val="24"/>
              </w:rPr>
              <w:t>6、与《关于印发&lt;“十三五”挥发性有机物污染防治工作方案&gt;的通知》（环大气〔2017〕121号）相符性</w:t>
            </w:r>
          </w:p>
          <w:p w14:paraId="04D2E68C">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根据《关于印发&lt;“十三五”挥发性有机物污染防治工作方案&gt;的通知》（环大气〔2017〕121号）：提高VOCs排放重点行业环保准入门槛，严格控制新增污染物排放量……新、改、扩建涉VOCs排放项目，应从源头加强控制，使用低（无）VOCs含量的原辅材料，加强废气收集，安装高效治理设施”。“工程机械制造行业。推广使用高固体分、粉末涂料，到2020年底前，使用比例达到30%以上；试点推行水性涂料。积极采用自动喷涂、静电喷涂等先进涂装技术。加强有机废气收集与治理，有机废气收集率不低于80%，建设吸附燃烧等高效治理设施，实现达标排放。</w:t>
            </w:r>
          </w:p>
          <w:p w14:paraId="29E34A46">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本</w:t>
            </w:r>
            <w:r>
              <w:rPr>
                <w:rFonts w:hint="eastAsia"/>
                <w:color w:val="auto"/>
                <w:kern w:val="0"/>
                <w:sz w:val="24"/>
                <w:lang w:eastAsia="zh-CN"/>
              </w:rPr>
              <w:t>改建</w:t>
            </w:r>
            <w:r>
              <w:rPr>
                <w:color w:val="auto"/>
                <w:kern w:val="0"/>
                <w:sz w:val="24"/>
              </w:rPr>
              <w:t>项目不使用高挥发性有机物原辅材料，</w:t>
            </w:r>
            <w:r>
              <w:rPr>
                <w:rFonts w:hint="eastAsia"/>
                <w:color w:val="auto"/>
                <w:kern w:val="0"/>
                <w:sz w:val="24"/>
              </w:rPr>
              <w:t>电泳漆涂装、烘干固化产生的有机废气</w:t>
            </w:r>
            <w:r>
              <w:rPr>
                <w:color w:val="auto"/>
                <w:kern w:val="0"/>
                <w:sz w:val="24"/>
              </w:rPr>
              <w:t>经收集后通过废气治理设施处理后高空排放，有机废气的收集效率为90%，</w:t>
            </w:r>
            <w:r>
              <w:rPr>
                <w:rFonts w:hint="eastAsia"/>
                <w:color w:val="auto"/>
                <w:kern w:val="0"/>
                <w:sz w:val="24"/>
              </w:rPr>
              <w:t>电泳漆涂装、烘干固化产生的有机废气</w:t>
            </w:r>
            <w:r>
              <w:rPr>
                <w:color w:val="auto"/>
                <w:kern w:val="0"/>
                <w:sz w:val="24"/>
              </w:rPr>
              <w:t>采用“水喷淋塔+除雾器+两级活性炭吸附装置”处理达标后经</w:t>
            </w:r>
            <w:r>
              <w:rPr>
                <w:rFonts w:hint="eastAsia"/>
                <w:color w:val="auto"/>
                <w:kern w:val="0"/>
                <w:sz w:val="24"/>
                <w:lang w:val="en-US" w:eastAsia="zh-CN"/>
              </w:rPr>
              <w:t>20</w:t>
            </w:r>
            <w:r>
              <w:rPr>
                <w:color w:val="auto"/>
                <w:kern w:val="0"/>
                <w:sz w:val="24"/>
              </w:rPr>
              <w:t>米高的排气筒高空排放，因此本项目与《关于印发&lt;“十三五”挥发性有机物污染防治工作方案&gt;的通知》（环大气〔2017〕121号）是相符的。</w:t>
            </w:r>
          </w:p>
          <w:p w14:paraId="0FA528DD">
            <w:pPr>
              <w:widowControl w:val="0"/>
              <w:autoSpaceDE w:val="0"/>
              <w:autoSpaceDN w:val="0"/>
              <w:adjustRightInd w:val="0"/>
              <w:snapToGrid w:val="0"/>
              <w:spacing w:line="360" w:lineRule="auto"/>
              <w:ind w:firstLine="482" w:firstLineChars="200"/>
              <w:jc w:val="both"/>
              <w:rPr>
                <w:b/>
                <w:bCs/>
                <w:color w:val="auto"/>
                <w:kern w:val="0"/>
                <w:sz w:val="24"/>
              </w:rPr>
            </w:pPr>
            <w:r>
              <w:rPr>
                <w:rFonts w:ascii="Times New Roman" w:hAnsi="Times New Roman" w:eastAsia="宋体" w:cs="Times New Roman"/>
                <w:b/>
                <w:bCs/>
                <w:color w:val="auto"/>
                <w:kern w:val="0"/>
                <w:sz w:val="24"/>
              </w:rPr>
              <w:t>7、与</w:t>
            </w:r>
            <w:r>
              <w:rPr>
                <w:rFonts w:hint="eastAsia" w:ascii="Times New Roman" w:hAnsi="Times New Roman" w:eastAsia="宋体" w:cs="Times New Roman"/>
                <w:b/>
                <w:bCs/>
                <w:color w:val="auto"/>
                <w:kern w:val="0"/>
                <w:sz w:val="24"/>
              </w:rPr>
              <w:t>生态环境部</w:t>
            </w:r>
            <w:r>
              <w:rPr>
                <w:rFonts w:ascii="Times New Roman" w:hAnsi="Times New Roman" w:eastAsia="宋体" w:cs="Times New Roman"/>
                <w:b/>
                <w:bCs/>
                <w:color w:val="auto"/>
                <w:kern w:val="0"/>
                <w:sz w:val="24"/>
              </w:rPr>
              <w:t>关</w:t>
            </w:r>
            <w:r>
              <w:rPr>
                <w:b/>
                <w:bCs/>
                <w:color w:val="auto"/>
                <w:kern w:val="0"/>
                <w:sz w:val="24"/>
              </w:rPr>
              <w:t>于印发</w:t>
            </w:r>
            <w:r>
              <w:rPr>
                <w:rFonts w:ascii="Times New Roman" w:hAnsi="Times New Roman" w:eastAsia="宋体" w:cs="Times New Roman"/>
                <w:b/>
                <w:bCs/>
                <w:color w:val="auto"/>
                <w:kern w:val="0"/>
                <w:sz w:val="24"/>
              </w:rPr>
              <w:t>《</w:t>
            </w:r>
            <w:r>
              <w:rPr>
                <w:b/>
                <w:bCs/>
                <w:color w:val="auto"/>
                <w:kern w:val="0"/>
                <w:sz w:val="24"/>
              </w:rPr>
              <w:t>重点行业挥发性有机物综合治理方案》的通知（环大气〔2019〕53号）相符性分析</w:t>
            </w:r>
          </w:p>
          <w:p w14:paraId="4E1D5A0F">
            <w:pPr>
              <w:widowControl w:val="0"/>
              <w:autoSpaceDE w:val="0"/>
              <w:autoSpaceDN w:val="0"/>
              <w:adjustRightInd w:val="0"/>
              <w:snapToGrid w:val="0"/>
              <w:spacing w:line="360" w:lineRule="auto"/>
              <w:ind w:firstLine="480" w:firstLineChars="200"/>
              <w:jc w:val="both"/>
              <w:rPr>
                <w:color w:val="auto"/>
                <w:kern w:val="0"/>
                <w:sz w:val="24"/>
              </w:rPr>
            </w:pPr>
            <w:r>
              <w:rPr>
                <w:rFonts w:ascii="Times New Roman" w:hAnsi="Times New Roman" w:eastAsia="宋体" w:cs="Times New Roman"/>
                <w:color w:val="auto"/>
                <w:kern w:val="0"/>
                <w:sz w:val="24"/>
              </w:rPr>
              <w:t>根据</w:t>
            </w:r>
            <w:r>
              <w:rPr>
                <w:rFonts w:hint="eastAsia" w:ascii="Times New Roman" w:hAnsi="Times New Roman" w:eastAsia="宋体" w:cs="Times New Roman"/>
                <w:color w:val="auto"/>
                <w:kern w:val="0"/>
                <w:sz w:val="24"/>
              </w:rPr>
              <w:t>生态环境部</w:t>
            </w:r>
            <w:r>
              <w:rPr>
                <w:rFonts w:ascii="Times New Roman" w:hAnsi="Times New Roman" w:eastAsia="宋体" w:cs="Times New Roman"/>
                <w:color w:val="auto"/>
                <w:kern w:val="0"/>
                <w:sz w:val="24"/>
              </w:rPr>
              <w:t>关于印发《重点行业挥发性有机物综合治理方案》的通知（环大气〔2019〕53号）规定</w:t>
            </w:r>
            <w:r>
              <w:rPr>
                <w:color w:val="auto"/>
                <w:kern w:val="0"/>
                <w:sz w:val="24"/>
              </w:rPr>
              <w:t>：二、主要目标。到2020年，建立健全VOCs污染防治管理体系，重点区域（京津冀及周边地区、长三角地区、汾渭平原）、重点行业（石化、化工、工业涂装、包装印刷、油品储运销）VOCs治理取得明显成效，完成“十三五”规划确定的VOCs排放量下降10%的目标任务，协同控制温室气体排放，推动环境空气质量持续改善。三、控制思路与要求。（三）工业涂装VOCs综合治理。加大汽车、家具、集装箱、电子产品、工程机械等行业VOCs 治理力度，重点区域应结合本地产业特征，加快实施其他行业涂装VOCs综合治理。强化源头控制，加快使用粉末、水性、高固体分、辐射固化等低VOCs含量的涂料替代溶剂型涂料。……涂料、稀释剂、清洗剂等原辅材料应密闭存储，调配、使用、回收等过程应采用密闭设备或在密闭空间内操作，采用密闭管道或密闭容器等输送。除大型工件外，禁止敞开式喷涂、晾（风）干作业。除工艺限制外，原则上实行集中调配。调配、喷涂和干燥等VOCs排放工序应配备有效的废气收集系统。……推进建设适宜高效的治污设施。</w:t>
            </w:r>
          </w:p>
          <w:p w14:paraId="5714DEFE">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本</w:t>
            </w:r>
            <w:r>
              <w:rPr>
                <w:rFonts w:hint="eastAsia"/>
                <w:color w:val="auto"/>
                <w:kern w:val="0"/>
                <w:sz w:val="24"/>
                <w:lang w:eastAsia="zh-CN"/>
              </w:rPr>
              <w:t>改建</w:t>
            </w:r>
            <w:r>
              <w:rPr>
                <w:color w:val="auto"/>
                <w:kern w:val="0"/>
                <w:sz w:val="24"/>
              </w:rPr>
              <w:t>项目不使用高挥发性有机物原辅材料，本</w:t>
            </w:r>
            <w:r>
              <w:rPr>
                <w:rFonts w:hint="eastAsia"/>
                <w:color w:val="auto"/>
                <w:kern w:val="0"/>
                <w:sz w:val="24"/>
                <w:lang w:eastAsia="zh-CN"/>
              </w:rPr>
              <w:t>改建</w:t>
            </w:r>
            <w:r>
              <w:rPr>
                <w:color w:val="auto"/>
                <w:kern w:val="0"/>
                <w:sz w:val="24"/>
              </w:rPr>
              <w:t>项目不使用含VOCs的油墨、胶粘剂、清洗剂等原辅材料。但使用含VOCs的涂料，本项目</w:t>
            </w:r>
            <w:r>
              <w:rPr>
                <w:rFonts w:hint="eastAsia"/>
                <w:color w:val="auto"/>
                <w:kern w:val="0"/>
                <w:sz w:val="24"/>
              </w:rPr>
              <w:t>电泳漆涂装、烘干固化产生的有机废气</w:t>
            </w:r>
            <w:r>
              <w:rPr>
                <w:color w:val="auto"/>
                <w:kern w:val="0"/>
                <w:sz w:val="24"/>
              </w:rPr>
              <w:t>经收集后通过废气治理设施处理后高空排放，有机废气的收集效率为90%，</w:t>
            </w:r>
            <w:r>
              <w:rPr>
                <w:rFonts w:hint="eastAsia"/>
                <w:color w:val="auto"/>
                <w:kern w:val="0"/>
                <w:sz w:val="24"/>
              </w:rPr>
              <w:t>电泳漆涂装、烘干固化产生的有机废气</w:t>
            </w:r>
            <w:r>
              <w:rPr>
                <w:color w:val="auto"/>
                <w:kern w:val="0"/>
                <w:sz w:val="24"/>
              </w:rPr>
              <w:t>采用“水喷淋塔+除雾器+两级活性炭吸附装置”处理达标后经</w:t>
            </w:r>
            <w:r>
              <w:rPr>
                <w:rFonts w:hint="eastAsia"/>
                <w:color w:val="auto"/>
                <w:kern w:val="0"/>
                <w:sz w:val="24"/>
                <w:lang w:val="en-US" w:eastAsia="zh-CN"/>
              </w:rPr>
              <w:t>20</w:t>
            </w:r>
            <w:r>
              <w:rPr>
                <w:color w:val="auto"/>
                <w:kern w:val="0"/>
                <w:sz w:val="24"/>
              </w:rPr>
              <w:t>米高的排气筒高空排放，因此本项目与关于印发《重点行业挥发性有机物综合治理方案》的通知（环大气〔2019〕53号）是相符的。</w:t>
            </w:r>
          </w:p>
          <w:p w14:paraId="56BBA58A">
            <w:pPr>
              <w:widowControl w:val="0"/>
              <w:autoSpaceDE w:val="0"/>
              <w:autoSpaceDN w:val="0"/>
              <w:adjustRightInd w:val="0"/>
              <w:snapToGrid w:val="0"/>
              <w:spacing w:line="360" w:lineRule="auto"/>
              <w:ind w:firstLine="482" w:firstLineChars="200"/>
              <w:jc w:val="both"/>
              <w:rPr>
                <w:b/>
                <w:bCs/>
                <w:color w:val="auto"/>
                <w:kern w:val="0"/>
                <w:sz w:val="24"/>
              </w:rPr>
            </w:pPr>
            <w:r>
              <w:rPr>
                <w:b/>
                <w:bCs/>
                <w:color w:val="auto"/>
                <w:kern w:val="0"/>
                <w:sz w:val="24"/>
              </w:rPr>
              <w:t>8、与《广东省2021年大气、水、土壤污染防治工作方案的通知》（粤办函〔2021〕58号）、《广东省人民政府办公厅关于印发广东省2023年大气污染防治工作方案的通知》（粤办函〔2023〕50号）、《广东省生态环境厅关于印发广东省2023年水污染防治工作方案的通知》（粤环函〔2023〕163号）相符性分析</w:t>
            </w:r>
          </w:p>
          <w:p w14:paraId="77CA9537">
            <w:pPr>
              <w:widowControl w:val="0"/>
              <w:spacing w:line="240" w:lineRule="auto"/>
              <w:jc w:val="center"/>
              <w:rPr>
                <w:b/>
                <w:color w:val="auto"/>
                <w:szCs w:val="21"/>
              </w:rPr>
            </w:pPr>
            <w:r>
              <w:rPr>
                <w:b/>
                <w:color w:val="auto"/>
                <w:szCs w:val="21"/>
              </w:rPr>
              <w:t>表1-2与大气、水、土壤污染防治工作方案的通知相符性分析</w:t>
            </w:r>
          </w:p>
          <w:tbl>
            <w:tblPr>
              <w:tblStyle w:val="42"/>
              <w:tblW w:w="4997" w:type="pct"/>
              <w:jc w:val="center"/>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autofit"/>
              <w:tblCellMar>
                <w:top w:w="0" w:type="dxa"/>
                <w:left w:w="108" w:type="dxa"/>
                <w:bottom w:w="0" w:type="dxa"/>
                <w:right w:w="108" w:type="dxa"/>
              </w:tblCellMar>
            </w:tblPr>
            <w:tblGrid>
              <w:gridCol w:w="700"/>
              <w:gridCol w:w="3590"/>
              <w:gridCol w:w="4081"/>
              <w:gridCol w:w="888"/>
            </w:tblGrid>
            <w:tr w14:paraId="08C7A775">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78" w:type="pct"/>
                  <w:tcBorders>
                    <w:tl2br w:val="nil"/>
                    <w:tr2bl w:val="nil"/>
                  </w:tcBorders>
                  <w:vAlign w:val="center"/>
                </w:tcPr>
                <w:p w14:paraId="31CB6960">
                  <w:pPr>
                    <w:widowControl w:val="0"/>
                    <w:spacing w:line="240" w:lineRule="auto"/>
                    <w:jc w:val="center"/>
                    <w:rPr>
                      <w:b/>
                      <w:color w:val="auto"/>
                      <w:szCs w:val="21"/>
                      <w:lang w:val="zh-CN" w:bidi="zh-CN"/>
                    </w:rPr>
                  </w:pPr>
                  <w:r>
                    <w:rPr>
                      <w:b/>
                      <w:color w:val="auto"/>
                      <w:szCs w:val="21"/>
                      <w:lang w:val="zh-CN" w:bidi="zh-CN"/>
                    </w:rPr>
                    <w:t>类别</w:t>
                  </w:r>
                </w:p>
              </w:tc>
              <w:tc>
                <w:tcPr>
                  <w:tcW w:w="1938" w:type="pct"/>
                  <w:tcBorders>
                    <w:tl2br w:val="nil"/>
                    <w:tr2bl w:val="nil"/>
                  </w:tcBorders>
                  <w:vAlign w:val="center"/>
                </w:tcPr>
                <w:p w14:paraId="63964E3B">
                  <w:pPr>
                    <w:widowControl w:val="0"/>
                    <w:spacing w:line="240" w:lineRule="auto"/>
                    <w:jc w:val="center"/>
                    <w:rPr>
                      <w:b/>
                      <w:color w:val="auto"/>
                      <w:szCs w:val="21"/>
                      <w:lang w:val="zh-CN" w:bidi="zh-CN"/>
                    </w:rPr>
                  </w:pPr>
                  <w:r>
                    <w:rPr>
                      <w:b/>
                      <w:color w:val="auto"/>
                      <w:szCs w:val="21"/>
                      <w:lang w:val="zh-CN" w:bidi="zh-CN"/>
                    </w:rPr>
                    <w:t>方案要求</w:t>
                  </w:r>
                </w:p>
              </w:tc>
              <w:tc>
                <w:tcPr>
                  <w:tcW w:w="2203" w:type="pct"/>
                  <w:tcBorders>
                    <w:tl2br w:val="nil"/>
                    <w:tr2bl w:val="nil"/>
                  </w:tcBorders>
                  <w:vAlign w:val="center"/>
                </w:tcPr>
                <w:p w14:paraId="18441CC8">
                  <w:pPr>
                    <w:widowControl w:val="0"/>
                    <w:spacing w:line="240" w:lineRule="auto"/>
                    <w:jc w:val="center"/>
                    <w:rPr>
                      <w:b/>
                      <w:color w:val="auto"/>
                      <w:szCs w:val="21"/>
                      <w:lang w:val="zh-CN" w:bidi="zh-CN"/>
                    </w:rPr>
                  </w:pPr>
                  <w:r>
                    <w:rPr>
                      <w:b/>
                      <w:color w:val="auto"/>
                      <w:szCs w:val="21"/>
                      <w:lang w:val="zh-CN" w:bidi="zh-CN"/>
                    </w:rPr>
                    <w:t>符合情况</w:t>
                  </w:r>
                </w:p>
              </w:tc>
              <w:tc>
                <w:tcPr>
                  <w:tcW w:w="479" w:type="pct"/>
                  <w:tcBorders>
                    <w:tl2br w:val="nil"/>
                    <w:tr2bl w:val="nil"/>
                  </w:tcBorders>
                  <w:vAlign w:val="center"/>
                </w:tcPr>
                <w:p w14:paraId="0810D4FD">
                  <w:pPr>
                    <w:widowControl w:val="0"/>
                    <w:spacing w:line="240" w:lineRule="auto"/>
                    <w:jc w:val="center"/>
                    <w:rPr>
                      <w:b/>
                      <w:color w:val="auto"/>
                      <w:szCs w:val="21"/>
                      <w:lang w:val="zh-CN" w:bidi="zh-CN"/>
                    </w:rPr>
                  </w:pPr>
                  <w:r>
                    <w:rPr>
                      <w:b/>
                      <w:color w:val="auto"/>
                      <w:szCs w:val="21"/>
                      <w:lang w:val="zh-CN" w:bidi="zh-CN"/>
                    </w:rPr>
                    <w:t>相符性</w:t>
                  </w:r>
                </w:p>
              </w:tc>
            </w:tr>
            <w:tr w14:paraId="06D55D0A">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78" w:type="pct"/>
                  <w:tcBorders>
                    <w:tl2br w:val="nil"/>
                    <w:tr2bl w:val="nil"/>
                  </w:tcBorders>
                  <w:vAlign w:val="center"/>
                </w:tcPr>
                <w:p w14:paraId="6E6FFA29">
                  <w:pPr>
                    <w:widowControl w:val="0"/>
                    <w:spacing w:line="240" w:lineRule="auto"/>
                    <w:jc w:val="center"/>
                    <w:rPr>
                      <w:color w:val="auto"/>
                      <w:szCs w:val="21"/>
                    </w:rPr>
                  </w:pPr>
                  <w:r>
                    <w:rPr>
                      <w:color w:val="auto"/>
                      <w:szCs w:val="21"/>
                    </w:rPr>
                    <w:t>大气</w:t>
                  </w:r>
                </w:p>
              </w:tc>
              <w:tc>
                <w:tcPr>
                  <w:tcW w:w="1938" w:type="pct"/>
                  <w:tcBorders>
                    <w:tl2br w:val="nil"/>
                    <w:tr2bl w:val="nil"/>
                  </w:tcBorders>
                  <w:vAlign w:val="center"/>
                </w:tcPr>
                <w:p w14:paraId="58DCDBBF">
                  <w:pPr>
                    <w:ind w:left="21" w:leftChars="10" w:right="21" w:rightChars="10" w:firstLine="420" w:firstLineChars="200"/>
                    <w:rPr>
                      <w:color w:val="auto"/>
                      <w:szCs w:val="21"/>
                      <w:lang w:bidi="zh-CN"/>
                    </w:rPr>
                  </w:pPr>
                  <w:r>
                    <w:rPr>
                      <w:color w:val="auto"/>
                      <w:szCs w:val="21"/>
                      <w:lang w:bidi="zh-CN"/>
                    </w:rPr>
                    <w:t>开展简易低效VOCs治理设施清理整治。严格限制新改扩建项目使用光催化、光氧化、水喷淋（吸收可溶性VOCs除外）、低温等离子等低效VOCs治理设施（恶臭处理除外）。各地要对低效VOCs治理设施开展排查。对达不到治理要求的单位，要督促其更换或升级改造。2023年底前，完成1068个低效VOCs治理设施改造升级，并在省固定源大气污染防治综合应用平台上更新改造升级相关信息。</w:t>
                  </w:r>
                </w:p>
                <w:p w14:paraId="2BE71B1C">
                  <w:pPr>
                    <w:widowControl w:val="0"/>
                    <w:spacing w:line="240" w:lineRule="auto"/>
                    <w:ind w:firstLine="420" w:firstLineChars="200"/>
                    <w:rPr>
                      <w:color w:val="auto"/>
                      <w:szCs w:val="21"/>
                    </w:rPr>
                  </w:pPr>
                  <w:r>
                    <w:rPr>
                      <w:color w:val="auto"/>
                      <w:szCs w:val="21"/>
                      <w:lang w:bidi="zh-CN"/>
                    </w:rPr>
                    <w:t>严格执行涂料、油墨、胶粘剂、清洗剂VOCs含量限值标准，建立多部门联合执法机制，加强对相关产品生产、销售、使用环节VOCs含量限值执行情况的监督检查</w:t>
                  </w:r>
                  <w:r>
                    <w:rPr>
                      <w:color w:val="auto"/>
                      <w:szCs w:val="21"/>
                    </w:rPr>
                    <w:t>。</w:t>
                  </w:r>
                </w:p>
              </w:tc>
              <w:tc>
                <w:tcPr>
                  <w:tcW w:w="2203" w:type="pct"/>
                  <w:tcBorders>
                    <w:tl2br w:val="nil"/>
                    <w:tr2bl w:val="nil"/>
                  </w:tcBorders>
                  <w:vAlign w:val="center"/>
                </w:tcPr>
                <w:p w14:paraId="5C07CA27">
                  <w:pPr>
                    <w:widowControl w:val="0"/>
                    <w:spacing w:line="240" w:lineRule="auto"/>
                    <w:ind w:firstLine="420" w:firstLineChars="200"/>
                    <w:rPr>
                      <w:color w:val="auto"/>
                      <w:szCs w:val="21"/>
                    </w:rPr>
                  </w:pPr>
                  <w:r>
                    <w:rPr>
                      <w:color w:val="auto"/>
                      <w:kern w:val="0"/>
                      <w:szCs w:val="21"/>
                    </w:rPr>
                    <w:t>本</w:t>
                  </w:r>
                  <w:r>
                    <w:rPr>
                      <w:rFonts w:hint="eastAsia"/>
                      <w:color w:val="auto"/>
                      <w:kern w:val="0"/>
                      <w:szCs w:val="21"/>
                      <w:lang w:eastAsia="zh-CN"/>
                    </w:rPr>
                    <w:t>改建</w:t>
                  </w:r>
                  <w:r>
                    <w:rPr>
                      <w:color w:val="auto"/>
                      <w:kern w:val="0"/>
                      <w:szCs w:val="21"/>
                    </w:rPr>
                    <w:t>项目不使用高挥发性有机物原辅材料，项目</w:t>
                  </w:r>
                  <w:r>
                    <w:rPr>
                      <w:rFonts w:hint="eastAsia"/>
                      <w:color w:val="auto"/>
                      <w:kern w:val="0"/>
                      <w:szCs w:val="21"/>
                    </w:rPr>
                    <w:t>电泳漆涂装、烘干固化产生的有机废气</w:t>
                  </w:r>
                  <w:r>
                    <w:rPr>
                      <w:color w:val="auto"/>
                      <w:kern w:val="0"/>
                      <w:szCs w:val="21"/>
                    </w:rPr>
                    <w:t>收集后经“水喷淋塔+除雾器+两级活性炭吸附装置”处理后引至20m高的排气筒排放</w:t>
                  </w:r>
                  <w:r>
                    <w:rPr>
                      <w:color w:val="auto"/>
                      <w:szCs w:val="21"/>
                    </w:rPr>
                    <w:t>。</w:t>
                  </w:r>
                </w:p>
                <w:p w14:paraId="31E310DC">
                  <w:pPr>
                    <w:widowControl w:val="0"/>
                    <w:spacing w:line="240" w:lineRule="auto"/>
                    <w:ind w:firstLine="420" w:firstLineChars="200"/>
                    <w:rPr>
                      <w:color w:val="auto"/>
                      <w:szCs w:val="21"/>
                    </w:rPr>
                  </w:pPr>
                  <w:r>
                    <w:rPr>
                      <w:color w:val="auto"/>
                      <w:szCs w:val="21"/>
                    </w:rPr>
                    <w:t>本项目不使用含VOCs的油墨、胶粘剂、清洗剂。但使用含VOCs的涂料符合限值要求。</w:t>
                  </w:r>
                </w:p>
              </w:tc>
              <w:tc>
                <w:tcPr>
                  <w:tcW w:w="479" w:type="pct"/>
                  <w:tcBorders>
                    <w:tl2br w:val="nil"/>
                    <w:tr2bl w:val="nil"/>
                  </w:tcBorders>
                  <w:vAlign w:val="center"/>
                </w:tcPr>
                <w:p w14:paraId="6F0AA7D4">
                  <w:pPr>
                    <w:widowControl w:val="0"/>
                    <w:spacing w:line="240" w:lineRule="auto"/>
                    <w:jc w:val="center"/>
                    <w:rPr>
                      <w:color w:val="auto"/>
                      <w:spacing w:val="-7"/>
                      <w:szCs w:val="21"/>
                      <w:lang w:val="zh-CN" w:bidi="zh-CN"/>
                    </w:rPr>
                  </w:pPr>
                  <w:r>
                    <w:rPr>
                      <w:color w:val="auto"/>
                      <w:spacing w:val="-7"/>
                      <w:szCs w:val="21"/>
                      <w:lang w:val="zh-CN" w:bidi="zh-CN"/>
                    </w:rPr>
                    <w:t>相符</w:t>
                  </w:r>
                </w:p>
              </w:tc>
            </w:tr>
            <w:tr w14:paraId="0DCBE82C">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78" w:type="pct"/>
                  <w:tcBorders>
                    <w:tl2br w:val="nil"/>
                    <w:tr2bl w:val="nil"/>
                  </w:tcBorders>
                  <w:vAlign w:val="center"/>
                </w:tcPr>
                <w:p w14:paraId="425F0733">
                  <w:pPr>
                    <w:widowControl w:val="0"/>
                    <w:spacing w:line="240" w:lineRule="auto"/>
                    <w:jc w:val="center"/>
                    <w:rPr>
                      <w:color w:val="auto"/>
                      <w:szCs w:val="21"/>
                    </w:rPr>
                  </w:pPr>
                  <w:r>
                    <w:rPr>
                      <w:color w:val="auto"/>
                      <w:szCs w:val="21"/>
                    </w:rPr>
                    <w:t>水</w:t>
                  </w:r>
                </w:p>
              </w:tc>
              <w:tc>
                <w:tcPr>
                  <w:tcW w:w="1938" w:type="pct"/>
                  <w:tcBorders>
                    <w:tl2br w:val="nil"/>
                    <w:tr2bl w:val="nil"/>
                  </w:tcBorders>
                  <w:vAlign w:val="center"/>
                </w:tcPr>
                <w:p w14:paraId="52A3FCB4">
                  <w:pPr>
                    <w:widowControl w:val="0"/>
                    <w:spacing w:line="240" w:lineRule="auto"/>
                    <w:ind w:firstLine="420" w:firstLineChars="200"/>
                    <w:rPr>
                      <w:color w:val="auto"/>
                      <w:szCs w:val="21"/>
                    </w:rPr>
                  </w:pPr>
                  <w:r>
                    <w:rPr>
                      <w:color w:val="auto"/>
                      <w:szCs w:val="21"/>
                      <w:lang w:bidi="zh-CN"/>
                    </w:rPr>
                    <w:t>加强对涉水工业企业排放废水及受纳水体监测，鼓励电子、印染、原料药制造等产业园区开展工业废水综合毒性监控能力建设。提升工业企业清洁生产水平，优化工业废水处理工艺，抓好金属表面处理、化工、印染、造纸、食品加工等重点行业绿色升级以及工业废水处理设施稳定达标改造。</w:t>
                  </w:r>
                  <w:r>
                    <w:rPr>
                      <w:color w:val="auto"/>
                      <w:szCs w:val="21"/>
                    </w:rPr>
                    <w:t>。</w:t>
                  </w:r>
                </w:p>
              </w:tc>
              <w:tc>
                <w:tcPr>
                  <w:tcW w:w="2203" w:type="pct"/>
                  <w:tcBorders>
                    <w:tl2br w:val="nil"/>
                    <w:tr2bl w:val="nil"/>
                  </w:tcBorders>
                  <w:vAlign w:val="center"/>
                </w:tcPr>
                <w:p w14:paraId="782262AC">
                  <w:pPr>
                    <w:widowControl w:val="0"/>
                    <w:spacing w:line="240" w:lineRule="auto"/>
                    <w:ind w:firstLine="420" w:firstLineChars="200"/>
                    <w:rPr>
                      <w:color w:val="auto"/>
                      <w:szCs w:val="21"/>
                    </w:rPr>
                  </w:pPr>
                  <w:r>
                    <w:rPr>
                      <w:rFonts w:hint="eastAsia"/>
                      <w:color w:val="auto"/>
                      <w:kern w:val="0"/>
                      <w:szCs w:val="21"/>
                    </w:rPr>
                    <w:t>本</w:t>
                  </w:r>
                  <w:r>
                    <w:rPr>
                      <w:rFonts w:hint="eastAsia"/>
                      <w:color w:val="auto"/>
                      <w:kern w:val="0"/>
                      <w:szCs w:val="21"/>
                      <w:lang w:eastAsia="zh-CN"/>
                    </w:rPr>
                    <w:t>改建</w:t>
                  </w:r>
                  <w:r>
                    <w:rPr>
                      <w:rFonts w:hint="eastAsia"/>
                      <w:color w:val="auto"/>
                      <w:kern w:val="0"/>
                      <w:szCs w:val="21"/>
                    </w:rPr>
                    <w:t>项目不涉及排水</w:t>
                  </w:r>
                  <w:r>
                    <w:rPr>
                      <w:color w:val="auto"/>
                      <w:kern w:val="0"/>
                      <w:szCs w:val="21"/>
                    </w:rPr>
                    <w:t>，</w:t>
                  </w:r>
                  <w:r>
                    <w:rPr>
                      <w:rFonts w:hint="eastAsia"/>
                      <w:color w:val="auto"/>
                      <w:kern w:val="0"/>
                      <w:szCs w:val="21"/>
                    </w:rPr>
                    <w:t>电泳前后产生的清洗废水经自建综合废水处理站处理后</w:t>
                  </w:r>
                  <w:r>
                    <w:rPr>
                      <w:rFonts w:hint="eastAsia"/>
                      <w:color w:val="auto"/>
                      <w:kern w:val="0"/>
                      <w:szCs w:val="21"/>
                      <w:lang w:eastAsia="zh-CN"/>
                    </w:rPr>
                    <w:t>回用于阳极氧化线</w:t>
                  </w:r>
                  <w:r>
                    <w:rPr>
                      <w:color w:val="auto"/>
                      <w:kern w:val="0"/>
                      <w:szCs w:val="21"/>
                    </w:rPr>
                    <w:t>，不外排</w:t>
                  </w:r>
                  <w:r>
                    <w:rPr>
                      <w:color w:val="auto"/>
                      <w:szCs w:val="21"/>
                    </w:rPr>
                    <w:t>。生产车间地面均进行水泥硬化、防渗漏措施，不会对地下水产生明显影响。</w:t>
                  </w:r>
                </w:p>
              </w:tc>
              <w:tc>
                <w:tcPr>
                  <w:tcW w:w="479" w:type="pct"/>
                  <w:tcBorders>
                    <w:tl2br w:val="nil"/>
                    <w:tr2bl w:val="nil"/>
                  </w:tcBorders>
                  <w:vAlign w:val="center"/>
                </w:tcPr>
                <w:p w14:paraId="5A306628">
                  <w:pPr>
                    <w:widowControl w:val="0"/>
                    <w:spacing w:line="240" w:lineRule="auto"/>
                    <w:jc w:val="center"/>
                    <w:rPr>
                      <w:rFonts w:eastAsia="Times New Roman"/>
                      <w:color w:val="auto"/>
                      <w:spacing w:val="-7"/>
                      <w:szCs w:val="21"/>
                      <w:lang w:val="zh-CN" w:bidi="zh-CN"/>
                    </w:rPr>
                  </w:pPr>
                  <w:r>
                    <w:rPr>
                      <w:color w:val="auto"/>
                      <w:spacing w:val="-7"/>
                      <w:szCs w:val="21"/>
                      <w:lang w:val="zh-CN" w:bidi="zh-CN"/>
                    </w:rPr>
                    <w:t>相符</w:t>
                  </w:r>
                </w:p>
              </w:tc>
            </w:tr>
            <w:tr w14:paraId="5D7644B5">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78" w:type="pct"/>
                  <w:tcBorders>
                    <w:tl2br w:val="nil"/>
                    <w:tr2bl w:val="nil"/>
                  </w:tcBorders>
                  <w:vAlign w:val="center"/>
                </w:tcPr>
                <w:p w14:paraId="62969914">
                  <w:pPr>
                    <w:widowControl w:val="0"/>
                    <w:spacing w:line="240" w:lineRule="auto"/>
                    <w:jc w:val="center"/>
                    <w:rPr>
                      <w:color w:val="auto"/>
                      <w:szCs w:val="21"/>
                      <w:lang w:val="zh-CN" w:bidi="zh-CN"/>
                    </w:rPr>
                  </w:pPr>
                  <w:r>
                    <w:rPr>
                      <w:color w:val="auto"/>
                      <w:szCs w:val="21"/>
                      <w:lang w:val="zh-CN" w:bidi="zh-CN"/>
                    </w:rPr>
                    <w:t>土壤</w:t>
                  </w:r>
                </w:p>
              </w:tc>
              <w:tc>
                <w:tcPr>
                  <w:tcW w:w="1938" w:type="pct"/>
                  <w:tcBorders>
                    <w:tl2br w:val="nil"/>
                    <w:tr2bl w:val="nil"/>
                  </w:tcBorders>
                  <w:vAlign w:val="center"/>
                </w:tcPr>
                <w:p w14:paraId="467B7DD7">
                  <w:pPr>
                    <w:widowControl w:val="0"/>
                    <w:spacing w:line="240" w:lineRule="auto"/>
                    <w:ind w:firstLine="420" w:firstLineChars="200"/>
                    <w:rPr>
                      <w:color w:val="auto"/>
                      <w:szCs w:val="21"/>
                    </w:rPr>
                  </w:pPr>
                  <w:r>
                    <w:rPr>
                      <w:color w:val="auto"/>
                      <w:szCs w:val="21"/>
                    </w:rPr>
                    <w:t>严格执行重金属污染物排放标准，持续落实相关总量控制指标。补充涉镉等重金属重点行业企业重点排查区域，更新污染源整治清单，督促责任主体制定并落实整治方案。加强工业废物处理处置，各地级以上市组织开展工业固体废物堆存场所的现场检查，重点检查防扬撒、防流失、防渗漏等设施建设运行情况，发现问题要督促责任主体立即整改。</w:t>
                  </w:r>
                </w:p>
              </w:tc>
              <w:tc>
                <w:tcPr>
                  <w:tcW w:w="2203" w:type="pct"/>
                  <w:tcBorders>
                    <w:tl2br w:val="nil"/>
                    <w:tr2bl w:val="nil"/>
                  </w:tcBorders>
                  <w:vAlign w:val="center"/>
                </w:tcPr>
                <w:p w14:paraId="0A977853">
                  <w:pPr>
                    <w:widowControl w:val="0"/>
                    <w:spacing w:line="240" w:lineRule="auto"/>
                    <w:ind w:firstLine="420" w:firstLineChars="200"/>
                    <w:rPr>
                      <w:color w:val="auto"/>
                      <w:szCs w:val="21"/>
                    </w:rPr>
                  </w:pPr>
                  <w:r>
                    <w:rPr>
                      <w:color w:val="auto"/>
                      <w:szCs w:val="21"/>
                    </w:rPr>
                    <w:t>项目厂房地面均已进行硬化处理，一般固废、化学品、危废仓等需按要求分区做好防渗措施，各类原辅材料均进行严格监管，生产固废将有效处置，不会对土壤造成影响。</w:t>
                  </w:r>
                </w:p>
              </w:tc>
              <w:tc>
                <w:tcPr>
                  <w:tcW w:w="479" w:type="pct"/>
                  <w:tcBorders>
                    <w:tl2br w:val="nil"/>
                    <w:tr2bl w:val="nil"/>
                  </w:tcBorders>
                  <w:vAlign w:val="center"/>
                </w:tcPr>
                <w:p w14:paraId="6FEFCC1C">
                  <w:pPr>
                    <w:widowControl w:val="0"/>
                    <w:spacing w:line="240" w:lineRule="auto"/>
                    <w:jc w:val="center"/>
                    <w:rPr>
                      <w:color w:val="auto"/>
                      <w:spacing w:val="-7"/>
                      <w:szCs w:val="21"/>
                      <w:lang w:val="zh-CN" w:bidi="zh-CN"/>
                    </w:rPr>
                  </w:pPr>
                  <w:r>
                    <w:rPr>
                      <w:color w:val="auto"/>
                      <w:spacing w:val="-7"/>
                      <w:szCs w:val="21"/>
                      <w:lang w:val="zh-CN" w:bidi="zh-CN"/>
                    </w:rPr>
                    <w:t>相符</w:t>
                  </w:r>
                </w:p>
              </w:tc>
            </w:tr>
          </w:tbl>
          <w:p w14:paraId="1D36BB62">
            <w:pPr>
              <w:pStyle w:val="189"/>
              <w:spacing w:line="360" w:lineRule="auto"/>
              <w:ind w:left="21" w:leftChars="10" w:right="21" w:rightChars="10" w:firstLine="482"/>
              <w:rPr>
                <w:b/>
                <w:bCs/>
                <w:color w:val="auto"/>
                <w:sz w:val="24"/>
              </w:rPr>
            </w:pPr>
            <w:r>
              <w:rPr>
                <w:b/>
                <w:bCs/>
                <w:color w:val="auto"/>
                <w:sz w:val="24"/>
              </w:rPr>
              <w:t>9、与《广东省涉挥发性有机物（VOCs）重点行业治理指引》（粤环办〔2021〕43号）的相符性分析</w:t>
            </w:r>
          </w:p>
          <w:p w14:paraId="57BF5A18">
            <w:pPr>
              <w:pStyle w:val="189"/>
              <w:spacing w:line="360" w:lineRule="auto"/>
              <w:ind w:left="21" w:leftChars="10" w:right="21" w:rightChars="10" w:firstLine="480"/>
              <w:rPr>
                <w:color w:val="auto"/>
                <w:sz w:val="24"/>
              </w:rPr>
            </w:pPr>
            <w:r>
              <w:rPr>
                <w:color w:val="auto"/>
                <w:sz w:val="24"/>
              </w:rPr>
              <w:t>根据《广东省涉挥发性有机物（VOCs）重点行业治理指引》（粤环办〔2021〕43号），本项目属于“八、表面涂装行业VOCs治理指引”行业类别，具体相符性见表1-4所示。</w:t>
            </w:r>
          </w:p>
          <w:p w14:paraId="62F02D19">
            <w:pPr>
              <w:ind w:left="21" w:leftChars="10" w:right="21" w:rightChars="10"/>
              <w:jc w:val="center"/>
              <w:rPr>
                <w:b/>
                <w:bCs/>
                <w:color w:val="auto"/>
                <w:szCs w:val="21"/>
              </w:rPr>
            </w:pPr>
            <w:r>
              <w:rPr>
                <w:b/>
                <w:bCs/>
                <w:color w:val="auto"/>
                <w:szCs w:val="21"/>
              </w:rPr>
              <w:t>表1-3与《广东省涉挥发性有机物（VOCs）重点行业治理指引》相关要求对照一览表</w:t>
            </w:r>
          </w:p>
          <w:tbl>
            <w:tblPr>
              <w:tblStyle w:val="42"/>
              <w:tblW w:w="926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3324"/>
              <w:gridCol w:w="800"/>
              <w:gridCol w:w="3393"/>
              <w:gridCol w:w="700"/>
            </w:tblGrid>
            <w:tr w14:paraId="432662E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1048" w:type="dxa"/>
                  <w:tcBorders>
                    <w:tl2br w:val="nil"/>
                    <w:tr2bl w:val="nil"/>
                  </w:tcBorders>
                  <w:noWrap w:val="0"/>
                  <w:vAlign w:val="center"/>
                </w:tcPr>
                <w:p w14:paraId="730A3C47">
                  <w:pPr>
                    <w:widowControl w:val="0"/>
                    <w:adjustRightInd w:val="0"/>
                    <w:jc w:val="center"/>
                    <w:rPr>
                      <w:b/>
                      <w:bCs/>
                      <w:color w:val="auto"/>
                      <w:szCs w:val="21"/>
                      <w:highlight w:val="none"/>
                    </w:rPr>
                  </w:pPr>
                  <w:r>
                    <w:rPr>
                      <w:b/>
                      <w:bCs/>
                      <w:color w:val="auto"/>
                      <w:szCs w:val="21"/>
                      <w:highlight w:val="none"/>
                    </w:rPr>
                    <w:t>环节</w:t>
                  </w:r>
                </w:p>
              </w:tc>
              <w:tc>
                <w:tcPr>
                  <w:tcW w:w="3324" w:type="dxa"/>
                  <w:tcBorders>
                    <w:tl2br w:val="nil"/>
                    <w:tr2bl w:val="nil"/>
                  </w:tcBorders>
                  <w:noWrap w:val="0"/>
                  <w:vAlign w:val="center"/>
                </w:tcPr>
                <w:p w14:paraId="750C1765">
                  <w:pPr>
                    <w:widowControl w:val="0"/>
                    <w:adjustRightInd w:val="0"/>
                    <w:jc w:val="center"/>
                    <w:rPr>
                      <w:b/>
                      <w:bCs/>
                      <w:color w:val="auto"/>
                      <w:szCs w:val="21"/>
                      <w:highlight w:val="none"/>
                    </w:rPr>
                  </w:pPr>
                  <w:r>
                    <w:rPr>
                      <w:b/>
                      <w:bCs/>
                      <w:color w:val="auto"/>
                      <w:szCs w:val="21"/>
                      <w:highlight w:val="none"/>
                    </w:rPr>
                    <w:t>控制要求</w:t>
                  </w:r>
                </w:p>
              </w:tc>
              <w:tc>
                <w:tcPr>
                  <w:tcW w:w="800" w:type="dxa"/>
                  <w:tcBorders>
                    <w:tl2br w:val="nil"/>
                    <w:tr2bl w:val="nil"/>
                  </w:tcBorders>
                  <w:noWrap w:val="0"/>
                  <w:vAlign w:val="center"/>
                </w:tcPr>
                <w:p w14:paraId="5C54CFA1">
                  <w:pPr>
                    <w:widowControl w:val="0"/>
                    <w:adjustRightInd w:val="0"/>
                    <w:jc w:val="center"/>
                    <w:rPr>
                      <w:b/>
                      <w:bCs/>
                      <w:color w:val="auto"/>
                      <w:szCs w:val="21"/>
                      <w:highlight w:val="none"/>
                    </w:rPr>
                  </w:pPr>
                  <w:r>
                    <w:rPr>
                      <w:b/>
                      <w:bCs/>
                      <w:color w:val="auto"/>
                      <w:szCs w:val="21"/>
                      <w:highlight w:val="none"/>
                    </w:rPr>
                    <w:t>实施要求</w:t>
                  </w:r>
                </w:p>
              </w:tc>
              <w:tc>
                <w:tcPr>
                  <w:tcW w:w="3393" w:type="dxa"/>
                  <w:tcBorders>
                    <w:tl2br w:val="nil"/>
                    <w:tr2bl w:val="nil"/>
                  </w:tcBorders>
                  <w:noWrap w:val="0"/>
                  <w:vAlign w:val="center"/>
                </w:tcPr>
                <w:p w14:paraId="0C86F758">
                  <w:pPr>
                    <w:widowControl w:val="0"/>
                    <w:adjustRightInd w:val="0"/>
                    <w:jc w:val="center"/>
                    <w:rPr>
                      <w:b/>
                      <w:bCs/>
                      <w:color w:val="auto"/>
                      <w:szCs w:val="21"/>
                      <w:highlight w:val="none"/>
                    </w:rPr>
                  </w:pPr>
                  <w:r>
                    <w:rPr>
                      <w:b/>
                      <w:bCs/>
                      <w:color w:val="auto"/>
                      <w:szCs w:val="21"/>
                      <w:highlight w:val="none"/>
                    </w:rPr>
                    <w:t>项目情况</w:t>
                  </w:r>
                </w:p>
              </w:tc>
              <w:tc>
                <w:tcPr>
                  <w:tcW w:w="700" w:type="dxa"/>
                  <w:tcBorders>
                    <w:tl2br w:val="nil"/>
                    <w:tr2bl w:val="nil"/>
                  </w:tcBorders>
                  <w:noWrap w:val="0"/>
                  <w:vAlign w:val="center"/>
                </w:tcPr>
                <w:p w14:paraId="20844D5A">
                  <w:pPr>
                    <w:widowControl w:val="0"/>
                    <w:adjustRightInd w:val="0"/>
                    <w:jc w:val="center"/>
                    <w:rPr>
                      <w:b/>
                      <w:bCs/>
                      <w:color w:val="auto"/>
                      <w:szCs w:val="21"/>
                      <w:highlight w:val="none"/>
                    </w:rPr>
                  </w:pPr>
                  <w:r>
                    <w:rPr>
                      <w:b/>
                      <w:bCs/>
                      <w:color w:val="auto"/>
                      <w:szCs w:val="21"/>
                      <w:highlight w:val="none"/>
                    </w:rPr>
                    <w:t>相符性</w:t>
                  </w:r>
                </w:p>
              </w:tc>
            </w:tr>
            <w:tr w14:paraId="575C3DA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tcBorders>
                    <w:tl2br w:val="nil"/>
                    <w:tr2bl w:val="nil"/>
                  </w:tcBorders>
                  <w:noWrap w:val="0"/>
                  <w:vAlign w:val="center"/>
                </w:tcPr>
                <w:p w14:paraId="29DFB342">
                  <w:pPr>
                    <w:widowControl w:val="0"/>
                    <w:adjustRightInd w:val="0"/>
                    <w:jc w:val="center"/>
                    <w:rPr>
                      <w:color w:val="auto"/>
                      <w:szCs w:val="21"/>
                      <w:highlight w:val="none"/>
                    </w:rPr>
                  </w:pPr>
                  <w:r>
                    <w:rPr>
                      <w:rFonts w:hint="eastAsia"/>
                      <w:color w:val="auto"/>
                      <w:szCs w:val="21"/>
                      <w:highlight w:val="none"/>
                    </w:rPr>
                    <w:t>VOCs物料使用</w:t>
                  </w:r>
                </w:p>
              </w:tc>
              <w:tc>
                <w:tcPr>
                  <w:tcW w:w="3324" w:type="dxa"/>
                  <w:tcBorders>
                    <w:tl2br w:val="nil"/>
                    <w:tr2bl w:val="nil"/>
                  </w:tcBorders>
                  <w:noWrap w:val="0"/>
                  <w:vAlign w:val="center"/>
                </w:tcPr>
                <w:p w14:paraId="37FF5480">
                  <w:pPr>
                    <w:widowControl w:val="0"/>
                    <w:spacing w:line="240" w:lineRule="auto"/>
                    <w:ind w:firstLine="420" w:firstLineChars="200"/>
                    <w:rPr>
                      <w:rFonts w:hint="eastAsia"/>
                      <w:color w:val="auto"/>
                      <w:sz w:val="21"/>
                      <w:szCs w:val="21"/>
                      <w:highlight w:val="none"/>
                    </w:rPr>
                  </w:pPr>
                  <w:r>
                    <w:rPr>
                      <w:color w:val="auto"/>
                      <w:sz w:val="21"/>
                      <w:szCs w:val="21"/>
                      <w:highlight w:val="none"/>
                    </w:rPr>
                    <w:t>工程机械企业生产过程中使用的涂料VOCs</w:t>
                  </w:r>
                  <w:r>
                    <w:rPr>
                      <w:rFonts w:hint="eastAsia"/>
                      <w:color w:val="auto"/>
                      <w:sz w:val="21"/>
                      <w:szCs w:val="21"/>
                      <w:highlight w:val="none"/>
                    </w:rPr>
                    <w:t xml:space="preserve">含量应符合 </w:t>
                  </w:r>
                  <w:r>
                    <w:rPr>
                      <w:color w:val="auto"/>
                      <w:sz w:val="21"/>
                      <w:szCs w:val="21"/>
                      <w:highlight w:val="none"/>
                    </w:rPr>
                    <w:t>GB 30981-2020</w:t>
                  </w:r>
                  <w:r>
                    <w:rPr>
                      <w:rFonts w:hint="eastAsia"/>
                      <w:color w:val="auto"/>
                      <w:sz w:val="21"/>
                      <w:szCs w:val="21"/>
                      <w:highlight w:val="none"/>
                    </w:rPr>
                    <w:t>中的规定。</w:t>
                  </w:r>
                </w:p>
              </w:tc>
              <w:tc>
                <w:tcPr>
                  <w:tcW w:w="800" w:type="dxa"/>
                  <w:tcBorders>
                    <w:tl2br w:val="nil"/>
                    <w:tr2bl w:val="nil"/>
                  </w:tcBorders>
                  <w:noWrap w:val="0"/>
                  <w:vAlign w:val="center"/>
                </w:tcPr>
                <w:p w14:paraId="004723BD">
                  <w:pPr>
                    <w:widowControl w:val="0"/>
                    <w:adjustRightInd w:val="0"/>
                    <w:jc w:val="center"/>
                    <w:rPr>
                      <w:rFonts w:hint="eastAsia"/>
                      <w:color w:val="auto"/>
                      <w:sz w:val="21"/>
                      <w:szCs w:val="21"/>
                      <w:highlight w:val="none"/>
                    </w:rPr>
                  </w:pPr>
                  <w:r>
                    <w:rPr>
                      <w:rFonts w:hint="eastAsia"/>
                      <w:color w:val="auto"/>
                      <w:sz w:val="21"/>
                      <w:szCs w:val="21"/>
                      <w:highlight w:val="none"/>
                    </w:rPr>
                    <w:t>要求</w:t>
                  </w:r>
                </w:p>
              </w:tc>
              <w:tc>
                <w:tcPr>
                  <w:tcW w:w="3393" w:type="dxa"/>
                  <w:tcBorders>
                    <w:tl2br w:val="nil"/>
                    <w:tr2bl w:val="nil"/>
                  </w:tcBorders>
                  <w:noWrap w:val="0"/>
                  <w:vAlign w:val="center"/>
                </w:tcPr>
                <w:p w14:paraId="479E1AA9">
                  <w:pPr>
                    <w:adjustRightInd w:val="0"/>
                    <w:snapToGrid w:val="0"/>
                    <w:ind w:right="37" w:firstLine="420" w:firstLineChars="200"/>
                    <w:rPr>
                      <w:rFonts w:hint="eastAsia" w:eastAsia="宋体"/>
                      <w:color w:val="auto"/>
                      <w:sz w:val="21"/>
                      <w:szCs w:val="21"/>
                      <w:highlight w:val="none"/>
                      <w:lang w:val="en-US" w:eastAsia="zh-CN"/>
                    </w:rPr>
                  </w:pPr>
                  <w:r>
                    <w:rPr>
                      <w:rFonts w:hint="eastAsia"/>
                      <w:color w:val="auto"/>
                      <w:sz w:val="21"/>
                      <w:szCs w:val="21"/>
                      <w:highlight w:val="none"/>
                      <w:lang w:val="en-US" w:eastAsia="zh-CN"/>
                    </w:rPr>
                    <w:t>本项目使用的电泳漆符合</w:t>
                  </w:r>
                  <w:r>
                    <w:rPr>
                      <w:rFonts w:hint="default" w:ascii="Times New Roman" w:hAnsi="Times New Roman" w:eastAsia="宋体" w:cs="Times New Roman"/>
                      <w:color w:val="auto"/>
                      <w:spacing w:val="4"/>
                      <w:sz w:val="21"/>
                      <w:szCs w:val="21"/>
                      <w:highlight w:val="none"/>
                      <w:lang w:val="en-US" w:eastAsia="zh-CN"/>
                    </w:rPr>
                    <w:t>《涂料中有害物质限量 第2部分：工业涂料》（GB30981.2-2025）</w:t>
                  </w:r>
                  <w:r>
                    <w:rPr>
                      <w:rFonts w:hint="eastAsia" w:ascii="Times New Roman" w:hAnsi="Times New Roman" w:eastAsia="宋体" w:cs="Times New Roman"/>
                      <w:color w:val="auto"/>
                      <w:spacing w:val="4"/>
                      <w:sz w:val="21"/>
                      <w:szCs w:val="21"/>
                      <w:highlight w:val="none"/>
                    </w:rPr>
                    <w:t>和《低挥发性有机化合物含量涂料产品技术要求》（GB/T38597-2020）文件要求</w:t>
                  </w:r>
                  <w:r>
                    <w:rPr>
                      <w:rFonts w:hint="eastAsia" w:ascii="Times New Roman" w:hAnsi="Times New Roman" w:eastAsia="宋体" w:cs="Times New Roman"/>
                      <w:color w:val="auto"/>
                      <w:spacing w:val="4"/>
                      <w:sz w:val="21"/>
                      <w:szCs w:val="21"/>
                      <w:highlight w:val="none"/>
                      <w:lang w:eastAsia="zh-CN"/>
                    </w:rPr>
                    <w:t>。</w:t>
                  </w:r>
                </w:p>
              </w:tc>
              <w:tc>
                <w:tcPr>
                  <w:tcW w:w="700" w:type="dxa"/>
                  <w:tcBorders>
                    <w:tl2br w:val="nil"/>
                    <w:tr2bl w:val="nil"/>
                  </w:tcBorders>
                  <w:noWrap w:val="0"/>
                  <w:vAlign w:val="center"/>
                </w:tcPr>
                <w:p w14:paraId="26371ABE">
                  <w:pPr>
                    <w:widowControl w:val="0"/>
                    <w:adjustRightInd w:val="0"/>
                    <w:jc w:val="center"/>
                    <w:rPr>
                      <w:rFonts w:hint="eastAsia"/>
                      <w:color w:val="auto"/>
                      <w:szCs w:val="21"/>
                      <w:highlight w:val="none"/>
                    </w:rPr>
                  </w:pPr>
                  <w:r>
                    <w:rPr>
                      <w:rFonts w:hint="eastAsia"/>
                      <w:color w:val="auto"/>
                      <w:szCs w:val="21"/>
                      <w:highlight w:val="none"/>
                      <w:lang w:val="en-US" w:eastAsia="zh-CN"/>
                    </w:rPr>
                    <w:t>相符</w:t>
                  </w:r>
                </w:p>
              </w:tc>
            </w:tr>
            <w:tr w14:paraId="535EC42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restart"/>
                  <w:tcBorders>
                    <w:tl2br w:val="nil"/>
                    <w:tr2bl w:val="nil"/>
                  </w:tcBorders>
                  <w:noWrap w:val="0"/>
                  <w:vAlign w:val="center"/>
                </w:tcPr>
                <w:p w14:paraId="65D520E1">
                  <w:pPr>
                    <w:widowControl w:val="0"/>
                    <w:adjustRightInd w:val="0"/>
                    <w:jc w:val="center"/>
                    <w:rPr>
                      <w:color w:val="auto"/>
                      <w:szCs w:val="21"/>
                      <w:highlight w:val="none"/>
                    </w:rPr>
                  </w:pPr>
                  <w:r>
                    <w:rPr>
                      <w:color w:val="auto"/>
                      <w:szCs w:val="21"/>
                      <w:highlight w:val="none"/>
                    </w:rPr>
                    <w:t>VOCs物料储存</w:t>
                  </w:r>
                </w:p>
              </w:tc>
              <w:tc>
                <w:tcPr>
                  <w:tcW w:w="3324" w:type="dxa"/>
                  <w:tcBorders>
                    <w:tl2br w:val="nil"/>
                    <w:tr2bl w:val="nil"/>
                  </w:tcBorders>
                  <w:noWrap w:val="0"/>
                  <w:vAlign w:val="center"/>
                </w:tcPr>
                <w:p w14:paraId="37D93109">
                  <w:pPr>
                    <w:widowControl w:val="0"/>
                    <w:spacing w:line="240" w:lineRule="auto"/>
                    <w:ind w:firstLine="420" w:firstLineChars="200"/>
                    <w:rPr>
                      <w:color w:val="auto"/>
                      <w:szCs w:val="21"/>
                      <w:highlight w:val="none"/>
                    </w:rPr>
                  </w:pPr>
                  <w:r>
                    <w:rPr>
                      <w:color w:val="auto"/>
                      <w:szCs w:val="21"/>
                      <w:highlight w:val="none"/>
                    </w:rPr>
                    <w:t>油漆、稀释剂、清洗剂等含VOCs</w:t>
                  </w:r>
                  <w:r>
                    <w:rPr>
                      <w:rFonts w:hint="eastAsia"/>
                      <w:color w:val="auto"/>
                      <w:szCs w:val="21"/>
                      <w:highlight w:val="none"/>
                    </w:rPr>
                    <w:t>物料应储存于密闭的容器、包装袋、储罐、储库、料仓中。</w:t>
                  </w:r>
                </w:p>
              </w:tc>
              <w:tc>
                <w:tcPr>
                  <w:tcW w:w="800" w:type="dxa"/>
                  <w:tcBorders>
                    <w:tl2br w:val="nil"/>
                    <w:tr2bl w:val="nil"/>
                  </w:tcBorders>
                  <w:noWrap w:val="0"/>
                  <w:vAlign w:val="center"/>
                </w:tcPr>
                <w:p w14:paraId="4A2DE316">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711EDC51">
                  <w:pPr>
                    <w:adjustRightInd w:val="0"/>
                    <w:snapToGrid w:val="0"/>
                    <w:ind w:right="37" w:firstLine="420" w:firstLineChars="200"/>
                    <w:rPr>
                      <w:color w:val="auto"/>
                      <w:szCs w:val="21"/>
                      <w:highlight w:val="none"/>
                    </w:rPr>
                  </w:pPr>
                  <w:r>
                    <w:rPr>
                      <w:rFonts w:hint="eastAsia"/>
                      <w:color w:val="auto"/>
                      <w:szCs w:val="21"/>
                      <w:highlight w:val="none"/>
                      <w:lang w:val="en-US" w:eastAsia="zh-CN"/>
                    </w:rPr>
                    <w:t>电泳漆</w:t>
                  </w:r>
                  <w:r>
                    <w:rPr>
                      <w:rFonts w:hint="eastAsia"/>
                      <w:color w:val="auto"/>
                      <w:szCs w:val="21"/>
                      <w:highlight w:val="none"/>
                    </w:rPr>
                    <w:t>等</w:t>
                  </w:r>
                  <w:r>
                    <w:rPr>
                      <w:color w:val="auto"/>
                      <w:szCs w:val="21"/>
                      <w:highlight w:val="none"/>
                    </w:rPr>
                    <w:t>储存过程均在密闭的容器内。</w:t>
                  </w:r>
                </w:p>
              </w:tc>
              <w:tc>
                <w:tcPr>
                  <w:tcW w:w="700" w:type="dxa"/>
                  <w:tcBorders>
                    <w:tl2br w:val="nil"/>
                    <w:tr2bl w:val="nil"/>
                  </w:tcBorders>
                  <w:noWrap w:val="0"/>
                  <w:vAlign w:val="center"/>
                </w:tcPr>
                <w:p w14:paraId="1D227E37">
                  <w:pPr>
                    <w:widowControl w:val="0"/>
                    <w:adjustRightInd w:val="0"/>
                    <w:jc w:val="center"/>
                    <w:rPr>
                      <w:color w:val="auto"/>
                      <w:szCs w:val="21"/>
                      <w:highlight w:val="none"/>
                    </w:rPr>
                  </w:pPr>
                  <w:r>
                    <w:rPr>
                      <w:rFonts w:hint="eastAsia"/>
                      <w:color w:val="auto"/>
                      <w:szCs w:val="21"/>
                      <w:highlight w:val="none"/>
                      <w:lang w:val="en-US" w:eastAsia="zh-CN"/>
                    </w:rPr>
                    <w:t>相符</w:t>
                  </w:r>
                </w:p>
              </w:tc>
            </w:tr>
            <w:tr w14:paraId="4561186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40E4AF53">
                  <w:pPr>
                    <w:rPr>
                      <w:color w:val="auto"/>
                      <w:szCs w:val="21"/>
                      <w:highlight w:val="none"/>
                    </w:rPr>
                  </w:pPr>
                </w:p>
              </w:tc>
              <w:tc>
                <w:tcPr>
                  <w:tcW w:w="3324" w:type="dxa"/>
                  <w:tcBorders>
                    <w:tl2br w:val="nil"/>
                    <w:tr2bl w:val="nil"/>
                  </w:tcBorders>
                  <w:noWrap w:val="0"/>
                  <w:vAlign w:val="center"/>
                </w:tcPr>
                <w:p w14:paraId="2E7BFADD">
                  <w:pPr>
                    <w:widowControl w:val="0"/>
                    <w:spacing w:line="240" w:lineRule="auto"/>
                    <w:ind w:firstLine="420" w:firstLineChars="200"/>
                    <w:rPr>
                      <w:color w:val="auto"/>
                      <w:szCs w:val="21"/>
                      <w:highlight w:val="none"/>
                    </w:rPr>
                  </w:pPr>
                  <w:r>
                    <w:rPr>
                      <w:color w:val="auto"/>
                      <w:szCs w:val="21"/>
                      <w:highlight w:val="none"/>
                    </w:rPr>
                    <w:t>油漆、稀释剂、清洗剂等盛装VOCs</w:t>
                  </w:r>
                  <w:r>
                    <w:rPr>
                      <w:rFonts w:hint="eastAsia"/>
                      <w:color w:val="auto"/>
                      <w:szCs w:val="21"/>
                      <w:highlight w:val="none"/>
                    </w:rPr>
                    <w:t xml:space="preserve">物料的容器存放于室内，或存放于设置有雨棚、遮阳和防渗设施的专用场地。盛装 </w:t>
                  </w:r>
                  <w:r>
                    <w:rPr>
                      <w:color w:val="auto"/>
                      <w:szCs w:val="21"/>
                      <w:highlight w:val="none"/>
                    </w:rPr>
                    <w:t xml:space="preserve">VOCs </w:t>
                  </w:r>
                  <w:r>
                    <w:rPr>
                      <w:rFonts w:hint="eastAsia"/>
                      <w:color w:val="auto"/>
                      <w:szCs w:val="21"/>
                      <w:highlight w:val="none"/>
                    </w:rPr>
                    <w:t>物料的容器在非取用状态时应加盖、封口，保持密闭。</w:t>
                  </w:r>
                </w:p>
              </w:tc>
              <w:tc>
                <w:tcPr>
                  <w:tcW w:w="800" w:type="dxa"/>
                  <w:tcBorders>
                    <w:tl2br w:val="nil"/>
                    <w:tr2bl w:val="nil"/>
                  </w:tcBorders>
                  <w:noWrap w:val="0"/>
                  <w:vAlign w:val="center"/>
                </w:tcPr>
                <w:p w14:paraId="6586F063">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3EF915F1">
                  <w:pPr>
                    <w:adjustRightInd w:val="0"/>
                    <w:snapToGrid w:val="0"/>
                    <w:ind w:right="37" w:firstLine="420" w:firstLineChars="200"/>
                    <w:rPr>
                      <w:color w:val="auto"/>
                      <w:szCs w:val="21"/>
                      <w:highlight w:val="none"/>
                    </w:rPr>
                  </w:pPr>
                  <w:r>
                    <w:rPr>
                      <w:rFonts w:hint="eastAsia"/>
                      <w:color w:val="auto"/>
                      <w:szCs w:val="21"/>
                      <w:highlight w:val="none"/>
                      <w:lang w:val="en-US" w:eastAsia="zh-CN"/>
                    </w:rPr>
                    <w:t>电泳漆</w:t>
                  </w:r>
                  <w:r>
                    <w:rPr>
                      <w:color w:val="auto"/>
                      <w:szCs w:val="21"/>
                      <w:highlight w:val="none"/>
                    </w:rPr>
                    <w:t>等存放在室内</w:t>
                  </w:r>
                  <w:r>
                    <w:rPr>
                      <w:rFonts w:hint="eastAsia"/>
                      <w:color w:val="auto"/>
                      <w:szCs w:val="21"/>
                      <w:highlight w:val="none"/>
                      <w:lang w:val="en-US" w:eastAsia="zh-CN"/>
                    </w:rPr>
                    <w:t>仓库</w:t>
                  </w:r>
                  <w:r>
                    <w:rPr>
                      <w:color w:val="auto"/>
                      <w:szCs w:val="21"/>
                      <w:highlight w:val="none"/>
                    </w:rPr>
                    <w:t>。</w:t>
                  </w:r>
                </w:p>
              </w:tc>
              <w:tc>
                <w:tcPr>
                  <w:tcW w:w="700" w:type="dxa"/>
                  <w:tcBorders>
                    <w:tl2br w:val="nil"/>
                    <w:tr2bl w:val="nil"/>
                  </w:tcBorders>
                  <w:noWrap w:val="0"/>
                  <w:vAlign w:val="center"/>
                </w:tcPr>
                <w:p w14:paraId="1F61B23F">
                  <w:pPr>
                    <w:widowControl w:val="0"/>
                    <w:adjustRightInd w:val="0"/>
                    <w:jc w:val="center"/>
                    <w:rPr>
                      <w:color w:val="auto"/>
                      <w:szCs w:val="21"/>
                      <w:highlight w:val="none"/>
                    </w:rPr>
                  </w:pPr>
                  <w:r>
                    <w:rPr>
                      <w:rFonts w:hint="eastAsia"/>
                      <w:color w:val="auto"/>
                      <w:szCs w:val="21"/>
                      <w:highlight w:val="none"/>
                      <w:lang w:val="en-US" w:eastAsia="zh-CN"/>
                    </w:rPr>
                    <w:t>相符</w:t>
                  </w:r>
                </w:p>
              </w:tc>
            </w:tr>
            <w:tr w14:paraId="5690712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tcBorders>
                    <w:tl2br w:val="nil"/>
                    <w:tr2bl w:val="nil"/>
                  </w:tcBorders>
                  <w:noWrap w:val="0"/>
                  <w:vAlign w:val="center"/>
                </w:tcPr>
                <w:p w14:paraId="7B342EF4">
                  <w:pPr>
                    <w:widowControl w:val="0"/>
                    <w:adjustRightInd w:val="0"/>
                    <w:jc w:val="center"/>
                    <w:rPr>
                      <w:color w:val="auto"/>
                      <w:szCs w:val="21"/>
                      <w:highlight w:val="none"/>
                    </w:rPr>
                  </w:pPr>
                  <w:r>
                    <w:rPr>
                      <w:color w:val="auto"/>
                      <w:szCs w:val="21"/>
                      <w:highlight w:val="none"/>
                    </w:rPr>
                    <w:t>VOCs物料转移和输送</w:t>
                  </w:r>
                </w:p>
              </w:tc>
              <w:tc>
                <w:tcPr>
                  <w:tcW w:w="3324" w:type="dxa"/>
                  <w:tcBorders>
                    <w:tl2br w:val="nil"/>
                    <w:tr2bl w:val="nil"/>
                  </w:tcBorders>
                  <w:noWrap w:val="0"/>
                  <w:vAlign w:val="center"/>
                </w:tcPr>
                <w:p w14:paraId="16FF3D9B">
                  <w:pPr>
                    <w:widowControl w:val="0"/>
                    <w:spacing w:line="240" w:lineRule="auto"/>
                    <w:ind w:firstLine="420" w:firstLineChars="200"/>
                    <w:rPr>
                      <w:color w:val="auto"/>
                      <w:szCs w:val="21"/>
                      <w:highlight w:val="none"/>
                    </w:rPr>
                  </w:pPr>
                  <w:r>
                    <w:rPr>
                      <w:color w:val="auto"/>
                      <w:szCs w:val="21"/>
                      <w:highlight w:val="none"/>
                    </w:rPr>
                    <w:t>油漆、稀释剂、清洗剂等液体VOCs</w:t>
                  </w:r>
                  <w:r>
                    <w:rPr>
                      <w:rFonts w:hint="eastAsia"/>
                      <w:color w:val="auto"/>
                      <w:szCs w:val="21"/>
                      <w:highlight w:val="none"/>
                    </w:rPr>
                    <w:t>物料应采用管道密闭输送。采用非管道输送方式转移液态</w:t>
                  </w:r>
                  <w:r>
                    <w:rPr>
                      <w:color w:val="auto"/>
                      <w:szCs w:val="21"/>
                      <w:highlight w:val="none"/>
                    </w:rPr>
                    <w:t>VOCs</w:t>
                  </w:r>
                  <w:r>
                    <w:rPr>
                      <w:rFonts w:hint="eastAsia"/>
                      <w:color w:val="auto"/>
                      <w:szCs w:val="21"/>
                      <w:highlight w:val="none"/>
                    </w:rPr>
                    <w:t>物料时，应采用密闭容器或罐车。</w:t>
                  </w:r>
                </w:p>
              </w:tc>
              <w:tc>
                <w:tcPr>
                  <w:tcW w:w="800" w:type="dxa"/>
                  <w:tcBorders>
                    <w:tl2br w:val="nil"/>
                    <w:tr2bl w:val="nil"/>
                  </w:tcBorders>
                  <w:noWrap w:val="0"/>
                  <w:vAlign w:val="center"/>
                </w:tcPr>
                <w:p w14:paraId="66274706">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16196522">
                  <w:pPr>
                    <w:adjustRightInd w:val="0"/>
                    <w:snapToGrid w:val="0"/>
                    <w:ind w:right="37" w:firstLine="420" w:firstLineChars="200"/>
                    <w:rPr>
                      <w:color w:val="auto"/>
                      <w:szCs w:val="21"/>
                      <w:highlight w:val="none"/>
                    </w:rPr>
                  </w:pPr>
                  <w:r>
                    <w:rPr>
                      <w:color w:val="auto"/>
                      <w:szCs w:val="21"/>
                      <w:highlight w:val="none"/>
                    </w:rPr>
                    <w:t>采用密闭容器在密闭设备内转移及操作。</w:t>
                  </w:r>
                </w:p>
              </w:tc>
              <w:tc>
                <w:tcPr>
                  <w:tcW w:w="700" w:type="dxa"/>
                  <w:tcBorders>
                    <w:tl2br w:val="nil"/>
                    <w:tr2bl w:val="nil"/>
                  </w:tcBorders>
                  <w:noWrap w:val="0"/>
                  <w:vAlign w:val="center"/>
                </w:tcPr>
                <w:p w14:paraId="33334D54">
                  <w:pPr>
                    <w:widowControl w:val="0"/>
                    <w:adjustRightInd w:val="0"/>
                    <w:jc w:val="center"/>
                    <w:rPr>
                      <w:color w:val="auto"/>
                      <w:szCs w:val="21"/>
                      <w:highlight w:val="none"/>
                    </w:rPr>
                  </w:pPr>
                  <w:r>
                    <w:rPr>
                      <w:rFonts w:hint="eastAsia"/>
                      <w:color w:val="auto"/>
                      <w:szCs w:val="21"/>
                      <w:highlight w:val="none"/>
                      <w:lang w:val="en-US" w:eastAsia="zh-CN"/>
                    </w:rPr>
                    <w:t>相符</w:t>
                  </w:r>
                </w:p>
              </w:tc>
            </w:tr>
            <w:tr w14:paraId="0079072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tcBorders>
                    <w:tl2br w:val="nil"/>
                    <w:tr2bl w:val="nil"/>
                  </w:tcBorders>
                  <w:noWrap w:val="0"/>
                  <w:vAlign w:val="center"/>
                </w:tcPr>
                <w:p w14:paraId="2E1E96A4">
                  <w:pPr>
                    <w:widowControl w:val="0"/>
                    <w:adjustRightInd w:val="0"/>
                    <w:jc w:val="center"/>
                    <w:rPr>
                      <w:color w:val="auto"/>
                      <w:szCs w:val="21"/>
                      <w:highlight w:val="none"/>
                    </w:rPr>
                  </w:pPr>
                  <w:r>
                    <w:rPr>
                      <w:rFonts w:hint="eastAsia"/>
                      <w:color w:val="auto"/>
                      <w:szCs w:val="21"/>
                      <w:highlight w:val="none"/>
                    </w:rPr>
                    <w:t>涂装工艺</w:t>
                  </w:r>
                </w:p>
              </w:tc>
              <w:tc>
                <w:tcPr>
                  <w:tcW w:w="3324" w:type="dxa"/>
                  <w:tcBorders>
                    <w:tl2br w:val="nil"/>
                    <w:tr2bl w:val="nil"/>
                  </w:tcBorders>
                  <w:noWrap w:val="0"/>
                  <w:vAlign w:val="center"/>
                </w:tcPr>
                <w:p w14:paraId="0B2BCA6B">
                  <w:pPr>
                    <w:widowControl w:val="0"/>
                    <w:spacing w:line="240" w:lineRule="auto"/>
                    <w:ind w:firstLine="420" w:firstLineChars="200"/>
                    <w:rPr>
                      <w:color w:val="auto"/>
                      <w:kern w:val="2"/>
                      <w:sz w:val="21"/>
                      <w:szCs w:val="21"/>
                      <w:highlight w:val="none"/>
                      <w:lang w:val="en-US" w:eastAsia="zh-CN" w:bidi="ar-SA"/>
                    </w:rPr>
                  </w:pPr>
                  <w:r>
                    <w:rPr>
                      <w:color w:val="auto"/>
                      <w:szCs w:val="21"/>
                      <w:highlight w:val="none"/>
                    </w:rPr>
                    <w:t>工程机械制造要提高室内涂装比例，鼓励采用自动喷涂、静电喷涂等技术。</w:t>
                  </w:r>
                </w:p>
              </w:tc>
              <w:tc>
                <w:tcPr>
                  <w:tcW w:w="800" w:type="dxa"/>
                  <w:tcBorders>
                    <w:tl2br w:val="nil"/>
                    <w:tr2bl w:val="nil"/>
                  </w:tcBorders>
                  <w:noWrap w:val="0"/>
                  <w:vAlign w:val="center"/>
                </w:tcPr>
                <w:p w14:paraId="507B82F6">
                  <w:pPr>
                    <w:widowControl w:val="0"/>
                    <w:adjustRightInd w:val="0"/>
                    <w:jc w:val="center"/>
                    <w:rPr>
                      <w:rFonts w:hint="eastAsia"/>
                      <w:color w:val="auto"/>
                      <w:kern w:val="2"/>
                      <w:sz w:val="21"/>
                      <w:szCs w:val="21"/>
                      <w:highlight w:val="none"/>
                      <w:lang w:val="en-US" w:eastAsia="zh-CN" w:bidi="ar-SA"/>
                    </w:rPr>
                  </w:pPr>
                  <w:r>
                    <w:rPr>
                      <w:rFonts w:hint="eastAsia"/>
                      <w:color w:val="auto"/>
                      <w:szCs w:val="21"/>
                      <w:highlight w:val="none"/>
                    </w:rPr>
                    <w:t>推荐</w:t>
                  </w:r>
                </w:p>
              </w:tc>
              <w:tc>
                <w:tcPr>
                  <w:tcW w:w="3393" w:type="dxa"/>
                  <w:tcBorders>
                    <w:tl2br w:val="nil"/>
                    <w:tr2bl w:val="nil"/>
                  </w:tcBorders>
                  <w:noWrap w:val="0"/>
                  <w:vAlign w:val="center"/>
                </w:tcPr>
                <w:p w14:paraId="629D074D">
                  <w:pPr>
                    <w:adjustRightInd w:val="0"/>
                    <w:snapToGrid w:val="0"/>
                    <w:ind w:right="37" w:rightChars="0" w:firstLine="420" w:firstLineChars="200"/>
                    <w:rPr>
                      <w:rFonts w:hint="default"/>
                      <w:color w:val="auto"/>
                      <w:kern w:val="2"/>
                      <w:sz w:val="21"/>
                      <w:szCs w:val="21"/>
                      <w:highlight w:val="none"/>
                      <w:lang w:val="en-US" w:eastAsia="zh-CN" w:bidi="ar-SA"/>
                    </w:rPr>
                  </w:pPr>
                  <w:r>
                    <w:rPr>
                      <w:rFonts w:hint="eastAsia"/>
                      <w:color w:val="auto"/>
                      <w:szCs w:val="21"/>
                      <w:highlight w:val="none"/>
                      <w:lang w:val="en-US" w:eastAsia="zh-CN"/>
                    </w:rPr>
                    <w:t>本项目电泳采用自动电泳上漆技术。</w:t>
                  </w:r>
                </w:p>
              </w:tc>
              <w:tc>
                <w:tcPr>
                  <w:tcW w:w="700" w:type="dxa"/>
                  <w:tcBorders>
                    <w:tl2br w:val="nil"/>
                    <w:tr2bl w:val="nil"/>
                  </w:tcBorders>
                  <w:noWrap w:val="0"/>
                  <w:vAlign w:val="center"/>
                </w:tcPr>
                <w:p w14:paraId="43C18CED">
                  <w:pPr>
                    <w:widowControl w:val="0"/>
                    <w:adjustRightInd w:val="0"/>
                    <w:jc w:val="center"/>
                    <w:rPr>
                      <w:color w:val="auto"/>
                      <w:kern w:val="2"/>
                      <w:sz w:val="21"/>
                      <w:szCs w:val="21"/>
                      <w:highlight w:val="none"/>
                      <w:lang w:val="en-US" w:eastAsia="zh-CN" w:bidi="ar-SA"/>
                    </w:rPr>
                  </w:pPr>
                  <w:r>
                    <w:rPr>
                      <w:rFonts w:hint="eastAsia"/>
                      <w:color w:val="auto"/>
                      <w:szCs w:val="21"/>
                      <w:highlight w:val="none"/>
                      <w:lang w:val="en-US" w:eastAsia="zh-CN"/>
                    </w:rPr>
                    <w:t>相符</w:t>
                  </w:r>
                </w:p>
              </w:tc>
            </w:tr>
            <w:tr w14:paraId="42E5F53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restart"/>
                  <w:tcBorders>
                    <w:tl2br w:val="nil"/>
                    <w:tr2bl w:val="nil"/>
                  </w:tcBorders>
                  <w:noWrap w:val="0"/>
                  <w:vAlign w:val="center"/>
                </w:tcPr>
                <w:p w14:paraId="122903F0">
                  <w:pPr>
                    <w:widowControl w:val="0"/>
                    <w:adjustRightInd w:val="0"/>
                    <w:jc w:val="center"/>
                    <w:rPr>
                      <w:color w:val="auto"/>
                      <w:szCs w:val="21"/>
                      <w:highlight w:val="none"/>
                    </w:rPr>
                  </w:pPr>
                  <w:r>
                    <w:rPr>
                      <w:color w:val="auto"/>
                      <w:szCs w:val="21"/>
                      <w:highlight w:val="none"/>
                    </w:rPr>
                    <w:t>工艺过程</w:t>
                  </w:r>
                </w:p>
              </w:tc>
              <w:tc>
                <w:tcPr>
                  <w:tcW w:w="3324" w:type="dxa"/>
                  <w:tcBorders>
                    <w:tl2br w:val="nil"/>
                    <w:tr2bl w:val="nil"/>
                  </w:tcBorders>
                  <w:noWrap w:val="0"/>
                  <w:vAlign w:val="center"/>
                </w:tcPr>
                <w:p w14:paraId="5E90C05B">
                  <w:pPr>
                    <w:widowControl w:val="0"/>
                    <w:spacing w:line="240" w:lineRule="auto"/>
                    <w:ind w:firstLine="420" w:firstLineChars="200"/>
                    <w:rPr>
                      <w:color w:val="auto"/>
                      <w:szCs w:val="21"/>
                      <w:highlight w:val="none"/>
                    </w:rPr>
                  </w:pPr>
                  <w:r>
                    <w:rPr>
                      <w:color w:val="auto"/>
                      <w:szCs w:val="21"/>
                      <w:highlight w:val="none"/>
                    </w:rPr>
                    <w:t>调配、电泳、电泳烘干、喷涂（低、中、面、清）、喷涂烘干、修补漆、修补漆烘干等使用VOCs</w:t>
                  </w:r>
                  <w:r>
                    <w:rPr>
                      <w:rFonts w:hint="eastAsia"/>
                      <w:color w:val="auto"/>
                      <w:szCs w:val="21"/>
                      <w:highlight w:val="none"/>
                    </w:rPr>
                    <w:t>质量占比大于等于</w:t>
                  </w:r>
                  <w:r>
                    <w:rPr>
                      <w:color w:val="auto"/>
                      <w:szCs w:val="21"/>
                      <w:highlight w:val="none"/>
                    </w:rPr>
                    <w:t>10%</w:t>
                  </w:r>
                  <w:r>
                    <w:rPr>
                      <w:rFonts w:hint="eastAsia"/>
                      <w:color w:val="auto"/>
                      <w:szCs w:val="21"/>
                      <w:highlight w:val="none"/>
                    </w:rPr>
                    <w:t>物料的工艺过程应采用密闭设备或在密闭空间内操作，废气应排至</w:t>
                  </w:r>
                  <w:r>
                    <w:rPr>
                      <w:color w:val="auto"/>
                      <w:szCs w:val="21"/>
                      <w:highlight w:val="none"/>
                    </w:rPr>
                    <w:t>VOCs</w:t>
                  </w:r>
                  <w:r>
                    <w:rPr>
                      <w:rFonts w:hint="eastAsia"/>
                      <w:color w:val="auto"/>
                      <w:szCs w:val="21"/>
                      <w:highlight w:val="none"/>
                    </w:rPr>
                    <w:t>废气收集处理系统；无法密闭的，应采取局部气体收集措施，废气排至</w:t>
                  </w:r>
                  <w:r>
                    <w:rPr>
                      <w:color w:val="auto"/>
                      <w:szCs w:val="21"/>
                      <w:highlight w:val="none"/>
                    </w:rPr>
                    <w:t>VOCs</w:t>
                  </w:r>
                  <w:r>
                    <w:rPr>
                      <w:rFonts w:hint="eastAsia"/>
                      <w:color w:val="auto"/>
                      <w:szCs w:val="21"/>
                      <w:highlight w:val="none"/>
                    </w:rPr>
                    <w:t>废气收集处理系统。</w:t>
                  </w:r>
                </w:p>
              </w:tc>
              <w:tc>
                <w:tcPr>
                  <w:tcW w:w="800" w:type="dxa"/>
                  <w:tcBorders>
                    <w:tl2br w:val="nil"/>
                    <w:tr2bl w:val="nil"/>
                  </w:tcBorders>
                  <w:noWrap w:val="0"/>
                  <w:vAlign w:val="center"/>
                </w:tcPr>
                <w:p w14:paraId="098B905C">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7A4CC3A6">
                  <w:pPr>
                    <w:adjustRightInd w:val="0"/>
                    <w:snapToGrid w:val="0"/>
                    <w:ind w:right="37" w:firstLine="420" w:firstLineChars="200"/>
                    <w:rPr>
                      <w:color w:val="auto"/>
                      <w:szCs w:val="21"/>
                      <w:highlight w:val="none"/>
                    </w:rPr>
                  </w:pPr>
                  <w:r>
                    <w:rPr>
                      <w:color w:val="auto"/>
                      <w:szCs w:val="21"/>
                      <w:highlight w:val="none"/>
                    </w:rPr>
                    <w:t>采用密闭容器在密闭</w:t>
                  </w:r>
                  <w:r>
                    <w:rPr>
                      <w:rFonts w:hint="eastAsia"/>
                      <w:color w:val="auto"/>
                      <w:szCs w:val="21"/>
                      <w:highlight w:val="none"/>
                      <w:lang w:val="en-US" w:eastAsia="zh-CN"/>
                    </w:rPr>
                    <w:t>间</w:t>
                  </w:r>
                  <w:r>
                    <w:rPr>
                      <w:color w:val="auto"/>
                      <w:szCs w:val="21"/>
                      <w:highlight w:val="none"/>
                    </w:rPr>
                    <w:t>内转移及操作，</w:t>
                  </w:r>
                  <w:r>
                    <w:rPr>
                      <w:rFonts w:hint="eastAsia"/>
                      <w:color w:val="auto"/>
                      <w:szCs w:val="21"/>
                      <w:highlight w:val="none"/>
                      <w:lang w:val="en-US" w:eastAsia="zh-CN"/>
                    </w:rPr>
                    <w:t>废气经密闭间收集后</w:t>
                  </w:r>
                  <w:r>
                    <w:rPr>
                      <w:color w:val="auto"/>
                      <w:szCs w:val="21"/>
                      <w:highlight w:val="none"/>
                    </w:rPr>
                    <w:t>，排至废气收集处理系统。</w:t>
                  </w:r>
                </w:p>
              </w:tc>
              <w:tc>
                <w:tcPr>
                  <w:tcW w:w="700" w:type="dxa"/>
                  <w:tcBorders>
                    <w:tl2br w:val="nil"/>
                    <w:tr2bl w:val="nil"/>
                  </w:tcBorders>
                  <w:noWrap w:val="0"/>
                  <w:vAlign w:val="center"/>
                </w:tcPr>
                <w:p w14:paraId="4C3C5F7E">
                  <w:pPr>
                    <w:widowControl w:val="0"/>
                    <w:adjustRightInd w:val="0"/>
                    <w:jc w:val="center"/>
                    <w:rPr>
                      <w:color w:val="auto"/>
                      <w:szCs w:val="21"/>
                      <w:highlight w:val="none"/>
                    </w:rPr>
                  </w:pPr>
                  <w:r>
                    <w:rPr>
                      <w:rFonts w:hint="eastAsia"/>
                      <w:color w:val="auto"/>
                      <w:szCs w:val="21"/>
                      <w:highlight w:val="none"/>
                      <w:lang w:val="en-US" w:eastAsia="zh-CN"/>
                    </w:rPr>
                    <w:t>相符</w:t>
                  </w:r>
                </w:p>
              </w:tc>
            </w:tr>
            <w:tr w14:paraId="548D991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24926660">
                  <w:pPr>
                    <w:widowControl w:val="0"/>
                    <w:adjustRightInd w:val="0"/>
                    <w:jc w:val="center"/>
                    <w:rPr>
                      <w:color w:val="auto"/>
                      <w:szCs w:val="21"/>
                      <w:highlight w:val="none"/>
                    </w:rPr>
                  </w:pPr>
                </w:p>
              </w:tc>
              <w:tc>
                <w:tcPr>
                  <w:tcW w:w="3324" w:type="dxa"/>
                  <w:tcBorders>
                    <w:tl2br w:val="nil"/>
                    <w:tr2bl w:val="nil"/>
                  </w:tcBorders>
                  <w:noWrap w:val="0"/>
                  <w:vAlign w:val="center"/>
                </w:tcPr>
                <w:p w14:paraId="727A9192">
                  <w:pPr>
                    <w:widowControl w:val="0"/>
                    <w:spacing w:line="240" w:lineRule="auto"/>
                    <w:ind w:firstLine="420" w:firstLineChars="200"/>
                    <w:rPr>
                      <w:color w:val="auto"/>
                      <w:szCs w:val="21"/>
                      <w:highlight w:val="none"/>
                    </w:rPr>
                  </w:pPr>
                  <w:r>
                    <w:rPr>
                      <w:color w:val="auto"/>
                      <w:szCs w:val="21"/>
                      <w:highlight w:val="none"/>
                    </w:rPr>
                    <w:t>整车制造企业有机废气收集效率不低于90%</w:t>
                  </w:r>
                  <w:r>
                    <w:rPr>
                      <w:rFonts w:hint="eastAsia"/>
                      <w:color w:val="auto"/>
                      <w:szCs w:val="21"/>
                      <w:highlight w:val="none"/>
                    </w:rPr>
                    <w:t>，其他汽车制造企业不低于</w:t>
                  </w:r>
                  <w:r>
                    <w:rPr>
                      <w:color w:val="auto"/>
                      <w:szCs w:val="21"/>
                      <w:highlight w:val="none"/>
                    </w:rPr>
                    <w:t>80%。</w:t>
                  </w:r>
                </w:p>
              </w:tc>
              <w:tc>
                <w:tcPr>
                  <w:tcW w:w="800" w:type="dxa"/>
                  <w:tcBorders>
                    <w:tl2br w:val="nil"/>
                    <w:tr2bl w:val="nil"/>
                  </w:tcBorders>
                  <w:noWrap w:val="0"/>
                  <w:vAlign w:val="center"/>
                </w:tcPr>
                <w:p w14:paraId="5222C2A5">
                  <w:pPr>
                    <w:widowControl w:val="0"/>
                    <w:adjustRightInd w:val="0"/>
                    <w:jc w:val="center"/>
                    <w:rPr>
                      <w:rFonts w:hint="eastAsia"/>
                      <w:color w:val="auto"/>
                      <w:szCs w:val="21"/>
                      <w:highlight w:val="none"/>
                    </w:rPr>
                  </w:pPr>
                  <w:r>
                    <w:rPr>
                      <w:rFonts w:hint="eastAsia"/>
                      <w:color w:val="auto"/>
                      <w:szCs w:val="21"/>
                      <w:highlight w:val="none"/>
                    </w:rPr>
                    <w:t>推荐</w:t>
                  </w:r>
                </w:p>
              </w:tc>
              <w:tc>
                <w:tcPr>
                  <w:tcW w:w="3393" w:type="dxa"/>
                  <w:tcBorders>
                    <w:tl2br w:val="nil"/>
                    <w:tr2bl w:val="nil"/>
                  </w:tcBorders>
                  <w:noWrap w:val="0"/>
                  <w:vAlign w:val="center"/>
                </w:tcPr>
                <w:p w14:paraId="395AC928">
                  <w:pPr>
                    <w:adjustRightInd w:val="0"/>
                    <w:snapToGrid w:val="0"/>
                    <w:ind w:right="37" w:firstLine="420" w:firstLineChars="200"/>
                    <w:rPr>
                      <w:rFonts w:hint="default" w:eastAsia="宋体"/>
                      <w:color w:val="auto"/>
                      <w:szCs w:val="21"/>
                      <w:highlight w:val="none"/>
                      <w:lang w:val="en-US" w:eastAsia="zh-CN"/>
                    </w:rPr>
                  </w:pPr>
                  <w:r>
                    <w:rPr>
                      <w:rFonts w:hint="eastAsia"/>
                      <w:color w:val="auto"/>
                      <w:szCs w:val="21"/>
                      <w:highlight w:val="none"/>
                      <w:lang w:val="en-US" w:eastAsia="zh-CN"/>
                    </w:rPr>
                    <w:t>本项目不属于汽车制造企业，参照执行，本项目有机废气经密闭间收集，收集效率可达90%。</w:t>
                  </w:r>
                </w:p>
              </w:tc>
              <w:tc>
                <w:tcPr>
                  <w:tcW w:w="700" w:type="dxa"/>
                  <w:tcBorders>
                    <w:tl2br w:val="nil"/>
                    <w:tr2bl w:val="nil"/>
                  </w:tcBorders>
                  <w:noWrap w:val="0"/>
                  <w:vAlign w:val="center"/>
                </w:tcPr>
                <w:p w14:paraId="5D77AB5D">
                  <w:pPr>
                    <w:widowControl w:val="0"/>
                    <w:adjustRightInd w:val="0"/>
                    <w:jc w:val="center"/>
                    <w:rPr>
                      <w:rFonts w:hint="eastAsia"/>
                      <w:color w:val="auto"/>
                      <w:szCs w:val="21"/>
                      <w:highlight w:val="none"/>
                    </w:rPr>
                  </w:pPr>
                  <w:r>
                    <w:rPr>
                      <w:rFonts w:hint="eastAsia"/>
                      <w:color w:val="auto"/>
                      <w:szCs w:val="21"/>
                      <w:highlight w:val="none"/>
                      <w:lang w:val="en-US" w:eastAsia="zh-CN"/>
                    </w:rPr>
                    <w:t>相符</w:t>
                  </w:r>
                </w:p>
              </w:tc>
            </w:tr>
            <w:tr w14:paraId="4FED15F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restart"/>
                  <w:tcBorders>
                    <w:tl2br w:val="nil"/>
                    <w:tr2bl w:val="nil"/>
                  </w:tcBorders>
                  <w:noWrap w:val="0"/>
                  <w:vAlign w:val="center"/>
                </w:tcPr>
                <w:p w14:paraId="039141CA">
                  <w:pPr>
                    <w:widowControl w:val="0"/>
                    <w:adjustRightInd w:val="0"/>
                    <w:jc w:val="center"/>
                    <w:rPr>
                      <w:rFonts w:hint="eastAsia"/>
                      <w:color w:val="auto"/>
                      <w:szCs w:val="21"/>
                      <w:highlight w:val="none"/>
                    </w:rPr>
                  </w:pPr>
                  <w:r>
                    <w:rPr>
                      <w:rFonts w:hint="eastAsia"/>
                      <w:color w:val="auto"/>
                      <w:szCs w:val="21"/>
                      <w:highlight w:val="none"/>
                    </w:rPr>
                    <w:t>废气收集</w:t>
                  </w:r>
                </w:p>
              </w:tc>
              <w:tc>
                <w:tcPr>
                  <w:tcW w:w="3324" w:type="dxa"/>
                  <w:tcBorders>
                    <w:tl2br w:val="nil"/>
                    <w:tr2bl w:val="nil"/>
                  </w:tcBorders>
                  <w:noWrap w:val="0"/>
                  <w:vAlign w:val="center"/>
                </w:tcPr>
                <w:p w14:paraId="593CE311">
                  <w:pPr>
                    <w:widowControl w:val="0"/>
                    <w:spacing w:line="240" w:lineRule="auto"/>
                    <w:ind w:firstLine="420" w:firstLineChars="200"/>
                    <w:rPr>
                      <w:color w:val="auto"/>
                      <w:szCs w:val="21"/>
                      <w:highlight w:val="none"/>
                    </w:rPr>
                  </w:pPr>
                  <w:r>
                    <w:rPr>
                      <w:color w:val="auto"/>
                      <w:szCs w:val="21"/>
                      <w:highlight w:val="none"/>
                    </w:rPr>
                    <w:t>废气收集系统的输送管道应密闭。废气收集系统应在负压下运行，若处于正压状态，应对管</w:t>
                  </w:r>
                  <w:r>
                    <w:rPr>
                      <w:rFonts w:hint="eastAsia"/>
                      <w:color w:val="auto"/>
                      <w:szCs w:val="21"/>
                      <w:highlight w:val="none"/>
                    </w:rPr>
                    <w:t>道组件的密封点进行泄漏检测，泄漏检测值不应超过</w:t>
                  </w:r>
                  <w:r>
                    <w:rPr>
                      <w:color w:val="auto"/>
                      <w:szCs w:val="21"/>
                      <w:highlight w:val="none"/>
                    </w:rPr>
                    <w:t>500μmol/mol</w:t>
                  </w:r>
                  <w:r>
                    <w:rPr>
                      <w:rFonts w:hint="eastAsia"/>
                      <w:color w:val="auto"/>
                      <w:szCs w:val="21"/>
                      <w:highlight w:val="none"/>
                    </w:rPr>
                    <w:t>，亦不应有感官可察觉泄漏。</w:t>
                  </w:r>
                </w:p>
              </w:tc>
              <w:tc>
                <w:tcPr>
                  <w:tcW w:w="800" w:type="dxa"/>
                  <w:tcBorders>
                    <w:tl2br w:val="nil"/>
                    <w:tr2bl w:val="nil"/>
                  </w:tcBorders>
                  <w:noWrap w:val="0"/>
                  <w:vAlign w:val="center"/>
                </w:tcPr>
                <w:p w14:paraId="3A2A1095">
                  <w:pPr>
                    <w:widowControl w:val="0"/>
                    <w:adjustRightInd w:val="0"/>
                    <w:jc w:val="center"/>
                    <w:rPr>
                      <w:color w:val="auto"/>
                      <w:szCs w:val="21"/>
                      <w:highlight w:val="none"/>
                    </w:rPr>
                  </w:pPr>
                  <w:r>
                    <w:rPr>
                      <w:rFonts w:hint="eastAsia"/>
                      <w:color w:val="auto"/>
                      <w:szCs w:val="21"/>
                      <w:highlight w:val="none"/>
                    </w:rPr>
                    <w:t>要求</w:t>
                  </w:r>
                </w:p>
              </w:tc>
              <w:tc>
                <w:tcPr>
                  <w:tcW w:w="3393" w:type="dxa"/>
                  <w:tcBorders>
                    <w:tl2br w:val="nil"/>
                    <w:tr2bl w:val="nil"/>
                  </w:tcBorders>
                  <w:noWrap w:val="0"/>
                  <w:vAlign w:val="center"/>
                </w:tcPr>
                <w:p w14:paraId="0501DEC0">
                  <w:pPr>
                    <w:adjustRightInd w:val="0"/>
                    <w:snapToGrid w:val="0"/>
                    <w:ind w:right="37" w:firstLine="420" w:firstLineChars="200"/>
                    <w:rPr>
                      <w:rFonts w:hint="default" w:eastAsia="宋体"/>
                      <w:color w:val="auto"/>
                      <w:szCs w:val="21"/>
                      <w:highlight w:val="none"/>
                      <w:lang w:val="en-US" w:eastAsia="zh-CN"/>
                    </w:rPr>
                  </w:pPr>
                  <w:r>
                    <w:rPr>
                      <w:rFonts w:hint="eastAsia"/>
                      <w:color w:val="auto"/>
                      <w:szCs w:val="21"/>
                      <w:highlight w:val="none"/>
                      <w:lang w:val="en-US" w:eastAsia="zh-CN"/>
                    </w:rPr>
                    <w:t>本项目有机废气经密闭间收集。</w:t>
                  </w:r>
                </w:p>
              </w:tc>
              <w:tc>
                <w:tcPr>
                  <w:tcW w:w="700" w:type="dxa"/>
                  <w:tcBorders>
                    <w:tl2br w:val="nil"/>
                    <w:tr2bl w:val="nil"/>
                  </w:tcBorders>
                  <w:noWrap w:val="0"/>
                  <w:vAlign w:val="center"/>
                </w:tcPr>
                <w:p w14:paraId="7338A2AF">
                  <w:pPr>
                    <w:widowControl w:val="0"/>
                    <w:adjustRightInd w:val="0"/>
                    <w:jc w:val="center"/>
                    <w:rPr>
                      <w:rFonts w:hint="eastAsia"/>
                      <w:color w:val="auto"/>
                      <w:szCs w:val="21"/>
                      <w:highlight w:val="none"/>
                    </w:rPr>
                  </w:pPr>
                  <w:r>
                    <w:rPr>
                      <w:rFonts w:hint="eastAsia"/>
                      <w:color w:val="auto"/>
                      <w:szCs w:val="21"/>
                      <w:highlight w:val="none"/>
                      <w:lang w:val="en-US" w:eastAsia="zh-CN"/>
                    </w:rPr>
                    <w:t>相符</w:t>
                  </w:r>
                </w:p>
              </w:tc>
            </w:tr>
            <w:tr w14:paraId="6D66F93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3F1C030D">
                  <w:pPr>
                    <w:rPr>
                      <w:color w:val="auto"/>
                      <w:szCs w:val="21"/>
                      <w:highlight w:val="none"/>
                    </w:rPr>
                  </w:pPr>
                </w:p>
              </w:tc>
              <w:tc>
                <w:tcPr>
                  <w:tcW w:w="3324" w:type="dxa"/>
                  <w:tcBorders>
                    <w:tl2br w:val="nil"/>
                    <w:tr2bl w:val="nil"/>
                  </w:tcBorders>
                  <w:noWrap w:val="0"/>
                  <w:vAlign w:val="center"/>
                </w:tcPr>
                <w:p w14:paraId="75F479F5">
                  <w:pPr>
                    <w:widowControl w:val="0"/>
                    <w:spacing w:line="240" w:lineRule="auto"/>
                    <w:ind w:firstLine="420" w:firstLineChars="200"/>
                    <w:rPr>
                      <w:color w:val="auto"/>
                      <w:szCs w:val="21"/>
                      <w:highlight w:val="none"/>
                    </w:rPr>
                  </w:pPr>
                  <w:r>
                    <w:rPr>
                      <w:color w:val="auto"/>
                      <w:szCs w:val="21"/>
                      <w:highlight w:val="none"/>
                    </w:rPr>
                    <w:t>采用外部集气罩的，距集气罩开口面最远处的VOCs</w:t>
                  </w:r>
                  <w:r>
                    <w:rPr>
                      <w:rFonts w:hint="eastAsia"/>
                      <w:color w:val="auto"/>
                      <w:szCs w:val="21"/>
                      <w:highlight w:val="none"/>
                    </w:rPr>
                    <w:t>无组织排放位置，控制风速不低于</w:t>
                  </w:r>
                  <w:r>
                    <w:rPr>
                      <w:color w:val="auto"/>
                      <w:szCs w:val="21"/>
                      <w:highlight w:val="none"/>
                    </w:rPr>
                    <w:t>0.3m/s</w:t>
                  </w:r>
                  <w:r>
                    <w:rPr>
                      <w:rFonts w:hint="eastAsia"/>
                      <w:color w:val="auto"/>
                      <w:szCs w:val="21"/>
                      <w:highlight w:val="none"/>
                    </w:rPr>
                    <w:t>，有行业要求的按相关规定执行。</w:t>
                  </w:r>
                </w:p>
              </w:tc>
              <w:tc>
                <w:tcPr>
                  <w:tcW w:w="800" w:type="dxa"/>
                  <w:tcBorders>
                    <w:tl2br w:val="nil"/>
                    <w:tr2bl w:val="nil"/>
                  </w:tcBorders>
                  <w:noWrap w:val="0"/>
                  <w:vAlign w:val="center"/>
                </w:tcPr>
                <w:p w14:paraId="7BC6F59A">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6067F0BC">
                  <w:pPr>
                    <w:adjustRightInd w:val="0"/>
                    <w:snapToGrid w:val="0"/>
                    <w:ind w:right="37" w:firstLine="420" w:firstLineChars="200"/>
                    <w:rPr>
                      <w:color w:val="auto"/>
                      <w:szCs w:val="21"/>
                      <w:highlight w:val="none"/>
                    </w:rPr>
                  </w:pPr>
                  <w:r>
                    <w:rPr>
                      <w:rFonts w:hint="eastAsia"/>
                      <w:color w:val="auto"/>
                      <w:szCs w:val="21"/>
                      <w:highlight w:val="none"/>
                      <w:lang w:val="en-US" w:eastAsia="zh-CN"/>
                    </w:rPr>
                    <w:t>本项目有机废气经密闭间收集</w:t>
                  </w:r>
                  <w:r>
                    <w:rPr>
                      <w:color w:val="auto"/>
                      <w:szCs w:val="21"/>
                      <w:highlight w:val="none"/>
                    </w:rPr>
                    <w:t>。</w:t>
                  </w:r>
                </w:p>
              </w:tc>
              <w:tc>
                <w:tcPr>
                  <w:tcW w:w="700" w:type="dxa"/>
                  <w:tcBorders>
                    <w:tl2br w:val="nil"/>
                    <w:tr2bl w:val="nil"/>
                  </w:tcBorders>
                  <w:noWrap w:val="0"/>
                  <w:vAlign w:val="center"/>
                </w:tcPr>
                <w:p w14:paraId="5CB58C41">
                  <w:pPr>
                    <w:widowControl w:val="0"/>
                    <w:adjustRightInd w:val="0"/>
                    <w:jc w:val="center"/>
                    <w:rPr>
                      <w:color w:val="auto"/>
                      <w:szCs w:val="21"/>
                      <w:highlight w:val="none"/>
                    </w:rPr>
                  </w:pPr>
                  <w:r>
                    <w:rPr>
                      <w:rFonts w:hint="eastAsia"/>
                      <w:color w:val="auto"/>
                      <w:szCs w:val="21"/>
                      <w:highlight w:val="none"/>
                      <w:lang w:val="en-US" w:eastAsia="zh-CN"/>
                    </w:rPr>
                    <w:t>相符</w:t>
                  </w:r>
                </w:p>
              </w:tc>
            </w:tr>
            <w:tr w14:paraId="40FF923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25D44BDF">
                  <w:pPr>
                    <w:rPr>
                      <w:color w:val="auto"/>
                      <w:szCs w:val="21"/>
                      <w:highlight w:val="none"/>
                    </w:rPr>
                  </w:pPr>
                </w:p>
              </w:tc>
              <w:tc>
                <w:tcPr>
                  <w:tcW w:w="3324" w:type="dxa"/>
                  <w:tcBorders>
                    <w:tl2br w:val="nil"/>
                    <w:tr2bl w:val="nil"/>
                  </w:tcBorders>
                  <w:noWrap w:val="0"/>
                  <w:vAlign w:val="center"/>
                </w:tcPr>
                <w:p w14:paraId="50453B9F">
                  <w:pPr>
                    <w:widowControl w:val="0"/>
                    <w:spacing w:line="240" w:lineRule="auto"/>
                    <w:ind w:firstLine="420" w:firstLineChars="200"/>
                    <w:rPr>
                      <w:color w:val="auto"/>
                      <w:szCs w:val="21"/>
                      <w:highlight w:val="none"/>
                    </w:rPr>
                  </w:pPr>
                  <w:r>
                    <w:rPr>
                      <w:color w:val="auto"/>
                      <w:szCs w:val="21"/>
                      <w:highlight w:val="none"/>
                    </w:rPr>
                    <w:t>废气收集系统应与生产工艺设备同步运行。废气处理系统发生故障或检修时，对应的生产工</w:t>
                  </w:r>
                  <w:r>
                    <w:rPr>
                      <w:rFonts w:hint="eastAsia"/>
                      <w:color w:val="auto"/>
                      <w:szCs w:val="21"/>
                      <w:highlight w:val="none"/>
                    </w:rPr>
                    <w:t>艺设备应停止运行，待检修完毕后同步投入使用；生产工艺设备不能停止运行或不能及时停止运行的，应设置废气应急处理设施或采取其他代替措施。</w:t>
                  </w:r>
                </w:p>
              </w:tc>
              <w:tc>
                <w:tcPr>
                  <w:tcW w:w="800" w:type="dxa"/>
                  <w:tcBorders>
                    <w:tl2br w:val="nil"/>
                    <w:tr2bl w:val="nil"/>
                  </w:tcBorders>
                  <w:noWrap w:val="0"/>
                  <w:vAlign w:val="center"/>
                </w:tcPr>
                <w:p w14:paraId="1805A784">
                  <w:pPr>
                    <w:widowControl w:val="0"/>
                    <w:adjustRightInd w:val="0"/>
                    <w:jc w:val="center"/>
                    <w:rPr>
                      <w:rFonts w:hint="eastAsia"/>
                      <w:color w:val="auto"/>
                      <w:szCs w:val="21"/>
                      <w:highlight w:val="none"/>
                    </w:rPr>
                  </w:pPr>
                  <w:r>
                    <w:rPr>
                      <w:rFonts w:hint="eastAsia"/>
                      <w:color w:val="auto"/>
                      <w:szCs w:val="21"/>
                      <w:highlight w:val="none"/>
                    </w:rPr>
                    <w:t>要求</w:t>
                  </w:r>
                </w:p>
              </w:tc>
              <w:tc>
                <w:tcPr>
                  <w:tcW w:w="3393" w:type="dxa"/>
                  <w:tcBorders>
                    <w:tl2br w:val="nil"/>
                    <w:tr2bl w:val="nil"/>
                  </w:tcBorders>
                  <w:noWrap w:val="0"/>
                  <w:vAlign w:val="center"/>
                </w:tcPr>
                <w:p w14:paraId="560701C1">
                  <w:pPr>
                    <w:adjustRightInd w:val="0"/>
                    <w:snapToGrid w:val="0"/>
                    <w:ind w:right="37" w:firstLine="420" w:firstLineChars="200"/>
                    <w:rPr>
                      <w:rFonts w:hint="eastAsia" w:eastAsia="宋体"/>
                      <w:color w:val="auto"/>
                      <w:szCs w:val="21"/>
                      <w:highlight w:val="none"/>
                      <w:lang w:eastAsia="zh-CN"/>
                    </w:rPr>
                  </w:pPr>
                  <w:r>
                    <w:rPr>
                      <w:rFonts w:hAnsi="宋体"/>
                      <w:color w:val="auto"/>
                      <w:szCs w:val="21"/>
                      <w:highlight w:val="none"/>
                    </w:rPr>
                    <w:t>本项目</w:t>
                  </w:r>
                  <w:r>
                    <w:rPr>
                      <w:color w:val="auto"/>
                      <w:szCs w:val="21"/>
                      <w:highlight w:val="none"/>
                    </w:rPr>
                    <w:t>VOCs</w:t>
                  </w:r>
                  <w:r>
                    <w:rPr>
                      <w:rFonts w:hAnsi="宋体"/>
                      <w:color w:val="auto"/>
                      <w:szCs w:val="21"/>
                      <w:highlight w:val="none"/>
                    </w:rPr>
                    <w:t>废气收集处理系统与生产工艺设备同步运行。若废气收集处理系统发生故障或检修时，涂布及烘干设备均会停止运行</w:t>
                  </w:r>
                  <w:r>
                    <w:rPr>
                      <w:rFonts w:hint="eastAsia" w:hAnsi="宋体"/>
                      <w:color w:val="auto"/>
                      <w:szCs w:val="21"/>
                      <w:highlight w:val="none"/>
                      <w:lang w:eastAsia="zh-CN"/>
                    </w:rPr>
                    <w:t>。</w:t>
                  </w:r>
                </w:p>
              </w:tc>
              <w:tc>
                <w:tcPr>
                  <w:tcW w:w="700" w:type="dxa"/>
                  <w:tcBorders>
                    <w:tl2br w:val="nil"/>
                    <w:tr2bl w:val="nil"/>
                  </w:tcBorders>
                  <w:noWrap w:val="0"/>
                  <w:vAlign w:val="center"/>
                </w:tcPr>
                <w:p w14:paraId="5D610D2A">
                  <w:pPr>
                    <w:widowControl w:val="0"/>
                    <w:adjustRightInd w:val="0"/>
                    <w:jc w:val="center"/>
                    <w:rPr>
                      <w:color w:val="auto"/>
                      <w:szCs w:val="21"/>
                      <w:highlight w:val="none"/>
                    </w:rPr>
                  </w:pPr>
                  <w:r>
                    <w:rPr>
                      <w:rFonts w:hint="eastAsia"/>
                      <w:color w:val="auto"/>
                      <w:szCs w:val="21"/>
                      <w:highlight w:val="none"/>
                      <w:lang w:val="en-US" w:eastAsia="zh-CN"/>
                    </w:rPr>
                    <w:t>相符</w:t>
                  </w:r>
                </w:p>
              </w:tc>
            </w:tr>
            <w:tr w14:paraId="5630832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tcBorders>
                    <w:tl2br w:val="nil"/>
                    <w:tr2bl w:val="nil"/>
                  </w:tcBorders>
                  <w:noWrap w:val="0"/>
                  <w:vAlign w:val="center"/>
                </w:tcPr>
                <w:p w14:paraId="1737ED0D">
                  <w:pPr>
                    <w:jc w:val="center"/>
                    <w:rPr>
                      <w:color w:val="auto"/>
                      <w:szCs w:val="21"/>
                      <w:highlight w:val="none"/>
                    </w:rPr>
                  </w:pPr>
                  <w:r>
                    <w:rPr>
                      <w:rFonts w:hint="eastAsia"/>
                      <w:color w:val="auto"/>
                      <w:szCs w:val="21"/>
                      <w:highlight w:val="none"/>
                    </w:rPr>
                    <w:t>非正常排放</w:t>
                  </w:r>
                </w:p>
              </w:tc>
              <w:tc>
                <w:tcPr>
                  <w:tcW w:w="3324" w:type="dxa"/>
                  <w:tcBorders>
                    <w:tl2br w:val="nil"/>
                    <w:tr2bl w:val="nil"/>
                  </w:tcBorders>
                  <w:noWrap w:val="0"/>
                  <w:vAlign w:val="center"/>
                </w:tcPr>
                <w:p w14:paraId="7916F524">
                  <w:pPr>
                    <w:widowControl w:val="0"/>
                    <w:spacing w:line="240" w:lineRule="auto"/>
                    <w:ind w:firstLine="420" w:firstLineChars="200"/>
                    <w:rPr>
                      <w:color w:val="auto"/>
                      <w:szCs w:val="21"/>
                      <w:highlight w:val="none"/>
                    </w:rPr>
                  </w:pPr>
                  <w:r>
                    <w:rPr>
                      <w:color w:val="auto"/>
                      <w:szCs w:val="21"/>
                      <w:highlight w:val="none"/>
                    </w:rPr>
                    <w:t>载有VOCs</w:t>
                  </w:r>
                  <w:r>
                    <w:rPr>
                      <w:rFonts w:hint="eastAsia"/>
                      <w:color w:val="auto"/>
                      <w:szCs w:val="21"/>
                      <w:highlight w:val="none"/>
                    </w:rPr>
                    <w:t xml:space="preserve">物料的设备及其管道在开停工（车）、检维修和清洗时，应在退料阶段将残存物料退净，并用密闭容器盛装，退料过程废气应排至 </w:t>
                  </w:r>
                  <w:r>
                    <w:rPr>
                      <w:color w:val="auto"/>
                      <w:szCs w:val="21"/>
                      <w:highlight w:val="none"/>
                    </w:rPr>
                    <w:t xml:space="preserve">VOCs </w:t>
                  </w:r>
                  <w:r>
                    <w:rPr>
                      <w:rFonts w:hint="eastAsia"/>
                      <w:color w:val="auto"/>
                      <w:szCs w:val="21"/>
                      <w:highlight w:val="none"/>
                    </w:rPr>
                    <w:t xml:space="preserve">废气收集处理系统；清洗及吹扫过程排气应排至 </w:t>
                  </w:r>
                  <w:r>
                    <w:rPr>
                      <w:color w:val="auto"/>
                      <w:szCs w:val="21"/>
                      <w:highlight w:val="none"/>
                    </w:rPr>
                    <w:t xml:space="preserve">VOCs </w:t>
                  </w:r>
                  <w:r>
                    <w:rPr>
                      <w:rFonts w:hint="eastAsia"/>
                      <w:color w:val="auto"/>
                      <w:szCs w:val="21"/>
                      <w:highlight w:val="none"/>
                    </w:rPr>
                    <w:t>废气收集处理系统</w:t>
                  </w:r>
                  <w:r>
                    <w:rPr>
                      <w:color w:val="auto"/>
                      <w:szCs w:val="21"/>
                      <w:highlight w:val="none"/>
                    </w:rPr>
                    <w:t>。</w:t>
                  </w:r>
                </w:p>
              </w:tc>
              <w:tc>
                <w:tcPr>
                  <w:tcW w:w="800" w:type="dxa"/>
                  <w:tcBorders>
                    <w:tl2br w:val="nil"/>
                    <w:tr2bl w:val="nil"/>
                  </w:tcBorders>
                  <w:noWrap w:val="0"/>
                  <w:vAlign w:val="center"/>
                </w:tcPr>
                <w:p w14:paraId="032CF2FE">
                  <w:pPr>
                    <w:widowControl w:val="0"/>
                    <w:adjustRightInd w:val="0"/>
                    <w:jc w:val="center"/>
                    <w:rPr>
                      <w:rFonts w:hint="eastAsia"/>
                      <w:color w:val="auto"/>
                      <w:szCs w:val="21"/>
                      <w:highlight w:val="none"/>
                    </w:rPr>
                  </w:pPr>
                  <w:r>
                    <w:rPr>
                      <w:rFonts w:hint="eastAsia"/>
                      <w:color w:val="auto"/>
                      <w:szCs w:val="21"/>
                      <w:highlight w:val="none"/>
                    </w:rPr>
                    <w:t>要求</w:t>
                  </w:r>
                </w:p>
              </w:tc>
              <w:tc>
                <w:tcPr>
                  <w:tcW w:w="3393" w:type="dxa"/>
                  <w:tcBorders>
                    <w:tl2br w:val="nil"/>
                    <w:tr2bl w:val="nil"/>
                  </w:tcBorders>
                  <w:noWrap w:val="0"/>
                  <w:vAlign w:val="center"/>
                </w:tcPr>
                <w:p w14:paraId="1CD029D2">
                  <w:pPr>
                    <w:adjustRightInd w:val="0"/>
                    <w:snapToGrid w:val="0"/>
                    <w:ind w:right="37" w:firstLine="420" w:firstLineChars="200"/>
                    <w:rPr>
                      <w:color w:val="auto"/>
                      <w:szCs w:val="21"/>
                      <w:highlight w:val="none"/>
                    </w:rPr>
                  </w:pPr>
                  <w:r>
                    <w:rPr>
                      <w:rFonts w:hint="eastAsia"/>
                      <w:color w:val="auto"/>
                      <w:szCs w:val="21"/>
                      <w:highlight w:val="none"/>
                    </w:rPr>
                    <w:t>本项目日常开停工、检修等情况，均把残存物料退净，如需清洗则把排气排至VOCs废气收集处理系统。</w:t>
                  </w:r>
                </w:p>
              </w:tc>
              <w:tc>
                <w:tcPr>
                  <w:tcW w:w="700" w:type="dxa"/>
                  <w:tcBorders>
                    <w:tl2br w:val="nil"/>
                    <w:tr2bl w:val="nil"/>
                  </w:tcBorders>
                  <w:noWrap w:val="0"/>
                  <w:vAlign w:val="center"/>
                </w:tcPr>
                <w:p w14:paraId="6E8E7F56">
                  <w:pPr>
                    <w:widowControl w:val="0"/>
                    <w:adjustRightInd w:val="0"/>
                    <w:jc w:val="center"/>
                    <w:rPr>
                      <w:rFonts w:hint="eastAsia"/>
                      <w:color w:val="auto"/>
                      <w:szCs w:val="21"/>
                      <w:highlight w:val="none"/>
                    </w:rPr>
                  </w:pPr>
                  <w:r>
                    <w:rPr>
                      <w:rFonts w:hint="eastAsia"/>
                      <w:color w:val="auto"/>
                      <w:szCs w:val="21"/>
                      <w:highlight w:val="none"/>
                      <w:lang w:val="en-US" w:eastAsia="zh-CN"/>
                    </w:rPr>
                    <w:t>相符</w:t>
                  </w:r>
                </w:p>
              </w:tc>
            </w:tr>
            <w:tr w14:paraId="5D02EE8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tcBorders>
                    <w:tl2br w:val="nil"/>
                    <w:tr2bl w:val="nil"/>
                  </w:tcBorders>
                  <w:noWrap w:val="0"/>
                  <w:vAlign w:val="center"/>
                </w:tcPr>
                <w:p w14:paraId="0F4AC9CE">
                  <w:pPr>
                    <w:widowControl w:val="0"/>
                    <w:adjustRightInd w:val="0"/>
                    <w:jc w:val="center"/>
                    <w:rPr>
                      <w:color w:val="auto"/>
                      <w:szCs w:val="21"/>
                      <w:highlight w:val="none"/>
                    </w:rPr>
                  </w:pPr>
                  <w:r>
                    <w:rPr>
                      <w:color w:val="auto"/>
                      <w:szCs w:val="21"/>
                      <w:highlight w:val="none"/>
                    </w:rPr>
                    <w:t>排放水平</w:t>
                  </w:r>
                </w:p>
              </w:tc>
              <w:tc>
                <w:tcPr>
                  <w:tcW w:w="3324" w:type="dxa"/>
                  <w:tcBorders>
                    <w:tl2br w:val="nil"/>
                    <w:tr2bl w:val="nil"/>
                  </w:tcBorders>
                  <w:noWrap w:val="0"/>
                  <w:vAlign w:val="center"/>
                </w:tcPr>
                <w:p w14:paraId="778AD153">
                  <w:pPr>
                    <w:widowControl w:val="0"/>
                    <w:spacing w:line="240" w:lineRule="auto"/>
                    <w:ind w:firstLine="420" w:firstLineChars="200"/>
                    <w:rPr>
                      <w:color w:val="auto"/>
                      <w:szCs w:val="21"/>
                      <w:highlight w:val="none"/>
                    </w:rPr>
                  </w:pPr>
                  <w:r>
                    <w:rPr>
                      <w:color w:val="auto"/>
                      <w:szCs w:val="21"/>
                      <w:highlight w:val="none"/>
                    </w:rPr>
                    <w:t>其他表面涂装行业：a</w:t>
                  </w:r>
                  <w:r>
                    <w:rPr>
                      <w:rFonts w:hint="eastAsia"/>
                      <w:color w:val="auto"/>
                      <w:szCs w:val="21"/>
                      <w:highlight w:val="none"/>
                    </w:rPr>
                    <w:t>）</w:t>
                  </w:r>
                  <w:r>
                    <w:rPr>
                      <w:color w:val="auto"/>
                      <w:szCs w:val="21"/>
                      <w:highlight w:val="none"/>
                    </w:rPr>
                    <w:t>2002</w:t>
                  </w:r>
                  <w:r>
                    <w:rPr>
                      <w:rFonts w:hint="eastAsia"/>
                      <w:color w:val="auto"/>
                      <w:szCs w:val="21"/>
                      <w:highlight w:val="none"/>
                    </w:rPr>
                    <w:t>年</w:t>
                  </w:r>
                  <w:r>
                    <w:rPr>
                      <w:color w:val="auto"/>
                      <w:szCs w:val="21"/>
                      <w:highlight w:val="none"/>
                    </w:rPr>
                    <w:t>1</w:t>
                  </w:r>
                  <w:r>
                    <w:rPr>
                      <w:rFonts w:hint="eastAsia"/>
                      <w:color w:val="auto"/>
                      <w:szCs w:val="21"/>
                      <w:highlight w:val="none"/>
                    </w:rPr>
                    <w:t>月</w:t>
                  </w:r>
                  <w:r>
                    <w:rPr>
                      <w:color w:val="auto"/>
                      <w:szCs w:val="21"/>
                      <w:highlight w:val="none"/>
                    </w:rPr>
                    <w:t>1</w:t>
                  </w:r>
                  <w:r>
                    <w:rPr>
                      <w:rFonts w:hint="eastAsia"/>
                      <w:color w:val="auto"/>
                      <w:szCs w:val="21"/>
                      <w:highlight w:val="none"/>
                    </w:rPr>
                    <w:t>日前的建设项目排放的工艺有机废气排放浓度执行《大气污染物排放限值》（</w:t>
                  </w:r>
                  <w:r>
                    <w:rPr>
                      <w:color w:val="auto"/>
                      <w:szCs w:val="21"/>
                      <w:highlight w:val="none"/>
                    </w:rPr>
                    <w:t>DB4427-2001</w:t>
                  </w:r>
                  <w:r>
                    <w:rPr>
                      <w:rFonts w:hint="eastAsia"/>
                      <w:color w:val="auto"/>
                      <w:szCs w:val="21"/>
                      <w:highlight w:val="none"/>
                    </w:rPr>
                    <w:t>）第一时段限值；</w:t>
                  </w:r>
                  <w:r>
                    <w:rPr>
                      <w:color w:val="auto"/>
                      <w:szCs w:val="21"/>
                      <w:highlight w:val="none"/>
                    </w:rPr>
                    <w:t>2002</w:t>
                  </w:r>
                  <w:r>
                    <w:rPr>
                      <w:rFonts w:hint="eastAsia"/>
                      <w:color w:val="auto"/>
                      <w:szCs w:val="21"/>
                      <w:highlight w:val="none"/>
                    </w:rPr>
                    <w:t>年</w:t>
                  </w:r>
                  <w:r>
                    <w:rPr>
                      <w:color w:val="auto"/>
                      <w:szCs w:val="21"/>
                      <w:highlight w:val="none"/>
                    </w:rPr>
                    <w:t>1</w:t>
                  </w:r>
                  <w:r>
                    <w:rPr>
                      <w:rFonts w:hint="eastAsia"/>
                      <w:color w:val="auto"/>
                      <w:szCs w:val="21"/>
                      <w:highlight w:val="none"/>
                    </w:rPr>
                    <w:t>月</w:t>
                  </w:r>
                  <w:r>
                    <w:rPr>
                      <w:color w:val="auto"/>
                      <w:szCs w:val="21"/>
                      <w:highlight w:val="none"/>
                    </w:rPr>
                    <w:t>1</w:t>
                  </w:r>
                  <w:r>
                    <w:rPr>
                      <w:rFonts w:hint="eastAsia"/>
                      <w:color w:val="auto"/>
                      <w:szCs w:val="21"/>
                      <w:highlight w:val="none"/>
                    </w:rPr>
                    <w:t>日起的建设项目排放的有机废气排放浓度执行《大气污染物排放限值》（</w:t>
                  </w:r>
                  <w:r>
                    <w:rPr>
                      <w:color w:val="auto"/>
                      <w:szCs w:val="21"/>
                      <w:highlight w:val="none"/>
                    </w:rPr>
                    <w:t>DB4427-2001</w:t>
                  </w:r>
                  <w:r>
                    <w:rPr>
                      <w:rFonts w:hint="eastAsia"/>
                      <w:color w:val="auto"/>
                      <w:szCs w:val="21"/>
                      <w:highlight w:val="none"/>
                    </w:rPr>
                    <w:t>）第二时段限值；车间或生产设施排气中</w:t>
                  </w:r>
                  <w:r>
                    <w:rPr>
                      <w:color w:val="auto"/>
                      <w:szCs w:val="21"/>
                      <w:highlight w:val="none"/>
                    </w:rPr>
                    <w:t>NMHC</w:t>
                  </w:r>
                  <w:r>
                    <w:rPr>
                      <w:rFonts w:hint="eastAsia"/>
                      <w:color w:val="auto"/>
                      <w:szCs w:val="21"/>
                      <w:highlight w:val="none"/>
                    </w:rPr>
                    <w:t>初始排放速率</w:t>
                  </w:r>
                  <w:r>
                    <w:rPr>
                      <w:color w:val="auto"/>
                      <w:szCs w:val="21"/>
                      <w:highlight w:val="none"/>
                    </w:rPr>
                    <w:t>≥3kg/h</w:t>
                  </w:r>
                  <w:r>
                    <w:rPr>
                      <w:rFonts w:hint="eastAsia"/>
                      <w:color w:val="auto"/>
                      <w:szCs w:val="21"/>
                      <w:highlight w:val="none"/>
                    </w:rPr>
                    <w:t>时，建设</w:t>
                  </w:r>
                  <w:r>
                    <w:rPr>
                      <w:color w:val="auto"/>
                      <w:szCs w:val="21"/>
                      <w:highlight w:val="none"/>
                    </w:rPr>
                    <w:t>VOCs</w:t>
                  </w:r>
                  <w:r>
                    <w:rPr>
                      <w:rFonts w:hint="eastAsia"/>
                      <w:color w:val="auto"/>
                      <w:szCs w:val="21"/>
                      <w:highlight w:val="none"/>
                    </w:rPr>
                    <w:t>处理设施且处理效率</w:t>
                  </w:r>
                  <w:r>
                    <w:rPr>
                      <w:color w:val="auto"/>
                      <w:szCs w:val="21"/>
                      <w:highlight w:val="none"/>
                    </w:rPr>
                    <w:t>≥80%</w:t>
                  </w:r>
                  <w:r>
                    <w:rPr>
                      <w:rFonts w:hint="eastAsia"/>
                      <w:color w:val="auto"/>
                      <w:szCs w:val="21"/>
                      <w:highlight w:val="none"/>
                    </w:rPr>
                    <w:t>；</w:t>
                  </w:r>
                  <w:r>
                    <w:rPr>
                      <w:color w:val="auto"/>
                      <w:szCs w:val="21"/>
                      <w:highlight w:val="none"/>
                    </w:rPr>
                    <w:t>b</w:t>
                  </w:r>
                  <w:r>
                    <w:rPr>
                      <w:rFonts w:hint="eastAsia"/>
                      <w:color w:val="auto"/>
                      <w:szCs w:val="21"/>
                      <w:highlight w:val="none"/>
                    </w:rPr>
                    <w:t>）厂区内无组织排放监控点</w:t>
                  </w:r>
                  <w:r>
                    <w:rPr>
                      <w:color w:val="auto"/>
                      <w:szCs w:val="21"/>
                      <w:highlight w:val="none"/>
                    </w:rPr>
                    <w:t>NMHC</w:t>
                  </w:r>
                  <w:r>
                    <w:rPr>
                      <w:rFonts w:hint="eastAsia"/>
                      <w:color w:val="auto"/>
                      <w:szCs w:val="21"/>
                      <w:highlight w:val="none"/>
                    </w:rPr>
                    <w:t>的小时平均浓度值不超过</w:t>
                  </w:r>
                  <w:r>
                    <w:rPr>
                      <w:color w:val="auto"/>
                      <w:szCs w:val="21"/>
                      <w:highlight w:val="none"/>
                    </w:rPr>
                    <w:t>6mg/m</w:t>
                  </w:r>
                  <w:r>
                    <w:rPr>
                      <w:color w:val="auto"/>
                      <w:szCs w:val="21"/>
                      <w:highlight w:val="none"/>
                      <w:vertAlign w:val="superscript"/>
                    </w:rPr>
                    <w:t>3</w:t>
                  </w:r>
                  <w:r>
                    <w:rPr>
                      <w:rFonts w:hint="eastAsia"/>
                      <w:color w:val="auto"/>
                      <w:szCs w:val="21"/>
                      <w:highlight w:val="none"/>
                    </w:rPr>
                    <w:t>，任意一次浓度值不超过</w:t>
                  </w:r>
                  <w:r>
                    <w:rPr>
                      <w:color w:val="auto"/>
                      <w:szCs w:val="21"/>
                      <w:highlight w:val="none"/>
                    </w:rPr>
                    <w:t>20mg/m</w:t>
                  </w:r>
                  <w:r>
                    <w:rPr>
                      <w:color w:val="auto"/>
                      <w:szCs w:val="21"/>
                      <w:highlight w:val="none"/>
                      <w:vertAlign w:val="superscript"/>
                    </w:rPr>
                    <w:t>3</w:t>
                  </w:r>
                  <w:r>
                    <w:rPr>
                      <w:rFonts w:hint="eastAsia"/>
                      <w:color w:val="auto"/>
                      <w:szCs w:val="21"/>
                      <w:highlight w:val="none"/>
                    </w:rPr>
                    <w:t>。</w:t>
                  </w:r>
                </w:p>
              </w:tc>
              <w:tc>
                <w:tcPr>
                  <w:tcW w:w="800" w:type="dxa"/>
                  <w:tcBorders>
                    <w:tl2br w:val="nil"/>
                    <w:tr2bl w:val="nil"/>
                  </w:tcBorders>
                  <w:noWrap w:val="0"/>
                  <w:vAlign w:val="center"/>
                </w:tcPr>
                <w:p w14:paraId="08109A45">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60BC6CB9">
                  <w:pPr>
                    <w:adjustRightInd w:val="0"/>
                    <w:snapToGrid w:val="0"/>
                    <w:ind w:right="37" w:firstLine="420" w:firstLineChars="200"/>
                    <w:rPr>
                      <w:color w:val="auto"/>
                      <w:szCs w:val="21"/>
                      <w:highlight w:val="none"/>
                    </w:rPr>
                  </w:pPr>
                  <w:r>
                    <w:rPr>
                      <w:color w:val="auto"/>
                      <w:szCs w:val="21"/>
                      <w:highlight w:val="none"/>
                    </w:rPr>
                    <w:t>本项目排放浓度可达到</w:t>
                  </w:r>
                  <w:r>
                    <w:rPr>
                      <w:rFonts w:hint="eastAsia" w:ascii="Times New Roman" w:hAnsi="Times New Roman" w:eastAsia="宋体" w:cs="Times New Roman"/>
                      <w:color w:val="auto"/>
                      <w:szCs w:val="21"/>
                      <w:highlight w:val="none"/>
                    </w:rPr>
                    <w:t>广东省《固定污染源挥发性有机物综合排放标准》（DB44/2367-2022）表1挥发性有机物排放限值</w:t>
                  </w:r>
                  <w:r>
                    <w:rPr>
                      <w:rFonts w:hint="eastAsia"/>
                      <w:color w:val="auto"/>
                      <w:szCs w:val="21"/>
                      <w:highlight w:val="none"/>
                    </w:rPr>
                    <w:t>，</w:t>
                  </w:r>
                  <w:r>
                    <w:rPr>
                      <w:color w:val="auto"/>
                      <w:szCs w:val="21"/>
                      <w:highlight w:val="none"/>
                    </w:rPr>
                    <w:t>厂区内无组织排放监控点达到</w:t>
                  </w:r>
                  <w:r>
                    <w:rPr>
                      <w:rFonts w:hint="default" w:ascii="Times New Roman" w:hAnsi="Times New Roman" w:eastAsia="宋体" w:cs="Times New Roman"/>
                      <w:color w:val="auto"/>
                      <w:szCs w:val="21"/>
                      <w:highlight w:val="none"/>
                    </w:rPr>
                    <w:t>广东省《固定污染源挥发性有机物综合排放标准》（DB44/2367-2022）表3厂区内VOCs无组织排放限值</w:t>
                  </w:r>
                  <w:r>
                    <w:rPr>
                      <w:color w:val="auto"/>
                      <w:szCs w:val="21"/>
                      <w:highlight w:val="none"/>
                    </w:rPr>
                    <w:t>。</w:t>
                  </w:r>
                </w:p>
              </w:tc>
              <w:tc>
                <w:tcPr>
                  <w:tcW w:w="700" w:type="dxa"/>
                  <w:tcBorders>
                    <w:tl2br w:val="nil"/>
                    <w:tr2bl w:val="nil"/>
                  </w:tcBorders>
                  <w:noWrap w:val="0"/>
                  <w:vAlign w:val="center"/>
                </w:tcPr>
                <w:p w14:paraId="7E97629F">
                  <w:pPr>
                    <w:widowControl w:val="0"/>
                    <w:adjustRightInd w:val="0"/>
                    <w:jc w:val="center"/>
                    <w:rPr>
                      <w:color w:val="auto"/>
                      <w:szCs w:val="21"/>
                      <w:highlight w:val="none"/>
                    </w:rPr>
                  </w:pPr>
                  <w:r>
                    <w:rPr>
                      <w:rFonts w:hint="eastAsia"/>
                      <w:color w:val="auto"/>
                      <w:szCs w:val="21"/>
                      <w:highlight w:val="none"/>
                      <w:lang w:val="en-US" w:eastAsia="zh-CN"/>
                    </w:rPr>
                    <w:t>相符</w:t>
                  </w:r>
                </w:p>
              </w:tc>
            </w:tr>
            <w:tr w14:paraId="31FF5EF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restart"/>
                  <w:tcBorders>
                    <w:tl2br w:val="nil"/>
                    <w:tr2bl w:val="nil"/>
                  </w:tcBorders>
                  <w:noWrap w:val="0"/>
                  <w:vAlign w:val="center"/>
                </w:tcPr>
                <w:p w14:paraId="506ED7CA">
                  <w:pPr>
                    <w:widowControl w:val="0"/>
                    <w:adjustRightInd w:val="0"/>
                    <w:jc w:val="center"/>
                    <w:rPr>
                      <w:color w:val="auto"/>
                      <w:szCs w:val="21"/>
                      <w:highlight w:val="none"/>
                    </w:rPr>
                  </w:pPr>
                  <w:r>
                    <w:rPr>
                      <w:rFonts w:hint="eastAsia"/>
                      <w:color w:val="auto"/>
                      <w:szCs w:val="21"/>
                      <w:highlight w:val="none"/>
                    </w:rPr>
                    <w:t>治理设施设计与运行管理</w:t>
                  </w:r>
                </w:p>
              </w:tc>
              <w:tc>
                <w:tcPr>
                  <w:tcW w:w="3324" w:type="dxa"/>
                  <w:tcBorders>
                    <w:tl2br w:val="nil"/>
                    <w:tr2bl w:val="nil"/>
                  </w:tcBorders>
                  <w:noWrap w:val="0"/>
                  <w:vAlign w:val="center"/>
                </w:tcPr>
                <w:p w14:paraId="5BFAC95B">
                  <w:pPr>
                    <w:widowControl w:val="0"/>
                    <w:spacing w:line="240" w:lineRule="auto"/>
                    <w:ind w:firstLine="420" w:firstLineChars="200"/>
                    <w:rPr>
                      <w:color w:val="auto"/>
                      <w:szCs w:val="21"/>
                      <w:highlight w:val="none"/>
                    </w:rPr>
                  </w:pPr>
                  <w:r>
                    <w:rPr>
                      <w:color w:val="auto"/>
                      <w:szCs w:val="21"/>
                      <w:highlight w:val="none"/>
                    </w:rPr>
                    <w:t>吸附床（含活性炭吸附法）：a</w:t>
                  </w:r>
                  <w:r>
                    <w:rPr>
                      <w:rFonts w:hint="eastAsia"/>
                      <w:color w:val="auto"/>
                      <w:szCs w:val="21"/>
                      <w:highlight w:val="none"/>
                    </w:rPr>
                    <w:t>）预处理设备应根据废气的成分、性质和影响吸附过程的物质性质及含量进行选择；</w:t>
                  </w:r>
                  <w:r>
                    <w:rPr>
                      <w:color w:val="auto"/>
                      <w:szCs w:val="21"/>
                      <w:highlight w:val="none"/>
                    </w:rPr>
                    <w:t>b</w:t>
                  </w:r>
                  <w:r>
                    <w:rPr>
                      <w:rFonts w:hint="eastAsia"/>
                      <w:color w:val="auto"/>
                      <w:szCs w:val="21"/>
                      <w:highlight w:val="none"/>
                    </w:rPr>
                    <w:t>）吸附床层的吸附剂用量应根据废气处理量、污染物浓度和吸附剂的动态吸附量确定；</w:t>
                  </w:r>
                  <w:r>
                    <w:rPr>
                      <w:color w:val="auto"/>
                      <w:szCs w:val="21"/>
                      <w:highlight w:val="none"/>
                    </w:rPr>
                    <w:t>c</w:t>
                  </w:r>
                  <w:r>
                    <w:rPr>
                      <w:rFonts w:hint="eastAsia"/>
                      <w:color w:val="auto"/>
                      <w:szCs w:val="21"/>
                      <w:highlight w:val="none"/>
                    </w:rPr>
                    <w:t>）吸附剂应及时更换或有效再生。</w:t>
                  </w:r>
                </w:p>
              </w:tc>
              <w:tc>
                <w:tcPr>
                  <w:tcW w:w="800" w:type="dxa"/>
                  <w:tcBorders>
                    <w:tl2br w:val="nil"/>
                    <w:tr2bl w:val="nil"/>
                  </w:tcBorders>
                  <w:noWrap w:val="0"/>
                  <w:vAlign w:val="center"/>
                </w:tcPr>
                <w:p w14:paraId="79DB29BE">
                  <w:pPr>
                    <w:widowControl w:val="0"/>
                    <w:adjustRightInd w:val="0"/>
                    <w:jc w:val="center"/>
                    <w:rPr>
                      <w:color w:val="auto"/>
                      <w:szCs w:val="21"/>
                      <w:highlight w:val="none"/>
                    </w:rPr>
                  </w:pPr>
                  <w:r>
                    <w:rPr>
                      <w:color w:val="auto"/>
                      <w:szCs w:val="21"/>
                      <w:highlight w:val="none"/>
                    </w:rPr>
                    <w:t>推荐</w:t>
                  </w:r>
                </w:p>
              </w:tc>
              <w:tc>
                <w:tcPr>
                  <w:tcW w:w="3393" w:type="dxa"/>
                  <w:tcBorders>
                    <w:tl2br w:val="nil"/>
                    <w:tr2bl w:val="nil"/>
                  </w:tcBorders>
                  <w:noWrap w:val="0"/>
                  <w:vAlign w:val="center"/>
                </w:tcPr>
                <w:p w14:paraId="2C88052A">
                  <w:pPr>
                    <w:adjustRightInd w:val="0"/>
                    <w:snapToGrid w:val="0"/>
                    <w:ind w:right="37" w:firstLine="420" w:firstLineChars="200"/>
                    <w:rPr>
                      <w:rFonts w:hint="eastAsia"/>
                      <w:color w:val="auto"/>
                      <w:szCs w:val="21"/>
                      <w:highlight w:val="none"/>
                    </w:rPr>
                  </w:pPr>
                  <w:r>
                    <w:rPr>
                      <w:rFonts w:hint="eastAsia"/>
                      <w:color w:val="auto"/>
                      <w:szCs w:val="21"/>
                      <w:highlight w:val="none"/>
                      <w:lang w:val="en-US" w:eastAsia="zh-CN"/>
                    </w:rPr>
                    <w:t>有机废气主要通过</w:t>
                  </w:r>
                  <w:r>
                    <w:rPr>
                      <w:color w:val="auto"/>
                      <w:kern w:val="0"/>
                      <w:szCs w:val="21"/>
                      <w:highlight w:val="none"/>
                    </w:rPr>
                    <w:t>“</w:t>
                  </w:r>
                  <w:r>
                    <w:rPr>
                      <w:rFonts w:hint="eastAsia"/>
                      <w:color w:val="auto"/>
                      <w:kern w:val="0"/>
                      <w:szCs w:val="21"/>
                      <w:highlight w:val="none"/>
                      <w:lang w:val="en-US" w:eastAsia="zh-CN"/>
                    </w:rPr>
                    <w:t>水喷淋塔</w:t>
                  </w:r>
                  <w:r>
                    <w:rPr>
                      <w:rFonts w:hint="eastAsia"/>
                      <w:color w:val="auto"/>
                      <w:szCs w:val="21"/>
                      <w:highlight w:val="none"/>
                      <w:lang w:val="en-US" w:eastAsia="zh-CN"/>
                    </w:rPr>
                    <w:t>+除雾器+两</w:t>
                  </w:r>
                  <w:r>
                    <w:rPr>
                      <w:rFonts w:hAnsi="宋体"/>
                      <w:color w:val="auto"/>
                      <w:szCs w:val="21"/>
                      <w:highlight w:val="none"/>
                    </w:rPr>
                    <w:t>级活性炭吸附装置</w:t>
                  </w:r>
                  <w:r>
                    <w:rPr>
                      <w:color w:val="auto"/>
                      <w:kern w:val="0"/>
                      <w:szCs w:val="21"/>
                      <w:highlight w:val="none"/>
                    </w:rPr>
                    <w:t>”处理达标后引至</w:t>
                  </w:r>
                  <w:r>
                    <w:rPr>
                      <w:rFonts w:hint="eastAsia"/>
                      <w:color w:val="auto"/>
                      <w:kern w:val="0"/>
                      <w:szCs w:val="21"/>
                      <w:highlight w:val="none"/>
                      <w:lang w:val="en-US" w:eastAsia="zh-CN"/>
                    </w:rPr>
                    <w:t>20</w:t>
                  </w:r>
                  <w:r>
                    <w:rPr>
                      <w:color w:val="auto"/>
                      <w:kern w:val="0"/>
                      <w:szCs w:val="21"/>
                      <w:highlight w:val="none"/>
                    </w:rPr>
                    <w:t>m高排气筒高空排放</w:t>
                  </w:r>
                  <w:r>
                    <w:rPr>
                      <w:rFonts w:hint="eastAsia"/>
                      <w:color w:val="auto"/>
                      <w:kern w:val="0"/>
                      <w:szCs w:val="21"/>
                      <w:highlight w:val="none"/>
                    </w:rPr>
                    <w:t>。</w:t>
                  </w:r>
                  <w:r>
                    <w:rPr>
                      <w:color w:val="auto"/>
                      <w:szCs w:val="21"/>
                      <w:highlight w:val="none"/>
                    </w:rPr>
                    <w:t>活性炭及时更换，确保吸附效率。</w:t>
                  </w:r>
                </w:p>
              </w:tc>
              <w:tc>
                <w:tcPr>
                  <w:tcW w:w="700" w:type="dxa"/>
                  <w:tcBorders>
                    <w:tl2br w:val="nil"/>
                    <w:tr2bl w:val="nil"/>
                  </w:tcBorders>
                  <w:noWrap w:val="0"/>
                  <w:vAlign w:val="center"/>
                </w:tcPr>
                <w:p w14:paraId="1F9C97EB">
                  <w:pPr>
                    <w:widowControl w:val="0"/>
                    <w:adjustRightInd w:val="0"/>
                    <w:jc w:val="center"/>
                    <w:rPr>
                      <w:color w:val="auto"/>
                      <w:szCs w:val="21"/>
                      <w:highlight w:val="none"/>
                    </w:rPr>
                  </w:pPr>
                  <w:r>
                    <w:rPr>
                      <w:rFonts w:hint="eastAsia"/>
                      <w:color w:val="auto"/>
                      <w:szCs w:val="21"/>
                      <w:highlight w:val="none"/>
                      <w:lang w:val="en-US" w:eastAsia="zh-CN"/>
                    </w:rPr>
                    <w:t>相符</w:t>
                  </w:r>
                </w:p>
              </w:tc>
            </w:tr>
            <w:tr w14:paraId="6C2BA4B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3D8BD9CA">
                  <w:pPr>
                    <w:rPr>
                      <w:color w:val="auto"/>
                      <w:szCs w:val="21"/>
                      <w:highlight w:val="none"/>
                    </w:rPr>
                  </w:pPr>
                </w:p>
              </w:tc>
              <w:tc>
                <w:tcPr>
                  <w:tcW w:w="3324" w:type="dxa"/>
                  <w:tcBorders>
                    <w:tl2br w:val="nil"/>
                    <w:tr2bl w:val="nil"/>
                  </w:tcBorders>
                  <w:noWrap w:val="0"/>
                  <w:vAlign w:val="center"/>
                </w:tcPr>
                <w:p w14:paraId="23BB08C2">
                  <w:pPr>
                    <w:widowControl w:val="0"/>
                    <w:spacing w:line="240" w:lineRule="auto"/>
                    <w:ind w:firstLine="420" w:firstLineChars="200"/>
                    <w:rPr>
                      <w:color w:val="auto"/>
                      <w:szCs w:val="21"/>
                      <w:highlight w:val="none"/>
                    </w:rPr>
                  </w:pPr>
                  <w:r>
                    <w:rPr>
                      <w:color w:val="auto"/>
                      <w:szCs w:val="21"/>
                      <w:highlight w:val="none"/>
                    </w:rPr>
                    <w:t>VOCs治理设施应与生产工艺设备同步运行，VOCs</w:t>
                  </w:r>
                  <w:r>
                    <w:rPr>
                      <w:rFonts w:hint="eastAsia"/>
                      <w:color w:val="auto"/>
                      <w:szCs w:val="21"/>
                      <w:highlight w:val="none"/>
                    </w:rPr>
                    <w:t>治理设施发生故障或检修时，对应的生产工艺设备应停止运行，待检修完毕后同步投入使用；生产工艺设备不能停止运行或不能及时停止运行的，应设置废气应急处理设施或采取其他替代措施。</w:t>
                  </w:r>
                </w:p>
              </w:tc>
              <w:tc>
                <w:tcPr>
                  <w:tcW w:w="800" w:type="dxa"/>
                  <w:tcBorders>
                    <w:tl2br w:val="nil"/>
                    <w:tr2bl w:val="nil"/>
                  </w:tcBorders>
                  <w:noWrap w:val="0"/>
                  <w:vAlign w:val="center"/>
                </w:tcPr>
                <w:p w14:paraId="53E8001C">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1DD3EE3E">
                  <w:pPr>
                    <w:adjustRightInd w:val="0"/>
                    <w:snapToGrid w:val="0"/>
                    <w:ind w:right="37" w:firstLine="420" w:firstLineChars="200"/>
                    <w:rPr>
                      <w:color w:val="auto"/>
                      <w:szCs w:val="21"/>
                      <w:highlight w:val="none"/>
                    </w:rPr>
                  </w:pPr>
                  <w:r>
                    <w:rPr>
                      <w:color w:val="auto"/>
                      <w:szCs w:val="21"/>
                      <w:highlight w:val="none"/>
                    </w:rPr>
                    <w:t>严格执行“三同时”制度。</w:t>
                  </w:r>
                  <w:r>
                    <w:rPr>
                      <w:rFonts w:hint="eastAsia"/>
                      <w:color w:val="auto"/>
                      <w:szCs w:val="21"/>
                      <w:highlight w:val="none"/>
                    </w:rPr>
                    <w:t>万一发生非正常排放，</w:t>
                  </w:r>
                  <w:r>
                    <w:rPr>
                      <w:color w:val="auto"/>
                      <w:szCs w:val="21"/>
                      <w:highlight w:val="none"/>
                    </w:rPr>
                    <w:t>立即停产检修，待所有生产设备、环保设施恢复正常后再投入生产</w:t>
                  </w:r>
                  <w:r>
                    <w:rPr>
                      <w:rFonts w:hint="eastAsia"/>
                      <w:color w:val="auto"/>
                      <w:szCs w:val="21"/>
                      <w:highlight w:val="none"/>
                    </w:rPr>
                    <w:t>。</w:t>
                  </w:r>
                </w:p>
              </w:tc>
              <w:tc>
                <w:tcPr>
                  <w:tcW w:w="700" w:type="dxa"/>
                  <w:tcBorders>
                    <w:tl2br w:val="nil"/>
                    <w:tr2bl w:val="nil"/>
                  </w:tcBorders>
                  <w:noWrap w:val="0"/>
                  <w:vAlign w:val="center"/>
                </w:tcPr>
                <w:p w14:paraId="69604597">
                  <w:pPr>
                    <w:widowControl w:val="0"/>
                    <w:adjustRightInd w:val="0"/>
                    <w:jc w:val="center"/>
                    <w:rPr>
                      <w:color w:val="auto"/>
                      <w:szCs w:val="21"/>
                      <w:highlight w:val="none"/>
                    </w:rPr>
                  </w:pPr>
                  <w:r>
                    <w:rPr>
                      <w:rFonts w:hint="eastAsia"/>
                      <w:color w:val="auto"/>
                      <w:szCs w:val="21"/>
                      <w:highlight w:val="none"/>
                      <w:lang w:val="en-US" w:eastAsia="zh-CN"/>
                    </w:rPr>
                    <w:t>相符</w:t>
                  </w:r>
                </w:p>
              </w:tc>
            </w:tr>
            <w:tr w14:paraId="4B68F4D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7BB38853">
                  <w:pPr>
                    <w:rPr>
                      <w:color w:val="auto"/>
                      <w:szCs w:val="21"/>
                      <w:highlight w:val="none"/>
                    </w:rPr>
                  </w:pPr>
                </w:p>
              </w:tc>
              <w:tc>
                <w:tcPr>
                  <w:tcW w:w="3324" w:type="dxa"/>
                  <w:tcBorders>
                    <w:tl2br w:val="nil"/>
                    <w:tr2bl w:val="nil"/>
                  </w:tcBorders>
                  <w:noWrap w:val="0"/>
                  <w:vAlign w:val="center"/>
                </w:tcPr>
                <w:p w14:paraId="25AA5793">
                  <w:pPr>
                    <w:widowControl w:val="0"/>
                    <w:spacing w:line="240" w:lineRule="auto"/>
                    <w:ind w:firstLine="420" w:firstLineChars="200"/>
                    <w:rPr>
                      <w:color w:val="auto"/>
                      <w:szCs w:val="21"/>
                      <w:highlight w:val="none"/>
                    </w:rPr>
                  </w:pPr>
                  <w:r>
                    <w:rPr>
                      <w:color w:val="auto"/>
                      <w:szCs w:val="21"/>
                      <w:highlight w:val="none"/>
                    </w:rPr>
                    <w:t>污染治理设施编号可为排污单位内部编号，若无内部编号，则根据《排污单位编码规则》（HJ608</w:t>
                  </w:r>
                  <w:r>
                    <w:rPr>
                      <w:rFonts w:hint="eastAsia"/>
                      <w:color w:val="auto"/>
                      <w:szCs w:val="21"/>
                      <w:highlight w:val="none"/>
                    </w:rPr>
                    <w:t>）进行编号。有组织排放口编号应填写地方环境保护主管部门现有编号，或根据《排污单位编码规则》（</w:t>
                  </w:r>
                  <w:r>
                    <w:rPr>
                      <w:color w:val="auto"/>
                      <w:szCs w:val="21"/>
                      <w:highlight w:val="none"/>
                    </w:rPr>
                    <w:t>HJ608</w:t>
                  </w:r>
                  <w:r>
                    <w:rPr>
                      <w:rFonts w:hint="eastAsia"/>
                      <w:color w:val="auto"/>
                      <w:szCs w:val="21"/>
                      <w:highlight w:val="none"/>
                    </w:rPr>
                    <w:t>）进行编号。</w:t>
                  </w:r>
                </w:p>
              </w:tc>
              <w:tc>
                <w:tcPr>
                  <w:tcW w:w="800" w:type="dxa"/>
                  <w:tcBorders>
                    <w:tl2br w:val="nil"/>
                    <w:tr2bl w:val="nil"/>
                  </w:tcBorders>
                  <w:noWrap w:val="0"/>
                  <w:vAlign w:val="center"/>
                </w:tcPr>
                <w:p w14:paraId="6B39D9D7">
                  <w:pPr>
                    <w:widowControl w:val="0"/>
                    <w:adjustRightInd w:val="0"/>
                    <w:jc w:val="center"/>
                    <w:rPr>
                      <w:rFonts w:hint="eastAsia"/>
                      <w:color w:val="auto"/>
                      <w:szCs w:val="21"/>
                      <w:highlight w:val="none"/>
                    </w:rPr>
                  </w:pPr>
                  <w:r>
                    <w:rPr>
                      <w:rFonts w:hint="eastAsia"/>
                      <w:color w:val="auto"/>
                      <w:szCs w:val="21"/>
                      <w:highlight w:val="none"/>
                    </w:rPr>
                    <w:t>要求</w:t>
                  </w:r>
                </w:p>
              </w:tc>
              <w:tc>
                <w:tcPr>
                  <w:tcW w:w="3393" w:type="dxa"/>
                  <w:tcBorders>
                    <w:tl2br w:val="nil"/>
                    <w:tr2bl w:val="nil"/>
                  </w:tcBorders>
                  <w:noWrap w:val="0"/>
                  <w:vAlign w:val="center"/>
                </w:tcPr>
                <w:p w14:paraId="54C2A35C">
                  <w:pPr>
                    <w:adjustRightInd w:val="0"/>
                    <w:snapToGrid w:val="0"/>
                    <w:ind w:right="37" w:firstLine="420" w:firstLineChars="200"/>
                    <w:rPr>
                      <w:rFonts w:hint="default" w:eastAsia="宋体"/>
                      <w:color w:val="auto"/>
                      <w:szCs w:val="21"/>
                      <w:highlight w:val="none"/>
                      <w:lang w:val="en-US" w:eastAsia="zh-CN"/>
                    </w:rPr>
                  </w:pPr>
                  <w:r>
                    <w:rPr>
                      <w:rFonts w:hint="eastAsia"/>
                      <w:color w:val="auto"/>
                      <w:szCs w:val="21"/>
                      <w:highlight w:val="none"/>
                      <w:lang w:val="en-US" w:eastAsia="zh-CN"/>
                    </w:rPr>
                    <w:t>本项目依托现有项目的废气处理设施，已按规定对治理设施进行编号。</w:t>
                  </w:r>
                </w:p>
              </w:tc>
              <w:tc>
                <w:tcPr>
                  <w:tcW w:w="700" w:type="dxa"/>
                  <w:tcBorders>
                    <w:tl2br w:val="nil"/>
                    <w:tr2bl w:val="nil"/>
                  </w:tcBorders>
                  <w:noWrap w:val="0"/>
                  <w:vAlign w:val="center"/>
                </w:tcPr>
                <w:p w14:paraId="7C9C25CD">
                  <w:pPr>
                    <w:widowControl w:val="0"/>
                    <w:adjustRightInd w:val="0"/>
                    <w:jc w:val="center"/>
                    <w:rPr>
                      <w:color w:val="auto"/>
                      <w:szCs w:val="21"/>
                      <w:highlight w:val="none"/>
                    </w:rPr>
                  </w:pPr>
                  <w:r>
                    <w:rPr>
                      <w:rFonts w:hint="eastAsia"/>
                      <w:color w:val="auto"/>
                      <w:szCs w:val="21"/>
                      <w:highlight w:val="none"/>
                      <w:lang w:val="en-US" w:eastAsia="zh-CN"/>
                    </w:rPr>
                    <w:t>相符</w:t>
                  </w:r>
                </w:p>
              </w:tc>
            </w:tr>
            <w:tr w14:paraId="5959813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29C000D2">
                  <w:pPr>
                    <w:rPr>
                      <w:color w:val="auto"/>
                      <w:szCs w:val="21"/>
                      <w:highlight w:val="none"/>
                    </w:rPr>
                  </w:pPr>
                </w:p>
              </w:tc>
              <w:tc>
                <w:tcPr>
                  <w:tcW w:w="3324" w:type="dxa"/>
                  <w:tcBorders>
                    <w:tl2br w:val="nil"/>
                    <w:tr2bl w:val="nil"/>
                  </w:tcBorders>
                  <w:noWrap w:val="0"/>
                  <w:vAlign w:val="center"/>
                </w:tcPr>
                <w:p w14:paraId="691E9504">
                  <w:pPr>
                    <w:widowControl w:val="0"/>
                    <w:spacing w:line="240" w:lineRule="auto"/>
                    <w:ind w:firstLine="420" w:firstLineChars="200"/>
                    <w:rPr>
                      <w:color w:val="auto"/>
                      <w:szCs w:val="21"/>
                      <w:highlight w:val="none"/>
                    </w:rPr>
                  </w:pPr>
                  <w:r>
                    <w:rPr>
                      <w:color w:val="auto"/>
                      <w:szCs w:val="21"/>
                      <w:highlight w:val="none"/>
                    </w:rPr>
                    <w:t>设置规范的处理前后采样位置，采样位置应避开对测试人员操作有危险的场所，优先选择在</w:t>
                  </w:r>
                  <w:r>
                    <w:rPr>
                      <w:rFonts w:hint="eastAsia"/>
                      <w:color w:val="auto"/>
                      <w:szCs w:val="21"/>
                      <w:highlight w:val="none"/>
                    </w:rPr>
                    <w:t>垂直管段，避开烟道弯头和断面急剧变化的部位，应设置在距弯头、阀门、变径管下游方向不小于</w:t>
                  </w:r>
                  <w:r>
                    <w:rPr>
                      <w:rFonts w:hint="eastAsia"/>
                      <w:color w:val="auto"/>
                      <w:szCs w:val="21"/>
                      <w:highlight w:val="none"/>
                      <w:lang w:val="en-US" w:eastAsia="zh-CN"/>
                    </w:rPr>
                    <w:t>6</w:t>
                  </w:r>
                  <w:r>
                    <w:rPr>
                      <w:rFonts w:hint="eastAsia"/>
                      <w:color w:val="auto"/>
                      <w:szCs w:val="21"/>
                      <w:highlight w:val="none"/>
                    </w:rPr>
                    <w:t>倍直径，和距上述部件上游方向不小于</w:t>
                  </w:r>
                  <w:r>
                    <w:rPr>
                      <w:rFonts w:hint="eastAsia"/>
                      <w:color w:val="auto"/>
                      <w:szCs w:val="21"/>
                      <w:highlight w:val="none"/>
                      <w:lang w:val="en-US" w:eastAsia="zh-CN"/>
                    </w:rPr>
                    <w:t>3</w:t>
                  </w:r>
                  <w:r>
                    <w:rPr>
                      <w:rFonts w:hint="eastAsia"/>
                      <w:color w:val="auto"/>
                      <w:szCs w:val="21"/>
                      <w:highlight w:val="none"/>
                    </w:rPr>
                    <w:t>倍直径处。</w:t>
                  </w:r>
                </w:p>
              </w:tc>
              <w:tc>
                <w:tcPr>
                  <w:tcW w:w="800" w:type="dxa"/>
                  <w:tcBorders>
                    <w:tl2br w:val="nil"/>
                    <w:tr2bl w:val="nil"/>
                  </w:tcBorders>
                  <w:noWrap w:val="0"/>
                  <w:vAlign w:val="center"/>
                </w:tcPr>
                <w:p w14:paraId="6DF52AE4">
                  <w:pPr>
                    <w:widowControl w:val="0"/>
                    <w:adjustRightInd w:val="0"/>
                    <w:jc w:val="center"/>
                    <w:rPr>
                      <w:rFonts w:hint="eastAsia"/>
                      <w:color w:val="auto"/>
                      <w:szCs w:val="21"/>
                      <w:highlight w:val="none"/>
                    </w:rPr>
                  </w:pPr>
                  <w:r>
                    <w:rPr>
                      <w:rFonts w:hint="eastAsia"/>
                      <w:color w:val="auto"/>
                      <w:szCs w:val="21"/>
                      <w:highlight w:val="none"/>
                    </w:rPr>
                    <w:t>要求</w:t>
                  </w:r>
                </w:p>
              </w:tc>
              <w:tc>
                <w:tcPr>
                  <w:tcW w:w="3393" w:type="dxa"/>
                  <w:tcBorders>
                    <w:tl2br w:val="nil"/>
                    <w:tr2bl w:val="nil"/>
                  </w:tcBorders>
                  <w:noWrap w:val="0"/>
                  <w:vAlign w:val="center"/>
                </w:tcPr>
                <w:p w14:paraId="59E446B2">
                  <w:pPr>
                    <w:adjustRightInd w:val="0"/>
                    <w:snapToGrid w:val="0"/>
                    <w:ind w:right="37" w:firstLine="420" w:firstLineChars="200"/>
                    <w:rPr>
                      <w:rFonts w:hint="default" w:eastAsia="宋体"/>
                      <w:color w:val="auto"/>
                      <w:szCs w:val="21"/>
                      <w:highlight w:val="none"/>
                      <w:lang w:val="en-US" w:eastAsia="zh-CN"/>
                    </w:rPr>
                  </w:pPr>
                  <w:r>
                    <w:rPr>
                      <w:rFonts w:hint="eastAsia"/>
                      <w:color w:val="auto"/>
                      <w:szCs w:val="21"/>
                      <w:highlight w:val="none"/>
                      <w:lang w:val="en-US" w:eastAsia="zh-CN"/>
                    </w:rPr>
                    <w:t>本项目依托现有项目的废气处理设施，已按规定设置废气采样位置。</w:t>
                  </w:r>
                </w:p>
              </w:tc>
              <w:tc>
                <w:tcPr>
                  <w:tcW w:w="700" w:type="dxa"/>
                  <w:tcBorders>
                    <w:tl2br w:val="nil"/>
                    <w:tr2bl w:val="nil"/>
                  </w:tcBorders>
                  <w:noWrap w:val="0"/>
                  <w:vAlign w:val="center"/>
                </w:tcPr>
                <w:p w14:paraId="64C0AE36">
                  <w:pPr>
                    <w:widowControl w:val="0"/>
                    <w:adjustRightInd w:val="0"/>
                    <w:jc w:val="center"/>
                    <w:rPr>
                      <w:color w:val="auto"/>
                      <w:szCs w:val="21"/>
                      <w:highlight w:val="none"/>
                    </w:rPr>
                  </w:pPr>
                  <w:r>
                    <w:rPr>
                      <w:rFonts w:hint="eastAsia"/>
                      <w:color w:val="auto"/>
                      <w:szCs w:val="21"/>
                      <w:highlight w:val="none"/>
                      <w:lang w:val="en-US" w:eastAsia="zh-CN"/>
                    </w:rPr>
                    <w:t>相符</w:t>
                  </w:r>
                </w:p>
              </w:tc>
            </w:tr>
            <w:tr w14:paraId="0E9AFD2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0ABCEF2A">
                  <w:pPr>
                    <w:rPr>
                      <w:color w:val="auto"/>
                      <w:szCs w:val="21"/>
                      <w:highlight w:val="none"/>
                    </w:rPr>
                  </w:pPr>
                </w:p>
              </w:tc>
              <w:tc>
                <w:tcPr>
                  <w:tcW w:w="3324" w:type="dxa"/>
                  <w:tcBorders>
                    <w:tl2br w:val="nil"/>
                    <w:tr2bl w:val="nil"/>
                  </w:tcBorders>
                  <w:noWrap w:val="0"/>
                  <w:vAlign w:val="center"/>
                </w:tcPr>
                <w:p w14:paraId="168B0D74">
                  <w:pPr>
                    <w:widowControl w:val="0"/>
                    <w:spacing w:line="240" w:lineRule="auto"/>
                    <w:ind w:firstLine="420" w:firstLineChars="200"/>
                    <w:rPr>
                      <w:color w:val="auto"/>
                      <w:szCs w:val="21"/>
                      <w:highlight w:val="none"/>
                    </w:rPr>
                  </w:pPr>
                  <w:r>
                    <w:rPr>
                      <w:color w:val="auto"/>
                      <w:szCs w:val="21"/>
                      <w:highlight w:val="none"/>
                    </w:rPr>
                    <w:t>废气排气筒应按照《广东省污染源排污口规范化设置导则》(</w:t>
                  </w:r>
                  <w:r>
                    <w:rPr>
                      <w:rFonts w:hint="eastAsia"/>
                      <w:color w:val="auto"/>
                      <w:szCs w:val="21"/>
                      <w:highlight w:val="none"/>
                    </w:rPr>
                    <w:t>粤环〔</w:t>
                  </w:r>
                  <w:r>
                    <w:rPr>
                      <w:color w:val="auto"/>
                      <w:szCs w:val="21"/>
                      <w:highlight w:val="none"/>
                    </w:rPr>
                    <w:t>2008</w:t>
                  </w:r>
                  <w:r>
                    <w:rPr>
                      <w:rFonts w:hint="eastAsia"/>
                      <w:color w:val="auto"/>
                      <w:szCs w:val="21"/>
                      <w:highlight w:val="none"/>
                    </w:rPr>
                    <w:t>〕</w:t>
                  </w:r>
                  <w:r>
                    <w:rPr>
                      <w:color w:val="auto"/>
                      <w:szCs w:val="21"/>
                      <w:highlight w:val="none"/>
                    </w:rPr>
                    <w:t>42</w:t>
                  </w:r>
                  <w:r>
                    <w:rPr>
                      <w:rFonts w:hint="eastAsia"/>
                      <w:color w:val="auto"/>
                      <w:szCs w:val="21"/>
                      <w:highlight w:val="none"/>
                    </w:rPr>
                    <w:t>号</w:t>
                  </w:r>
                  <w:r>
                    <w:rPr>
                      <w:color w:val="auto"/>
                      <w:szCs w:val="21"/>
                      <w:highlight w:val="none"/>
                    </w:rPr>
                    <w:t>)</w:t>
                  </w:r>
                  <w:r>
                    <w:rPr>
                      <w:rFonts w:hint="eastAsia"/>
                      <w:color w:val="auto"/>
                      <w:szCs w:val="21"/>
                      <w:highlight w:val="none"/>
                    </w:rPr>
                    <w:t>相关规定，设置与排污口相应的环境保护图形标志牌。</w:t>
                  </w:r>
                </w:p>
              </w:tc>
              <w:tc>
                <w:tcPr>
                  <w:tcW w:w="800" w:type="dxa"/>
                  <w:tcBorders>
                    <w:tl2br w:val="nil"/>
                    <w:tr2bl w:val="nil"/>
                  </w:tcBorders>
                  <w:noWrap w:val="0"/>
                  <w:vAlign w:val="center"/>
                </w:tcPr>
                <w:p w14:paraId="4E1536A8">
                  <w:pPr>
                    <w:widowControl w:val="0"/>
                    <w:adjustRightInd w:val="0"/>
                    <w:jc w:val="center"/>
                    <w:rPr>
                      <w:color w:val="auto"/>
                      <w:szCs w:val="21"/>
                      <w:highlight w:val="none"/>
                    </w:rPr>
                  </w:pPr>
                  <w:r>
                    <w:rPr>
                      <w:rFonts w:hint="eastAsia"/>
                      <w:color w:val="auto"/>
                      <w:szCs w:val="21"/>
                      <w:highlight w:val="none"/>
                    </w:rPr>
                    <w:t>要求</w:t>
                  </w:r>
                </w:p>
              </w:tc>
              <w:tc>
                <w:tcPr>
                  <w:tcW w:w="3393" w:type="dxa"/>
                  <w:tcBorders>
                    <w:tl2br w:val="nil"/>
                    <w:tr2bl w:val="nil"/>
                  </w:tcBorders>
                  <w:noWrap w:val="0"/>
                  <w:vAlign w:val="center"/>
                </w:tcPr>
                <w:p w14:paraId="4F89E059">
                  <w:pPr>
                    <w:adjustRightInd w:val="0"/>
                    <w:snapToGrid w:val="0"/>
                    <w:ind w:right="37" w:firstLine="420" w:firstLineChars="200"/>
                    <w:rPr>
                      <w:rFonts w:hint="default" w:eastAsia="宋体"/>
                      <w:color w:val="auto"/>
                      <w:szCs w:val="21"/>
                      <w:highlight w:val="none"/>
                      <w:lang w:val="en-US" w:eastAsia="zh-CN"/>
                    </w:rPr>
                  </w:pPr>
                  <w:r>
                    <w:rPr>
                      <w:rFonts w:hint="eastAsia"/>
                      <w:color w:val="auto"/>
                      <w:szCs w:val="21"/>
                      <w:highlight w:val="none"/>
                      <w:lang w:val="en-US" w:eastAsia="zh-CN"/>
                    </w:rPr>
                    <w:t>本项目依托现有项目的废气处理设施，已按规定设置标志牌。</w:t>
                  </w:r>
                </w:p>
              </w:tc>
              <w:tc>
                <w:tcPr>
                  <w:tcW w:w="700" w:type="dxa"/>
                  <w:tcBorders>
                    <w:tl2br w:val="nil"/>
                    <w:tr2bl w:val="nil"/>
                  </w:tcBorders>
                  <w:noWrap w:val="0"/>
                  <w:vAlign w:val="center"/>
                </w:tcPr>
                <w:p w14:paraId="659E5528">
                  <w:pPr>
                    <w:widowControl w:val="0"/>
                    <w:adjustRightInd w:val="0"/>
                    <w:jc w:val="center"/>
                    <w:rPr>
                      <w:color w:val="auto"/>
                      <w:szCs w:val="21"/>
                      <w:highlight w:val="none"/>
                    </w:rPr>
                  </w:pPr>
                  <w:r>
                    <w:rPr>
                      <w:rFonts w:hint="eastAsia"/>
                      <w:color w:val="auto"/>
                      <w:szCs w:val="21"/>
                      <w:highlight w:val="none"/>
                      <w:lang w:val="en-US" w:eastAsia="zh-CN"/>
                    </w:rPr>
                    <w:t>相符</w:t>
                  </w:r>
                </w:p>
              </w:tc>
            </w:tr>
            <w:tr w14:paraId="73D3203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restart"/>
                  <w:tcBorders>
                    <w:tl2br w:val="nil"/>
                    <w:tr2bl w:val="nil"/>
                  </w:tcBorders>
                  <w:noWrap w:val="0"/>
                  <w:vAlign w:val="center"/>
                </w:tcPr>
                <w:p w14:paraId="16CED5C5">
                  <w:pPr>
                    <w:widowControl w:val="0"/>
                    <w:adjustRightInd w:val="0"/>
                    <w:jc w:val="center"/>
                    <w:rPr>
                      <w:color w:val="auto"/>
                      <w:szCs w:val="21"/>
                      <w:highlight w:val="none"/>
                    </w:rPr>
                  </w:pPr>
                  <w:r>
                    <w:rPr>
                      <w:color w:val="auto"/>
                      <w:szCs w:val="21"/>
                      <w:highlight w:val="none"/>
                    </w:rPr>
                    <w:t>管理台账</w:t>
                  </w:r>
                </w:p>
              </w:tc>
              <w:tc>
                <w:tcPr>
                  <w:tcW w:w="3324" w:type="dxa"/>
                  <w:tcBorders>
                    <w:tl2br w:val="nil"/>
                    <w:tr2bl w:val="nil"/>
                  </w:tcBorders>
                  <w:noWrap w:val="0"/>
                  <w:vAlign w:val="center"/>
                </w:tcPr>
                <w:p w14:paraId="33A8E6E3">
                  <w:pPr>
                    <w:widowControl w:val="0"/>
                    <w:spacing w:line="240" w:lineRule="auto"/>
                    <w:ind w:firstLine="420" w:firstLineChars="200"/>
                    <w:rPr>
                      <w:color w:val="auto"/>
                      <w:szCs w:val="21"/>
                      <w:highlight w:val="none"/>
                    </w:rPr>
                  </w:pPr>
                  <w:r>
                    <w:rPr>
                      <w:color w:val="auto"/>
                      <w:szCs w:val="21"/>
                      <w:highlight w:val="none"/>
                    </w:rPr>
                    <w:t>建立含VOCs</w:t>
                  </w:r>
                  <w:r>
                    <w:rPr>
                      <w:rFonts w:hint="eastAsia"/>
                      <w:color w:val="auto"/>
                      <w:szCs w:val="21"/>
                      <w:highlight w:val="none"/>
                    </w:rPr>
                    <w:t>原辅材料台账，记录含</w:t>
                  </w:r>
                  <w:r>
                    <w:rPr>
                      <w:color w:val="auto"/>
                      <w:szCs w:val="21"/>
                      <w:highlight w:val="none"/>
                    </w:rPr>
                    <w:t>VOCs</w:t>
                  </w:r>
                  <w:r>
                    <w:rPr>
                      <w:rFonts w:hint="eastAsia"/>
                      <w:color w:val="auto"/>
                      <w:szCs w:val="21"/>
                      <w:highlight w:val="none"/>
                    </w:rPr>
                    <w:t>原辅材料的名称及其</w:t>
                  </w:r>
                  <w:r>
                    <w:rPr>
                      <w:color w:val="auto"/>
                      <w:szCs w:val="21"/>
                      <w:highlight w:val="none"/>
                    </w:rPr>
                    <w:t>VOCs</w:t>
                  </w:r>
                  <w:r>
                    <w:rPr>
                      <w:rFonts w:hint="eastAsia"/>
                      <w:color w:val="auto"/>
                      <w:szCs w:val="21"/>
                      <w:highlight w:val="none"/>
                    </w:rPr>
                    <w:t>含量、采购量、使用量、库存量、含</w:t>
                  </w:r>
                  <w:r>
                    <w:rPr>
                      <w:color w:val="auto"/>
                      <w:szCs w:val="21"/>
                      <w:highlight w:val="none"/>
                    </w:rPr>
                    <w:t>VOCs</w:t>
                  </w:r>
                  <w:r>
                    <w:rPr>
                      <w:rFonts w:hint="eastAsia"/>
                      <w:color w:val="auto"/>
                      <w:szCs w:val="21"/>
                      <w:highlight w:val="none"/>
                    </w:rPr>
                    <w:t>原辅材料回收方式及回收量。</w:t>
                  </w:r>
                </w:p>
              </w:tc>
              <w:tc>
                <w:tcPr>
                  <w:tcW w:w="800" w:type="dxa"/>
                  <w:tcBorders>
                    <w:tl2br w:val="nil"/>
                    <w:tr2bl w:val="nil"/>
                  </w:tcBorders>
                  <w:noWrap w:val="0"/>
                  <w:vAlign w:val="center"/>
                </w:tcPr>
                <w:p w14:paraId="146FB420">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4C29A7DC">
                  <w:pPr>
                    <w:adjustRightInd w:val="0"/>
                    <w:snapToGrid w:val="0"/>
                    <w:ind w:right="37" w:firstLine="420" w:firstLineChars="200"/>
                    <w:rPr>
                      <w:color w:val="auto"/>
                      <w:szCs w:val="21"/>
                      <w:highlight w:val="none"/>
                    </w:rPr>
                  </w:pPr>
                  <w:r>
                    <w:rPr>
                      <w:color w:val="auto"/>
                      <w:szCs w:val="21"/>
                      <w:highlight w:val="none"/>
                    </w:rPr>
                    <w:t>按要求建立相关台账。</w:t>
                  </w:r>
                </w:p>
              </w:tc>
              <w:tc>
                <w:tcPr>
                  <w:tcW w:w="700" w:type="dxa"/>
                  <w:tcBorders>
                    <w:tl2br w:val="nil"/>
                    <w:tr2bl w:val="nil"/>
                  </w:tcBorders>
                  <w:noWrap w:val="0"/>
                  <w:vAlign w:val="center"/>
                </w:tcPr>
                <w:p w14:paraId="3BB4D5FF">
                  <w:pPr>
                    <w:widowControl w:val="0"/>
                    <w:adjustRightInd w:val="0"/>
                    <w:jc w:val="center"/>
                    <w:rPr>
                      <w:color w:val="auto"/>
                      <w:szCs w:val="21"/>
                      <w:highlight w:val="none"/>
                    </w:rPr>
                  </w:pPr>
                  <w:r>
                    <w:rPr>
                      <w:rFonts w:hint="eastAsia"/>
                      <w:color w:val="auto"/>
                      <w:szCs w:val="21"/>
                      <w:highlight w:val="none"/>
                      <w:lang w:val="en-US" w:eastAsia="zh-CN"/>
                    </w:rPr>
                    <w:t>相符</w:t>
                  </w:r>
                </w:p>
              </w:tc>
            </w:tr>
            <w:tr w14:paraId="79E2B32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53345B3B">
                  <w:pPr>
                    <w:rPr>
                      <w:color w:val="auto"/>
                      <w:szCs w:val="21"/>
                      <w:highlight w:val="none"/>
                    </w:rPr>
                  </w:pPr>
                </w:p>
              </w:tc>
              <w:tc>
                <w:tcPr>
                  <w:tcW w:w="3324" w:type="dxa"/>
                  <w:tcBorders>
                    <w:tl2br w:val="nil"/>
                    <w:tr2bl w:val="nil"/>
                  </w:tcBorders>
                  <w:noWrap w:val="0"/>
                  <w:vAlign w:val="center"/>
                </w:tcPr>
                <w:p w14:paraId="46AB89AB">
                  <w:pPr>
                    <w:widowControl w:val="0"/>
                    <w:spacing w:line="240" w:lineRule="auto"/>
                    <w:ind w:firstLine="420" w:firstLineChars="200"/>
                    <w:rPr>
                      <w:color w:val="auto"/>
                      <w:szCs w:val="21"/>
                      <w:highlight w:val="none"/>
                    </w:rPr>
                  </w:pPr>
                  <w:r>
                    <w:rPr>
                      <w:color w:val="auto"/>
                      <w:szCs w:val="21"/>
                      <w:highlight w:val="none"/>
                    </w:rPr>
                    <w:t>建立废气收集处理设施台账，记录废气处理设施进出口的监测数据（废气量、浓度、温度、</w:t>
                  </w:r>
                  <w:r>
                    <w:rPr>
                      <w:rFonts w:hint="eastAsia"/>
                      <w:color w:val="auto"/>
                      <w:szCs w:val="21"/>
                      <w:highlight w:val="none"/>
                    </w:rPr>
                    <w:t>含氧量等）、废气收集与处理设施关键参数、废气处理设施相关耗材（吸收剂、吸附剂、催化剂等）购买和处理记录</w:t>
                  </w:r>
                  <w:r>
                    <w:rPr>
                      <w:color w:val="auto"/>
                      <w:szCs w:val="21"/>
                      <w:highlight w:val="none"/>
                    </w:rPr>
                    <w:t>。</w:t>
                  </w:r>
                </w:p>
              </w:tc>
              <w:tc>
                <w:tcPr>
                  <w:tcW w:w="800" w:type="dxa"/>
                  <w:tcBorders>
                    <w:tl2br w:val="nil"/>
                    <w:tr2bl w:val="nil"/>
                  </w:tcBorders>
                  <w:noWrap w:val="0"/>
                  <w:vAlign w:val="center"/>
                </w:tcPr>
                <w:p w14:paraId="31932FBC">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580D29E3">
                  <w:pPr>
                    <w:adjustRightInd w:val="0"/>
                    <w:snapToGrid w:val="0"/>
                    <w:ind w:right="37" w:firstLine="420" w:firstLineChars="200"/>
                    <w:rPr>
                      <w:color w:val="auto"/>
                      <w:szCs w:val="21"/>
                      <w:highlight w:val="none"/>
                    </w:rPr>
                  </w:pPr>
                  <w:r>
                    <w:rPr>
                      <w:color w:val="auto"/>
                      <w:szCs w:val="21"/>
                      <w:highlight w:val="none"/>
                    </w:rPr>
                    <w:t>按要求保存记录。</w:t>
                  </w:r>
                </w:p>
              </w:tc>
              <w:tc>
                <w:tcPr>
                  <w:tcW w:w="700" w:type="dxa"/>
                  <w:tcBorders>
                    <w:tl2br w:val="nil"/>
                    <w:tr2bl w:val="nil"/>
                  </w:tcBorders>
                  <w:noWrap w:val="0"/>
                  <w:vAlign w:val="center"/>
                </w:tcPr>
                <w:p w14:paraId="20E5D07C">
                  <w:pPr>
                    <w:widowControl w:val="0"/>
                    <w:adjustRightInd w:val="0"/>
                    <w:jc w:val="center"/>
                    <w:rPr>
                      <w:color w:val="auto"/>
                      <w:szCs w:val="21"/>
                      <w:highlight w:val="none"/>
                    </w:rPr>
                  </w:pPr>
                  <w:r>
                    <w:rPr>
                      <w:rFonts w:hint="eastAsia"/>
                      <w:color w:val="auto"/>
                      <w:szCs w:val="21"/>
                      <w:highlight w:val="none"/>
                      <w:lang w:val="en-US" w:eastAsia="zh-CN"/>
                    </w:rPr>
                    <w:t>相符</w:t>
                  </w:r>
                </w:p>
              </w:tc>
            </w:tr>
            <w:tr w14:paraId="75074E5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3C741454">
                  <w:pPr>
                    <w:rPr>
                      <w:color w:val="auto"/>
                      <w:szCs w:val="21"/>
                      <w:highlight w:val="none"/>
                    </w:rPr>
                  </w:pPr>
                </w:p>
              </w:tc>
              <w:tc>
                <w:tcPr>
                  <w:tcW w:w="3324" w:type="dxa"/>
                  <w:tcBorders>
                    <w:tl2br w:val="nil"/>
                    <w:tr2bl w:val="nil"/>
                  </w:tcBorders>
                  <w:noWrap w:val="0"/>
                  <w:vAlign w:val="center"/>
                </w:tcPr>
                <w:p w14:paraId="66BAB2EB">
                  <w:pPr>
                    <w:widowControl w:val="0"/>
                    <w:spacing w:line="240" w:lineRule="auto"/>
                    <w:ind w:firstLine="420" w:firstLineChars="200"/>
                    <w:rPr>
                      <w:color w:val="auto"/>
                      <w:szCs w:val="21"/>
                      <w:highlight w:val="none"/>
                    </w:rPr>
                  </w:pPr>
                  <w:r>
                    <w:rPr>
                      <w:color w:val="auto"/>
                      <w:szCs w:val="21"/>
                      <w:highlight w:val="none"/>
                    </w:rPr>
                    <w:t>建立危废台账，整理危废处置合同、转移联单及危废处理方资质佐证材料。</w:t>
                  </w:r>
                </w:p>
              </w:tc>
              <w:tc>
                <w:tcPr>
                  <w:tcW w:w="800" w:type="dxa"/>
                  <w:tcBorders>
                    <w:tl2br w:val="nil"/>
                    <w:tr2bl w:val="nil"/>
                  </w:tcBorders>
                  <w:noWrap w:val="0"/>
                  <w:vAlign w:val="center"/>
                </w:tcPr>
                <w:p w14:paraId="22A7978A">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22181671">
                  <w:pPr>
                    <w:adjustRightInd w:val="0"/>
                    <w:snapToGrid w:val="0"/>
                    <w:ind w:right="37" w:firstLine="420" w:firstLineChars="200"/>
                    <w:rPr>
                      <w:color w:val="auto"/>
                      <w:szCs w:val="21"/>
                      <w:highlight w:val="none"/>
                    </w:rPr>
                  </w:pPr>
                  <w:r>
                    <w:rPr>
                      <w:color w:val="auto"/>
                      <w:szCs w:val="21"/>
                      <w:highlight w:val="none"/>
                    </w:rPr>
                    <w:t>按要求建立相关台账。</w:t>
                  </w:r>
                </w:p>
              </w:tc>
              <w:tc>
                <w:tcPr>
                  <w:tcW w:w="700" w:type="dxa"/>
                  <w:tcBorders>
                    <w:tl2br w:val="nil"/>
                    <w:tr2bl w:val="nil"/>
                  </w:tcBorders>
                  <w:noWrap w:val="0"/>
                  <w:vAlign w:val="center"/>
                </w:tcPr>
                <w:p w14:paraId="12B855FF">
                  <w:pPr>
                    <w:widowControl w:val="0"/>
                    <w:adjustRightInd w:val="0"/>
                    <w:jc w:val="center"/>
                    <w:rPr>
                      <w:color w:val="auto"/>
                      <w:szCs w:val="21"/>
                      <w:highlight w:val="none"/>
                    </w:rPr>
                  </w:pPr>
                  <w:r>
                    <w:rPr>
                      <w:rFonts w:hint="eastAsia"/>
                      <w:color w:val="auto"/>
                      <w:szCs w:val="21"/>
                      <w:highlight w:val="none"/>
                      <w:lang w:val="en-US" w:eastAsia="zh-CN"/>
                    </w:rPr>
                    <w:t>相符</w:t>
                  </w:r>
                </w:p>
              </w:tc>
            </w:tr>
            <w:tr w14:paraId="3160BFE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6FD7B723">
                  <w:pPr>
                    <w:rPr>
                      <w:color w:val="auto"/>
                      <w:szCs w:val="21"/>
                      <w:highlight w:val="none"/>
                    </w:rPr>
                  </w:pPr>
                </w:p>
              </w:tc>
              <w:tc>
                <w:tcPr>
                  <w:tcW w:w="3324" w:type="dxa"/>
                  <w:tcBorders>
                    <w:tl2br w:val="nil"/>
                    <w:tr2bl w:val="nil"/>
                  </w:tcBorders>
                  <w:noWrap w:val="0"/>
                  <w:vAlign w:val="center"/>
                </w:tcPr>
                <w:p w14:paraId="2EAD2CB1">
                  <w:pPr>
                    <w:widowControl w:val="0"/>
                    <w:spacing w:line="240" w:lineRule="auto"/>
                    <w:ind w:firstLine="420" w:firstLineChars="200"/>
                    <w:rPr>
                      <w:color w:val="auto"/>
                      <w:szCs w:val="21"/>
                      <w:highlight w:val="none"/>
                    </w:rPr>
                  </w:pPr>
                  <w:r>
                    <w:rPr>
                      <w:color w:val="auto"/>
                      <w:szCs w:val="21"/>
                      <w:highlight w:val="none"/>
                    </w:rPr>
                    <w:t>台账保存期限不少于3年。</w:t>
                  </w:r>
                </w:p>
              </w:tc>
              <w:tc>
                <w:tcPr>
                  <w:tcW w:w="800" w:type="dxa"/>
                  <w:tcBorders>
                    <w:tl2br w:val="nil"/>
                    <w:tr2bl w:val="nil"/>
                  </w:tcBorders>
                  <w:noWrap w:val="0"/>
                  <w:vAlign w:val="center"/>
                </w:tcPr>
                <w:p w14:paraId="30E25ED0">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43CFB8F3">
                  <w:pPr>
                    <w:adjustRightInd w:val="0"/>
                    <w:snapToGrid w:val="0"/>
                    <w:ind w:right="37" w:firstLine="420" w:firstLineChars="200"/>
                    <w:rPr>
                      <w:color w:val="auto"/>
                      <w:szCs w:val="21"/>
                      <w:highlight w:val="none"/>
                    </w:rPr>
                  </w:pPr>
                  <w:r>
                    <w:rPr>
                      <w:color w:val="auto"/>
                      <w:szCs w:val="21"/>
                      <w:highlight w:val="none"/>
                    </w:rPr>
                    <w:t>保存不少于3年。</w:t>
                  </w:r>
                </w:p>
              </w:tc>
              <w:tc>
                <w:tcPr>
                  <w:tcW w:w="700" w:type="dxa"/>
                  <w:tcBorders>
                    <w:tl2br w:val="nil"/>
                    <w:tr2bl w:val="nil"/>
                  </w:tcBorders>
                  <w:noWrap w:val="0"/>
                  <w:vAlign w:val="center"/>
                </w:tcPr>
                <w:p w14:paraId="47C7F987">
                  <w:pPr>
                    <w:widowControl w:val="0"/>
                    <w:adjustRightInd w:val="0"/>
                    <w:jc w:val="center"/>
                    <w:rPr>
                      <w:color w:val="auto"/>
                      <w:szCs w:val="21"/>
                      <w:highlight w:val="none"/>
                    </w:rPr>
                  </w:pPr>
                  <w:r>
                    <w:rPr>
                      <w:rFonts w:hint="eastAsia"/>
                      <w:color w:val="auto"/>
                      <w:szCs w:val="21"/>
                      <w:highlight w:val="none"/>
                      <w:lang w:val="en-US" w:eastAsia="zh-CN"/>
                    </w:rPr>
                    <w:t>相符</w:t>
                  </w:r>
                </w:p>
              </w:tc>
            </w:tr>
            <w:tr w14:paraId="16A5091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restart"/>
                  <w:tcBorders>
                    <w:tl2br w:val="nil"/>
                    <w:tr2bl w:val="nil"/>
                  </w:tcBorders>
                  <w:noWrap w:val="0"/>
                  <w:vAlign w:val="center"/>
                </w:tcPr>
                <w:p w14:paraId="339DF6DF">
                  <w:pPr>
                    <w:widowControl w:val="0"/>
                    <w:adjustRightInd w:val="0"/>
                    <w:jc w:val="center"/>
                    <w:rPr>
                      <w:color w:val="auto"/>
                      <w:szCs w:val="21"/>
                      <w:highlight w:val="none"/>
                    </w:rPr>
                  </w:pPr>
                  <w:r>
                    <w:rPr>
                      <w:color w:val="auto"/>
                      <w:szCs w:val="21"/>
                      <w:highlight w:val="none"/>
                    </w:rPr>
                    <w:t>自行监测</w:t>
                  </w:r>
                </w:p>
              </w:tc>
              <w:tc>
                <w:tcPr>
                  <w:tcW w:w="3324" w:type="dxa"/>
                  <w:tcBorders>
                    <w:tl2br w:val="nil"/>
                    <w:tr2bl w:val="nil"/>
                  </w:tcBorders>
                  <w:noWrap w:val="0"/>
                  <w:vAlign w:val="center"/>
                </w:tcPr>
                <w:p w14:paraId="53D6284E">
                  <w:pPr>
                    <w:widowControl w:val="0"/>
                    <w:spacing w:line="240" w:lineRule="auto"/>
                    <w:ind w:firstLine="420" w:firstLineChars="200"/>
                    <w:rPr>
                      <w:color w:val="auto"/>
                      <w:szCs w:val="21"/>
                      <w:highlight w:val="none"/>
                    </w:rPr>
                  </w:pPr>
                  <w:r>
                    <w:rPr>
                      <w:color w:val="auto"/>
                      <w:szCs w:val="21"/>
                      <w:highlight w:val="none"/>
                    </w:rPr>
                    <w:t>水性涂料涂覆、水性涂料（含胶）固化成膜设施废气重点排污单位主要排放口至少每季度监</w:t>
                  </w:r>
                  <w:r>
                    <w:rPr>
                      <w:rFonts w:hint="eastAsia"/>
                      <w:color w:val="auto"/>
                      <w:szCs w:val="21"/>
                      <w:highlight w:val="none"/>
                    </w:rPr>
                    <w:t>测一次挥发性有机物及特征污染物，一般排放口至少每半年监测一次挥发性有机物及特征污染物，非重点排污单位至少每年监测一次挥发性有机物及特征污染物。</w:t>
                  </w:r>
                </w:p>
              </w:tc>
              <w:tc>
                <w:tcPr>
                  <w:tcW w:w="800" w:type="dxa"/>
                  <w:tcBorders>
                    <w:tl2br w:val="nil"/>
                    <w:tr2bl w:val="nil"/>
                  </w:tcBorders>
                  <w:noWrap w:val="0"/>
                  <w:vAlign w:val="center"/>
                </w:tcPr>
                <w:p w14:paraId="3A0E12DF">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16ADEA10">
                  <w:pPr>
                    <w:adjustRightInd w:val="0"/>
                    <w:snapToGrid w:val="0"/>
                    <w:ind w:right="37" w:firstLine="420" w:firstLineChars="200"/>
                    <w:rPr>
                      <w:color w:val="auto"/>
                      <w:szCs w:val="21"/>
                      <w:highlight w:val="none"/>
                    </w:rPr>
                  </w:pPr>
                  <w:r>
                    <w:rPr>
                      <w:color w:val="auto"/>
                      <w:szCs w:val="21"/>
                      <w:highlight w:val="none"/>
                    </w:rPr>
                    <w:t>项目不属于重点排污单位。</w:t>
                  </w:r>
                </w:p>
              </w:tc>
              <w:tc>
                <w:tcPr>
                  <w:tcW w:w="700" w:type="dxa"/>
                  <w:tcBorders>
                    <w:tl2br w:val="nil"/>
                    <w:tr2bl w:val="nil"/>
                  </w:tcBorders>
                  <w:noWrap w:val="0"/>
                  <w:vAlign w:val="center"/>
                </w:tcPr>
                <w:p w14:paraId="1D474A8E">
                  <w:pPr>
                    <w:widowControl w:val="0"/>
                    <w:adjustRightInd w:val="0"/>
                    <w:jc w:val="center"/>
                    <w:rPr>
                      <w:color w:val="auto"/>
                      <w:szCs w:val="21"/>
                      <w:highlight w:val="none"/>
                    </w:rPr>
                  </w:pPr>
                  <w:r>
                    <w:rPr>
                      <w:rFonts w:hint="eastAsia"/>
                      <w:color w:val="auto"/>
                      <w:szCs w:val="21"/>
                      <w:highlight w:val="none"/>
                      <w:lang w:val="en-US" w:eastAsia="zh-CN"/>
                    </w:rPr>
                    <w:t>相符</w:t>
                  </w:r>
                </w:p>
              </w:tc>
            </w:tr>
            <w:tr w14:paraId="64FCB04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292D41B2">
                  <w:pPr>
                    <w:rPr>
                      <w:color w:val="auto"/>
                      <w:szCs w:val="21"/>
                      <w:highlight w:val="none"/>
                    </w:rPr>
                  </w:pPr>
                </w:p>
              </w:tc>
              <w:tc>
                <w:tcPr>
                  <w:tcW w:w="3324" w:type="dxa"/>
                  <w:tcBorders>
                    <w:tl2br w:val="nil"/>
                    <w:tr2bl w:val="nil"/>
                  </w:tcBorders>
                  <w:noWrap w:val="0"/>
                  <w:vAlign w:val="center"/>
                </w:tcPr>
                <w:p w14:paraId="0BD919F5">
                  <w:pPr>
                    <w:widowControl w:val="0"/>
                    <w:spacing w:line="240" w:lineRule="auto"/>
                    <w:ind w:firstLine="420" w:firstLineChars="200"/>
                    <w:rPr>
                      <w:color w:val="auto"/>
                      <w:szCs w:val="21"/>
                      <w:highlight w:val="none"/>
                    </w:rPr>
                  </w:pPr>
                  <w:r>
                    <w:rPr>
                      <w:color w:val="auto"/>
                      <w:szCs w:val="21"/>
                      <w:highlight w:val="none"/>
                    </w:rPr>
                    <w:t>溶剂涂料涂覆、溶剂涂料（含胶）固化成膜设施废气重点排污单位主要排放口至少每月监测</w:t>
                  </w:r>
                  <w:r>
                    <w:rPr>
                      <w:rFonts w:hint="eastAsia"/>
                      <w:color w:val="auto"/>
                      <w:szCs w:val="21"/>
                      <w:highlight w:val="none"/>
                    </w:rPr>
                    <w:t>一次挥发性有机物，至少每季度监测一次苯、甲苯、二甲苯及特征污染物；一般排放口至少每半年监测一次挥发性有机物、苯、甲苯、二甲苯及特征污染物；非重点排污单位至少每年监测一次挥发性有机物、苯、甲苯、二甲苯及特征污染物</w:t>
                  </w:r>
                  <w:r>
                    <w:rPr>
                      <w:color w:val="auto"/>
                      <w:szCs w:val="21"/>
                      <w:highlight w:val="none"/>
                    </w:rPr>
                    <w:t>。</w:t>
                  </w:r>
                </w:p>
              </w:tc>
              <w:tc>
                <w:tcPr>
                  <w:tcW w:w="800" w:type="dxa"/>
                  <w:tcBorders>
                    <w:tl2br w:val="nil"/>
                    <w:tr2bl w:val="nil"/>
                  </w:tcBorders>
                  <w:noWrap w:val="0"/>
                  <w:vAlign w:val="center"/>
                </w:tcPr>
                <w:p w14:paraId="6FAE7784">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343FC1CF">
                  <w:pPr>
                    <w:adjustRightInd w:val="0"/>
                    <w:snapToGrid w:val="0"/>
                    <w:ind w:right="37" w:firstLine="420" w:firstLineChars="200"/>
                    <w:rPr>
                      <w:rFonts w:hint="eastAsia" w:eastAsia="宋体"/>
                      <w:color w:val="auto"/>
                      <w:szCs w:val="21"/>
                      <w:highlight w:val="none"/>
                      <w:lang w:eastAsia="zh-CN"/>
                    </w:rPr>
                  </w:pPr>
                  <w:r>
                    <w:rPr>
                      <w:rFonts w:hint="eastAsia"/>
                      <w:color w:val="auto"/>
                      <w:szCs w:val="21"/>
                      <w:highlight w:val="none"/>
                      <w:lang w:val="en-US" w:eastAsia="zh-CN"/>
                    </w:rPr>
                    <w:t>本项目排放口为一般排放口，属于非重点排污单位，挥发性有机物为</w:t>
                  </w:r>
                  <w:r>
                    <w:rPr>
                      <w:color w:val="auto"/>
                      <w:szCs w:val="21"/>
                      <w:highlight w:val="none"/>
                    </w:rPr>
                    <w:t>每年</w:t>
                  </w:r>
                  <w:r>
                    <w:rPr>
                      <w:rFonts w:hint="eastAsia"/>
                      <w:color w:val="auto"/>
                      <w:szCs w:val="21"/>
                      <w:highlight w:val="none"/>
                      <w:lang w:val="en-US" w:eastAsia="zh-CN"/>
                    </w:rPr>
                    <w:t>监测</w:t>
                  </w:r>
                  <w:r>
                    <w:rPr>
                      <w:color w:val="auto"/>
                      <w:szCs w:val="21"/>
                      <w:highlight w:val="none"/>
                    </w:rPr>
                    <w:t>一次</w:t>
                  </w:r>
                  <w:r>
                    <w:rPr>
                      <w:rFonts w:hint="eastAsia"/>
                      <w:color w:val="auto"/>
                      <w:szCs w:val="21"/>
                      <w:highlight w:val="none"/>
                      <w:lang w:eastAsia="zh-CN"/>
                    </w:rPr>
                    <w:t>。</w:t>
                  </w:r>
                </w:p>
              </w:tc>
              <w:tc>
                <w:tcPr>
                  <w:tcW w:w="700" w:type="dxa"/>
                  <w:tcBorders>
                    <w:tl2br w:val="nil"/>
                    <w:tr2bl w:val="nil"/>
                  </w:tcBorders>
                  <w:noWrap w:val="0"/>
                  <w:vAlign w:val="center"/>
                </w:tcPr>
                <w:p w14:paraId="511A8738">
                  <w:pPr>
                    <w:widowControl w:val="0"/>
                    <w:adjustRightInd w:val="0"/>
                    <w:jc w:val="center"/>
                    <w:rPr>
                      <w:color w:val="auto"/>
                      <w:szCs w:val="21"/>
                      <w:highlight w:val="none"/>
                    </w:rPr>
                  </w:pPr>
                  <w:r>
                    <w:rPr>
                      <w:rFonts w:hint="eastAsia"/>
                      <w:color w:val="auto"/>
                      <w:szCs w:val="21"/>
                      <w:highlight w:val="none"/>
                      <w:lang w:val="en-US" w:eastAsia="zh-CN"/>
                    </w:rPr>
                    <w:t>相符</w:t>
                  </w:r>
                </w:p>
              </w:tc>
            </w:tr>
            <w:tr w14:paraId="0B29A73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1384335B">
                  <w:pPr>
                    <w:rPr>
                      <w:color w:val="auto"/>
                      <w:szCs w:val="21"/>
                      <w:highlight w:val="none"/>
                    </w:rPr>
                  </w:pPr>
                </w:p>
              </w:tc>
              <w:tc>
                <w:tcPr>
                  <w:tcW w:w="3324" w:type="dxa"/>
                  <w:tcBorders>
                    <w:tl2br w:val="nil"/>
                    <w:tr2bl w:val="nil"/>
                  </w:tcBorders>
                  <w:noWrap w:val="0"/>
                  <w:vAlign w:val="center"/>
                </w:tcPr>
                <w:p w14:paraId="077399B7">
                  <w:pPr>
                    <w:widowControl w:val="0"/>
                    <w:spacing w:line="240" w:lineRule="auto"/>
                    <w:ind w:firstLine="420" w:firstLineChars="200"/>
                    <w:rPr>
                      <w:color w:val="auto"/>
                      <w:szCs w:val="21"/>
                      <w:highlight w:val="none"/>
                    </w:rPr>
                  </w:pPr>
                  <w:r>
                    <w:rPr>
                      <w:color w:val="auto"/>
                      <w:szCs w:val="21"/>
                      <w:highlight w:val="none"/>
                    </w:rPr>
                    <w:t>粉末涂料固化成膜设施废气重点排污单位主要排放口至少每季度监测一次挥发性有机物，一</w:t>
                  </w:r>
                  <w:r>
                    <w:rPr>
                      <w:rFonts w:hint="eastAsia"/>
                      <w:color w:val="auto"/>
                      <w:szCs w:val="21"/>
                      <w:highlight w:val="none"/>
                    </w:rPr>
                    <w:t>般排放口至少每半年监测一次挥发性有机物，非重点排污单位至少每年监测一次挥发性有机物。</w:t>
                  </w:r>
                </w:p>
              </w:tc>
              <w:tc>
                <w:tcPr>
                  <w:tcW w:w="800" w:type="dxa"/>
                  <w:tcBorders>
                    <w:tl2br w:val="nil"/>
                    <w:tr2bl w:val="nil"/>
                  </w:tcBorders>
                  <w:noWrap w:val="0"/>
                  <w:vAlign w:val="center"/>
                </w:tcPr>
                <w:p w14:paraId="00797A6A">
                  <w:pPr>
                    <w:widowControl w:val="0"/>
                    <w:adjustRightInd w:val="0"/>
                    <w:jc w:val="center"/>
                    <w:rPr>
                      <w:rFonts w:hint="eastAsia"/>
                      <w:color w:val="auto"/>
                      <w:szCs w:val="21"/>
                      <w:highlight w:val="none"/>
                    </w:rPr>
                  </w:pPr>
                  <w:r>
                    <w:rPr>
                      <w:rFonts w:hint="eastAsia"/>
                      <w:color w:val="auto"/>
                      <w:szCs w:val="21"/>
                      <w:highlight w:val="none"/>
                    </w:rPr>
                    <w:t>要求</w:t>
                  </w:r>
                </w:p>
              </w:tc>
              <w:tc>
                <w:tcPr>
                  <w:tcW w:w="3393" w:type="dxa"/>
                  <w:tcBorders>
                    <w:tl2br w:val="nil"/>
                    <w:tr2bl w:val="nil"/>
                  </w:tcBorders>
                  <w:noWrap w:val="0"/>
                  <w:vAlign w:val="center"/>
                </w:tcPr>
                <w:p w14:paraId="0FF08626">
                  <w:pPr>
                    <w:adjustRightInd w:val="0"/>
                    <w:snapToGrid w:val="0"/>
                    <w:ind w:right="37" w:firstLine="420" w:firstLineChars="200"/>
                    <w:rPr>
                      <w:rFonts w:hint="default" w:eastAsia="宋体"/>
                      <w:color w:val="auto"/>
                      <w:szCs w:val="21"/>
                      <w:highlight w:val="none"/>
                      <w:lang w:val="en-US" w:eastAsia="zh-CN"/>
                    </w:rPr>
                  </w:pPr>
                  <w:r>
                    <w:rPr>
                      <w:rFonts w:hint="eastAsia"/>
                      <w:color w:val="auto"/>
                      <w:szCs w:val="21"/>
                      <w:highlight w:val="none"/>
                      <w:lang w:val="en-US" w:eastAsia="zh-CN"/>
                    </w:rPr>
                    <w:t>本项目排放口为一般排放口，属于非重点排污单位，挥发性有机物为</w:t>
                  </w:r>
                  <w:r>
                    <w:rPr>
                      <w:color w:val="auto"/>
                      <w:szCs w:val="21"/>
                      <w:highlight w:val="none"/>
                    </w:rPr>
                    <w:t>每年</w:t>
                  </w:r>
                  <w:r>
                    <w:rPr>
                      <w:rFonts w:hint="eastAsia"/>
                      <w:color w:val="auto"/>
                      <w:szCs w:val="21"/>
                      <w:highlight w:val="none"/>
                      <w:lang w:val="en-US" w:eastAsia="zh-CN"/>
                    </w:rPr>
                    <w:t>监测</w:t>
                  </w:r>
                  <w:r>
                    <w:rPr>
                      <w:color w:val="auto"/>
                      <w:szCs w:val="21"/>
                      <w:highlight w:val="none"/>
                    </w:rPr>
                    <w:t>一次</w:t>
                  </w:r>
                  <w:r>
                    <w:rPr>
                      <w:rFonts w:hint="eastAsia"/>
                      <w:color w:val="auto"/>
                      <w:szCs w:val="21"/>
                      <w:highlight w:val="none"/>
                      <w:lang w:val="en-US" w:eastAsia="zh-CN"/>
                    </w:rPr>
                    <w:t>。</w:t>
                  </w:r>
                </w:p>
              </w:tc>
              <w:tc>
                <w:tcPr>
                  <w:tcW w:w="700" w:type="dxa"/>
                  <w:tcBorders>
                    <w:tl2br w:val="nil"/>
                    <w:tr2bl w:val="nil"/>
                  </w:tcBorders>
                  <w:noWrap w:val="0"/>
                  <w:vAlign w:val="center"/>
                </w:tcPr>
                <w:p w14:paraId="324D44AD">
                  <w:pPr>
                    <w:widowControl w:val="0"/>
                    <w:adjustRightInd w:val="0"/>
                    <w:jc w:val="center"/>
                    <w:rPr>
                      <w:color w:val="auto"/>
                      <w:szCs w:val="21"/>
                      <w:highlight w:val="none"/>
                    </w:rPr>
                  </w:pPr>
                  <w:r>
                    <w:rPr>
                      <w:rFonts w:hint="eastAsia"/>
                      <w:color w:val="auto"/>
                      <w:szCs w:val="21"/>
                      <w:highlight w:val="none"/>
                      <w:lang w:val="en-US" w:eastAsia="zh-CN"/>
                    </w:rPr>
                    <w:t>相符</w:t>
                  </w:r>
                </w:p>
              </w:tc>
            </w:tr>
            <w:tr w14:paraId="3DC173B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15838692">
                  <w:pPr>
                    <w:rPr>
                      <w:color w:val="auto"/>
                      <w:szCs w:val="21"/>
                      <w:highlight w:val="none"/>
                    </w:rPr>
                  </w:pPr>
                </w:p>
              </w:tc>
              <w:tc>
                <w:tcPr>
                  <w:tcW w:w="3324" w:type="dxa"/>
                  <w:tcBorders>
                    <w:tl2br w:val="nil"/>
                    <w:tr2bl w:val="nil"/>
                  </w:tcBorders>
                  <w:noWrap w:val="0"/>
                  <w:vAlign w:val="center"/>
                </w:tcPr>
                <w:p w14:paraId="483B79B9">
                  <w:pPr>
                    <w:widowControl w:val="0"/>
                    <w:spacing w:line="240" w:lineRule="auto"/>
                    <w:ind w:firstLine="420" w:firstLineChars="200"/>
                    <w:rPr>
                      <w:color w:val="auto"/>
                      <w:szCs w:val="21"/>
                      <w:highlight w:val="none"/>
                    </w:rPr>
                  </w:pPr>
                  <w:r>
                    <w:rPr>
                      <w:color w:val="auto"/>
                      <w:szCs w:val="21"/>
                      <w:highlight w:val="none"/>
                    </w:rPr>
                    <w:t>厂界无组织废气至少每半年监测一次挥发性有机物。</w:t>
                  </w:r>
                </w:p>
              </w:tc>
              <w:tc>
                <w:tcPr>
                  <w:tcW w:w="800" w:type="dxa"/>
                  <w:tcBorders>
                    <w:tl2br w:val="nil"/>
                    <w:tr2bl w:val="nil"/>
                  </w:tcBorders>
                  <w:noWrap w:val="0"/>
                  <w:vAlign w:val="center"/>
                </w:tcPr>
                <w:p w14:paraId="28489BF4">
                  <w:pPr>
                    <w:widowControl w:val="0"/>
                    <w:adjustRightInd w:val="0"/>
                    <w:jc w:val="center"/>
                    <w:rPr>
                      <w:rFonts w:hint="eastAsia"/>
                      <w:color w:val="auto"/>
                      <w:szCs w:val="21"/>
                      <w:highlight w:val="none"/>
                    </w:rPr>
                  </w:pPr>
                  <w:r>
                    <w:rPr>
                      <w:rFonts w:hint="eastAsia"/>
                      <w:color w:val="auto"/>
                      <w:szCs w:val="21"/>
                      <w:highlight w:val="none"/>
                    </w:rPr>
                    <w:t>要求</w:t>
                  </w:r>
                </w:p>
              </w:tc>
              <w:tc>
                <w:tcPr>
                  <w:tcW w:w="3393" w:type="dxa"/>
                  <w:tcBorders>
                    <w:tl2br w:val="nil"/>
                    <w:tr2bl w:val="nil"/>
                  </w:tcBorders>
                  <w:noWrap w:val="0"/>
                  <w:vAlign w:val="center"/>
                </w:tcPr>
                <w:p w14:paraId="5C2F7919">
                  <w:pPr>
                    <w:adjustRightInd w:val="0"/>
                    <w:snapToGrid w:val="0"/>
                    <w:ind w:right="37" w:firstLine="420" w:firstLineChars="200"/>
                    <w:rPr>
                      <w:rFonts w:hint="default" w:eastAsia="宋体"/>
                      <w:color w:val="auto"/>
                      <w:szCs w:val="21"/>
                      <w:highlight w:val="none"/>
                      <w:lang w:val="en-US" w:eastAsia="zh-CN"/>
                    </w:rPr>
                  </w:pPr>
                  <w:r>
                    <w:rPr>
                      <w:rFonts w:hint="eastAsia"/>
                      <w:color w:val="auto"/>
                      <w:szCs w:val="21"/>
                      <w:highlight w:val="none"/>
                      <w:lang w:val="en-US" w:eastAsia="zh-CN"/>
                    </w:rPr>
                    <w:t>厂界无组织废气每半年监测一次挥发性有机物。</w:t>
                  </w:r>
                </w:p>
              </w:tc>
              <w:tc>
                <w:tcPr>
                  <w:tcW w:w="700" w:type="dxa"/>
                  <w:tcBorders>
                    <w:tl2br w:val="nil"/>
                    <w:tr2bl w:val="nil"/>
                  </w:tcBorders>
                  <w:noWrap w:val="0"/>
                  <w:vAlign w:val="center"/>
                </w:tcPr>
                <w:p w14:paraId="18111AFD">
                  <w:pPr>
                    <w:widowControl w:val="0"/>
                    <w:adjustRightInd w:val="0"/>
                    <w:jc w:val="center"/>
                    <w:rPr>
                      <w:color w:val="auto"/>
                      <w:szCs w:val="21"/>
                      <w:highlight w:val="none"/>
                    </w:rPr>
                  </w:pPr>
                  <w:r>
                    <w:rPr>
                      <w:rFonts w:hint="eastAsia"/>
                      <w:color w:val="auto"/>
                      <w:szCs w:val="21"/>
                      <w:highlight w:val="none"/>
                      <w:lang w:val="en-US" w:eastAsia="zh-CN"/>
                    </w:rPr>
                    <w:t>相符</w:t>
                  </w:r>
                </w:p>
              </w:tc>
            </w:tr>
            <w:tr w14:paraId="0FA23B6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1E14E65A">
                  <w:pPr>
                    <w:rPr>
                      <w:color w:val="auto"/>
                      <w:szCs w:val="21"/>
                      <w:highlight w:val="none"/>
                    </w:rPr>
                  </w:pPr>
                </w:p>
              </w:tc>
              <w:tc>
                <w:tcPr>
                  <w:tcW w:w="3324" w:type="dxa"/>
                  <w:tcBorders>
                    <w:tl2br w:val="nil"/>
                    <w:tr2bl w:val="nil"/>
                  </w:tcBorders>
                  <w:noWrap w:val="0"/>
                  <w:vAlign w:val="center"/>
                </w:tcPr>
                <w:p w14:paraId="48A3854E">
                  <w:pPr>
                    <w:widowControl w:val="0"/>
                    <w:spacing w:line="240" w:lineRule="auto"/>
                    <w:ind w:firstLine="420" w:firstLineChars="200"/>
                    <w:rPr>
                      <w:color w:val="auto"/>
                      <w:szCs w:val="21"/>
                      <w:highlight w:val="none"/>
                    </w:rPr>
                  </w:pPr>
                  <w:r>
                    <w:rPr>
                      <w:color w:val="auto"/>
                      <w:szCs w:val="21"/>
                      <w:highlight w:val="none"/>
                    </w:rPr>
                    <w:t>涂装工段旁无组织废气至少每季度监测一次挥发性有机物。</w:t>
                  </w:r>
                </w:p>
              </w:tc>
              <w:tc>
                <w:tcPr>
                  <w:tcW w:w="800" w:type="dxa"/>
                  <w:tcBorders>
                    <w:tl2br w:val="nil"/>
                    <w:tr2bl w:val="nil"/>
                  </w:tcBorders>
                  <w:noWrap w:val="0"/>
                  <w:vAlign w:val="center"/>
                </w:tcPr>
                <w:p w14:paraId="1EB76BF0">
                  <w:pPr>
                    <w:widowControl w:val="0"/>
                    <w:adjustRightInd w:val="0"/>
                    <w:jc w:val="center"/>
                    <w:rPr>
                      <w:rFonts w:hint="eastAsia"/>
                      <w:color w:val="auto"/>
                      <w:szCs w:val="21"/>
                      <w:highlight w:val="none"/>
                    </w:rPr>
                  </w:pPr>
                  <w:r>
                    <w:rPr>
                      <w:rFonts w:hint="eastAsia"/>
                      <w:color w:val="auto"/>
                      <w:szCs w:val="21"/>
                      <w:highlight w:val="none"/>
                    </w:rPr>
                    <w:t>要求</w:t>
                  </w:r>
                </w:p>
              </w:tc>
              <w:tc>
                <w:tcPr>
                  <w:tcW w:w="3393" w:type="dxa"/>
                  <w:tcBorders>
                    <w:tl2br w:val="nil"/>
                    <w:tr2bl w:val="nil"/>
                  </w:tcBorders>
                  <w:noWrap w:val="0"/>
                  <w:vAlign w:val="center"/>
                </w:tcPr>
                <w:p w14:paraId="1AC2959B">
                  <w:pPr>
                    <w:adjustRightInd w:val="0"/>
                    <w:snapToGrid w:val="0"/>
                    <w:ind w:right="37" w:firstLine="420" w:firstLineChars="200"/>
                    <w:rPr>
                      <w:rFonts w:hint="default" w:eastAsia="宋体"/>
                      <w:color w:val="auto"/>
                      <w:szCs w:val="21"/>
                      <w:highlight w:val="none"/>
                      <w:lang w:val="en-US" w:eastAsia="zh-CN"/>
                    </w:rPr>
                  </w:pPr>
                  <w:r>
                    <w:rPr>
                      <w:rFonts w:hint="eastAsia"/>
                      <w:color w:val="auto"/>
                      <w:szCs w:val="21"/>
                      <w:highlight w:val="none"/>
                      <w:lang w:val="en-US" w:eastAsia="zh-CN"/>
                    </w:rPr>
                    <w:t>厂区内无组织废气每季度监测一次挥发性有机物。</w:t>
                  </w:r>
                </w:p>
              </w:tc>
              <w:tc>
                <w:tcPr>
                  <w:tcW w:w="700" w:type="dxa"/>
                  <w:tcBorders>
                    <w:tl2br w:val="nil"/>
                    <w:tr2bl w:val="nil"/>
                  </w:tcBorders>
                  <w:noWrap w:val="0"/>
                  <w:vAlign w:val="center"/>
                </w:tcPr>
                <w:p w14:paraId="5268E490">
                  <w:pPr>
                    <w:widowControl w:val="0"/>
                    <w:adjustRightInd w:val="0"/>
                    <w:jc w:val="center"/>
                    <w:rPr>
                      <w:color w:val="auto"/>
                      <w:szCs w:val="21"/>
                      <w:highlight w:val="none"/>
                    </w:rPr>
                  </w:pPr>
                  <w:r>
                    <w:rPr>
                      <w:rFonts w:hint="eastAsia"/>
                      <w:color w:val="auto"/>
                      <w:szCs w:val="21"/>
                      <w:highlight w:val="none"/>
                      <w:lang w:val="en-US" w:eastAsia="zh-CN"/>
                    </w:rPr>
                    <w:t>相符</w:t>
                  </w:r>
                </w:p>
              </w:tc>
            </w:tr>
            <w:tr w14:paraId="76FC8C3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tcBorders>
                    <w:tl2br w:val="nil"/>
                    <w:tr2bl w:val="nil"/>
                  </w:tcBorders>
                  <w:noWrap w:val="0"/>
                  <w:vAlign w:val="center"/>
                </w:tcPr>
                <w:p w14:paraId="0E9B696A">
                  <w:pPr>
                    <w:widowControl w:val="0"/>
                    <w:adjustRightInd w:val="0"/>
                    <w:jc w:val="center"/>
                    <w:rPr>
                      <w:color w:val="auto"/>
                      <w:szCs w:val="21"/>
                      <w:highlight w:val="none"/>
                    </w:rPr>
                  </w:pPr>
                  <w:r>
                    <w:rPr>
                      <w:color w:val="auto"/>
                      <w:szCs w:val="21"/>
                      <w:highlight w:val="none"/>
                    </w:rPr>
                    <w:t>危废管理</w:t>
                  </w:r>
                </w:p>
              </w:tc>
              <w:tc>
                <w:tcPr>
                  <w:tcW w:w="3324" w:type="dxa"/>
                  <w:tcBorders>
                    <w:tl2br w:val="nil"/>
                    <w:tr2bl w:val="nil"/>
                  </w:tcBorders>
                  <w:noWrap w:val="0"/>
                  <w:vAlign w:val="center"/>
                </w:tcPr>
                <w:p w14:paraId="4A8366B9">
                  <w:pPr>
                    <w:widowControl w:val="0"/>
                    <w:spacing w:line="240" w:lineRule="auto"/>
                    <w:ind w:firstLine="420" w:firstLineChars="200"/>
                    <w:rPr>
                      <w:color w:val="auto"/>
                      <w:szCs w:val="21"/>
                      <w:highlight w:val="none"/>
                    </w:rPr>
                  </w:pPr>
                  <w:r>
                    <w:rPr>
                      <w:color w:val="auto"/>
                      <w:szCs w:val="21"/>
                      <w:highlight w:val="none"/>
                    </w:rPr>
                    <w:t>工艺过程产生的含VOCs</w:t>
                  </w:r>
                  <w:r>
                    <w:rPr>
                      <w:rFonts w:hint="eastAsia"/>
                      <w:color w:val="auto"/>
                      <w:szCs w:val="21"/>
                      <w:highlight w:val="none"/>
                    </w:rPr>
                    <w:t>废料（渣、液）应按照相关要求进行储存、转移和输送。盛装过</w:t>
                  </w:r>
                  <w:r>
                    <w:rPr>
                      <w:color w:val="auto"/>
                      <w:szCs w:val="21"/>
                      <w:highlight w:val="none"/>
                    </w:rPr>
                    <w:t xml:space="preserve">VOCs </w:t>
                  </w:r>
                  <w:r>
                    <w:rPr>
                      <w:rFonts w:hint="eastAsia"/>
                      <w:color w:val="auto"/>
                      <w:szCs w:val="21"/>
                      <w:highlight w:val="none"/>
                    </w:rPr>
                    <w:t>物料的废包装容器应加盖密闭。</w:t>
                  </w:r>
                </w:p>
              </w:tc>
              <w:tc>
                <w:tcPr>
                  <w:tcW w:w="800" w:type="dxa"/>
                  <w:tcBorders>
                    <w:tl2br w:val="nil"/>
                    <w:tr2bl w:val="nil"/>
                  </w:tcBorders>
                  <w:noWrap w:val="0"/>
                  <w:vAlign w:val="center"/>
                </w:tcPr>
                <w:p w14:paraId="70713C68">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03987BBC">
                  <w:pPr>
                    <w:adjustRightInd w:val="0"/>
                    <w:snapToGrid w:val="0"/>
                    <w:ind w:right="37" w:firstLine="420" w:firstLineChars="200"/>
                    <w:rPr>
                      <w:color w:val="auto"/>
                      <w:szCs w:val="21"/>
                      <w:highlight w:val="none"/>
                    </w:rPr>
                  </w:pPr>
                  <w:r>
                    <w:rPr>
                      <w:color w:val="auto"/>
                      <w:szCs w:val="21"/>
                      <w:highlight w:val="none"/>
                    </w:rPr>
                    <w:t>密闭容器储存。</w:t>
                  </w:r>
                </w:p>
              </w:tc>
              <w:tc>
                <w:tcPr>
                  <w:tcW w:w="700" w:type="dxa"/>
                  <w:tcBorders>
                    <w:tl2br w:val="nil"/>
                    <w:tr2bl w:val="nil"/>
                  </w:tcBorders>
                  <w:noWrap w:val="0"/>
                  <w:vAlign w:val="center"/>
                </w:tcPr>
                <w:p w14:paraId="767BB031">
                  <w:pPr>
                    <w:widowControl w:val="0"/>
                    <w:adjustRightInd w:val="0"/>
                    <w:jc w:val="center"/>
                    <w:rPr>
                      <w:color w:val="auto"/>
                      <w:szCs w:val="21"/>
                      <w:highlight w:val="none"/>
                    </w:rPr>
                  </w:pPr>
                  <w:r>
                    <w:rPr>
                      <w:rFonts w:hint="eastAsia"/>
                      <w:color w:val="auto"/>
                      <w:szCs w:val="21"/>
                      <w:highlight w:val="none"/>
                      <w:lang w:val="en-US" w:eastAsia="zh-CN"/>
                    </w:rPr>
                    <w:t>相符</w:t>
                  </w:r>
                </w:p>
              </w:tc>
            </w:tr>
            <w:tr w14:paraId="550D6EF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restart"/>
                  <w:tcBorders>
                    <w:tl2br w:val="nil"/>
                    <w:tr2bl w:val="nil"/>
                  </w:tcBorders>
                  <w:noWrap w:val="0"/>
                  <w:vAlign w:val="center"/>
                </w:tcPr>
                <w:p w14:paraId="00B1A60B">
                  <w:pPr>
                    <w:adjustRightInd w:val="0"/>
                    <w:jc w:val="center"/>
                    <w:rPr>
                      <w:color w:val="auto"/>
                      <w:szCs w:val="21"/>
                      <w:highlight w:val="none"/>
                    </w:rPr>
                  </w:pPr>
                  <w:r>
                    <w:rPr>
                      <w:color w:val="auto"/>
                      <w:szCs w:val="21"/>
                      <w:highlight w:val="none"/>
                    </w:rPr>
                    <w:t>建设项目VOCs总量管理</w:t>
                  </w:r>
                </w:p>
              </w:tc>
              <w:tc>
                <w:tcPr>
                  <w:tcW w:w="3324" w:type="dxa"/>
                  <w:tcBorders>
                    <w:tl2br w:val="nil"/>
                    <w:tr2bl w:val="nil"/>
                  </w:tcBorders>
                  <w:noWrap w:val="0"/>
                  <w:vAlign w:val="center"/>
                </w:tcPr>
                <w:p w14:paraId="5A584941">
                  <w:pPr>
                    <w:widowControl w:val="0"/>
                    <w:spacing w:line="240" w:lineRule="auto"/>
                    <w:ind w:firstLine="420" w:firstLineChars="200"/>
                    <w:rPr>
                      <w:color w:val="auto"/>
                      <w:szCs w:val="21"/>
                      <w:highlight w:val="none"/>
                    </w:rPr>
                  </w:pPr>
                  <w:r>
                    <w:rPr>
                      <w:color w:val="auto"/>
                      <w:szCs w:val="21"/>
                      <w:highlight w:val="none"/>
                    </w:rPr>
                    <w:t>新、改、扩建项目应执行总量替代制度，明确VOCs</w:t>
                  </w:r>
                  <w:r>
                    <w:rPr>
                      <w:rFonts w:hint="eastAsia"/>
                      <w:color w:val="auto"/>
                      <w:szCs w:val="21"/>
                      <w:highlight w:val="none"/>
                    </w:rPr>
                    <w:t>总量指标来源。</w:t>
                  </w:r>
                </w:p>
              </w:tc>
              <w:tc>
                <w:tcPr>
                  <w:tcW w:w="800" w:type="dxa"/>
                  <w:tcBorders>
                    <w:tl2br w:val="nil"/>
                    <w:tr2bl w:val="nil"/>
                  </w:tcBorders>
                  <w:noWrap w:val="0"/>
                  <w:vAlign w:val="center"/>
                </w:tcPr>
                <w:p w14:paraId="17525758">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4F22CA8C">
                  <w:pPr>
                    <w:adjustRightInd w:val="0"/>
                    <w:snapToGrid w:val="0"/>
                    <w:ind w:right="37" w:firstLine="420" w:firstLineChars="200"/>
                    <w:rPr>
                      <w:color w:val="auto"/>
                      <w:szCs w:val="21"/>
                      <w:highlight w:val="none"/>
                    </w:rPr>
                  </w:pPr>
                  <w:r>
                    <w:rPr>
                      <w:color w:val="auto"/>
                      <w:szCs w:val="21"/>
                      <w:highlight w:val="none"/>
                    </w:rPr>
                    <w:t>VOCs总量</w:t>
                  </w:r>
                  <w:r>
                    <w:rPr>
                      <w:rFonts w:hint="eastAsia"/>
                      <w:color w:val="auto"/>
                      <w:szCs w:val="21"/>
                      <w:highlight w:val="none"/>
                      <w:lang w:val="en-US" w:eastAsia="zh-CN"/>
                    </w:rPr>
                    <w:t>根据</w:t>
                  </w:r>
                  <w:r>
                    <w:rPr>
                      <w:color w:val="auto"/>
                      <w:kern w:val="0"/>
                      <w:szCs w:val="21"/>
                      <w:lang w:bidi="ar"/>
                    </w:rPr>
                    <w:t>生态环境部门相关要求申请废气排放总量</w:t>
                  </w:r>
                  <w:r>
                    <w:rPr>
                      <w:color w:val="auto"/>
                      <w:szCs w:val="21"/>
                      <w:highlight w:val="none"/>
                    </w:rPr>
                    <w:t>。</w:t>
                  </w:r>
                </w:p>
              </w:tc>
              <w:tc>
                <w:tcPr>
                  <w:tcW w:w="700" w:type="dxa"/>
                  <w:tcBorders>
                    <w:tl2br w:val="nil"/>
                    <w:tr2bl w:val="nil"/>
                  </w:tcBorders>
                  <w:noWrap w:val="0"/>
                  <w:vAlign w:val="center"/>
                </w:tcPr>
                <w:p w14:paraId="079B5040">
                  <w:pPr>
                    <w:widowControl w:val="0"/>
                    <w:adjustRightInd w:val="0"/>
                    <w:jc w:val="center"/>
                    <w:rPr>
                      <w:color w:val="auto"/>
                      <w:szCs w:val="21"/>
                      <w:highlight w:val="none"/>
                    </w:rPr>
                  </w:pPr>
                  <w:r>
                    <w:rPr>
                      <w:rFonts w:hint="eastAsia"/>
                      <w:color w:val="auto"/>
                      <w:szCs w:val="21"/>
                      <w:highlight w:val="none"/>
                      <w:lang w:val="en-US" w:eastAsia="zh-CN"/>
                    </w:rPr>
                    <w:t>相符</w:t>
                  </w:r>
                </w:p>
              </w:tc>
            </w:tr>
            <w:tr w14:paraId="5B79F7B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48" w:type="dxa"/>
                  <w:vMerge w:val="continue"/>
                  <w:tcBorders>
                    <w:tl2br w:val="nil"/>
                    <w:tr2bl w:val="nil"/>
                  </w:tcBorders>
                  <w:noWrap w:val="0"/>
                  <w:vAlign w:val="center"/>
                </w:tcPr>
                <w:p w14:paraId="05AC3B9E">
                  <w:pPr>
                    <w:rPr>
                      <w:color w:val="auto"/>
                      <w:szCs w:val="21"/>
                      <w:highlight w:val="none"/>
                    </w:rPr>
                  </w:pPr>
                </w:p>
              </w:tc>
              <w:tc>
                <w:tcPr>
                  <w:tcW w:w="3324" w:type="dxa"/>
                  <w:tcBorders>
                    <w:tl2br w:val="nil"/>
                    <w:tr2bl w:val="nil"/>
                  </w:tcBorders>
                  <w:noWrap w:val="0"/>
                  <w:vAlign w:val="center"/>
                </w:tcPr>
                <w:p w14:paraId="32ED7A6E">
                  <w:pPr>
                    <w:widowControl w:val="0"/>
                    <w:spacing w:line="240" w:lineRule="auto"/>
                    <w:ind w:firstLine="420" w:firstLineChars="200"/>
                    <w:rPr>
                      <w:color w:val="auto"/>
                      <w:szCs w:val="21"/>
                      <w:highlight w:val="none"/>
                    </w:rPr>
                  </w:pPr>
                  <w:r>
                    <w:rPr>
                      <w:color w:val="auto"/>
                      <w:szCs w:val="21"/>
                      <w:highlight w:val="none"/>
                    </w:rPr>
                    <w:t>新、改、扩建项目和现有企业VOCs</w:t>
                  </w:r>
                  <w:r>
                    <w:rPr>
                      <w:rFonts w:hint="eastAsia"/>
                      <w:color w:val="auto"/>
                      <w:szCs w:val="21"/>
                      <w:highlight w:val="none"/>
                    </w:rPr>
                    <w:t>基准排放量计算参考《广东省重点行业挥发性有机物排放量计算方法核算》进行核算，若国家和我省出台适用于该行业的</w:t>
                  </w:r>
                  <w:r>
                    <w:rPr>
                      <w:color w:val="auto"/>
                      <w:szCs w:val="21"/>
                      <w:highlight w:val="none"/>
                    </w:rPr>
                    <w:t>VOCs</w:t>
                  </w:r>
                  <w:r>
                    <w:rPr>
                      <w:rFonts w:hint="eastAsia"/>
                      <w:color w:val="auto"/>
                      <w:szCs w:val="21"/>
                      <w:highlight w:val="none"/>
                    </w:rPr>
                    <w:t>排放量计算方法，则参照其相关规定执行。</w:t>
                  </w:r>
                </w:p>
              </w:tc>
              <w:tc>
                <w:tcPr>
                  <w:tcW w:w="800" w:type="dxa"/>
                  <w:tcBorders>
                    <w:tl2br w:val="nil"/>
                    <w:tr2bl w:val="nil"/>
                  </w:tcBorders>
                  <w:noWrap w:val="0"/>
                  <w:vAlign w:val="center"/>
                </w:tcPr>
                <w:p w14:paraId="13F68C2B">
                  <w:pPr>
                    <w:widowControl w:val="0"/>
                    <w:adjustRightInd w:val="0"/>
                    <w:jc w:val="center"/>
                    <w:rPr>
                      <w:color w:val="auto"/>
                      <w:szCs w:val="21"/>
                      <w:highlight w:val="none"/>
                    </w:rPr>
                  </w:pPr>
                  <w:r>
                    <w:rPr>
                      <w:color w:val="auto"/>
                      <w:szCs w:val="21"/>
                      <w:highlight w:val="none"/>
                    </w:rPr>
                    <w:t>要求</w:t>
                  </w:r>
                </w:p>
              </w:tc>
              <w:tc>
                <w:tcPr>
                  <w:tcW w:w="3393" w:type="dxa"/>
                  <w:tcBorders>
                    <w:tl2br w:val="nil"/>
                    <w:tr2bl w:val="nil"/>
                  </w:tcBorders>
                  <w:noWrap w:val="0"/>
                  <w:vAlign w:val="center"/>
                </w:tcPr>
                <w:p w14:paraId="57F554F0">
                  <w:pPr>
                    <w:adjustRightInd w:val="0"/>
                    <w:snapToGrid w:val="0"/>
                    <w:ind w:right="37" w:firstLine="420" w:firstLineChars="200"/>
                    <w:rPr>
                      <w:color w:val="auto"/>
                      <w:szCs w:val="21"/>
                      <w:highlight w:val="none"/>
                    </w:rPr>
                  </w:pPr>
                  <w:r>
                    <w:rPr>
                      <w:color w:val="auto"/>
                      <w:szCs w:val="21"/>
                      <w:highlight w:val="none"/>
                    </w:rPr>
                    <w:t>按照规定进行核算。</w:t>
                  </w:r>
                </w:p>
              </w:tc>
              <w:tc>
                <w:tcPr>
                  <w:tcW w:w="700" w:type="dxa"/>
                  <w:tcBorders>
                    <w:tl2br w:val="nil"/>
                    <w:tr2bl w:val="nil"/>
                  </w:tcBorders>
                  <w:noWrap w:val="0"/>
                  <w:vAlign w:val="center"/>
                </w:tcPr>
                <w:p w14:paraId="32220A1F">
                  <w:pPr>
                    <w:widowControl w:val="0"/>
                    <w:adjustRightInd w:val="0"/>
                    <w:jc w:val="center"/>
                    <w:rPr>
                      <w:rFonts w:hint="eastAsia" w:eastAsia="宋体"/>
                      <w:color w:val="auto"/>
                      <w:szCs w:val="21"/>
                      <w:highlight w:val="none"/>
                      <w:lang w:eastAsia="zh-CN"/>
                    </w:rPr>
                  </w:pPr>
                  <w:r>
                    <w:rPr>
                      <w:rFonts w:hint="eastAsia"/>
                      <w:color w:val="auto"/>
                      <w:szCs w:val="21"/>
                      <w:highlight w:val="none"/>
                      <w:lang w:val="en-US" w:eastAsia="zh-CN"/>
                    </w:rPr>
                    <w:t>相符</w:t>
                  </w:r>
                </w:p>
              </w:tc>
            </w:tr>
          </w:tbl>
          <w:p w14:paraId="6BF189F4">
            <w:pPr>
              <w:pStyle w:val="189"/>
              <w:widowControl w:val="0"/>
              <w:spacing w:line="360" w:lineRule="auto"/>
              <w:ind w:left="21" w:leftChars="10" w:right="21" w:rightChars="10" w:firstLine="482"/>
              <w:rPr>
                <w:b/>
                <w:bCs/>
                <w:color w:val="auto"/>
                <w:sz w:val="24"/>
              </w:rPr>
            </w:pPr>
            <w:r>
              <w:rPr>
                <w:b/>
                <w:bCs/>
                <w:color w:val="auto"/>
                <w:sz w:val="24"/>
              </w:rPr>
              <w:t>10、与《广东省空气质量持续改善行动方案》（粤府〔2024〕85号）相符性分析</w:t>
            </w:r>
          </w:p>
          <w:p w14:paraId="2C46564B">
            <w:pPr>
              <w:pStyle w:val="189"/>
              <w:widowControl w:val="0"/>
              <w:spacing w:line="360" w:lineRule="auto"/>
              <w:ind w:left="21" w:leftChars="10" w:right="21" w:rightChars="10" w:firstLine="480"/>
              <w:rPr>
                <w:color w:val="auto"/>
                <w:sz w:val="24"/>
              </w:rPr>
            </w:pPr>
            <w:r>
              <w:rPr>
                <w:color w:val="auto"/>
                <w:sz w:val="24"/>
              </w:rPr>
              <w:t>根据《广东省空气质量持续改善行动方案》（粤府〔2024〕85号）规定，</w:t>
            </w:r>
            <w:r>
              <w:rPr>
                <w:color w:val="auto"/>
                <w:kern w:val="0"/>
                <w:sz w:val="24"/>
              </w:rPr>
              <w:t>“</w:t>
            </w:r>
            <w:r>
              <w:rPr>
                <w:color w:val="auto"/>
                <w:sz w:val="24"/>
              </w:rPr>
              <w:t>坚决遏制高耗能、高排放、低水平项目盲目上马。加快推进生态环境分区管控成果在“两高一低”行业产业布局和结构调整、重大项目选址中的应用。新改扩建项目严格落实国家产业规划、产业政策、生态环境分区管控方案、规划环评、项目环评、节能审查、产能置换、重点污染物总量控制、污染物排放区域削减、碳排放达峰目标等相关要求，原则上采用清洁运输方式。新建、扩建石化、化工、焦化、有色金属冶炼、平板玻璃项目应布设在依法合规设立并经规划环评的产业园区。新建高耗能项目达到高耗能行业重点领域能效标杆水平。重点区域（清远市除外）建设项目实施VOCs两倍削减量替代和NOx等量替代，其他区域建设项目原则上实施VOCs和NOx等量替代。</w:t>
            </w:r>
            <w:r>
              <w:rPr>
                <w:color w:val="auto"/>
                <w:kern w:val="0"/>
                <w:sz w:val="24"/>
              </w:rPr>
              <w:t>”</w:t>
            </w:r>
          </w:p>
          <w:p w14:paraId="21695071">
            <w:pPr>
              <w:widowControl w:val="0"/>
              <w:autoSpaceDE w:val="0"/>
              <w:autoSpaceDN w:val="0"/>
              <w:adjustRightInd w:val="0"/>
              <w:snapToGrid w:val="0"/>
              <w:spacing w:line="360" w:lineRule="auto"/>
              <w:ind w:firstLine="480" w:firstLineChars="200"/>
              <w:jc w:val="both"/>
              <w:rPr>
                <w:b/>
                <w:bCs/>
                <w:color w:val="auto"/>
                <w:kern w:val="0"/>
                <w:sz w:val="24"/>
              </w:rPr>
            </w:pPr>
            <w:r>
              <w:rPr>
                <w:color w:val="auto"/>
                <w:sz w:val="24"/>
              </w:rPr>
              <w:t>本项目使用的原辅材料属于低VOCs原料，在生产过程中有少量VOCs产生，可满足要求。因此本项目符合《广东省空气质量持续改善行动方案》（粤府〔2024〕85号）要求。</w:t>
            </w:r>
          </w:p>
          <w:p w14:paraId="603FC6AE">
            <w:pPr>
              <w:widowControl w:val="0"/>
              <w:autoSpaceDE w:val="0"/>
              <w:autoSpaceDN w:val="0"/>
              <w:adjustRightInd w:val="0"/>
              <w:snapToGrid w:val="0"/>
              <w:spacing w:line="360" w:lineRule="auto"/>
              <w:ind w:firstLine="482" w:firstLineChars="200"/>
              <w:jc w:val="both"/>
              <w:rPr>
                <w:b/>
                <w:bCs/>
                <w:color w:val="auto"/>
                <w:kern w:val="0"/>
                <w:sz w:val="24"/>
              </w:rPr>
            </w:pPr>
            <w:r>
              <w:rPr>
                <w:b/>
                <w:bCs/>
                <w:color w:val="auto"/>
                <w:kern w:val="0"/>
                <w:sz w:val="24"/>
              </w:rPr>
              <w:t>11、与《广东省臭氧污染防治（氮氧化物和挥发性有机物协同减排）实施方案（2023-2025年）》（粤环函〔2023〕45号）的相符性分析</w:t>
            </w:r>
          </w:p>
          <w:p w14:paraId="09B5F3EE">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根据《广东省生态环境厅等11部门关于印发〈广东省臭氧污染防治（氮氧化物和挥发性有机物协同减排）实施方案（2023-2025年）〉的通知》（粤环函〔2023〕45号）规定：5．工业锅炉。工作目标：珠三角地区原则上不再新建燃煤锅炉，粤东西北地区县级及以上城市建成区和天然气管网覆盖范围内禁止新建35蒸吨/小时（t/h）及以下燃煤锅炉。粤东西北城市建成区基本淘汰35t/h及以下燃煤锅炉。全省35t/h以上燃煤锅炉和燃气锅炉执行特别排放限值。燃煤自备电厂稳定达到超低排放要求。工作要求：珠三角保留的燃煤锅炉和粤东西北35t/h以上燃煤锅炉应稳定达到《锅炉大气污染物排放标准》（DB 44/765-2019）特别排放限值要求。保留的企业自备电厂满足超低排放要求，氮氧化物稳定达到50mg/m</w:t>
            </w:r>
            <w:r>
              <w:rPr>
                <w:color w:val="auto"/>
                <w:kern w:val="0"/>
                <w:sz w:val="24"/>
                <w:vertAlign w:val="superscript"/>
              </w:rPr>
              <w:t>3</w:t>
            </w:r>
            <w:r>
              <w:rPr>
                <w:color w:val="auto"/>
                <w:kern w:val="0"/>
                <w:sz w:val="24"/>
              </w:rPr>
              <w:t>以下。在排污许可证核发过程中，要求10t/h以上蒸汽锅炉和7兆瓦（MW）及以上热水锅炉安装自动监测设施并与环境管理部门联网。推进重点城市县级以上城市建成区内的生物质锅炉（含气化炉和集中供热性质的生物质锅炉）淘汰整治，NOx排放浓度难以稳定达到50mg/m</w:t>
            </w:r>
            <w:r>
              <w:rPr>
                <w:color w:val="auto"/>
                <w:kern w:val="0"/>
                <w:sz w:val="24"/>
                <w:vertAlign w:val="superscript"/>
              </w:rPr>
              <w:t>3</w:t>
            </w:r>
            <w:r>
              <w:rPr>
                <w:color w:val="auto"/>
                <w:kern w:val="0"/>
                <w:sz w:val="24"/>
              </w:rPr>
              <w:t>以下的生物质锅炉（含气化炉和集中供热性质的生物质锅炉）应配备脱硝设施，鼓励有条件的地市淘汰生物质锅炉。燃气锅炉按标准有序执行特别排放限值，NOx排放浓度稳定达到50mg/m</w:t>
            </w:r>
            <w:r>
              <w:rPr>
                <w:color w:val="auto"/>
                <w:kern w:val="0"/>
                <w:sz w:val="24"/>
                <w:vertAlign w:val="superscript"/>
              </w:rPr>
              <w:t>3</w:t>
            </w:r>
            <w:r>
              <w:rPr>
                <w:color w:val="auto"/>
                <w:kern w:val="0"/>
                <w:sz w:val="24"/>
              </w:rPr>
              <w:t>以下，推动燃气锅炉取消烟气再循环系统开关阀，且有必要保留的，可通过设置电动阀、气动阀或铅封方式加强监管。10．其他涉VOCs排放行业控制。工作目标：以工业涂装、橡胶塑料制品等行业为重点，开展涉VOCs企业达标治理，强化源头、无组织、末端全流程治理。工作要求：加快推进工程机械、钢结构、船舶制造等行业低VOCs含量原辅材料替代，引导生产和使用企业供应和使用符合国家质量标准产品；企业无组织排放控制措施及相关限值应符合《挥发性有机物无组织排放控制标准（GB37822）》、《固定污染源挥发性有机物排放综合标准（DB44/2367）》和《广东省生态环境厅关于实施厂区内挥发性有机物无组织排放监控要求的通告》（粤环发〔2021〕4号）要求，无法实现低VOCs原辅材料替代的工序，宜在密闭设备、密闭空间作业或安装二次密闭设施；新、改、扩建项目限制使用光催化、光氧化、水喷淋（吸收可溶性VOCs除外）、低温等离子等低效VOCs治理设施（恶臭处理除外），组织排查光催化、光氧化、水喷淋、低温等离子及上述组合技术的低效VOCs治理设施，对无法稳定达标的实施更换或升级改造。</w:t>
            </w:r>
          </w:p>
          <w:p w14:paraId="245BA876">
            <w:pPr>
              <w:widowControl w:val="0"/>
              <w:autoSpaceDE w:val="0"/>
              <w:autoSpaceDN w:val="0"/>
              <w:adjustRightInd w:val="0"/>
              <w:snapToGrid w:val="0"/>
              <w:spacing w:line="360" w:lineRule="auto"/>
              <w:ind w:firstLine="480" w:firstLineChars="200"/>
              <w:jc w:val="both"/>
              <w:rPr>
                <w:color w:val="auto"/>
                <w:kern w:val="0"/>
                <w:sz w:val="24"/>
              </w:rPr>
            </w:pPr>
            <w:r>
              <w:rPr>
                <w:color w:val="auto"/>
                <w:kern w:val="0"/>
                <w:sz w:val="24"/>
              </w:rPr>
              <w:t>本</w:t>
            </w:r>
            <w:r>
              <w:rPr>
                <w:rFonts w:hint="eastAsia"/>
                <w:color w:val="auto"/>
                <w:kern w:val="0"/>
                <w:sz w:val="24"/>
                <w:lang w:eastAsia="zh-CN"/>
              </w:rPr>
              <w:t>改建</w:t>
            </w:r>
            <w:r>
              <w:rPr>
                <w:color w:val="auto"/>
                <w:kern w:val="0"/>
                <w:sz w:val="24"/>
              </w:rPr>
              <w:t>项目不使用高挥发性有机物原辅材料，本</w:t>
            </w:r>
            <w:r>
              <w:rPr>
                <w:rFonts w:hint="eastAsia"/>
                <w:color w:val="auto"/>
                <w:kern w:val="0"/>
                <w:sz w:val="24"/>
                <w:lang w:eastAsia="zh-CN"/>
              </w:rPr>
              <w:t>改建</w:t>
            </w:r>
            <w:r>
              <w:rPr>
                <w:color w:val="auto"/>
                <w:kern w:val="0"/>
                <w:sz w:val="24"/>
              </w:rPr>
              <w:t>项目不设置锅炉，本项目</w:t>
            </w:r>
            <w:r>
              <w:rPr>
                <w:rFonts w:hint="eastAsia"/>
                <w:color w:val="auto"/>
                <w:kern w:val="0"/>
                <w:sz w:val="24"/>
              </w:rPr>
              <w:t>电泳漆涂装、烘干固化产生的有机废气</w:t>
            </w:r>
            <w:r>
              <w:rPr>
                <w:color w:val="auto"/>
                <w:kern w:val="0"/>
                <w:sz w:val="24"/>
              </w:rPr>
              <w:t>经“水喷淋塔+除雾器+两级活性炭吸附装置”处理后引至</w:t>
            </w:r>
            <w:r>
              <w:rPr>
                <w:rFonts w:hint="eastAsia"/>
                <w:color w:val="auto"/>
                <w:kern w:val="0"/>
                <w:sz w:val="24"/>
                <w:lang w:val="en-US" w:eastAsia="zh-CN"/>
              </w:rPr>
              <w:t>20</w:t>
            </w:r>
            <w:r>
              <w:rPr>
                <w:color w:val="auto"/>
                <w:kern w:val="0"/>
                <w:sz w:val="24"/>
              </w:rPr>
              <w:t>m高的排气筒排放，项目采用的有机废气处理设施不属于光催化、光氧化、低温等离子及上述组合技术的低效VOCs治理设施，因此，本项目与《广东省臭氧污染防治（氮氧化物和挥发性有机物协同减排）实施方案（2023-2025年）》是相符的。</w:t>
            </w:r>
          </w:p>
          <w:p w14:paraId="6B5A76C7">
            <w:pPr>
              <w:pStyle w:val="50"/>
              <w:rPr>
                <w:rFonts w:ascii="Times New Roman" w:hAnsi="Times New Roman" w:cs="Times New Roman"/>
                <w:color w:val="auto"/>
                <w:kern w:val="0"/>
              </w:rPr>
            </w:pPr>
          </w:p>
          <w:p w14:paraId="1066E368">
            <w:pPr>
              <w:rPr>
                <w:color w:val="auto"/>
                <w:kern w:val="0"/>
                <w:sz w:val="24"/>
              </w:rPr>
            </w:pPr>
          </w:p>
          <w:p w14:paraId="562ED623">
            <w:pPr>
              <w:pStyle w:val="54"/>
              <w:rPr>
                <w:rFonts w:eastAsia="宋体"/>
                <w:color w:val="auto"/>
                <w:kern w:val="0"/>
                <w:sz w:val="24"/>
                <w:szCs w:val="24"/>
              </w:rPr>
            </w:pPr>
          </w:p>
          <w:p w14:paraId="5DD9CFE2">
            <w:pPr>
              <w:pStyle w:val="33"/>
              <w:rPr>
                <w:color w:val="auto"/>
              </w:rPr>
            </w:pPr>
          </w:p>
        </w:tc>
      </w:tr>
    </w:tbl>
    <w:p w14:paraId="5CBC0818">
      <w:pPr>
        <w:pStyle w:val="25"/>
        <w:tabs>
          <w:tab w:val="right" w:leader="dot" w:pos="9072"/>
          <w:tab w:val="clear" w:pos="9289"/>
        </w:tabs>
        <w:spacing w:line="408" w:lineRule="auto"/>
        <w:rPr>
          <w:bCs/>
          <w:color w:val="auto"/>
          <w:sz w:val="21"/>
          <w:szCs w:val="21"/>
        </w:rPr>
      </w:pPr>
    </w:p>
    <w:p w14:paraId="348F7A54">
      <w:pPr>
        <w:pStyle w:val="25"/>
        <w:tabs>
          <w:tab w:val="right" w:leader="dot" w:pos="9072"/>
          <w:tab w:val="clear" w:pos="9289"/>
        </w:tabs>
        <w:spacing w:line="408" w:lineRule="auto"/>
        <w:rPr>
          <w:bCs/>
          <w:color w:val="auto"/>
          <w:sz w:val="21"/>
          <w:szCs w:val="21"/>
        </w:rPr>
        <w:sectPr>
          <w:footerReference r:id="rId10" w:type="default"/>
          <w:pgSz w:w="11906" w:h="16838"/>
          <w:pgMar w:top="1418" w:right="1417" w:bottom="1418" w:left="1417" w:header="851" w:footer="1077" w:gutter="0"/>
          <w:pgBorders>
            <w:top w:val="none" w:sz="0" w:space="0"/>
            <w:left w:val="none" w:sz="0" w:space="0"/>
            <w:bottom w:val="none" w:sz="0" w:space="0"/>
            <w:right w:val="none" w:sz="0" w:space="0"/>
          </w:pgBorders>
          <w:pgNumType w:start="1"/>
          <w:cols w:space="720" w:num="1"/>
          <w:docGrid w:linePitch="312" w:charSpace="0"/>
        </w:sectPr>
      </w:pPr>
    </w:p>
    <w:p w14:paraId="7F54BAC9">
      <w:pPr>
        <w:pStyle w:val="36"/>
        <w:jc w:val="center"/>
        <w:outlineLvl w:val="0"/>
        <w:rPr>
          <w:rFonts w:ascii="Times New Roman" w:hAnsi="Times New Roman" w:eastAsia="黑体"/>
          <w:snapToGrid w:val="0"/>
          <w:color w:val="auto"/>
          <w:sz w:val="30"/>
          <w:szCs w:val="30"/>
        </w:rPr>
      </w:pPr>
      <w:bookmarkStart w:id="52" w:name="_Toc15248"/>
      <w:bookmarkStart w:id="53" w:name="_Toc29524"/>
      <w:r>
        <w:rPr>
          <w:rFonts w:ascii="Times New Roman" w:hAnsi="Times New Roman" w:eastAsia="黑体"/>
          <w:snapToGrid w:val="0"/>
          <w:color w:val="auto"/>
          <w:sz w:val="30"/>
          <w:szCs w:val="30"/>
        </w:rPr>
        <w:t>二、建设项目工程分析</w:t>
      </w:r>
      <w:bookmarkEnd w:id="52"/>
      <w:bookmarkEnd w:id="53"/>
    </w:p>
    <w:tbl>
      <w:tblPr>
        <w:tblStyle w:val="42"/>
        <w:tblW w:w="547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30"/>
        <w:gridCol w:w="9477"/>
      </w:tblGrid>
      <w:tr w14:paraId="32455F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435" w:type="dxa"/>
            <w:vAlign w:val="center"/>
          </w:tcPr>
          <w:p w14:paraId="708E9BCA">
            <w:pPr>
              <w:pStyle w:val="36"/>
              <w:adjustRightInd w:val="0"/>
              <w:snapToGrid w:val="0"/>
              <w:spacing w:before="0" w:beforeAutospacing="0" w:after="0" w:afterAutospacing="0"/>
              <w:jc w:val="center"/>
              <w:rPr>
                <w:rFonts w:ascii="Times New Roman" w:hAnsi="Times New Roman"/>
                <w:color w:val="auto"/>
                <w:szCs w:val="24"/>
              </w:rPr>
            </w:pPr>
            <w:r>
              <w:rPr>
                <w:rFonts w:ascii="Times New Roman" w:hAnsi="Times New Roman"/>
                <w:color w:val="auto"/>
                <w:szCs w:val="24"/>
              </w:rPr>
              <w:t>建设内容</w:t>
            </w:r>
          </w:p>
        </w:tc>
        <w:tc>
          <w:tcPr>
            <w:tcW w:w="9729" w:type="dxa"/>
          </w:tcPr>
          <w:p w14:paraId="29FB8E71">
            <w:pPr>
              <w:tabs>
                <w:tab w:val="right" w:pos="9069"/>
              </w:tabs>
              <w:adjustRightInd w:val="0"/>
              <w:snapToGrid w:val="0"/>
              <w:spacing w:line="360" w:lineRule="auto"/>
              <w:ind w:firstLine="482" w:firstLineChars="200"/>
              <w:rPr>
                <w:b/>
                <w:color w:val="auto"/>
                <w:sz w:val="24"/>
              </w:rPr>
            </w:pPr>
            <w:r>
              <w:rPr>
                <w:rFonts w:hint="eastAsia"/>
                <w:b/>
                <w:color w:val="auto"/>
                <w:sz w:val="24"/>
              </w:rPr>
              <w:t>（一）项目由来</w:t>
            </w:r>
          </w:p>
          <w:p w14:paraId="32945AD8">
            <w:pPr>
              <w:tabs>
                <w:tab w:val="left" w:pos="7870"/>
              </w:tabs>
              <w:spacing w:line="360" w:lineRule="auto"/>
              <w:ind w:firstLine="480" w:firstLineChars="200"/>
              <w:rPr>
                <w:color w:val="auto"/>
                <w:sz w:val="24"/>
                <w:lang w:bidi="ar"/>
              </w:rPr>
            </w:pPr>
            <w:r>
              <w:rPr>
                <w:rFonts w:hint="eastAsia"/>
                <w:color w:val="auto"/>
                <w:sz w:val="24"/>
              </w:rPr>
              <w:t>阳江纳谷科技有限公司</w:t>
            </w:r>
            <w:r>
              <w:rPr>
                <w:color w:val="auto"/>
                <w:sz w:val="24"/>
              </w:rPr>
              <w:t>（以下简称“建设单位”）（统一社会信用代码：91441700757899564Y）位于</w:t>
            </w:r>
            <w:r>
              <w:rPr>
                <w:rFonts w:hint="eastAsia"/>
                <w:color w:val="auto"/>
                <w:sz w:val="24"/>
              </w:rPr>
              <w:t>阳江市阳东区东城镇裕东一路25号</w:t>
            </w:r>
            <w:r>
              <w:rPr>
                <w:color w:val="auto"/>
                <w:sz w:val="24"/>
              </w:rPr>
              <w:t>。</w:t>
            </w:r>
            <w:r>
              <w:rPr>
                <w:rFonts w:hint="eastAsia"/>
                <w:color w:val="auto"/>
                <w:sz w:val="24"/>
              </w:rPr>
              <w:t>现有</w:t>
            </w:r>
            <w:r>
              <w:rPr>
                <w:color w:val="auto"/>
                <w:sz w:val="24"/>
              </w:rPr>
              <w:t>项目主要从事</w:t>
            </w:r>
            <w:r>
              <w:rPr>
                <w:rFonts w:hint="eastAsia"/>
                <w:color w:val="auto"/>
                <w:sz w:val="24"/>
              </w:rPr>
              <w:t>环保节能灯具和LED手电筒等铝制品</w:t>
            </w:r>
            <w:r>
              <w:rPr>
                <w:color w:val="auto"/>
                <w:sz w:val="24"/>
              </w:rPr>
              <w:t>生产，年产</w:t>
            </w:r>
            <w:r>
              <w:rPr>
                <w:rFonts w:hint="eastAsia"/>
                <w:color w:val="auto"/>
                <w:sz w:val="24"/>
              </w:rPr>
              <w:t>环保节能灯具和LED手电筒等铝制品450吨，其中需对铝制品进行阳极氧化表面加工2758万件，合计铝制品约330吨</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现有项目设有阳极氧化线2条（自编“</w:t>
            </w:r>
            <w:r>
              <w:rPr>
                <w:rFonts w:hint="default"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lang w:val="en-US" w:eastAsia="zh-CN"/>
              </w:rPr>
              <w:t>号线和</w:t>
            </w:r>
            <w:r>
              <w:rPr>
                <w:rFonts w:hint="default"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val="en-US" w:eastAsia="zh-CN"/>
              </w:rPr>
              <w:t>号线”），每条产能不同，</w:t>
            </w:r>
            <w:r>
              <w:rPr>
                <w:rFonts w:hint="default"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lang w:val="en-US" w:eastAsia="zh-CN"/>
              </w:rPr>
              <w:t>号线</w:t>
            </w:r>
            <w:r>
              <w:rPr>
                <w:rFonts w:hint="eastAsia" w:cs="Times New Roman"/>
                <w:color w:val="auto"/>
                <w:sz w:val="24"/>
                <w:lang w:val="en-US" w:eastAsia="zh-CN"/>
              </w:rPr>
              <w:t>的</w:t>
            </w:r>
            <w:r>
              <w:rPr>
                <w:rFonts w:hint="eastAsia" w:ascii="Times New Roman" w:hAnsi="Times New Roman" w:eastAsia="宋体" w:cs="Times New Roman"/>
                <w:color w:val="auto"/>
                <w:sz w:val="24"/>
                <w:lang w:val="en-US" w:eastAsia="zh-CN"/>
              </w:rPr>
              <w:t>阳极氧化表面加工2508万件，合计铝制品约300吨（简称“大阳极氧化线”），</w:t>
            </w:r>
            <w:r>
              <w:rPr>
                <w:rFonts w:hint="default"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val="en-US" w:eastAsia="zh-CN"/>
              </w:rPr>
              <w:t>号线</w:t>
            </w:r>
            <w:r>
              <w:rPr>
                <w:rFonts w:hint="eastAsia" w:cs="Times New Roman"/>
                <w:color w:val="auto"/>
                <w:sz w:val="24"/>
                <w:lang w:val="en-US" w:eastAsia="zh-CN"/>
              </w:rPr>
              <w:t>的</w:t>
            </w:r>
            <w:r>
              <w:rPr>
                <w:rFonts w:hint="eastAsia" w:ascii="Times New Roman" w:hAnsi="Times New Roman" w:eastAsia="宋体" w:cs="Times New Roman"/>
                <w:color w:val="auto"/>
                <w:sz w:val="24"/>
                <w:lang w:val="en-US" w:eastAsia="zh-CN"/>
              </w:rPr>
              <w:t>阳极氧化线表面加工250万件，合计铝制品约30吨（简称“小阳极氧化线”））</w:t>
            </w:r>
            <w:r>
              <w:rPr>
                <w:color w:val="auto"/>
                <w:sz w:val="24"/>
              </w:rPr>
              <w:t>，</w:t>
            </w:r>
            <w:r>
              <w:rPr>
                <w:rFonts w:hint="eastAsia"/>
                <w:color w:val="auto"/>
                <w:sz w:val="24"/>
              </w:rPr>
              <w:t>现有项目</w:t>
            </w:r>
            <w:r>
              <w:rPr>
                <w:color w:val="auto"/>
                <w:sz w:val="24"/>
              </w:rPr>
              <w:t>总投资</w:t>
            </w:r>
            <w:r>
              <w:rPr>
                <w:rFonts w:hint="eastAsia"/>
                <w:color w:val="auto"/>
                <w:sz w:val="24"/>
              </w:rPr>
              <w:t>8722</w:t>
            </w:r>
            <w:r>
              <w:rPr>
                <w:color w:val="auto"/>
                <w:sz w:val="24"/>
              </w:rPr>
              <w:t>万元，其中环保投资</w:t>
            </w:r>
            <w:r>
              <w:rPr>
                <w:rFonts w:hint="eastAsia"/>
                <w:color w:val="auto"/>
                <w:sz w:val="24"/>
              </w:rPr>
              <w:t>816</w:t>
            </w:r>
            <w:r>
              <w:rPr>
                <w:color w:val="auto"/>
                <w:sz w:val="24"/>
              </w:rPr>
              <w:t>万元，占投资总额的</w:t>
            </w:r>
            <w:r>
              <w:rPr>
                <w:rFonts w:hint="eastAsia"/>
                <w:color w:val="auto"/>
                <w:sz w:val="24"/>
              </w:rPr>
              <w:t>9.4</w:t>
            </w:r>
            <w:r>
              <w:rPr>
                <w:color w:val="auto"/>
                <w:sz w:val="24"/>
              </w:rPr>
              <w:t>%。</w:t>
            </w:r>
            <w:r>
              <w:rPr>
                <w:rFonts w:hint="eastAsia"/>
                <w:color w:val="auto"/>
                <w:sz w:val="24"/>
              </w:rPr>
              <w:t>现有</w:t>
            </w:r>
            <w:r>
              <w:rPr>
                <w:color w:val="auto"/>
                <w:sz w:val="24"/>
              </w:rPr>
              <w:t>项目总占地面积</w:t>
            </w:r>
            <w:r>
              <w:rPr>
                <w:rFonts w:hint="eastAsia"/>
                <w:color w:val="auto"/>
                <w:sz w:val="24"/>
              </w:rPr>
              <w:t>33348.28</w:t>
            </w:r>
            <w:r>
              <w:rPr>
                <w:color w:val="auto"/>
                <w:sz w:val="24"/>
              </w:rPr>
              <w:t>m</w:t>
            </w:r>
            <w:r>
              <w:rPr>
                <w:color w:val="auto"/>
                <w:sz w:val="24"/>
                <w:vertAlign w:val="superscript"/>
              </w:rPr>
              <w:t>2</w:t>
            </w:r>
            <w:r>
              <w:rPr>
                <w:color w:val="auto"/>
                <w:sz w:val="24"/>
              </w:rPr>
              <w:t>，总建筑面积</w:t>
            </w:r>
            <w:r>
              <w:rPr>
                <w:rFonts w:hint="eastAsia"/>
                <w:color w:val="auto"/>
                <w:sz w:val="24"/>
              </w:rPr>
              <w:t>48451.72</w:t>
            </w:r>
            <w:r>
              <w:rPr>
                <w:color w:val="auto"/>
                <w:sz w:val="24"/>
              </w:rPr>
              <w:t>m</w:t>
            </w:r>
            <w:r>
              <w:rPr>
                <w:color w:val="auto"/>
                <w:sz w:val="24"/>
                <w:vertAlign w:val="superscript"/>
              </w:rPr>
              <w:t>2</w:t>
            </w:r>
            <w:r>
              <w:rPr>
                <w:rFonts w:hint="eastAsia"/>
                <w:color w:val="auto"/>
                <w:sz w:val="24"/>
              </w:rPr>
              <w:t>。</w:t>
            </w:r>
            <w:r>
              <w:rPr>
                <w:rFonts w:hint="eastAsia"/>
                <w:bCs/>
                <w:color w:val="auto"/>
                <w:sz w:val="24"/>
              </w:rPr>
              <w:t>现有</w:t>
            </w:r>
            <w:r>
              <w:rPr>
                <w:color w:val="auto"/>
                <w:sz w:val="24"/>
                <w:lang w:bidi="ar"/>
              </w:rPr>
              <w:t>项目</w:t>
            </w:r>
            <w:r>
              <w:rPr>
                <w:rFonts w:hint="eastAsia"/>
                <w:color w:val="auto"/>
                <w:sz w:val="24"/>
                <w:lang w:bidi="ar"/>
              </w:rPr>
              <w:t>已按环保要求履行环评、环保验收手续，具体履行环保手续</w:t>
            </w:r>
            <w:r>
              <w:rPr>
                <w:color w:val="auto"/>
                <w:sz w:val="24"/>
                <w:lang w:bidi="ar"/>
              </w:rPr>
              <w:t>情况见表2-1所示。</w:t>
            </w:r>
          </w:p>
          <w:p w14:paraId="006DE97D">
            <w:pPr>
              <w:ind w:firstLine="482"/>
              <w:jc w:val="center"/>
              <w:rPr>
                <w:b/>
                <w:color w:val="auto"/>
              </w:rPr>
            </w:pPr>
            <w:r>
              <w:rPr>
                <w:b/>
                <w:color w:val="auto"/>
              </w:rPr>
              <w:t>表2-1</w:t>
            </w:r>
            <w:r>
              <w:rPr>
                <w:rFonts w:hint="eastAsia"/>
                <w:b/>
                <w:color w:val="auto"/>
              </w:rPr>
              <w:t>现有</w:t>
            </w:r>
            <w:r>
              <w:rPr>
                <w:b/>
                <w:color w:val="auto"/>
              </w:rPr>
              <w:t>项目审批情况一览表</w:t>
            </w:r>
          </w:p>
          <w:tbl>
            <w:tblPr>
              <w:tblStyle w:val="42"/>
              <w:tblW w:w="9586"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31"/>
              <w:gridCol w:w="3996"/>
              <w:gridCol w:w="1485"/>
              <w:gridCol w:w="1485"/>
              <w:gridCol w:w="1889"/>
            </w:tblGrid>
            <w:tr w14:paraId="49C18E3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tcBorders>
                    <w:tl2br w:val="nil"/>
                    <w:tr2bl w:val="nil"/>
                  </w:tcBorders>
                  <w:vAlign w:val="center"/>
                </w:tcPr>
                <w:p w14:paraId="13A30BCC">
                  <w:pPr>
                    <w:jc w:val="center"/>
                    <w:rPr>
                      <w:b/>
                      <w:color w:val="auto"/>
                    </w:rPr>
                  </w:pPr>
                  <w:r>
                    <w:rPr>
                      <w:b/>
                      <w:color w:val="auto"/>
                    </w:rPr>
                    <w:t>序号</w:t>
                  </w:r>
                </w:p>
              </w:tc>
              <w:tc>
                <w:tcPr>
                  <w:tcW w:w="3996" w:type="dxa"/>
                  <w:tcBorders>
                    <w:tl2br w:val="nil"/>
                    <w:tr2bl w:val="nil"/>
                  </w:tcBorders>
                  <w:vAlign w:val="center"/>
                </w:tcPr>
                <w:p w14:paraId="71084B1A">
                  <w:pPr>
                    <w:jc w:val="center"/>
                    <w:rPr>
                      <w:b/>
                      <w:color w:val="auto"/>
                    </w:rPr>
                  </w:pPr>
                  <w:r>
                    <w:rPr>
                      <w:b/>
                      <w:color w:val="auto"/>
                    </w:rPr>
                    <w:t>项目名称</w:t>
                  </w:r>
                </w:p>
              </w:tc>
              <w:tc>
                <w:tcPr>
                  <w:tcW w:w="1485" w:type="dxa"/>
                  <w:tcBorders>
                    <w:tl2br w:val="nil"/>
                    <w:tr2bl w:val="nil"/>
                  </w:tcBorders>
                  <w:vAlign w:val="center"/>
                </w:tcPr>
                <w:p w14:paraId="6636206A">
                  <w:pPr>
                    <w:jc w:val="center"/>
                    <w:rPr>
                      <w:b/>
                      <w:color w:val="auto"/>
                    </w:rPr>
                  </w:pPr>
                  <w:r>
                    <w:rPr>
                      <w:b/>
                      <w:color w:val="auto"/>
                    </w:rPr>
                    <w:t>批复时间</w:t>
                  </w:r>
                </w:p>
              </w:tc>
              <w:tc>
                <w:tcPr>
                  <w:tcW w:w="1485" w:type="dxa"/>
                  <w:tcBorders>
                    <w:tl2br w:val="nil"/>
                    <w:tr2bl w:val="nil"/>
                  </w:tcBorders>
                  <w:vAlign w:val="center"/>
                </w:tcPr>
                <w:p w14:paraId="45865D65">
                  <w:pPr>
                    <w:jc w:val="center"/>
                    <w:rPr>
                      <w:b/>
                      <w:color w:val="auto"/>
                    </w:rPr>
                  </w:pPr>
                  <w:r>
                    <w:rPr>
                      <w:b/>
                      <w:color w:val="auto"/>
                    </w:rPr>
                    <w:t>审批部门</w:t>
                  </w:r>
                </w:p>
              </w:tc>
              <w:tc>
                <w:tcPr>
                  <w:tcW w:w="1889" w:type="dxa"/>
                  <w:tcBorders>
                    <w:tl2br w:val="nil"/>
                    <w:tr2bl w:val="nil"/>
                  </w:tcBorders>
                  <w:vAlign w:val="center"/>
                </w:tcPr>
                <w:p w14:paraId="4EB9D231">
                  <w:pPr>
                    <w:jc w:val="center"/>
                    <w:rPr>
                      <w:b/>
                      <w:color w:val="auto"/>
                    </w:rPr>
                  </w:pPr>
                  <w:r>
                    <w:rPr>
                      <w:b/>
                      <w:color w:val="auto"/>
                    </w:rPr>
                    <w:t>批复文件</w:t>
                  </w:r>
                </w:p>
              </w:tc>
            </w:tr>
            <w:tr w14:paraId="3C7B819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tcBorders>
                    <w:tl2br w:val="nil"/>
                    <w:tr2bl w:val="nil"/>
                  </w:tcBorders>
                  <w:vAlign w:val="center"/>
                </w:tcPr>
                <w:p w14:paraId="2179F42E">
                  <w:pPr>
                    <w:jc w:val="center"/>
                    <w:rPr>
                      <w:color w:val="auto"/>
                      <w:lang w:bidi="ar"/>
                    </w:rPr>
                  </w:pPr>
                  <w:r>
                    <w:rPr>
                      <w:color w:val="auto"/>
                      <w:lang w:bidi="ar"/>
                    </w:rPr>
                    <w:t>1</w:t>
                  </w:r>
                </w:p>
              </w:tc>
              <w:tc>
                <w:tcPr>
                  <w:tcW w:w="3996" w:type="dxa"/>
                  <w:tcBorders>
                    <w:tl2br w:val="nil"/>
                    <w:tr2bl w:val="nil"/>
                  </w:tcBorders>
                  <w:vAlign w:val="center"/>
                </w:tcPr>
                <w:p w14:paraId="5E994986">
                  <w:pPr>
                    <w:jc w:val="center"/>
                    <w:rPr>
                      <w:color w:val="auto"/>
                      <w:lang w:bidi="ar"/>
                    </w:rPr>
                  </w:pPr>
                  <w:r>
                    <w:rPr>
                      <w:rFonts w:hint="eastAsia"/>
                      <w:color w:val="auto"/>
                      <w:lang w:bidi="ar"/>
                    </w:rPr>
                    <w:t>生产厂房项目</w:t>
                  </w:r>
                  <w:r>
                    <w:rPr>
                      <w:color w:val="auto"/>
                      <w:lang w:bidi="ar"/>
                    </w:rPr>
                    <w:t>环境影响报告表</w:t>
                  </w:r>
                </w:p>
              </w:tc>
              <w:tc>
                <w:tcPr>
                  <w:tcW w:w="1485" w:type="dxa"/>
                  <w:tcBorders>
                    <w:tl2br w:val="nil"/>
                    <w:tr2bl w:val="nil"/>
                  </w:tcBorders>
                  <w:vAlign w:val="center"/>
                </w:tcPr>
                <w:p w14:paraId="39A67817">
                  <w:pPr>
                    <w:jc w:val="center"/>
                    <w:rPr>
                      <w:color w:val="auto"/>
                      <w:lang w:bidi="ar"/>
                    </w:rPr>
                  </w:pPr>
                  <w:r>
                    <w:rPr>
                      <w:color w:val="auto"/>
                      <w:lang w:bidi="ar"/>
                    </w:rPr>
                    <w:t>20</w:t>
                  </w:r>
                  <w:r>
                    <w:rPr>
                      <w:rFonts w:hint="eastAsia"/>
                      <w:color w:val="auto"/>
                      <w:lang w:bidi="ar"/>
                    </w:rPr>
                    <w:t>07</w:t>
                  </w:r>
                  <w:r>
                    <w:rPr>
                      <w:color w:val="auto"/>
                      <w:lang w:bidi="ar"/>
                    </w:rPr>
                    <w:t>年</w:t>
                  </w:r>
                  <w:r>
                    <w:rPr>
                      <w:rFonts w:hint="eastAsia"/>
                      <w:color w:val="auto"/>
                      <w:lang w:bidi="ar"/>
                    </w:rPr>
                    <w:t>5</w:t>
                  </w:r>
                  <w:r>
                    <w:rPr>
                      <w:color w:val="auto"/>
                      <w:lang w:bidi="ar"/>
                    </w:rPr>
                    <w:t>月</w:t>
                  </w:r>
                  <w:r>
                    <w:rPr>
                      <w:rFonts w:hint="eastAsia"/>
                      <w:color w:val="auto"/>
                      <w:lang w:bidi="ar"/>
                    </w:rPr>
                    <w:t>25</w:t>
                  </w:r>
                  <w:r>
                    <w:rPr>
                      <w:color w:val="auto"/>
                      <w:lang w:bidi="ar"/>
                    </w:rPr>
                    <w:t>日</w:t>
                  </w:r>
                </w:p>
              </w:tc>
              <w:tc>
                <w:tcPr>
                  <w:tcW w:w="1485" w:type="dxa"/>
                  <w:tcBorders>
                    <w:tl2br w:val="nil"/>
                    <w:tr2bl w:val="nil"/>
                  </w:tcBorders>
                  <w:vAlign w:val="center"/>
                </w:tcPr>
                <w:p w14:paraId="4259DF19">
                  <w:pPr>
                    <w:jc w:val="center"/>
                    <w:rPr>
                      <w:color w:val="auto"/>
                      <w:lang w:bidi="ar"/>
                    </w:rPr>
                  </w:pPr>
                  <w:r>
                    <w:rPr>
                      <w:rFonts w:hint="eastAsia"/>
                      <w:color w:val="auto"/>
                      <w:lang w:bidi="ar"/>
                    </w:rPr>
                    <w:t>阳东县环境保护局</w:t>
                  </w:r>
                </w:p>
              </w:tc>
              <w:tc>
                <w:tcPr>
                  <w:tcW w:w="1889" w:type="dxa"/>
                  <w:tcBorders>
                    <w:tl2br w:val="nil"/>
                    <w:tr2bl w:val="nil"/>
                  </w:tcBorders>
                  <w:vAlign w:val="center"/>
                </w:tcPr>
                <w:p w14:paraId="0CD0ACA2">
                  <w:pPr>
                    <w:jc w:val="center"/>
                    <w:rPr>
                      <w:color w:val="auto"/>
                      <w:lang w:bidi="ar"/>
                    </w:rPr>
                  </w:pPr>
                  <w:r>
                    <w:rPr>
                      <w:rFonts w:hint="eastAsia"/>
                      <w:color w:val="auto"/>
                      <w:lang w:bidi="ar"/>
                    </w:rPr>
                    <w:t>东环建审〔2007〕33</w:t>
                  </w:r>
                  <w:r>
                    <w:rPr>
                      <w:color w:val="auto"/>
                      <w:lang w:bidi="ar"/>
                    </w:rPr>
                    <w:t>号</w:t>
                  </w:r>
                </w:p>
              </w:tc>
            </w:tr>
            <w:tr w14:paraId="6F44E5E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tcBorders>
                    <w:tl2br w:val="nil"/>
                    <w:tr2bl w:val="nil"/>
                  </w:tcBorders>
                  <w:vAlign w:val="center"/>
                </w:tcPr>
                <w:p w14:paraId="692672C9">
                  <w:pPr>
                    <w:jc w:val="center"/>
                    <w:rPr>
                      <w:color w:val="auto"/>
                      <w:lang w:bidi="ar"/>
                    </w:rPr>
                  </w:pPr>
                  <w:r>
                    <w:rPr>
                      <w:color w:val="auto"/>
                      <w:lang w:bidi="ar"/>
                    </w:rPr>
                    <w:t>2</w:t>
                  </w:r>
                </w:p>
              </w:tc>
              <w:tc>
                <w:tcPr>
                  <w:tcW w:w="3996" w:type="dxa"/>
                  <w:tcBorders>
                    <w:tl2br w:val="nil"/>
                    <w:tr2bl w:val="nil"/>
                  </w:tcBorders>
                  <w:vAlign w:val="center"/>
                </w:tcPr>
                <w:p w14:paraId="030E846E">
                  <w:pPr>
                    <w:jc w:val="center"/>
                    <w:rPr>
                      <w:color w:val="auto"/>
                      <w:lang w:bidi="ar"/>
                    </w:rPr>
                  </w:pPr>
                  <w:r>
                    <w:rPr>
                      <w:rFonts w:hint="eastAsia"/>
                      <w:color w:val="auto"/>
                      <w:lang w:bidi="ar"/>
                    </w:rPr>
                    <w:t>生产厂房、综合楼建设项目竣工环境保护验收申请表</w:t>
                  </w:r>
                </w:p>
              </w:tc>
              <w:tc>
                <w:tcPr>
                  <w:tcW w:w="1485" w:type="dxa"/>
                  <w:tcBorders>
                    <w:tl2br w:val="nil"/>
                    <w:tr2bl w:val="nil"/>
                  </w:tcBorders>
                  <w:vAlign w:val="center"/>
                </w:tcPr>
                <w:p w14:paraId="5EFB29A7">
                  <w:pPr>
                    <w:jc w:val="center"/>
                    <w:rPr>
                      <w:color w:val="auto"/>
                      <w:lang w:bidi="ar"/>
                    </w:rPr>
                  </w:pPr>
                  <w:r>
                    <w:rPr>
                      <w:color w:val="auto"/>
                      <w:lang w:bidi="ar"/>
                    </w:rPr>
                    <w:t>20</w:t>
                  </w:r>
                  <w:r>
                    <w:rPr>
                      <w:rFonts w:hint="eastAsia"/>
                      <w:color w:val="auto"/>
                      <w:lang w:bidi="ar"/>
                    </w:rPr>
                    <w:t>10</w:t>
                  </w:r>
                  <w:r>
                    <w:rPr>
                      <w:color w:val="auto"/>
                      <w:lang w:bidi="ar"/>
                    </w:rPr>
                    <w:t>年</w:t>
                  </w:r>
                  <w:r>
                    <w:rPr>
                      <w:rFonts w:hint="eastAsia"/>
                      <w:color w:val="auto"/>
                      <w:lang w:bidi="ar"/>
                    </w:rPr>
                    <w:t>8</w:t>
                  </w:r>
                  <w:r>
                    <w:rPr>
                      <w:color w:val="auto"/>
                      <w:lang w:bidi="ar"/>
                    </w:rPr>
                    <w:t>月</w:t>
                  </w:r>
                  <w:r>
                    <w:rPr>
                      <w:rFonts w:hint="eastAsia"/>
                      <w:color w:val="auto"/>
                      <w:lang w:bidi="ar"/>
                    </w:rPr>
                    <w:t>12</w:t>
                  </w:r>
                  <w:r>
                    <w:rPr>
                      <w:color w:val="auto"/>
                      <w:lang w:bidi="ar"/>
                    </w:rPr>
                    <w:t>日</w:t>
                  </w:r>
                </w:p>
              </w:tc>
              <w:tc>
                <w:tcPr>
                  <w:tcW w:w="1485" w:type="dxa"/>
                  <w:tcBorders>
                    <w:tl2br w:val="nil"/>
                    <w:tr2bl w:val="nil"/>
                  </w:tcBorders>
                  <w:vAlign w:val="center"/>
                </w:tcPr>
                <w:p w14:paraId="6479E6A0">
                  <w:pPr>
                    <w:jc w:val="center"/>
                    <w:rPr>
                      <w:color w:val="auto"/>
                      <w:lang w:bidi="ar"/>
                    </w:rPr>
                  </w:pPr>
                  <w:r>
                    <w:rPr>
                      <w:rFonts w:hint="eastAsia"/>
                      <w:color w:val="auto"/>
                      <w:lang w:bidi="ar"/>
                    </w:rPr>
                    <w:t>阳东县环境保护局</w:t>
                  </w:r>
                </w:p>
              </w:tc>
              <w:tc>
                <w:tcPr>
                  <w:tcW w:w="1889" w:type="dxa"/>
                  <w:tcBorders>
                    <w:tl2br w:val="nil"/>
                    <w:tr2bl w:val="nil"/>
                  </w:tcBorders>
                  <w:vAlign w:val="center"/>
                </w:tcPr>
                <w:p w14:paraId="33917BBE">
                  <w:pPr>
                    <w:jc w:val="center"/>
                    <w:rPr>
                      <w:color w:val="auto"/>
                      <w:lang w:bidi="ar"/>
                    </w:rPr>
                  </w:pPr>
                  <w:r>
                    <w:rPr>
                      <w:rFonts w:hint="eastAsia"/>
                      <w:color w:val="auto"/>
                      <w:lang w:bidi="ar"/>
                    </w:rPr>
                    <w:t>东环验〔2010〕第0802</w:t>
                  </w:r>
                  <w:r>
                    <w:rPr>
                      <w:color w:val="auto"/>
                      <w:lang w:bidi="ar"/>
                    </w:rPr>
                    <w:t>号</w:t>
                  </w:r>
                </w:p>
              </w:tc>
            </w:tr>
            <w:tr w14:paraId="6049BB9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tcBorders>
                    <w:tl2br w:val="nil"/>
                    <w:tr2bl w:val="nil"/>
                  </w:tcBorders>
                  <w:vAlign w:val="center"/>
                </w:tcPr>
                <w:p w14:paraId="41351D32">
                  <w:pPr>
                    <w:jc w:val="center"/>
                    <w:rPr>
                      <w:rFonts w:hint="eastAsia"/>
                      <w:color w:val="auto"/>
                      <w:lang w:bidi="ar"/>
                    </w:rPr>
                  </w:pPr>
                  <w:r>
                    <w:rPr>
                      <w:rFonts w:hint="eastAsia"/>
                      <w:color w:val="auto"/>
                      <w:lang w:bidi="ar"/>
                    </w:rPr>
                    <w:t>3</w:t>
                  </w:r>
                </w:p>
              </w:tc>
              <w:tc>
                <w:tcPr>
                  <w:tcW w:w="3996" w:type="dxa"/>
                  <w:tcBorders>
                    <w:tl2br w:val="nil"/>
                    <w:tr2bl w:val="nil"/>
                  </w:tcBorders>
                  <w:vAlign w:val="center"/>
                </w:tcPr>
                <w:p w14:paraId="2DADE341">
                  <w:pPr>
                    <w:jc w:val="center"/>
                    <w:rPr>
                      <w:color w:val="auto"/>
                      <w:lang w:bidi="ar"/>
                    </w:rPr>
                  </w:pPr>
                  <w:r>
                    <w:rPr>
                      <w:rFonts w:hint="eastAsia"/>
                      <w:color w:val="auto"/>
                      <w:lang w:bidi="ar"/>
                    </w:rPr>
                    <w:t>阳江市纳谷科技有限公司铝氧化表面处理车间项目环境影响报告书</w:t>
                  </w:r>
                </w:p>
              </w:tc>
              <w:tc>
                <w:tcPr>
                  <w:tcW w:w="1485" w:type="dxa"/>
                  <w:tcBorders>
                    <w:tl2br w:val="nil"/>
                    <w:tr2bl w:val="nil"/>
                  </w:tcBorders>
                  <w:vAlign w:val="center"/>
                </w:tcPr>
                <w:p w14:paraId="02F3F129">
                  <w:pPr>
                    <w:jc w:val="center"/>
                    <w:rPr>
                      <w:color w:val="auto"/>
                      <w:lang w:bidi="ar"/>
                    </w:rPr>
                  </w:pPr>
                  <w:r>
                    <w:rPr>
                      <w:rFonts w:hint="eastAsia"/>
                      <w:color w:val="auto"/>
                      <w:lang w:bidi="ar"/>
                    </w:rPr>
                    <w:t>2012年6月25日</w:t>
                  </w:r>
                </w:p>
              </w:tc>
              <w:tc>
                <w:tcPr>
                  <w:tcW w:w="1485" w:type="dxa"/>
                  <w:tcBorders>
                    <w:tl2br w:val="nil"/>
                    <w:tr2bl w:val="nil"/>
                  </w:tcBorders>
                  <w:vAlign w:val="center"/>
                </w:tcPr>
                <w:p w14:paraId="63775C61">
                  <w:pPr>
                    <w:jc w:val="center"/>
                    <w:rPr>
                      <w:color w:val="auto"/>
                      <w:lang w:bidi="ar"/>
                    </w:rPr>
                  </w:pPr>
                  <w:r>
                    <w:rPr>
                      <w:rFonts w:hint="eastAsia"/>
                      <w:color w:val="auto"/>
                      <w:lang w:bidi="ar"/>
                    </w:rPr>
                    <w:t>阳东县环境保护局</w:t>
                  </w:r>
                </w:p>
              </w:tc>
              <w:tc>
                <w:tcPr>
                  <w:tcW w:w="1889" w:type="dxa"/>
                  <w:tcBorders>
                    <w:tl2br w:val="nil"/>
                    <w:tr2bl w:val="nil"/>
                  </w:tcBorders>
                  <w:vAlign w:val="center"/>
                </w:tcPr>
                <w:p w14:paraId="751FCEB4">
                  <w:pPr>
                    <w:jc w:val="center"/>
                    <w:rPr>
                      <w:color w:val="auto"/>
                      <w:lang w:bidi="ar"/>
                    </w:rPr>
                  </w:pPr>
                  <w:r>
                    <w:rPr>
                      <w:rFonts w:hint="eastAsia"/>
                      <w:color w:val="auto"/>
                      <w:lang w:bidi="ar"/>
                    </w:rPr>
                    <w:t>东环建审〔2012〕85</w:t>
                  </w:r>
                  <w:r>
                    <w:rPr>
                      <w:color w:val="auto"/>
                      <w:lang w:bidi="ar"/>
                    </w:rPr>
                    <w:t>号</w:t>
                  </w:r>
                </w:p>
              </w:tc>
            </w:tr>
            <w:tr w14:paraId="270764D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tcBorders>
                    <w:tl2br w:val="nil"/>
                    <w:tr2bl w:val="nil"/>
                  </w:tcBorders>
                  <w:vAlign w:val="center"/>
                </w:tcPr>
                <w:p w14:paraId="07AE4E6D">
                  <w:pPr>
                    <w:jc w:val="center"/>
                    <w:rPr>
                      <w:rFonts w:hint="eastAsia"/>
                      <w:color w:val="auto"/>
                      <w:lang w:bidi="ar"/>
                    </w:rPr>
                  </w:pPr>
                  <w:r>
                    <w:rPr>
                      <w:rFonts w:hint="eastAsia"/>
                      <w:color w:val="auto"/>
                      <w:lang w:bidi="ar"/>
                    </w:rPr>
                    <w:t>4</w:t>
                  </w:r>
                </w:p>
              </w:tc>
              <w:tc>
                <w:tcPr>
                  <w:tcW w:w="3996" w:type="dxa"/>
                  <w:tcBorders>
                    <w:tl2br w:val="nil"/>
                    <w:tr2bl w:val="nil"/>
                  </w:tcBorders>
                  <w:vAlign w:val="center"/>
                </w:tcPr>
                <w:p w14:paraId="45035269">
                  <w:pPr>
                    <w:jc w:val="center"/>
                    <w:rPr>
                      <w:color w:val="auto"/>
                      <w:lang w:bidi="ar"/>
                    </w:rPr>
                  </w:pPr>
                  <w:r>
                    <w:rPr>
                      <w:rFonts w:hint="eastAsia"/>
                      <w:color w:val="auto"/>
                      <w:lang w:bidi="ar"/>
                    </w:rPr>
                    <w:t>阳江市纳谷科技有限公司铝氧化表面处理车间建设项目竣工环境保护验收申请表</w:t>
                  </w:r>
                </w:p>
              </w:tc>
              <w:tc>
                <w:tcPr>
                  <w:tcW w:w="1485" w:type="dxa"/>
                  <w:tcBorders>
                    <w:tl2br w:val="nil"/>
                    <w:tr2bl w:val="nil"/>
                  </w:tcBorders>
                  <w:vAlign w:val="center"/>
                </w:tcPr>
                <w:p w14:paraId="2B7D636F">
                  <w:pPr>
                    <w:jc w:val="center"/>
                    <w:rPr>
                      <w:color w:val="auto"/>
                      <w:lang w:bidi="ar"/>
                    </w:rPr>
                  </w:pPr>
                  <w:r>
                    <w:rPr>
                      <w:rFonts w:hint="eastAsia"/>
                      <w:color w:val="auto"/>
                      <w:lang w:bidi="ar"/>
                    </w:rPr>
                    <w:t>2012年9月11日</w:t>
                  </w:r>
                </w:p>
              </w:tc>
              <w:tc>
                <w:tcPr>
                  <w:tcW w:w="1485" w:type="dxa"/>
                  <w:tcBorders>
                    <w:tl2br w:val="nil"/>
                    <w:tr2bl w:val="nil"/>
                  </w:tcBorders>
                  <w:vAlign w:val="center"/>
                </w:tcPr>
                <w:p w14:paraId="045C5246">
                  <w:pPr>
                    <w:jc w:val="center"/>
                    <w:rPr>
                      <w:rFonts w:hint="eastAsia"/>
                      <w:color w:val="auto"/>
                      <w:lang w:bidi="ar"/>
                    </w:rPr>
                  </w:pPr>
                  <w:r>
                    <w:rPr>
                      <w:rFonts w:hint="eastAsia"/>
                      <w:color w:val="auto"/>
                      <w:lang w:bidi="ar"/>
                    </w:rPr>
                    <w:t>阳东县环境保护局</w:t>
                  </w:r>
                </w:p>
              </w:tc>
              <w:tc>
                <w:tcPr>
                  <w:tcW w:w="1889" w:type="dxa"/>
                  <w:tcBorders>
                    <w:tl2br w:val="nil"/>
                    <w:tr2bl w:val="nil"/>
                  </w:tcBorders>
                  <w:vAlign w:val="center"/>
                </w:tcPr>
                <w:p w14:paraId="64CCFCB4">
                  <w:pPr>
                    <w:jc w:val="center"/>
                    <w:rPr>
                      <w:color w:val="auto"/>
                      <w:lang w:bidi="ar"/>
                    </w:rPr>
                  </w:pPr>
                  <w:r>
                    <w:rPr>
                      <w:rFonts w:hint="eastAsia"/>
                      <w:color w:val="auto"/>
                      <w:lang w:bidi="ar"/>
                    </w:rPr>
                    <w:t>东环验〔2012〕39</w:t>
                  </w:r>
                  <w:r>
                    <w:rPr>
                      <w:color w:val="auto"/>
                      <w:lang w:bidi="ar"/>
                    </w:rPr>
                    <w:t>号</w:t>
                  </w:r>
                </w:p>
              </w:tc>
            </w:tr>
            <w:tr w14:paraId="73ECFAA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tcBorders>
                    <w:tl2br w:val="nil"/>
                    <w:tr2bl w:val="nil"/>
                  </w:tcBorders>
                  <w:vAlign w:val="center"/>
                </w:tcPr>
                <w:p w14:paraId="61B4C267">
                  <w:pPr>
                    <w:jc w:val="center"/>
                    <w:rPr>
                      <w:rFonts w:hint="eastAsia"/>
                      <w:color w:val="auto"/>
                      <w:lang w:bidi="ar"/>
                    </w:rPr>
                  </w:pPr>
                  <w:r>
                    <w:rPr>
                      <w:rFonts w:hint="eastAsia"/>
                      <w:color w:val="auto"/>
                      <w:lang w:bidi="ar"/>
                    </w:rPr>
                    <w:t>5</w:t>
                  </w:r>
                </w:p>
              </w:tc>
              <w:tc>
                <w:tcPr>
                  <w:tcW w:w="3996" w:type="dxa"/>
                  <w:tcBorders>
                    <w:tl2br w:val="nil"/>
                    <w:tr2bl w:val="nil"/>
                  </w:tcBorders>
                  <w:vAlign w:val="center"/>
                </w:tcPr>
                <w:p w14:paraId="6E92E6FF">
                  <w:pPr>
                    <w:jc w:val="center"/>
                    <w:rPr>
                      <w:color w:val="auto"/>
                      <w:lang w:bidi="ar"/>
                    </w:rPr>
                  </w:pPr>
                  <w:r>
                    <w:rPr>
                      <w:rFonts w:hint="eastAsia"/>
                      <w:color w:val="auto"/>
                      <w:lang w:bidi="ar"/>
                    </w:rPr>
                    <w:t>阳江市纳谷科技有限公司铝氧化表面处理车间扩建项目环境影响报告表</w:t>
                  </w:r>
                </w:p>
              </w:tc>
              <w:tc>
                <w:tcPr>
                  <w:tcW w:w="1485" w:type="dxa"/>
                  <w:tcBorders>
                    <w:tl2br w:val="nil"/>
                    <w:tr2bl w:val="nil"/>
                  </w:tcBorders>
                  <w:vAlign w:val="center"/>
                </w:tcPr>
                <w:p w14:paraId="14B4AEF7">
                  <w:pPr>
                    <w:jc w:val="center"/>
                    <w:rPr>
                      <w:color w:val="auto"/>
                      <w:lang w:bidi="ar"/>
                    </w:rPr>
                  </w:pPr>
                  <w:r>
                    <w:rPr>
                      <w:rFonts w:hint="eastAsia"/>
                      <w:color w:val="auto"/>
                      <w:lang w:bidi="ar"/>
                    </w:rPr>
                    <w:t>2018年8月21日</w:t>
                  </w:r>
                </w:p>
              </w:tc>
              <w:tc>
                <w:tcPr>
                  <w:tcW w:w="1485" w:type="dxa"/>
                  <w:tcBorders>
                    <w:tl2br w:val="nil"/>
                    <w:tr2bl w:val="nil"/>
                  </w:tcBorders>
                  <w:vAlign w:val="center"/>
                </w:tcPr>
                <w:p w14:paraId="72A8E39D">
                  <w:pPr>
                    <w:jc w:val="center"/>
                    <w:rPr>
                      <w:color w:val="auto"/>
                      <w:szCs w:val="21"/>
                      <w:lang w:bidi="ar"/>
                    </w:rPr>
                  </w:pPr>
                  <w:r>
                    <w:rPr>
                      <w:rFonts w:hint="eastAsia"/>
                      <w:color w:val="auto"/>
                      <w:lang w:bidi="ar"/>
                    </w:rPr>
                    <w:t>阳江市阳东区环境保护局</w:t>
                  </w:r>
                </w:p>
              </w:tc>
              <w:tc>
                <w:tcPr>
                  <w:tcW w:w="1889" w:type="dxa"/>
                  <w:tcBorders>
                    <w:tl2br w:val="nil"/>
                    <w:tr2bl w:val="nil"/>
                  </w:tcBorders>
                  <w:vAlign w:val="center"/>
                </w:tcPr>
                <w:p w14:paraId="5430EC7B">
                  <w:pPr>
                    <w:jc w:val="center"/>
                    <w:rPr>
                      <w:color w:val="auto"/>
                      <w:szCs w:val="21"/>
                      <w:lang w:bidi="ar"/>
                    </w:rPr>
                  </w:pPr>
                  <w:r>
                    <w:rPr>
                      <w:rFonts w:hint="eastAsia"/>
                      <w:color w:val="auto"/>
                      <w:lang w:bidi="ar"/>
                    </w:rPr>
                    <w:t>东环审〔2018〕87</w:t>
                  </w:r>
                  <w:r>
                    <w:rPr>
                      <w:color w:val="auto"/>
                      <w:lang w:bidi="ar"/>
                    </w:rPr>
                    <w:t>号</w:t>
                  </w:r>
                </w:p>
              </w:tc>
            </w:tr>
            <w:tr w14:paraId="265EC79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tcBorders>
                    <w:tl2br w:val="nil"/>
                    <w:tr2bl w:val="nil"/>
                  </w:tcBorders>
                  <w:vAlign w:val="center"/>
                </w:tcPr>
                <w:p w14:paraId="6557EB6C">
                  <w:pPr>
                    <w:jc w:val="center"/>
                    <w:rPr>
                      <w:rFonts w:hint="eastAsia"/>
                      <w:color w:val="auto"/>
                      <w:highlight w:val="yellow"/>
                      <w:lang w:bidi="ar"/>
                    </w:rPr>
                  </w:pPr>
                  <w:r>
                    <w:rPr>
                      <w:rFonts w:hint="eastAsia"/>
                      <w:color w:val="auto"/>
                      <w:lang w:bidi="ar"/>
                    </w:rPr>
                    <w:t>6</w:t>
                  </w:r>
                </w:p>
              </w:tc>
              <w:tc>
                <w:tcPr>
                  <w:tcW w:w="3996" w:type="dxa"/>
                  <w:tcBorders>
                    <w:tl2br w:val="nil"/>
                    <w:tr2bl w:val="nil"/>
                  </w:tcBorders>
                  <w:vAlign w:val="center"/>
                </w:tcPr>
                <w:p w14:paraId="78EF6EAA">
                  <w:pPr>
                    <w:jc w:val="center"/>
                    <w:rPr>
                      <w:color w:val="auto"/>
                      <w:lang w:bidi="ar"/>
                    </w:rPr>
                  </w:pPr>
                  <w:r>
                    <w:rPr>
                      <w:rFonts w:hint="eastAsia"/>
                      <w:color w:val="auto"/>
                      <w:lang w:bidi="ar"/>
                    </w:rPr>
                    <w:t>阳江市纳谷科技有限公司铝氧化表面车间扩建项目竣工环境保护验收报告</w:t>
                  </w:r>
                </w:p>
              </w:tc>
              <w:tc>
                <w:tcPr>
                  <w:tcW w:w="1485" w:type="dxa"/>
                  <w:tcBorders>
                    <w:tl2br w:val="nil"/>
                    <w:tr2bl w:val="nil"/>
                  </w:tcBorders>
                  <w:vAlign w:val="center"/>
                </w:tcPr>
                <w:p w14:paraId="14756732">
                  <w:pPr>
                    <w:jc w:val="center"/>
                    <w:rPr>
                      <w:color w:val="auto"/>
                      <w:lang w:bidi="ar"/>
                    </w:rPr>
                  </w:pPr>
                  <w:r>
                    <w:rPr>
                      <w:rFonts w:hint="eastAsia"/>
                      <w:color w:val="auto"/>
                      <w:lang w:bidi="ar"/>
                    </w:rPr>
                    <w:t>2022年12月29日</w:t>
                  </w:r>
                </w:p>
              </w:tc>
              <w:tc>
                <w:tcPr>
                  <w:tcW w:w="1485" w:type="dxa"/>
                  <w:tcBorders>
                    <w:tl2br w:val="nil"/>
                    <w:tr2bl w:val="nil"/>
                  </w:tcBorders>
                  <w:vAlign w:val="center"/>
                </w:tcPr>
                <w:p w14:paraId="7704B151">
                  <w:pPr>
                    <w:jc w:val="center"/>
                    <w:rPr>
                      <w:rFonts w:hint="eastAsia"/>
                      <w:color w:val="auto"/>
                      <w:szCs w:val="21"/>
                      <w:lang w:bidi="ar"/>
                    </w:rPr>
                  </w:pPr>
                  <w:r>
                    <w:rPr>
                      <w:rFonts w:hint="eastAsia"/>
                      <w:color w:val="auto"/>
                      <w:lang w:bidi="ar"/>
                    </w:rPr>
                    <w:t>自主验收</w:t>
                  </w:r>
                </w:p>
              </w:tc>
              <w:tc>
                <w:tcPr>
                  <w:tcW w:w="1889" w:type="dxa"/>
                  <w:tcBorders>
                    <w:tl2br w:val="nil"/>
                    <w:tr2bl w:val="nil"/>
                  </w:tcBorders>
                  <w:vAlign w:val="center"/>
                </w:tcPr>
                <w:p w14:paraId="0A136D8F">
                  <w:pPr>
                    <w:jc w:val="center"/>
                    <w:rPr>
                      <w:color w:val="auto"/>
                      <w:szCs w:val="21"/>
                      <w:lang w:bidi="ar"/>
                    </w:rPr>
                  </w:pPr>
                  <w:r>
                    <w:rPr>
                      <w:rFonts w:hint="eastAsia"/>
                      <w:color w:val="auto"/>
                      <w:lang w:bidi="ar"/>
                    </w:rPr>
                    <w:t>/</w:t>
                  </w:r>
                </w:p>
              </w:tc>
            </w:tr>
            <w:tr w14:paraId="3770E81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1" w:type="dxa"/>
                  <w:tcBorders>
                    <w:tl2br w:val="nil"/>
                    <w:tr2bl w:val="nil"/>
                  </w:tcBorders>
                  <w:vAlign w:val="center"/>
                </w:tcPr>
                <w:p w14:paraId="1D1CA283">
                  <w:pPr>
                    <w:jc w:val="center"/>
                    <w:rPr>
                      <w:rFonts w:hint="eastAsia"/>
                      <w:color w:val="auto"/>
                      <w:lang w:bidi="ar"/>
                    </w:rPr>
                  </w:pPr>
                  <w:r>
                    <w:rPr>
                      <w:rFonts w:hint="eastAsia"/>
                      <w:color w:val="auto"/>
                      <w:lang w:bidi="ar"/>
                    </w:rPr>
                    <w:t>7</w:t>
                  </w:r>
                </w:p>
              </w:tc>
              <w:tc>
                <w:tcPr>
                  <w:tcW w:w="3996" w:type="dxa"/>
                  <w:tcBorders>
                    <w:tl2br w:val="nil"/>
                    <w:tr2bl w:val="nil"/>
                  </w:tcBorders>
                  <w:vAlign w:val="center"/>
                </w:tcPr>
                <w:p w14:paraId="6E933236">
                  <w:pPr>
                    <w:jc w:val="center"/>
                    <w:rPr>
                      <w:color w:val="auto"/>
                      <w:lang w:bidi="ar"/>
                    </w:rPr>
                  </w:pPr>
                  <w:r>
                    <w:rPr>
                      <w:rFonts w:hint="eastAsia"/>
                      <w:color w:val="auto"/>
                    </w:rPr>
                    <w:t>排污许可证</w:t>
                  </w:r>
                </w:p>
              </w:tc>
              <w:tc>
                <w:tcPr>
                  <w:tcW w:w="1485" w:type="dxa"/>
                  <w:tcBorders>
                    <w:tl2br w:val="nil"/>
                    <w:tr2bl w:val="nil"/>
                  </w:tcBorders>
                  <w:vAlign w:val="center"/>
                </w:tcPr>
                <w:p w14:paraId="1FFA2B6B">
                  <w:pPr>
                    <w:jc w:val="center"/>
                    <w:rPr>
                      <w:color w:val="auto"/>
                      <w:lang w:bidi="ar"/>
                    </w:rPr>
                  </w:pPr>
                  <w:r>
                    <w:rPr>
                      <w:rFonts w:hint="eastAsia"/>
                      <w:color w:val="auto"/>
                    </w:rPr>
                    <w:t>2025</w:t>
                  </w:r>
                  <w:r>
                    <w:rPr>
                      <w:color w:val="auto"/>
                    </w:rPr>
                    <w:t>年</w:t>
                  </w:r>
                  <w:r>
                    <w:rPr>
                      <w:rFonts w:hint="eastAsia"/>
                      <w:color w:val="auto"/>
                    </w:rPr>
                    <w:t>07</w:t>
                  </w:r>
                  <w:r>
                    <w:rPr>
                      <w:color w:val="auto"/>
                    </w:rPr>
                    <w:t>月</w:t>
                  </w:r>
                  <w:r>
                    <w:rPr>
                      <w:rFonts w:hint="eastAsia"/>
                      <w:color w:val="auto"/>
                    </w:rPr>
                    <w:t>30</w:t>
                  </w:r>
                  <w:r>
                    <w:rPr>
                      <w:color w:val="auto"/>
                    </w:rPr>
                    <w:t>日</w:t>
                  </w:r>
                </w:p>
              </w:tc>
              <w:tc>
                <w:tcPr>
                  <w:tcW w:w="1485" w:type="dxa"/>
                  <w:tcBorders>
                    <w:tl2br w:val="nil"/>
                    <w:tr2bl w:val="nil"/>
                  </w:tcBorders>
                  <w:vAlign w:val="center"/>
                </w:tcPr>
                <w:p w14:paraId="5B606DA1">
                  <w:pPr>
                    <w:jc w:val="center"/>
                    <w:rPr>
                      <w:color w:val="auto"/>
                      <w:lang w:bidi="ar"/>
                    </w:rPr>
                  </w:pPr>
                  <w:r>
                    <w:rPr>
                      <w:rFonts w:hint="eastAsia"/>
                      <w:color w:val="auto"/>
                      <w:lang w:bidi="ar"/>
                    </w:rPr>
                    <w:t>阳江市生态环境局</w:t>
                  </w:r>
                </w:p>
              </w:tc>
              <w:tc>
                <w:tcPr>
                  <w:tcW w:w="1889" w:type="dxa"/>
                  <w:tcBorders>
                    <w:tl2br w:val="nil"/>
                    <w:tr2bl w:val="nil"/>
                  </w:tcBorders>
                  <w:vAlign w:val="center"/>
                </w:tcPr>
                <w:p w14:paraId="1D5A9773">
                  <w:pPr>
                    <w:jc w:val="center"/>
                    <w:rPr>
                      <w:color w:val="auto"/>
                      <w:lang w:bidi="ar"/>
                    </w:rPr>
                  </w:pPr>
                  <w:r>
                    <w:rPr>
                      <w:color w:val="auto"/>
                    </w:rPr>
                    <w:t>登记编号：</w:t>
                  </w:r>
                  <w:r>
                    <w:rPr>
                      <w:rFonts w:hint="eastAsia"/>
                      <w:color w:val="auto"/>
                    </w:rPr>
                    <w:t>91441700757899564Y001U</w:t>
                  </w:r>
                </w:p>
              </w:tc>
            </w:tr>
          </w:tbl>
          <w:p w14:paraId="0183FDD1">
            <w:pPr>
              <w:tabs>
                <w:tab w:val="right" w:pos="9069"/>
              </w:tabs>
              <w:adjustRightInd w:val="0"/>
              <w:snapToGrid w:val="0"/>
              <w:spacing w:line="360" w:lineRule="auto"/>
              <w:ind w:firstLine="480" w:firstLineChars="200"/>
              <w:rPr>
                <w:color w:val="auto"/>
                <w:sz w:val="24"/>
              </w:rPr>
            </w:pPr>
            <w:r>
              <w:rPr>
                <w:color w:val="auto"/>
                <w:sz w:val="24"/>
              </w:rPr>
              <w:t>根据市场要求以及建设单位的自身发展规划，</w:t>
            </w:r>
            <w:r>
              <w:rPr>
                <w:rFonts w:hint="eastAsia"/>
                <w:color w:val="auto"/>
                <w:sz w:val="24"/>
              </w:rPr>
              <w:t>本</w:t>
            </w:r>
            <w:r>
              <w:rPr>
                <w:rFonts w:hint="eastAsia"/>
                <w:color w:val="auto"/>
                <w:sz w:val="24"/>
                <w:lang w:eastAsia="zh-CN"/>
              </w:rPr>
              <w:t>改建</w:t>
            </w:r>
            <w:r>
              <w:rPr>
                <w:color w:val="auto"/>
                <w:sz w:val="24"/>
              </w:rPr>
              <w:t>项目于</w:t>
            </w:r>
            <w:r>
              <w:rPr>
                <w:rFonts w:hint="eastAsia"/>
                <w:color w:val="auto"/>
                <w:sz w:val="24"/>
              </w:rPr>
              <w:t>原</w:t>
            </w:r>
            <w:r>
              <w:rPr>
                <w:color w:val="auto"/>
                <w:sz w:val="24"/>
              </w:rPr>
              <w:t>厂房</w:t>
            </w:r>
            <w:r>
              <w:rPr>
                <w:rFonts w:hint="eastAsia"/>
                <w:color w:val="auto"/>
                <w:sz w:val="24"/>
                <w:lang w:eastAsia="zh-CN"/>
              </w:rPr>
              <w:t>的</w:t>
            </w:r>
            <w:r>
              <w:rPr>
                <w:rFonts w:hint="eastAsia" w:ascii="Times New Roman" w:hAnsi="Times New Roman" w:eastAsia="宋体" w:cs="Times New Roman"/>
                <w:color w:val="auto"/>
                <w:sz w:val="24"/>
                <w:lang w:val="en-US" w:eastAsia="zh-CN"/>
              </w:rPr>
              <w:t>“小阳极氧化线”</w:t>
            </w:r>
            <w:r>
              <w:rPr>
                <w:rFonts w:hint="eastAsia"/>
                <w:color w:val="auto"/>
                <w:sz w:val="24"/>
              </w:rPr>
              <w:t>的车间</w:t>
            </w:r>
            <w:r>
              <w:rPr>
                <w:color w:val="auto"/>
                <w:sz w:val="24"/>
              </w:rPr>
              <w:t>进行</w:t>
            </w:r>
            <w:r>
              <w:rPr>
                <w:rFonts w:hint="eastAsia"/>
                <w:color w:val="auto"/>
                <w:sz w:val="24"/>
                <w:lang w:eastAsia="zh-CN"/>
              </w:rPr>
              <w:t>改建</w:t>
            </w:r>
            <w:r>
              <w:rPr>
                <w:color w:val="auto"/>
                <w:sz w:val="24"/>
              </w:rPr>
              <w:t>，</w:t>
            </w:r>
            <w:r>
              <w:rPr>
                <w:rFonts w:hint="eastAsia"/>
                <w:color w:val="auto"/>
                <w:sz w:val="24"/>
              </w:rPr>
              <w:t>取消原加工250万件/年产能</w:t>
            </w:r>
            <w:r>
              <w:rPr>
                <w:rFonts w:hint="eastAsia"/>
                <w:color w:val="auto"/>
                <w:sz w:val="24"/>
                <w:lang w:val="en-US" w:eastAsia="zh-CN"/>
              </w:rPr>
              <w:t>的</w:t>
            </w:r>
            <w:r>
              <w:rPr>
                <w:rFonts w:hint="eastAsia" w:ascii="Times New Roman" w:hAnsi="Times New Roman" w:eastAsia="宋体" w:cs="Times New Roman"/>
                <w:color w:val="auto"/>
                <w:sz w:val="24"/>
                <w:lang w:val="en-US" w:eastAsia="zh-CN"/>
              </w:rPr>
              <w:t>“小阳极氧化线”</w:t>
            </w:r>
            <w:r>
              <w:rPr>
                <w:rFonts w:hint="eastAsia"/>
                <w:color w:val="auto"/>
                <w:sz w:val="24"/>
              </w:rPr>
              <w:t>1条</w:t>
            </w:r>
            <w:r>
              <w:rPr>
                <w:rFonts w:hint="eastAsia"/>
                <w:color w:val="auto"/>
                <w:sz w:val="24"/>
              </w:rPr>
              <w:t>，</w:t>
            </w:r>
            <w:r>
              <w:rPr>
                <w:rFonts w:hint="eastAsia"/>
                <w:color w:val="auto"/>
                <w:sz w:val="24"/>
                <w:lang w:eastAsia="zh-CN"/>
              </w:rPr>
              <w:t>改建</w:t>
            </w:r>
            <w:r>
              <w:rPr>
                <w:rFonts w:hint="eastAsia"/>
                <w:color w:val="auto"/>
                <w:sz w:val="24"/>
              </w:rPr>
              <w:t>为1条250万件/年的电泳漆表面加工生产线，因此</w:t>
            </w:r>
            <w:r>
              <w:rPr>
                <w:color w:val="auto"/>
                <w:sz w:val="24"/>
              </w:rPr>
              <w:t>项目</w:t>
            </w:r>
            <w:r>
              <w:rPr>
                <w:rFonts w:hint="eastAsia"/>
                <w:color w:val="auto"/>
                <w:sz w:val="24"/>
                <w:lang w:eastAsia="zh-CN"/>
              </w:rPr>
              <w:t>改建</w:t>
            </w:r>
            <w:r>
              <w:rPr>
                <w:rFonts w:hint="eastAsia"/>
                <w:color w:val="auto"/>
                <w:sz w:val="24"/>
              </w:rPr>
              <w:t>前后的产能不变，</w:t>
            </w:r>
            <w:r>
              <w:rPr>
                <w:rFonts w:hint="eastAsia"/>
                <w:color w:val="auto"/>
                <w:sz w:val="24"/>
                <w:lang w:eastAsia="zh-CN"/>
              </w:rPr>
              <w:t>改建</w:t>
            </w:r>
            <w:r>
              <w:rPr>
                <w:rFonts w:hint="eastAsia"/>
                <w:color w:val="auto"/>
                <w:sz w:val="24"/>
              </w:rPr>
              <w:t>项目</w:t>
            </w:r>
            <w:r>
              <w:rPr>
                <w:color w:val="auto"/>
                <w:sz w:val="24"/>
              </w:rPr>
              <w:t>总投资增加</w:t>
            </w:r>
            <w:r>
              <w:rPr>
                <w:rFonts w:hint="eastAsia"/>
                <w:color w:val="auto"/>
                <w:sz w:val="24"/>
                <w:lang w:val="en-US" w:eastAsia="zh-CN"/>
              </w:rPr>
              <w:t>6</w:t>
            </w:r>
            <w:r>
              <w:rPr>
                <w:color w:val="auto"/>
                <w:sz w:val="24"/>
              </w:rPr>
              <w:t>0万元，环保投资</w:t>
            </w:r>
            <w:r>
              <w:rPr>
                <w:rFonts w:hint="eastAsia"/>
                <w:color w:val="auto"/>
                <w:sz w:val="24"/>
              </w:rPr>
              <w:t>30</w:t>
            </w:r>
            <w:r>
              <w:rPr>
                <w:color w:val="auto"/>
                <w:sz w:val="24"/>
              </w:rPr>
              <w:t>万元，占投资总额的</w:t>
            </w:r>
            <w:r>
              <w:rPr>
                <w:rFonts w:hint="eastAsia"/>
                <w:color w:val="auto"/>
                <w:sz w:val="24"/>
                <w:lang w:val="en-US" w:eastAsia="zh-CN"/>
              </w:rPr>
              <w:t>5</w:t>
            </w:r>
            <w:r>
              <w:rPr>
                <w:rFonts w:hint="eastAsia"/>
                <w:color w:val="auto"/>
                <w:sz w:val="24"/>
              </w:rPr>
              <w:t>0</w:t>
            </w:r>
            <w:r>
              <w:rPr>
                <w:color w:val="auto"/>
                <w:sz w:val="24"/>
              </w:rPr>
              <w:t>%，年</w:t>
            </w:r>
            <w:r>
              <w:rPr>
                <w:rFonts w:hint="eastAsia"/>
                <w:color w:val="auto"/>
                <w:sz w:val="24"/>
              </w:rPr>
              <w:t>电泳漆表面加工产品数量为250万件，铝制品合计约30吨</w:t>
            </w:r>
            <w:r>
              <w:rPr>
                <w:color w:val="auto"/>
                <w:sz w:val="24"/>
              </w:rPr>
              <w:t>。项目环评类别判定见表2-</w:t>
            </w:r>
            <w:r>
              <w:rPr>
                <w:rFonts w:hint="eastAsia"/>
                <w:color w:val="auto"/>
                <w:sz w:val="24"/>
              </w:rPr>
              <w:t>2</w:t>
            </w:r>
            <w:r>
              <w:rPr>
                <w:color w:val="auto"/>
                <w:sz w:val="24"/>
              </w:rPr>
              <w:t>所示。</w:t>
            </w:r>
          </w:p>
          <w:p w14:paraId="3C2B14D3">
            <w:pPr>
              <w:ind w:firstLine="482"/>
              <w:jc w:val="center"/>
              <w:rPr>
                <w:b/>
                <w:color w:val="auto"/>
                <w:szCs w:val="21"/>
              </w:rPr>
            </w:pPr>
          </w:p>
          <w:p w14:paraId="071FC5EC">
            <w:pPr>
              <w:pStyle w:val="50"/>
              <w:rPr>
                <w:color w:val="auto"/>
              </w:rPr>
            </w:pPr>
          </w:p>
          <w:p w14:paraId="3FACF765">
            <w:pPr>
              <w:ind w:firstLine="482"/>
              <w:jc w:val="center"/>
              <w:rPr>
                <w:b/>
                <w:color w:val="auto"/>
                <w:szCs w:val="21"/>
              </w:rPr>
            </w:pPr>
            <w:r>
              <w:rPr>
                <w:b/>
                <w:color w:val="auto"/>
                <w:szCs w:val="21"/>
              </w:rPr>
              <w:t>表2-</w:t>
            </w:r>
            <w:r>
              <w:rPr>
                <w:rFonts w:hint="eastAsia"/>
                <w:b/>
                <w:color w:val="auto"/>
                <w:szCs w:val="21"/>
              </w:rPr>
              <w:t>2</w:t>
            </w:r>
            <w:r>
              <w:rPr>
                <w:b/>
                <w:color w:val="auto"/>
                <w:szCs w:val="21"/>
              </w:rPr>
              <w:t xml:space="preserve"> </w:t>
            </w:r>
            <w:r>
              <w:rPr>
                <w:rFonts w:hint="eastAsia"/>
                <w:b/>
                <w:color w:val="auto"/>
                <w:szCs w:val="21"/>
                <w:lang w:eastAsia="zh-CN"/>
              </w:rPr>
              <w:t>改建</w:t>
            </w:r>
            <w:r>
              <w:rPr>
                <w:b/>
                <w:color w:val="auto"/>
                <w:szCs w:val="21"/>
              </w:rPr>
              <w:t>项目行业判定表</w:t>
            </w:r>
          </w:p>
          <w:tbl>
            <w:tblPr>
              <w:tblStyle w:val="42"/>
              <w:tblW w:w="9577"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903"/>
              <w:gridCol w:w="1890"/>
              <w:gridCol w:w="1650"/>
              <w:gridCol w:w="885"/>
              <w:gridCol w:w="3249"/>
            </w:tblGrid>
            <w:tr w14:paraId="0F30C02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8" w:type="dxa"/>
                  <w:gridSpan w:val="4"/>
                  <w:tcBorders>
                    <w:tl2br w:val="nil"/>
                    <w:tr2bl w:val="nil"/>
                  </w:tcBorders>
                  <w:vAlign w:val="center"/>
                </w:tcPr>
                <w:p w14:paraId="699BA792">
                  <w:pPr>
                    <w:adjustRightInd w:val="0"/>
                    <w:snapToGrid w:val="0"/>
                    <w:jc w:val="center"/>
                    <w:rPr>
                      <w:rFonts w:hint="eastAsia" w:eastAsia="宋体"/>
                      <w:b/>
                      <w:color w:val="auto"/>
                      <w:szCs w:val="21"/>
                      <w:lang w:eastAsia="zh-CN"/>
                    </w:rPr>
                  </w:pPr>
                  <w:r>
                    <w:rPr>
                      <w:b/>
                      <w:color w:val="auto"/>
                      <w:szCs w:val="21"/>
                    </w:rPr>
                    <w:t>国民经济行业</w:t>
                  </w:r>
                  <w:r>
                    <w:rPr>
                      <w:rFonts w:hint="eastAsia"/>
                      <w:b/>
                      <w:color w:val="auto"/>
                      <w:szCs w:val="21"/>
                      <w:lang w:val="en-US" w:eastAsia="zh-CN"/>
                    </w:rPr>
                    <w:t>分类</w:t>
                  </w:r>
                </w:p>
              </w:tc>
              <w:tc>
                <w:tcPr>
                  <w:tcW w:w="3249" w:type="dxa"/>
                  <w:tcBorders>
                    <w:tl2br w:val="nil"/>
                    <w:tr2bl w:val="nil"/>
                  </w:tcBorders>
                  <w:vAlign w:val="center"/>
                </w:tcPr>
                <w:p w14:paraId="13787517">
                  <w:pPr>
                    <w:jc w:val="center"/>
                    <w:rPr>
                      <w:b/>
                      <w:color w:val="auto"/>
                      <w:szCs w:val="21"/>
                    </w:rPr>
                  </w:pPr>
                  <w:r>
                    <w:rPr>
                      <w:b/>
                      <w:color w:val="auto"/>
                      <w:szCs w:val="21"/>
                    </w:rPr>
                    <w:t>项目的情况</w:t>
                  </w:r>
                </w:p>
              </w:tc>
            </w:tr>
            <w:tr w14:paraId="7CC7CA4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8" w:type="dxa"/>
                  <w:gridSpan w:val="4"/>
                  <w:tcBorders>
                    <w:bottom w:val="single" w:color="000000" w:sz="6" w:space="0"/>
                    <w:tl2br w:val="nil"/>
                    <w:tr2bl w:val="nil"/>
                  </w:tcBorders>
                  <w:vAlign w:val="center"/>
                </w:tcPr>
                <w:p w14:paraId="5C489F56">
                  <w:pPr>
                    <w:ind w:right="-31" w:rightChars="-15"/>
                    <w:jc w:val="center"/>
                    <w:rPr>
                      <w:color w:val="auto"/>
                      <w:szCs w:val="21"/>
                    </w:rPr>
                  </w:pPr>
                  <w:r>
                    <w:rPr>
                      <w:color w:val="auto"/>
                      <w:szCs w:val="21"/>
                    </w:rPr>
                    <w:t>《国民经济行业</w:t>
                  </w:r>
                  <w:r>
                    <w:rPr>
                      <w:rFonts w:hint="eastAsia"/>
                      <w:color w:val="auto"/>
                      <w:szCs w:val="21"/>
                      <w:lang w:val="en-US" w:eastAsia="zh-CN"/>
                    </w:rPr>
                    <w:t>分类</w:t>
                  </w:r>
                  <w:r>
                    <w:rPr>
                      <w:color w:val="auto"/>
                      <w:szCs w:val="21"/>
                    </w:rPr>
                    <w:t>》（GB/T4754-2017）（2019年修订）</w:t>
                  </w:r>
                </w:p>
              </w:tc>
              <w:tc>
                <w:tcPr>
                  <w:tcW w:w="3249" w:type="dxa"/>
                  <w:vMerge w:val="restart"/>
                  <w:tcBorders>
                    <w:tl2br w:val="nil"/>
                    <w:tr2bl w:val="nil"/>
                  </w:tcBorders>
                  <w:vAlign w:val="center"/>
                </w:tcPr>
                <w:p w14:paraId="113B89F4">
                  <w:pPr>
                    <w:jc w:val="center"/>
                    <w:rPr>
                      <w:color w:val="auto"/>
                      <w:szCs w:val="21"/>
                    </w:rPr>
                  </w:pPr>
                  <w:r>
                    <w:rPr>
                      <w:color w:val="auto"/>
                      <w:szCs w:val="21"/>
                    </w:rPr>
                    <w:t>本项目主要</w:t>
                  </w:r>
                  <w:r>
                    <w:rPr>
                      <w:rFonts w:hint="eastAsia"/>
                      <w:color w:val="auto"/>
                      <w:szCs w:val="21"/>
                    </w:rPr>
                    <w:t>生产铝制品</w:t>
                  </w:r>
                  <w:r>
                    <w:rPr>
                      <w:color w:val="auto"/>
                      <w:szCs w:val="21"/>
                    </w:rPr>
                    <w:t>，</w:t>
                  </w:r>
                  <w:r>
                    <w:rPr>
                      <w:rFonts w:hint="eastAsia"/>
                      <w:color w:val="auto"/>
                      <w:szCs w:val="21"/>
                    </w:rPr>
                    <w:t>需对自身生产的部分铝制品进行电泳漆表面加工，</w:t>
                  </w:r>
                  <w:r>
                    <w:rPr>
                      <w:color w:val="auto"/>
                      <w:szCs w:val="21"/>
                    </w:rPr>
                    <w:t>属于</w:t>
                  </w:r>
                  <w:r>
                    <w:rPr>
                      <w:rFonts w:hint="eastAsia"/>
                      <w:color w:val="auto"/>
                      <w:szCs w:val="21"/>
                    </w:rPr>
                    <w:t>C3360金属表面处理及热处理加工</w:t>
                  </w:r>
                </w:p>
              </w:tc>
            </w:tr>
            <w:tr w14:paraId="1931F72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8" w:type="dxa"/>
                  <w:gridSpan w:val="4"/>
                  <w:tcBorders>
                    <w:top w:val="single" w:color="000000" w:sz="6" w:space="0"/>
                    <w:tl2br w:val="nil"/>
                    <w:tr2bl w:val="nil"/>
                  </w:tcBorders>
                  <w:vAlign w:val="center"/>
                </w:tcPr>
                <w:p w14:paraId="17A89051">
                  <w:pPr>
                    <w:jc w:val="center"/>
                    <w:rPr>
                      <w:color w:val="auto"/>
                      <w:szCs w:val="21"/>
                    </w:rPr>
                  </w:pPr>
                  <w:r>
                    <w:rPr>
                      <w:color w:val="auto"/>
                      <w:szCs w:val="21"/>
                    </w:rPr>
                    <w:t>C制造业</w:t>
                  </w:r>
                </w:p>
              </w:tc>
              <w:tc>
                <w:tcPr>
                  <w:tcW w:w="3249" w:type="dxa"/>
                  <w:vMerge w:val="continue"/>
                  <w:tcBorders>
                    <w:tl2br w:val="nil"/>
                    <w:tr2bl w:val="nil"/>
                  </w:tcBorders>
                  <w:vAlign w:val="center"/>
                </w:tcPr>
                <w:p w14:paraId="38B52AA6">
                  <w:pPr>
                    <w:jc w:val="center"/>
                    <w:rPr>
                      <w:color w:val="auto"/>
                      <w:szCs w:val="21"/>
                    </w:rPr>
                  </w:pPr>
                </w:p>
              </w:tc>
            </w:tr>
            <w:tr w14:paraId="3930180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3" w:type="dxa"/>
                  <w:tcBorders>
                    <w:tl2br w:val="nil"/>
                    <w:tr2bl w:val="nil"/>
                  </w:tcBorders>
                  <w:vAlign w:val="center"/>
                </w:tcPr>
                <w:p w14:paraId="2CE251C8">
                  <w:pPr>
                    <w:jc w:val="center"/>
                    <w:rPr>
                      <w:color w:val="auto"/>
                      <w:szCs w:val="21"/>
                    </w:rPr>
                  </w:pPr>
                  <w:r>
                    <w:rPr>
                      <w:color w:val="auto"/>
                      <w:szCs w:val="21"/>
                    </w:rPr>
                    <w:t>大类</w:t>
                  </w:r>
                </w:p>
              </w:tc>
              <w:tc>
                <w:tcPr>
                  <w:tcW w:w="1890" w:type="dxa"/>
                  <w:tcBorders>
                    <w:tl2br w:val="nil"/>
                    <w:tr2bl w:val="nil"/>
                  </w:tcBorders>
                  <w:vAlign w:val="center"/>
                </w:tcPr>
                <w:p w14:paraId="01682041">
                  <w:pPr>
                    <w:jc w:val="center"/>
                    <w:rPr>
                      <w:color w:val="auto"/>
                      <w:szCs w:val="21"/>
                    </w:rPr>
                  </w:pPr>
                  <w:r>
                    <w:rPr>
                      <w:color w:val="auto"/>
                      <w:szCs w:val="21"/>
                    </w:rPr>
                    <w:t>中类</w:t>
                  </w:r>
                </w:p>
              </w:tc>
              <w:tc>
                <w:tcPr>
                  <w:tcW w:w="2535" w:type="dxa"/>
                  <w:gridSpan w:val="2"/>
                  <w:tcBorders>
                    <w:tl2br w:val="nil"/>
                    <w:tr2bl w:val="nil"/>
                  </w:tcBorders>
                  <w:vAlign w:val="center"/>
                </w:tcPr>
                <w:p w14:paraId="12AA12BE">
                  <w:pPr>
                    <w:jc w:val="center"/>
                    <w:rPr>
                      <w:color w:val="auto"/>
                      <w:szCs w:val="21"/>
                    </w:rPr>
                  </w:pPr>
                  <w:r>
                    <w:rPr>
                      <w:color w:val="auto"/>
                      <w:szCs w:val="21"/>
                    </w:rPr>
                    <w:t>小类</w:t>
                  </w:r>
                </w:p>
              </w:tc>
              <w:tc>
                <w:tcPr>
                  <w:tcW w:w="3249" w:type="dxa"/>
                  <w:vMerge w:val="continue"/>
                  <w:tcBorders>
                    <w:tl2br w:val="nil"/>
                    <w:tr2bl w:val="nil"/>
                  </w:tcBorders>
                  <w:vAlign w:val="center"/>
                </w:tcPr>
                <w:p w14:paraId="219DAE2F">
                  <w:pPr>
                    <w:jc w:val="center"/>
                    <w:rPr>
                      <w:color w:val="auto"/>
                      <w:szCs w:val="21"/>
                    </w:rPr>
                  </w:pPr>
                </w:p>
              </w:tc>
            </w:tr>
            <w:tr w14:paraId="32AD7FA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03" w:type="dxa"/>
                  <w:tcBorders>
                    <w:tl2br w:val="nil"/>
                    <w:tr2bl w:val="nil"/>
                  </w:tcBorders>
                  <w:vAlign w:val="center"/>
                </w:tcPr>
                <w:p w14:paraId="0516A9AA">
                  <w:pPr>
                    <w:jc w:val="center"/>
                    <w:rPr>
                      <w:color w:val="auto"/>
                      <w:szCs w:val="21"/>
                    </w:rPr>
                  </w:pPr>
                  <w:r>
                    <w:rPr>
                      <w:color w:val="auto"/>
                      <w:szCs w:val="21"/>
                    </w:rPr>
                    <w:t>33金属制品业</w:t>
                  </w:r>
                </w:p>
              </w:tc>
              <w:tc>
                <w:tcPr>
                  <w:tcW w:w="1890" w:type="dxa"/>
                  <w:tcBorders>
                    <w:tl2br w:val="nil"/>
                    <w:tr2bl w:val="nil"/>
                  </w:tcBorders>
                  <w:vAlign w:val="center"/>
                </w:tcPr>
                <w:p w14:paraId="517783C6">
                  <w:pPr>
                    <w:jc w:val="center"/>
                    <w:rPr>
                      <w:color w:val="auto"/>
                      <w:szCs w:val="21"/>
                    </w:rPr>
                  </w:pPr>
                  <w:r>
                    <w:rPr>
                      <w:rFonts w:hint="eastAsia"/>
                      <w:color w:val="auto"/>
                      <w:szCs w:val="21"/>
                    </w:rPr>
                    <w:t>336</w:t>
                  </w:r>
                  <w:r>
                    <w:rPr>
                      <w:color w:val="auto"/>
                      <w:szCs w:val="21"/>
                    </w:rPr>
                    <w:t>金属表面处理及热处理加工</w:t>
                  </w:r>
                </w:p>
              </w:tc>
              <w:tc>
                <w:tcPr>
                  <w:tcW w:w="2535" w:type="dxa"/>
                  <w:gridSpan w:val="2"/>
                  <w:tcBorders>
                    <w:tl2br w:val="nil"/>
                    <w:tr2bl w:val="nil"/>
                  </w:tcBorders>
                  <w:vAlign w:val="center"/>
                </w:tcPr>
                <w:p w14:paraId="7107126D">
                  <w:pPr>
                    <w:jc w:val="center"/>
                    <w:rPr>
                      <w:color w:val="auto"/>
                      <w:szCs w:val="21"/>
                    </w:rPr>
                  </w:pPr>
                  <w:r>
                    <w:rPr>
                      <w:rFonts w:hint="eastAsia"/>
                      <w:color w:val="auto"/>
                      <w:szCs w:val="21"/>
                    </w:rPr>
                    <w:t>3360</w:t>
                  </w:r>
                  <w:r>
                    <w:rPr>
                      <w:color w:val="auto"/>
                      <w:szCs w:val="21"/>
                    </w:rPr>
                    <w:t>金属表面处理及热处理加工</w:t>
                  </w:r>
                </w:p>
              </w:tc>
              <w:tc>
                <w:tcPr>
                  <w:tcW w:w="3249" w:type="dxa"/>
                  <w:vMerge w:val="continue"/>
                  <w:tcBorders>
                    <w:tl2br w:val="nil"/>
                    <w:tr2bl w:val="nil"/>
                  </w:tcBorders>
                  <w:vAlign w:val="center"/>
                </w:tcPr>
                <w:p w14:paraId="375AD516">
                  <w:pPr>
                    <w:jc w:val="center"/>
                    <w:rPr>
                      <w:color w:val="auto"/>
                      <w:szCs w:val="21"/>
                    </w:rPr>
                  </w:pPr>
                </w:p>
              </w:tc>
            </w:tr>
            <w:tr w14:paraId="3F271BC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8" w:type="dxa"/>
                  <w:gridSpan w:val="4"/>
                  <w:tcBorders>
                    <w:tl2br w:val="nil"/>
                    <w:tr2bl w:val="nil"/>
                  </w:tcBorders>
                  <w:vAlign w:val="center"/>
                </w:tcPr>
                <w:p w14:paraId="3D333438">
                  <w:pPr>
                    <w:adjustRightInd w:val="0"/>
                    <w:snapToGrid w:val="0"/>
                    <w:jc w:val="center"/>
                    <w:rPr>
                      <w:color w:val="auto"/>
                      <w:szCs w:val="21"/>
                    </w:rPr>
                  </w:pPr>
                  <w:r>
                    <w:rPr>
                      <w:b/>
                      <w:color w:val="auto"/>
                      <w:szCs w:val="21"/>
                    </w:rPr>
                    <w:t>建设项目行业类别</w:t>
                  </w:r>
                </w:p>
              </w:tc>
              <w:tc>
                <w:tcPr>
                  <w:tcW w:w="3249" w:type="dxa"/>
                  <w:tcBorders>
                    <w:top w:val="single" w:color="auto" w:sz="4" w:space="0"/>
                    <w:tl2br w:val="nil"/>
                    <w:tr2bl w:val="nil"/>
                  </w:tcBorders>
                  <w:vAlign w:val="center"/>
                </w:tcPr>
                <w:p w14:paraId="70671F42">
                  <w:pPr>
                    <w:jc w:val="center"/>
                    <w:rPr>
                      <w:color w:val="auto"/>
                      <w:szCs w:val="21"/>
                    </w:rPr>
                  </w:pPr>
                  <w:r>
                    <w:rPr>
                      <w:b/>
                      <w:color w:val="auto"/>
                      <w:szCs w:val="21"/>
                    </w:rPr>
                    <w:t>项目的情况</w:t>
                  </w:r>
                </w:p>
              </w:tc>
            </w:tr>
            <w:tr w14:paraId="146DBA9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8" w:type="dxa"/>
                  <w:gridSpan w:val="4"/>
                  <w:tcBorders>
                    <w:bottom w:val="single" w:color="000000" w:sz="6" w:space="0"/>
                    <w:tl2br w:val="nil"/>
                    <w:tr2bl w:val="nil"/>
                  </w:tcBorders>
                  <w:vAlign w:val="center"/>
                </w:tcPr>
                <w:p w14:paraId="5A61F51D">
                  <w:pPr>
                    <w:jc w:val="center"/>
                    <w:rPr>
                      <w:color w:val="auto"/>
                      <w:szCs w:val="21"/>
                    </w:rPr>
                  </w:pPr>
                  <w:r>
                    <w:rPr>
                      <w:color w:val="auto"/>
                      <w:szCs w:val="21"/>
                    </w:rPr>
                    <w:t>《建设项目环境影响评价分类管理名录（2021年版）》（生态环境部令第16号，2021年1月1日起施行）</w:t>
                  </w:r>
                </w:p>
              </w:tc>
              <w:tc>
                <w:tcPr>
                  <w:tcW w:w="3249" w:type="dxa"/>
                  <w:vMerge w:val="restart"/>
                  <w:tcBorders>
                    <w:tl2br w:val="nil"/>
                    <w:tr2bl w:val="nil"/>
                  </w:tcBorders>
                  <w:vAlign w:val="center"/>
                </w:tcPr>
                <w:p w14:paraId="021F06FA">
                  <w:pPr>
                    <w:jc w:val="center"/>
                    <w:rPr>
                      <w:color w:val="auto"/>
                      <w:szCs w:val="21"/>
                    </w:rPr>
                  </w:pPr>
                  <w:r>
                    <w:rPr>
                      <w:color w:val="auto"/>
                      <w:szCs w:val="21"/>
                    </w:rPr>
                    <w:t>本项目主要</w:t>
                  </w:r>
                  <w:r>
                    <w:rPr>
                      <w:rFonts w:hint="eastAsia"/>
                      <w:color w:val="auto"/>
                      <w:szCs w:val="21"/>
                    </w:rPr>
                    <w:t>生产铝制品</w:t>
                  </w:r>
                  <w:r>
                    <w:rPr>
                      <w:color w:val="auto"/>
                      <w:szCs w:val="21"/>
                    </w:rPr>
                    <w:t>，</w:t>
                  </w:r>
                  <w:r>
                    <w:rPr>
                      <w:rFonts w:hint="eastAsia"/>
                      <w:color w:val="auto"/>
                      <w:szCs w:val="21"/>
                    </w:rPr>
                    <w:t>需对自身生产的部分铝制品进行电泳漆表面加工</w:t>
                  </w:r>
                  <w:r>
                    <w:rPr>
                      <w:color w:val="auto"/>
                      <w:szCs w:val="21"/>
                    </w:rPr>
                    <w:t>，使用电泳漆</w:t>
                  </w:r>
                  <w:r>
                    <w:rPr>
                      <w:rFonts w:hint="eastAsia"/>
                      <w:color w:val="auto"/>
                      <w:szCs w:val="21"/>
                    </w:rPr>
                    <w:t>（含稀释剂）2.0</w:t>
                  </w:r>
                  <w:r>
                    <w:rPr>
                      <w:color w:val="auto"/>
                      <w:szCs w:val="21"/>
                    </w:rPr>
                    <w:t>t/a，根据环评类别，应编制环境影响报告表</w:t>
                  </w:r>
                </w:p>
              </w:tc>
            </w:tr>
            <w:tr w14:paraId="4BBBD10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28" w:type="dxa"/>
                  <w:gridSpan w:val="4"/>
                  <w:tcBorders>
                    <w:top w:val="single" w:color="000000" w:sz="6" w:space="0"/>
                    <w:bottom w:val="single" w:color="000000" w:sz="6" w:space="0"/>
                    <w:tl2br w:val="nil"/>
                    <w:tr2bl w:val="nil"/>
                  </w:tcBorders>
                  <w:vAlign w:val="center"/>
                </w:tcPr>
                <w:p w14:paraId="509B3D71">
                  <w:pPr>
                    <w:jc w:val="center"/>
                    <w:rPr>
                      <w:color w:val="auto"/>
                      <w:szCs w:val="21"/>
                    </w:rPr>
                  </w:pPr>
                  <w:r>
                    <w:rPr>
                      <w:color w:val="auto"/>
                      <w:szCs w:val="21"/>
                    </w:rPr>
                    <w:t>“三十、金属制品业33”中“6</w:t>
                  </w:r>
                  <w:r>
                    <w:rPr>
                      <w:rFonts w:hint="eastAsia"/>
                      <w:color w:val="auto"/>
                      <w:szCs w:val="21"/>
                    </w:rPr>
                    <w:t>7金属表面处理及热处理加工</w:t>
                  </w:r>
                  <w:r>
                    <w:rPr>
                      <w:color w:val="auto"/>
                      <w:szCs w:val="21"/>
                    </w:rPr>
                    <w:t>”</w:t>
                  </w:r>
                </w:p>
              </w:tc>
              <w:tc>
                <w:tcPr>
                  <w:tcW w:w="3249" w:type="dxa"/>
                  <w:vMerge w:val="continue"/>
                  <w:tcBorders>
                    <w:tl2br w:val="nil"/>
                    <w:tr2bl w:val="nil"/>
                  </w:tcBorders>
                  <w:vAlign w:val="center"/>
                </w:tcPr>
                <w:p w14:paraId="6E91000C">
                  <w:pPr>
                    <w:jc w:val="center"/>
                    <w:rPr>
                      <w:color w:val="auto"/>
                      <w:szCs w:val="21"/>
                    </w:rPr>
                  </w:pPr>
                </w:p>
              </w:tc>
            </w:tr>
            <w:tr w14:paraId="59776FD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93" w:type="dxa"/>
                  <w:gridSpan w:val="2"/>
                  <w:tcBorders>
                    <w:top w:val="single" w:color="000000" w:sz="6" w:space="0"/>
                    <w:bottom w:val="single" w:color="000000" w:sz="6" w:space="0"/>
                    <w:tl2br w:val="nil"/>
                    <w:tr2bl w:val="nil"/>
                  </w:tcBorders>
                  <w:vAlign w:val="center"/>
                </w:tcPr>
                <w:p w14:paraId="7F4FFA4C">
                  <w:pPr>
                    <w:jc w:val="center"/>
                    <w:rPr>
                      <w:color w:val="auto"/>
                      <w:szCs w:val="21"/>
                    </w:rPr>
                  </w:pPr>
                  <w:r>
                    <w:rPr>
                      <w:color w:val="auto"/>
                      <w:szCs w:val="21"/>
                    </w:rPr>
                    <w:t>报告书</w:t>
                  </w:r>
                </w:p>
              </w:tc>
              <w:tc>
                <w:tcPr>
                  <w:tcW w:w="1650" w:type="dxa"/>
                  <w:tcBorders>
                    <w:top w:val="single" w:color="000000" w:sz="6" w:space="0"/>
                    <w:bottom w:val="single" w:color="000000" w:sz="6" w:space="0"/>
                    <w:tl2br w:val="nil"/>
                    <w:tr2bl w:val="nil"/>
                  </w:tcBorders>
                  <w:vAlign w:val="center"/>
                </w:tcPr>
                <w:p w14:paraId="3A422B3F">
                  <w:pPr>
                    <w:jc w:val="center"/>
                    <w:rPr>
                      <w:color w:val="auto"/>
                      <w:szCs w:val="21"/>
                    </w:rPr>
                  </w:pPr>
                  <w:r>
                    <w:rPr>
                      <w:color w:val="auto"/>
                      <w:szCs w:val="21"/>
                    </w:rPr>
                    <w:t>报告表</w:t>
                  </w:r>
                </w:p>
              </w:tc>
              <w:tc>
                <w:tcPr>
                  <w:tcW w:w="885" w:type="dxa"/>
                  <w:tcBorders>
                    <w:top w:val="single" w:color="000000" w:sz="6" w:space="0"/>
                    <w:bottom w:val="single" w:color="000000" w:sz="6" w:space="0"/>
                    <w:tl2br w:val="nil"/>
                    <w:tr2bl w:val="nil"/>
                  </w:tcBorders>
                  <w:vAlign w:val="center"/>
                </w:tcPr>
                <w:p w14:paraId="1781F09F">
                  <w:pPr>
                    <w:jc w:val="center"/>
                    <w:rPr>
                      <w:color w:val="auto"/>
                      <w:szCs w:val="21"/>
                    </w:rPr>
                  </w:pPr>
                  <w:r>
                    <w:rPr>
                      <w:color w:val="auto"/>
                      <w:szCs w:val="21"/>
                    </w:rPr>
                    <w:t>登记表</w:t>
                  </w:r>
                </w:p>
              </w:tc>
              <w:tc>
                <w:tcPr>
                  <w:tcW w:w="3249" w:type="dxa"/>
                  <w:vMerge w:val="continue"/>
                  <w:tcBorders>
                    <w:tl2br w:val="nil"/>
                    <w:tr2bl w:val="nil"/>
                  </w:tcBorders>
                  <w:vAlign w:val="center"/>
                </w:tcPr>
                <w:p w14:paraId="6EF8CA57">
                  <w:pPr>
                    <w:jc w:val="center"/>
                    <w:rPr>
                      <w:rFonts w:hint="eastAsia"/>
                      <w:color w:val="auto"/>
                      <w:szCs w:val="21"/>
                    </w:rPr>
                  </w:pPr>
                </w:p>
              </w:tc>
            </w:tr>
            <w:tr w14:paraId="05FE9BD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93" w:type="dxa"/>
                  <w:gridSpan w:val="2"/>
                  <w:tcBorders>
                    <w:top w:val="single" w:color="000000" w:sz="6" w:space="0"/>
                    <w:bottom w:val="single" w:color="auto" w:sz="4" w:space="0"/>
                    <w:tl2br w:val="nil"/>
                    <w:tr2bl w:val="nil"/>
                  </w:tcBorders>
                  <w:vAlign w:val="center"/>
                </w:tcPr>
                <w:p w14:paraId="560AEEF6">
                  <w:pPr>
                    <w:jc w:val="center"/>
                    <w:rPr>
                      <w:color w:val="auto"/>
                      <w:szCs w:val="21"/>
                    </w:rPr>
                  </w:pPr>
                  <w:r>
                    <w:rPr>
                      <w:rFonts w:hint="eastAsia"/>
                      <w:color w:val="auto"/>
                      <w:szCs w:val="21"/>
                    </w:rPr>
                    <w:t>有电镀工艺的；有钝化工艺的热镀锌；使用有机涂层的（喷粉、喷塑、浸塑和电泳除外；年用溶剂型涂料（含稀释剂）10吨以下和用非溶剂型低VOCs含量涂料的除外）</w:t>
                  </w:r>
                </w:p>
              </w:tc>
              <w:tc>
                <w:tcPr>
                  <w:tcW w:w="1650" w:type="dxa"/>
                  <w:tcBorders>
                    <w:top w:val="single" w:color="000000" w:sz="6" w:space="0"/>
                    <w:bottom w:val="single" w:color="auto" w:sz="4" w:space="0"/>
                    <w:tl2br w:val="nil"/>
                    <w:tr2bl w:val="nil"/>
                  </w:tcBorders>
                  <w:vAlign w:val="center"/>
                </w:tcPr>
                <w:p w14:paraId="7C7E3B5D">
                  <w:pPr>
                    <w:jc w:val="center"/>
                    <w:rPr>
                      <w:color w:val="auto"/>
                      <w:szCs w:val="21"/>
                    </w:rPr>
                  </w:pPr>
                  <w:r>
                    <w:rPr>
                      <w:rFonts w:hint="eastAsia"/>
                      <w:color w:val="auto"/>
                      <w:szCs w:val="21"/>
                    </w:rPr>
                    <w:t>其他（年用非溶剂型低VOCs含量涂料10吨以下的除外）</w:t>
                  </w:r>
                </w:p>
              </w:tc>
              <w:tc>
                <w:tcPr>
                  <w:tcW w:w="885" w:type="dxa"/>
                  <w:tcBorders>
                    <w:top w:val="single" w:color="000000" w:sz="6" w:space="0"/>
                    <w:bottom w:val="single" w:color="auto" w:sz="4" w:space="0"/>
                    <w:tl2br w:val="nil"/>
                    <w:tr2bl w:val="nil"/>
                  </w:tcBorders>
                  <w:vAlign w:val="center"/>
                </w:tcPr>
                <w:p w14:paraId="11B8637C">
                  <w:pPr>
                    <w:jc w:val="center"/>
                    <w:rPr>
                      <w:color w:val="auto"/>
                      <w:szCs w:val="21"/>
                    </w:rPr>
                  </w:pPr>
                  <w:r>
                    <w:rPr>
                      <w:color w:val="auto"/>
                      <w:szCs w:val="21"/>
                    </w:rPr>
                    <w:t>/</w:t>
                  </w:r>
                </w:p>
              </w:tc>
              <w:tc>
                <w:tcPr>
                  <w:tcW w:w="3249" w:type="dxa"/>
                  <w:vMerge w:val="continue"/>
                  <w:tcBorders>
                    <w:tl2br w:val="nil"/>
                    <w:tr2bl w:val="nil"/>
                  </w:tcBorders>
                  <w:vAlign w:val="center"/>
                </w:tcPr>
                <w:p w14:paraId="69CD59E5">
                  <w:pPr>
                    <w:jc w:val="center"/>
                    <w:rPr>
                      <w:color w:val="auto"/>
                      <w:szCs w:val="21"/>
                    </w:rPr>
                  </w:pPr>
                </w:p>
              </w:tc>
            </w:tr>
          </w:tbl>
          <w:p w14:paraId="14115298">
            <w:pPr>
              <w:tabs>
                <w:tab w:val="right" w:pos="9069"/>
              </w:tabs>
              <w:adjustRightInd w:val="0"/>
              <w:snapToGrid w:val="0"/>
              <w:spacing w:line="360" w:lineRule="auto"/>
              <w:ind w:firstLine="480" w:firstLineChars="200"/>
              <w:rPr>
                <w:b/>
                <w:color w:val="auto"/>
                <w:sz w:val="24"/>
              </w:rPr>
            </w:pPr>
            <w:r>
              <w:rPr>
                <w:rFonts w:hint="eastAsia"/>
                <w:color w:val="auto"/>
                <w:sz w:val="24"/>
              </w:rPr>
              <w:t>本</w:t>
            </w:r>
            <w:r>
              <w:rPr>
                <w:rFonts w:hint="eastAsia"/>
                <w:color w:val="auto"/>
                <w:sz w:val="24"/>
                <w:lang w:eastAsia="zh-CN"/>
              </w:rPr>
              <w:t>改建</w:t>
            </w:r>
            <w:r>
              <w:rPr>
                <w:color w:val="auto"/>
                <w:sz w:val="24"/>
              </w:rPr>
              <w:t>项目在生产经营过程中，涉及到环境影响问题，根</w:t>
            </w:r>
            <w:r>
              <w:rPr>
                <w:rFonts w:ascii="Times New Roman" w:hAnsi="Times New Roman" w:eastAsia="宋体" w:cs="Times New Roman"/>
                <w:color w:val="auto"/>
                <w:sz w:val="24"/>
              </w:rPr>
              <w:t>据</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中华人民共和国生态环境法典</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2026年3月12日第十四届全国人民代表大会第四次会议通过，2026年8月15日起施行</w:t>
            </w:r>
            <w:r>
              <w:rPr>
                <w:rFonts w:hint="default" w:ascii="Times New Roman" w:hAnsi="Times New Roman" w:eastAsia="宋体" w:cs="Times New Roman"/>
                <w:color w:val="auto"/>
                <w:sz w:val="24"/>
                <w:lang w:val="en-US" w:eastAsia="zh-CN"/>
              </w:rPr>
              <w:t>）</w:t>
            </w:r>
            <w:r>
              <w:rPr>
                <w:rFonts w:ascii="Times New Roman" w:hAnsi="Times New Roman" w:eastAsia="宋体" w:cs="Times New Roman"/>
                <w:color w:val="auto"/>
                <w:sz w:val="24"/>
              </w:rPr>
              <w:t>、中华人民共和国国务院令第682号《建设项目环境保</w:t>
            </w:r>
            <w:r>
              <w:rPr>
                <w:color w:val="auto"/>
                <w:sz w:val="24"/>
              </w:rPr>
              <w:t>护管理条例》、国家生态环境部文件《建设项目环境影响评价分类管理名录（2021年版）》</w:t>
            </w:r>
            <w:r>
              <w:rPr>
                <w:rFonts w:hint="eastAsia" w:ascii="Times New Roman" w:hAnsi="Times New Roman" w:eastAsia="宋体" w:cs="Times New Roman"/>
                <w:color w:val="auto"/>
                <w:kern w:val="0"/>
                <w:sz w:val="24"/>
                <w:szCs w:val="24"/>
                <w:highlight w:val="none"/>
                <w:lang w:val="en-US" w:eastAsia="zh-CN"/>
              </w:rPr>
              <w:t>（生态环境部令第16号，2021年1月1日起施行）</w:t>
            </w:r>
            <w:r>
              <w:rPr>
                <w:color w:val="auto"/>
                <w:sz w:val="24"/>
              </w:rPr>
              <w:t>的有关规定，本项目需编制建设项目环境影响报告表，建设单位委托我单位承担本项目的环境影响评价工作，编制单位接受任务后即组织有关人员进行现场踏勘、区域环境现状调查和基础资料收集，并对建设项目的建设内容和排污状况进行了深入分析，在此基础上按照国家相关环保法律、法规、污染防治技术政</w:t>
            </w:r>
            <w:r>
              <w:rPr>
                <w:rFonts w:hint="eastAsia"/>
                <w:color w:val="auto"/>
                <w:sz w:val="24"/>
              </w:rPr>
              <w:t>策等</w:t>
            </w:r>
            <w:r>
              <w:rPr>
                <w:color w:val="auto"/>
                <w:sz w:val="24"/>
              </w:rPr>
              <w:t>有关规定及《建设项目环境影响报告表编制技术指南（污染影响类）（试行）》的要求编制了《</w:t>
            </w:r>
            <w:r>
              <w:rPr>
                <w:rFonts w:hint="eastAsia"/>
                <w:color w:val="auto"/>
                <w:sz w:val="24"/>
              </w:rPr>
              <w:t>阳江纳谷科技有限公司</w:t>
            </w:r>
            <w:r>
              <w:rPr>
                <w:rFonts w:hint="eastAsia"/>
                <w:color w:val="auto"/>
                <w:sz w:val="24"/>
                <w:lang w:eastAsia="zh-CN"/>
              </w:rPr>
              <w:t>电泳生产线改建项目</w:t>
            </w:r>
            <w:r>
              <w:rPr>
                <w:color w:val="auto"/>
                <w:sz w:val="24"/>
              </w:rPr>
              <w:t>环境影响报告表》，提请审批。</w:t>
            </w:r>
          </w:p>
          <w:p w14:paraId="779A4E22">
            <w:pPr>
              <w:tabs>
                <w:tab w:val="right" w:pos="9069"/>
              </w:tabs>
              <w:adjustRightInd w:val="0"/>
              <w:snapToGrid w:val="0"/>
              <w:spacing w:line="360" w:lineRule="auto"/>
              <w:ind w:firstLine="482" w:firstLineChars="200"/>
              <w:rPr>
                <w:rFonts w:hint="eastAsia"/>
                <w:b/>
                <w:color w:val="auto"/>
                <w:sz w:val="24"/>
              </w:rPr>
            </w:pPr>
            <w:r>
              <w:rPr>
                <w:b/>
                <w:color w:val="auto"/>
                <w:sz w:val="24"/>
              </w:rPr>
              <w:t>（</w:t>
            </w:r>
            <w:r>
              <w:rPr>
                <w:rFonts w:hint="eastAsia"/>
                <w:b/>
                <w:color w:val="auto"/>
                <w:sz w:val="24"/>
              </w:rPr>
              <w:t>二</w:t>
            </w:r>
            <w:r>
              <w:rPr>
                <w:b/>
                <w:color w:val="auto"/>
                <w:sz w:val="24"/>
              </w:rPr>
              <w:t>）项目</w:t>
            </w:r>
            <w:r>
              <w:rPr>
                <w:rFonts w:hint="eastAsia"/>
                <w:b/>
                <w:color w:val="auto"/>
                <w:sz w:val="24"/>
              </w:rPr>
              <w:t>概况</w:t>
            </w:r>
          </w:p>
          <w:p w14:paraId="75B4620A">
            <w:pPr>
              <w:tabs>
                <w:tab w:val="right" w:pos="9069"/>
              </w:tabs>
              <w:adjustRightInd w:val="0"/>
              <w:snapToGrid w:val="0"/>
              <w:spacing w:line="360" w:lineRule="auto"/>
              <w:ind w:firstLine="482" w:firstLineChars="200"/>
              <w:rPr>
                <w:b/>
                <w:bCs/>
                <w:color w:val="auto"/>
                <w:sz w:val="24"/>
              </w:rPr>
            </w:pPr>
            <w:r>
              <w:rPr>
                <w:rFonts w:hint="eastAsia"/>
                <w:b/>
                <w:bCs/>
                <w:color w:val="auto"/>
                <w:sz w:val="24"/>
              </w:rPr>
              <w:t>1、现有项目</w:t>
            </w:r>
          </w:p>
          <w:p w14:paraId="242204DB">
            <w:pPr>
              <w:tabs>
                <w:tab w:val="right" w:pos="9069"/>
              </w:tabs>
              <w:adjustRightInd w:val="0"/>
              <w:snapToGrid w:val="0"/>
              <w:spacing w:line="360" w:lineRule="auto"/>
              <w:ind w:firstLine="480" w:firstLineChars="200"/>
              <w:rPr>
                <w:color w:val="auto"/>
                <w:sz w:val="24"/>
              </w:rPr>
            </w:pPr>
            <w:r>
              <w:rPr>
                <w:rFonts w:hint="eastAsia"/>
                <w:color w:val="auto"/>
                <w:sz w:val="24"/>
              </w:rPr>
              <w:t>阳江纳谷科技有限公司</w:t>
            </w:r>
            <w:r>
              <w:rPr>
                <w:bCs/>
                <w:color w:val="auto"/>
                <w:sz w:val="24"/>
              </w:rPr>
              <w:t>位于</w:t>
            </w:r>
            <w:r>
              <w:rPr>
                <w:rFonts w:hint="eastAsia"/>
                <w:color w:val="auto"/>
                <w:sz w:val="24"/>
              </w:rPr>
              <w:t>阳江市阳东区东城镇裕东一路25号</w:t>
            </w:r>
            <w:r>
              <w:rPr>
                <w:rFonts w:hint="eastAsia"/>
                <w:bCs/>
                <w:color w:val="auto"/>
                <w:sz w:val="24"/>
              </w:rPr>
              <w:t>，</w:t>
            </w:r>
            <w:r>
              <w:rPr>
                <w:color w:val="auto"/>
                <w:sz w:val="24"/>
              </w:rPr>
              <w:t>主要从事</w:t>
            </w:r>
            <w:r>
              <w:rPr>
                <w:rFonts w:hint="eastAsia"/>
                <w:color w:val="auto"/>
                <w:sz w:val="24"/>
              </w:rPr>
              <w:t>环保节能灯具和LED手电筒等铝制品</w:t>
            </w:r>
            <w:r>
              <w:rPr>
                <w:color w:val="auto"/>
                <w:sz w:val="24"/>
              </w:rPr>
              <w:t>生产，年产</w:t>
            </w:r>
            <w:r>
              <w:rPr>
                <w:rFonts w:hint="eastAsia"/>
                <w:color w:val="auto"/>
                <w:sz w:val="24"/>
              </w:rPr>
              <w:t>环保节能灯具和LED手电筒等铝制品450吨，其中</w:t>
            </w:r>
            <w:r>
              <w:rPr>
                <w:rFonts w:hint="eastAsia"/>
                <w:color w:val="auto"/>
                <w:sz w:val="24"/>
                <w:lang w:val="en-US" w:eastAsia="zh-CN"/>
              </w:rPr>
              <w:t>设有2条阳极氧化线（分别为</w:t>
            </w:r>
            <w:r>
              <w:rPr>
                <w:rFonts w:hint="eastAsia" w:ascii="Times New Roman" w:hAnsi="Times New Roman" w:eastAsia="宋体" w:cs="Times New Roman"/>
                <w:color w:val="auto"/>
                <w:sz w:val="24"/>
                <w:lang w:val="en-US" w:eastAsia="zh-CN"/>
              </w:rPr>
              <w:t>“大阳极氧化线”和“小阳极氧化线”</w:t>
            </w:r>
            <w:r>
              <w:rPr>
                <w:rFonts w:hint="eastAsia"/>
                <w:color w:val="auto"/>
                <w:sz w:val="24"/>
                <w:lang w:val="en-US" w:eastAsia="zh-CN"/>
              </w:rPr>
              <w:t>）</w:t>
            </w:r>
            <w:r>
              <w:rPr>
                <w:rFonts w:hint="eastAsia"/>
                <w:color w:val="auto"/>
                <w:sz w:val="24"/>
              </w:rPr>
              <w:t>需对铝制品进行阳极氧化表面加工2758万件，合计铝制品约330吨</w:t>
            </w:r>
            <w:r>
              <w:rPr>
                <w:color w:val="auto"/>
                <w:sz w:val="24"/>
              </w:rPr>
              <w:t>，</w:t>
            </w:r>
            <w:r>
              <w:rPr>
                <w:rFonts w:hint="eastAsia"/>
                <w:color w:val="auto"/>
                <w:sz w:val="24"/>
              </w:rPr>
              <w:t>现有项目</w:t>
            </w:r>
            <w:r>
              <w:rPr>
                <w:color w:val="auto"/>
                <w:sz w:val="24"/>
              </w:rPr>
              <w:t>总投资</w:t>
            </w:r>
            <w:r>
              <w:rPr>
                <w:rFonts w:hint="eastAsia"/>
                <w:color w:val="auto"/>
                <w:sz w:val="24"/>
              </w:rPr>
              <w:t>8722</w:t>
            </w:r>
            <w:r>
              <w:rPr>
                <w:color w:val="auto"/>
                <w:sz w:val="24"/>
              </w:rPr>
              <w:t>万元，其中环保投资</w:t>
            </w:r>
            <w:r>
              <w:rPr>
                <w:rFonts w:hint="eastAsia"/>
                <w:color w:val="auto"/>
                <w:sz w:val="24"/>
              </w:rPr>
              <w:t>816</w:t>
            </w:r>
            <w:r>
              <w:rPr>
                <w:color w:val="auto"/>
                <w:sz w:val="24"/>
              </w:rPr>
              <w:t>万元，占投资总额的</w:t>
            </w:r>
            <w:r>
              <w:rPr>
                <w:rFonts w:hint="eastAsia"/>
                <w:color w:val="auto"/>
                <w:sz w:val="24"/>
              </w:rPr>
              <w:t>9.4</w:t>
            </w:r>
            <w:r>
              <w:rPr>
                <w:color w:val="auto"/>
                <w:sz w:val="24"/>
              </w:rPr>
              <w:t>%。</w:t>
            </w:r>
            <w:r>
              <w:rPr>
                <w:rFonts w:hint="eastAsia"/>
                <w:color w:val="auto"/>
                <w:sz w:val="24"/>
              </w:rPr>
              <w:t>现有</w:t>
            </w:r>
            <w:r>
              <w:rPr>
                <w:color w:val="auto"/>
                <w:sz w:val="24"/>
              </w:rPr>
              <w:t>项目总占地面积</w:t>
            </w:r>
            <w:r>
              <w:rPr>
                <w:rFonts w:hint="eastAsia"/>
                <w:color w:val="auto"/>
                <w:sz w:val="24"/>
              </w:rPr>
              <w:t>33348.28</w:t>
            </w:r>
            <w:r>
              <w:rPr>
                <w:color w:val="auto"/>
                <w:sz w:val="24"/>
              </w:rPr>
              <w:t>m</w:t>
            </w:r>
            <w:r>
              <w:rPr>
                <w:color w:val="auto"/>
                <w:sz w:val="24"/>
                <w:vertAlign w:val="superscript"/>
              </w:rPr>
              <w:t>2</w:t>
            </w:r>
            <w:r>
              <w:rPr>
                <w:color w:val="auto"/>
                <w:sz w:val="24"/>
              </w:rPr>
              <w:t>，总建筑面积</w:t>
            </w:r>
            <w:r>
              <w:rPr>
                <w:rFonts w:hint="eastAsia"/>
                <w:color w:val="auto"/>
                <w:sz w:val="24"/>
              </w:rPr>
              <w:t>48451.72</w:t>
            </w:r>
            <w:r>
              <w:rPr>
                <w:color w:val="auto"/>
                <w:sz w:val="24"/>
              </w:rPr>
              <w:t>m</w:t>
            </w:r>
            <w:r>
              <w:rPr>
                <w:color w:val="auto"/>
                <w:sz w:val="24"/>
                <w:vertAlign w:val="superscript"/>
              </w:rPr>
              <w:t>2</w:t>
            </w:r>
            <w:r>
              <w:rPr>
                <w:color w:val="auto"/>
                <w:sz w:val="24"/>
              </w:rPr>
              <w:t>，</w:t>
            </w:r>
            <w:r>
              <w:rPr>
                <w:rFonts w:hint="eastAsia"/>
                <w:color w:val="auto"/>
                <w:sz w:val="24"/>
              </w:rPr>
              <w:t>包含5栋综合楼（其中1栋4层综合楼1、1栋2层综合楼2、1栋4层综合楼3、1栋4层综合楼4、1栋1层综合楼6）、1间1层生产车间、1间1层发电机房、1间1层配电房、1栋4层办公楼。</w:t>
            </w:r>
            <w:r>
              <w:rPr>
                <w:rFonts w:hint="eastAsia"/>
                <w:color w:val="auto"/>
                <w:kern w:val="0"/>
                <w:sz w:val="24"/>
              </w:rPr>
              <w:t>现有项目</w:t>
            </w:r>
            <w:r>
              <w:rPr>
                <w:color w:val="auto"/>
                <w:kern w:val="0"/>
                <w:sz w:val="24"/>
              </w:rPr>
              <w:t>员工</w:t>
            </w:r>
            <w:r>
              <w:rPr>
                <w:rFonts w:hint="eastAsia"/>
                <w:color w:val="auto"/>
                <w:kern w:val="0"/>
                <w:sz w:val="24"/>
                <w:lang w:val="en-US" w:eastAsia="zh-CN"/>
              </w:rPr>
              <w:t>50</w:t>
            </w:r>
            <w:r>
              <w:rPr>
                <w:rFonts w:hint="eastAsia"/>
                <w:color w:val="auto"/>
                <w:kern w:val="0"/>
                <w:sz w:val="24"/>
              </w:rPr>
              <w:t>0</w:t>
            </w:r>
            <w:r>
              <w:rPr>
                <w:color w:val="auto"/>
                <w:kern w:val="0"/>
                <w:sz w:val="24"/>
              </w:rPr>
              <w:t>人，</w:t>
            </w:r>
            <w:r>
              <w:rPr>
                <w:rFonts w:hint="eastAsia"/>
                <w:color w:val="auto"/>
                <w:kern w:val="0"/>
                <w:sz w:val="24"/>
              </w:rPr>
              <w:t>均在厂内用餐（配</w:t>
            </w:r>
            <w:r>
              <w:rPr>
                <w:rFonts w:hint="eastAsia"/>
                <w:bCs/>
                <w:color w:val="auto"/>
                <w:sz w:val="24"/>
              </w:rPr>
              <w:t>有厨房），不在厂内住宿</w:t>
            </w:r>
            <w:r>
              <w:rPr>
                <w:color w:val="auto"/>
                <w:kern w:val="0"/>
                <w:sz w:val="24"/>
              </w:rPr>
              <w:t>，年工作天数为300天，每天</w:t>
            </w:r>
            <w:r>
              <w:rPr>
                <w:rFonts w:hint="eastAsia"/>
                <w:color w:val="auto"/>
                <w:kern w:val="0"/>
                <w:sz w:val="24"/>
                <w:lang w:val="en-US" w:eastAsia="zh-CN"/>
              </w:rPr>
              <w:t>1</w:t>
            </w:r>
            <w:r>
              <w:rPr>
                <w:color w:val="auto"/>
                <w:kern w:val="0"/>
                <w:sz w:val="24"/>
              </w:rPr>
              <w:t>班制，每班8小时，年生产时数</w:t>
            </w:r>
            <w:r>
              <w:rPr>
                <w:rFonts w:hint="eastAsia"/>
                <w:color w:val="auto"/>
                <w:kern w:val="0"/>
                <w:sz w:val="24"/>
                <w:lang w:val="en-US" w:eastAsia="zh-CN"/>
              </w:rPr>
              <w:t>24</w:t>
            </w:r>
            <w:r>
              <w:rPr>
                <w:rFonts w:hint="eastAsia"/>
                <w:color w:val="auto"/>
                <w:kern w:val="0"/>
                <w:sz w:val="24"/>
              </w:rPr>
              <w:t>00</w:t>
            </w:r>
            <w:r>
              <w:rPr>
                <w:color w:val="auto"/>
                <w:kern w:val="0"/>
                <w:sz w:val="24"/>
              </w:rPr>
              <w:t>小时。</w:t>
            </w:r>
          </w:p>
          <w:p w14:paraId="48211CB3">
            <w:pPr>
              <w:tabs>
                <w:tab w:val="right" w:pos="9069"/>
              </w:tabs>
              <w:adjustRightInd w:val="0"/>
              <w:snapToGrid w:val="0"/>
              <w:spacing w:line="360" w:lineRule="auto"/>
              <w:ind w:firstLine="482" w:firstLineChars="200"/>
              <w:rPr>
                <w:b/>
                <w:bCs/>
                <w:color w:val="auto"/>
                <w:sz w:val="24"/>
              </w:rPr>
            </w:pPr>
            <w:r>
              <w:rPr>
                <w:rFonts w:hint="eastAsia"/>
                <w:b/>
                <w:bCs/>
                <w:color w:val="auto"/>
                <w:sz w:val="24"/>
              </w:rPr>
              <w:t>2、</w:t>
            </w:r>
            <w:r>
              <w:rPr>
                <w:rFonts w:hint="eastAsia"/>
                <w:b/>
                <w:bCs/>
                <w:color w:val="auto"/>
                <w:sz w:val="24"/>
                <w:lang w:eastAsia="zh-CN"/>
              </w:rPr>
              <w:t>改建</w:t>
            </w:r>
            <w:r>
              <w:rPr>
                <w:rFonts w:hint="eastAsia"/>
                <w:b/>
                <w:bCs/>
                <w:color w:val="auto"/>
                <w:sz w:val="24"/>
              </w:rPr>
              <w:t>项目</w:t>
            </w:r>
          </w:p>
          <w:p w14:paraId="3956E262">
            <w:pPr>
              <w:tabs>
                <w:tab w:val="right" w:pos="9069"/>
              </w:tabs>
              <w:adjustRightInd w:val="0"/>
              <w:snapToGrid w:val="0"/>
              <w:spacing w:line="360" w:lineRule="auto"/>
              <w:ind w:firstLine="480" w:firstLineChars="200"/>
              <w:rPr>
                <w:color w:val="auto"/>
                <w:sz w:val="24"/>
              </w:rPr>
            </w:pPr>
            <w:r>
              <w:rPr>
                <w:rFonts w:hint="eastAsia"/>
                <w:color w:val="auto"/>
                <w:sz w:val="24"/>
              </w:rPr>
              <w:t>阳江纳谷科技有限公司于阳江市阳东区东城镇裕东一路25号现有项目的厂房内进行</w:t>
            </w:r>
            <w:r>
              <w:rPr>
                <w:rFonts w:hint="eastAsia"/>
                <w:color w:val="auto"/>
                <w:sz w:val="24"/>
                <w:lang w:eastAsia="zh-CN"/>
              </w:rPr>
              <w:t>改建</w:t>
            </w:r>
            <w:r>
              <w:rPr>
                <w:rFonts w:hint="eastAsia"/>
                <w:color w:val="auto"/>
                <w:sz w:val="24"/>
              </w:rPr>
              <w:t>，</w:t>
            </w:r>
            <w:r>
              <w:rPr>
                <w:rFonts w:hint="eastAsia"/>
                <w:color w:val="auto"/>
                <w:sz w:val="24"/>
                <w:lang w:eastAsia="zh-CN"/>
              </w:rPr>
              <w:t>改建</w:t>
            </w:r>
            <w:r>
              <w:rPr>
                <w:color w:val="auto"/>
                <w:sz w:val="24"/>
              </w:rPr>
              <w:t>的内容如下：</w:t>
            </w:r>
          </w:p>
          <w:p w14:paraId="55379DE5">
            <w:pPr>
              <w:tabs>
                <w:tab w:val="right" w:pos="9069"/>
              </w:tabs>
              <w:adjustRightInd w:val="0"/>
              <w:snapToGrid w:val="0"/>
              <w:spacing w:line="360" w:lineRule="auto"/>
              <w:ind w:firstLine="480" w:firstLineChars="200"/>
              <w:rPr>
                <w:color w:val="auto"/>
                <w:sz w:val="24"/>
              </w:rPr>
            </w:pPr>
            <w:r>
              <w:rPr>
                <w:rFonts w:hint="eastAsia"/>
                <w:color w:val="auto"/>
                <w:sz w:val="24"/>
              </w:rPr>
              <w:t>（1）本</w:t>
            </w:r>
            <w:r>
              <w:rPr>
                <w:rFonts w:hint="eastAsia"/>
                <w:color w:val="auto"/>
                <w:sz w:val="24"/>
                <w:lang w:eastAsia="zh-CN"/>
              </w:rPr>
              <w:t>改建</w:t>
            </w:r>
            <w:r>
              <w:rPr>
                <w:color w:val="auto"/>
                <w:sz w:val="24"/>
              </w:rPr>
              <w:t>项目总投资60万元，环保投资</w:t>
            </w:r>
            <w:r>
              <w:rPr>
                <w:rFonts w:hint="eastAsia"/>
                <w:color w:val="auto"/>
                <w:sz w:val="24"/>
              </w:rPr>
              <w:t>30</w:t>
            </w:r>
            <w:r>
              <w:rPr>
                <w:color w:val="auto"/>
                <w:sz w:val="24"/>
              </w:rPr>
              <w:t>万元，占投资总额的50%。</w:t>
            </w:r>
          </w:p>
          <w:p w14:paraId="2B8D5F76">
            <w:pPr>
              <w:tabs>
                <w:tab w:val="right" w:pos="9069"/>
              </w:tabs>
              <w:adjustRightInd w:val="0"/>
              <w:snapToGrid w:val="0"/>
              <w:spacing w:line="360" w:lineRule="auto"/>
              <w:ind w:firstLine="480" w:firstLineChars="200"/>
              <w:rPr>
                <w:rFonts w:hint="default" w:eastAsia="宋体"/>
                <w:color w:val="auto"/>
                <w:sz w:val="24"/>
                <w:lang w:val="en-US" w:eastAsia="zh-CN"/>
              </w:rPr>
            </w:pPr>
            <w:r>
              <w:rPr>
                <w:rFonts w:hint="eastAsia"/>
                <w:color w:val="auto"/>
                <w:sz w:val="24"/>
              </w:rPr>
              <w:t>（2）</w:t>
            </w:r>
            <w:r>
              <w:rPr>
                <w:rFonts w:hint="eastAsia"/>
                <w:color w:val="auto"/>
                <w:sz w:val="24"/>
                <w:lang w:val="en-US" w:eastAsia="zh-CN"/>
              </w:rPr>
              <w:t>本改建项目所在车间原为1条小阳极氧化表面加工生产线，现已拆除，用于新增本次改建项目的电泳漆表面加工生产线1条，生产车间为1间1层，占地面积为310平方米，建筑面积为310平方米。</w:t>
            </w:r>
          </w:p>
          <w:p w14:paraId="51B1414B">
            <w:pPr>
              <w:tabs>
                <w:tab w:val="right" w:pos="9069"/>
              </w:tabs>
              <w:adjustRightInd w:val="0"/>
              <w:snapToGrid w:val="0"/>
              <w:spacing w:line="360" w:lineRule="auto"/>
              <w:ind w:firstLine="480" w:firstLineChars="200"/>
              <w:rPr>
                <w:rFonts w:hint="default"/>
                <w:color w:val="auto"/>
                <w:sz w:val="24"/>
                <w:lang w:val="en-US"/>
              </w:rPr>
            </w:pPr>
            <w:r>
              <w:rPr>
                <w:rFonts w:hint="eastAsia"/>
                <w:color w:val="auto"/>
                <w:sz w:val="24"/>
                <w:lang w:eastAsia="zh-CN"/>
              </w:rPr>
              <w:t>（</w:t>
            </w:r>
            <w:r>
              <w:rPr>
                <w:rFonts w:hint="eastAsia"/>
                <w:color w:val="auto"/>
                <w:sz w:val="24"/>
                <w:lang w:val="en-US" w:eastAsia="zh-CN"/>
              </w:rPr>
              <w:t>3</w:t>
            </w:r>
            <w:r>
              <w:rPr>
                <w:rFonts w:hint="eastAsia"/>
                <w:color w:val="auto"/>
                <w:sz w:val="24"/>
                <w:lang w:eastAsia="zh-CN"/>
              </w:rPr>
              <w:t>）</w:t>
            </w:r>
            <w:r>
              <w:rPr>
                <w:rFonts w:hint="eastAsia"/>
                <w:color w:val="auto"/>
                <w:sz w:val="24"/>
              </w:rPr>
              <w:t>本</w:t>
            </w:r>
            <w:r>
              <w:rPr>
                <w:rFonts w:hint="eastAsia"/>
                <w:color w:val="auto"/>
                <w:sz w:val="24"/>
                <w:lang w:eastAsia="zh-CN"/>
              </w:rPr>
              <w:t>改建</w:t>
            </w:r>
            <w:r>
              <w:rPr>
                <w:rFonts w:hint="eastAsia"/>
                <w:color w:val="auto"/>
                <w:sz w:val="24"/>
              </w:rPr>
              <w:t>项目无需扩大产能，通过拆除原</w:t>
            </w:r>
            <w:r>
              <w:rPr>
                <w:rFonts w:hint="eastAsia" w:ascii="Times New Roman" w:hAnsi="Times New Roman" w:eastAsia="宋体" w:cs="Times New Roman"/>
                <w:color w:val="auto"/>
                <w:sz w:val="24"/>
                <w:lang w:val="en-US" w:eastAsia="zh-CN"/>
              </w:rPr>
              <w:t>小阳极氧化线</w:t>
            </w:r>
            <w:r>
              <w:rPr>
                <w:rFonts w:hint="eastAsia"/>
                <w:color w:val="auto"/>
                <w:sz w:val="24"/>
              </w:rPr>
              <w:t>1条</w:t>
            </w:r>
            <w:r>
              <w:rPr>
                <w:rFonts w:hint="eastAsia"/>
                <w:color w:val="auto"/>
                <w:sz w:val="24"/>
              </w:rPr>
              <w:t>，减少原阳极氧化表面加工250万件，合计铝制品约30吨。新增电泳漆表面加工生产线1条，新增电泳漆表面加工250万件，合计铝制品约30吨</w:t>
            </w:r>
            <w:r>
              <w:rPr>
                <w:color w:val="auto"/>
                <w:sz w:val="24"/>
              </w:rPr>
              <w:t>。</w:t>
            </w:r>
            <w:r>
              <w:rPr>
                <w:rFonts w:hint="eastAsia" w:ascii="Times New Roman" w:hAnsi="Times New Roman" w:eastAsia="宋体" w:cs="Times New Roman"/>
                <w:color w:val="auto"/>
                <w:sz w:val="24"/>
                <w:lang w:val="en-US" w:eastAsia="zh-CN"/>
              </w:rPr>
              <w:t>大阳极氧化线保留不变。</w:t>
            </w:r>
          </w:p>
          <w:p w14:paraId="1822B1B1">
            <w:pPr>
              <w:spacing w:line="360" w:lineRule="auto"/>
              <w:ind w:firstLine="482" w:firstLineChars="200"/>
              <w:rPr>
                <w:b/>
                <w:color w:val="auto"/>
                <w:sz w:val="24"/>
              </w:rPr>
            </w:pPr>
            <w:r>
              <w:rPr>
                <w:rFonts w:hint="eastAsia"/>
                <w:b/>
                <w:color w:val="auto"/>
                <w:sz w:val="24"/>
              </w:rPr>
              <w:t>3、</w:t>
            </w:r>
            <w:r>
              <w:rPr>
                <w:rFonts w:hint="eastAsia"/>
                <w:b/>
                <w:color w:val="auto"/>
                <w:sz w:val="24"/>
                <w:lang w:eastAsia="zh-CN"/>
              </w:rPr>
              <w:t>改建</w:t>
            </w:r>
            <w:r>
              <w:rPr>
                <w:rFonts w:hint="eastAsia"/>
                <w:b/>
                <w:color w:val="auto"/>
                <w:sz w:val="24"/>
              </w:rPr>
              <w:t>后全厂概况</w:t>
            </w:r>
          </w:p>
          <w:p w14:paraId="060785CE">
            <w:pPr>
              <w:spacing w:line="360" w:lineRule="auto"/>
              <w:ind w:firstLine="480" w:firstLineChars="200"/>
              <w:rPr>
                <w:color w:val="auto"/>
                <w:sz w:val="24"/>
              </w:rPr>
            </w:pPr>
            <w:r>
              <w:rPr>
                <w:bCs/>
                <w:color w:val="auto"/>
                <w:sz w:val="24"/>
              </w:rPr>
              <w:t>根据</w:t>
            </w:r>
            <w:r>
              <w:rPr>
                <w:rFonts w:hint="eastAsia"/>
                <w:bCs/>
                <w:color w:val="auto"/>
                <w:sz w:val="24"/>
                <w:lang w:eastAsia="zh-CN"/>
              </w:rPr>
              <w:t>改建</w:t>
            </w:r>
            <w:r>
              <w:rPr>
                <w:bCs/>
                <w:color w:val="auto"/>
                <w:sz w:val="24"/>
              </w:rPr>
              <w:t>项目的概况，</w:t>
            </w:r>
            <w:r>
              <w:rPr>
                <w:rFonts w:hint="eastAsia"/>
                <w:bCs/>
                <w:color w:val="auto"/>
                <w:sz w:val="24"/>
                <w:lang w:eastAsia="zh-CN"/>
              </w:rPr>
              <w:t>改建</w:t>
            </w:r>
            <w:r>
              <w:rPr>
                <w:bCs/>
                <w:color w:val="auto"/>
                <w:sz w:val="24"/>
              </w:rPr>
              <w:t>后全厂总投资为</w:t>
            </w:r>
            <w:r>
              <w:rPr>
                <w:rFonts w:hint="eastAsia"/>
                <w:bCs/>
                <w:color w:val="auto"/>
                <w:sz w:val="24"/>
                <w:lang w:val="en-US" w:eastAsia="zh-CN"/>
              </w:rPr>
              <w:t>8782</w:t>
            </w:r>
            <w:r>
              <w:rPr>
                <w:bCs/>
                <w:color w:val="auto"/>
                <w:sz w:val="24"/>
              </w:rPr>
              <w:t>万元，其中环保投资</w:t>
            </w:r>
            <w:r>
              <w:rPr>
                <w:rFonts w:hint="eastAsia"/>
                <w:bCs/>
                <w:color w:val="auto"/>
                <w:sz w:val="24"/>
              </w:rPr>
              <w:t>846</w:t>
            </w:r>
            <w:r>
              <w:rPr>
                <w:bCs/>
                <w:color w:val="auto"/>
                <w:sz w:val="24"/>
              </w:rPr>
              <w:t>万元，占投资总额的</w:t>
            </w:r>
            <w:r>
              <w:rPr>
                <w:rFonts w:hint="eastAsia"/>
                <w:bCs/>
                <w:color w:val="auto"/>
                <w:sz w:val="24"/>
              </w:rPr>
              <w:t>9.6</w:t>
            </w:r>
            <w:r>
              <w:rPr>
                <w:bCs/>
                <w:color w:val="auto"/>
                <w:sz w:val="24"/>
              </w:rPr>
              <w:t>%，</w:t>
            </w:r>
            <w:r>
              <w:rPr>
                <w:color w:val="auto"/>
                <w:sz w:val="24"/>
              </w:rPr>
              <w:t>总占地面积</w:t>
            </w:r>
            <w:r>
              <w:rPr>
                <w:rFonts w:hint="eastAsia"/>
                <w:color w:val="auto"/>
                <w:sz w:val="24"/>
              </w:rPr>
              <w:t>33348.28</w:t>
            </w:r>
            <w:r>
              <w:rPr>
                <w:color w:val="auto"/>
                <w:sz w:val="24"/>
              </w:rPr>
              <w:t>m</w:t>
            </w:r>
            <w:r>
              <w:rPr>
                <w:color w:val="auto"/>
                <w:sz w:val="24"/>
                <w:vertAlign w:val="superscript"/>
              </w:rPr>
              <w:t>2</w:t>
            </w:r>
            <w:r>
              <w:rPr>
                <w:color w:val="auto"/>
                <w:sz w:val="24"/>
              </w:rPr>
              <w:t>，总建筑面积</w:t>
            </w:r>
            <w:r>
              <w:rPr>
                <w:rFonts w:hint="eastAsia"/>
                <w:color w:val="auto"/>
                <w:sz w:val="24"/>
              </w:rPr>
              <w:t>48451.72</w:t>
            </w:r>
            <w:r>
              <w:rPr>
                <w:color w:val="auto"/>
                <w:sz w:val="24"/>
              </w:rPr>
              <w:t>m</w:t>
            </w:r>
            <w:r>
              <w:rPr>
                <w:color w:val="auto"/>
                <w:sz w:val="24"/>
                <w:vertAlign w:val="superscript"/>
              </w:rPr>
              <w:t>2</w:t>
            </w:r>
            <w:r>
              <w:rPr>
                <w:color w:val="auto"/>
                <w:kern w:val="0"/>
                <w:sz w:val="24"/>
              </w:rPr>
              <w:t>，</w:t>
            </w:r>
            <w:r>
              <w:rPr>
                <w:rFonts w:hint="eastAsia"/>
                <w:color w:val="auto"/>
                <w:sz w:val="24"/>
              </w:rPr>
              <w:t>包含5栋综合楼（其中1栋4层综合楼1、1栋2层综合楼2、1栋4层综合楼3、1栋4层综合楼4、1栋1层综合楼6）、1间1层生产车间、1间1层发电机房、1间1层配电房、1栋4层办公楼，</w:t>
            </w:r>
            <w:r>
              <w:rPr>
                <w:color w:val="auto"/>
                <w:sz w:val="24"/>
              </w:rPr>
              <w:t>年产</w:t>
            </w:r>
            <w:r>
              <w:rPr>
                <w:rFonts w:hint="eastAsia"/>
                <w:color w:val="auto"/>
                <w:sz w:val="24"/>
              </w:rPr>
              <w:t>环保节能灯具和LED手电筒等铝制品450吨，其中需对铝制品进行阳极氧化表面加工2508万件，合计铝制品约300吨</w:t>
            </w:r>
            <w:r>
              <w:rPr>
                <w:rFonts w:hint="eastAsia"/>
                <w:color w:val="auto"/>
                <w:kern w:val="0"/>
                <w:sz w:val="24"/>
              </w:rPr>
              <w:t>；进行电泳漆表面加工250万件，合计铝制品约30吨</w:t>
            </w:r>
            <w:r>
              <w:rPr>
                <w:rFonts w:hint="eastAsia"/>
                <w:color w:val="auto"/>
                <w:kern w:val="0"/>
                <w:sz w:val="24"/>
                <w:lang w:eastAsia="zh-CN"/>
              </w:rPr>
              <w:t>，</w:t>
            </w:r>
            <w:r>
              <w:rPr>
                <w:rFonts w:hint="eastAsia"/>
                <w:color w:val="auto"/>
                <w:kern w:val="0"/>
                <w:sz w:val="24"/>
                <w:lang w:val="en-US" w:eastAsia="zh-CN"/>
              </w:rPr>
              <w:t>需进行表面加工铝制品2758万件，合计铝制品约330吨</w:t>
            </w:r>
            <w:r>
              <w:rPr>
                <w:rFonts w:hint="eastAsia"/>
                <w:color w:val="auto"/>
                <w:kern w:val="0"/>
                <w:sz w:val="24"/>
              </w:rPr>
              <w:t>。本</w:t>
            </w:r>
            <w:r>
              <w:rPr>
                <w:rFonts w:hint="eastAsia"/>
                <w:color w:val="auto"/>
                <w:kern w:val="0"/>
                <w:sz w:val="24"/>
                <w:lang w:eastAsia="zh-CN"/>
              </w:rPr>
              <w:t>改建</w:t>
            </w:r>
            <w:r>
              <w:rPr>
                <w:rFonts w:hint="eastAsia"/>
                <w:color w:val="auto"/>
                <w:kern w:val="0"/>
                <w:sz w:val="24"/>
              </w:rPr>
              <w:t>项目无需新增员工，通过现有的员工调配安排，</w:t>
            </w:r>
            <w:r>
              <w:rPr>
                <w:rFonts w:hint="eastAsia"/>
                <w:color w:val="auto"/>
                <w:kern w:val="0"/>
                <w:sz w:val="24"/>
                <w:lang w:eastAsia="zh-CN"/>
              </w:rPr>
              <w:t>改建</w:t>
            </w:r>
            <w:r>
              <w:rPr>
                <w:rFonts w:hint="eastAsia"/>
                <w:color w:val="auto"/>
                <w:kern w:val="0"/>
                <w:sz w:val="24"/>
              </w:rPr>
              <w:t>后</w:t>
            </w:r>
            <w:r>
              <w:rPr>
                <w:color w:val="auto"/>
                <w:kern w:val="0"/>
                <w:sz w:val="24"/>
              </w:rPr>
              <w:t>全厂员工</w:t>
            </w:r>
            <w:r>
              <w:rPr>
                <w:rFonts w:hint="eastAsia"/>
                <w:color w:val="auto"/>
                <w:kern w:val="0"/>
                <w:sz w:val="24"/>
              </w:rPr>
              <w:t>不变，为</w:t>
            </w:r>
            <w:r>
              <w:rPr>
                <w:rFonts w:hint="eastAsia"/>
                <w:color w:val="auto"/>
                <w:kern w:val="0"/>
                <w:sz w:val="24"/>
                <w:lang w:val="en-US" w:eastAsia="zh-CN"/>
              </w:rPr>
              <w:t>50</w:t>
            </w:r>
            <w:r>
              <w:rPr>
                <w:rFonts w:hint="eastAsia"/>
                <w:color w:val="auto"/>
                <w:kern w:val="0"/>
                <w:sz w:val="24"/>
              </w:rPr>
              <w:t>0</w:t>
            </w:r>
            <w:r>
              <w:rPr>
                <w:color w:val="auto"/>
                <w:kern w:val="0"/>
                <w:sz w:val="24"/>
              </w:rPr>
              <w:t>人，</w:t>
            </w:r>
            <w:r>
              <w:rPr>
                <w:rFonts w:hint="eastAsia"/>
                <w:color w:val="auto"/>
                <w:kern w:val="0"/>
                <w:sz w:val="24"/>
              </w:rPr>
              <w:t>均在厂内用餐（配</w:t>
            </w:r>
            <w:r>
              <w:rPr>
                <w:rFonts w:hint="eastAsia"/>
                <w:bCs/>
                <w:color w:val="auto"/>
                <w:sz w:val="24"/>
              </w:rPr>
              <w:t>有厨房），不在厂内住宿</w:t>
            </w:r>
            <w:r>
              <w:rPr>
                <w:color w:val="auto"/>
                <w:kern w:val="0"/>
                <w:sz w:val="24"/>
              </w:rPr>
              <w:t>，年工作天数为300天，每天</w:t>
            </w:r>
            <w:r>
              <w:rPr>
                <w:rFonts w:hint="eastAsia"/>
                <w:color w:val="auto"/>
                <w:kern w:val="0"/>
                <w:sz w:val="24"/>
                <w:lang w:val="en-US" w:eastAsia="zh-CN"/>
              </w:rPr>
              <w:t>1</w:t>
            </w:r>
            <w:r>
              <w:rPr>
                <w:color w:val="auto"/>
                <w:kern w:val="0"/>
                <w:sz w:val="24"/>
              </w:rPr>
              <w:t>班制，每班8小时，年生产时数</w:t>
            </w:r>
            <w:r>
              <w:rPr>
                <w:rFonts w:hint="eastAsia"/>
                <w:color w:val="auto"/>
                <w:kern w:val="0"/>
                <w:sz w:val="24"/>
                <w:lang w:val="en-US" w:eastAsia="zh-CN"/>
              </w:rPr>
              <w:t>24</w:t>
            </w:r>
            <w:r>
              <w:rPr>
                <w:rFonts w:hint="eastAsia"/>
                <w:color w:val="auto"/>
                <w:kern w:val="0"/>
                <w:sz w:val="24"/>
              </w:rPr>
              <w:t>00</w:t>
            </w:r>
            <w:r>
              <w:rPr>
                <w:color w:val="auto"/>
                <w:kern w:val="0"/>
                <w:sz w:val="24"/>
              </w:rPr>
              <w:t>小时。</w:t>
            </w:r>
          </w:p>
          <w:p w14:paraId="3CE19A30">
            <w:pPr>
              <w:ind w:firstLine="482"/>
              <w:jc w:val="center"/>
              <w:rPr>
                <w:b/>
                <w:color w:val="auto"/>
              </w:rPr>
            </w:pPr>
            <w:r>
              <w:rPr>
                <w:b/>
                <w:color w:val="auto"/>
              </w:rPr>
              <w:t>表2-</w:t>
            </w:r>
            <w:r>
              <w:rPr>
                <w:rFonts w:hint="eastAsia"/>
                <w:b/>
                <w:color w:val="auto"/>
              </w:rPr>
              <w:t>3本</w:t>
            </w:r>
            <w:r>
              <w:rPr>
                <w:rFonts w:hint="eastAsia"/>
                <w:b/>
                <w:color w:val="auto"/>
                <w:lang w:eastAsia="zh-CN"/>
              </w:rPr>
              <w:t>改建</w:t>
            </w:r>
            <w:r>
              <w:rPr>
                <w:rFonts w:hint="eastAsia"/>
                <w:b/>
                <w:color w:val="auto"/>
              </w:rPr>
              <w:t>项目</w:t>
            </w:r>
            <w:r>
              <w:rPr>
                <w:rFonts w:hint="eastAsia"/>
                <w:b/>
                <w:color w:val="auto"/>
                <w:lang w:val="en-US" w:eastAsia="zh-CN"/>
              </w:rPr>
              <w:t>涉及的表面处理生产线及产能情况</w:t>
            </w:r>
            <w:r>
              <w:rPr>
                <w:b/>
                <w:color w:val="auto"/>
              </w:rPr>
              <w:t>一览表</w:t>
            </w:r>
          </w:p>
          <w:tbl>
            <w:tblPr>
              <w:tblStyle w:val="42"/>
              <w:tblW w:w="956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430"/>
              <w:gridCol w:w="2837"/>
              <w:gridCol w:w="818"/>
              <w:gridCol w:w="1364"/>
              <w:gridCol w:w="695"/>
              <w:gridCol w:w="1323"/>
              <w:gridCol w:w="688"/>
              <w:gridCol w:w="1406"/>
            </w:tblGrid>
            <w:tr w14:paraId="5E27C88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vMerge w:val="restart"/>
                  <w:tcBorders>
                    <w:tl2br w:val="nil"/>
                    <w:tr2bl w:val="nil"/>
                  </w:tcBorders>
                  <w:noWrap w:val="0"/>
                  <w:vAlign w:val="center"/>
                </w:tcPr>
                <w:p w14:paraId="409B88A4">
                  <w:pPr>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序号</w:t>
                  </w:r>
                </w:p>
              </w:tc>
              <w:tc>
                <w:tcPr>
                  <w:tcW w:w="2837" w:type="dxa"/>
                  <w:vMerge w:val="restart"/>
                  <w:tcBorders>
                    <w:tl2br w:val="nil"/>
                    <w:tr2bl w:val="nil"/>
                  </w:tcBorders>
                  <w:noWrap w:val="0"/>
                  <w:vAlign w:val="center"/>
                </w:tcPr>
                <w:p w14:paraId="1CE0D33C">
                  <w:pPr>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表面处理生产线名称</w:t>
                  </w:r>
                </w:p>
              </w:tc>
              <w:tc>
                <w:tcPr>
                  <w:tcW w:w="2182" w:type="dxa"/>
                  <w:gridSpan w:val="2"/>
                  <w:tcBorders>
                    <w:tl2br w:val="nil"/>
                    <w:tr2bl w:val="nil"/>
                  </w:tcBorders>
                  <w:noWrap w:val="0"/>
                  <w:vAlign w:val="center"/>
                </w:tcPr>
                <w:p w14:paraId="43BC5587">
                  <w:pPr>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现有</w:t>
                  </w:r>
                </w:p>
              </w:tc>
              <w:tc>
                <w:tcPr>
                  <w:tcW w:w="2018" w:type="dxa"/>
                  <w:gridSpan w:val="2"/>
                  <w:tcBorders>
                    <w:tl2br w:val="nil"/>
                    <w:tr2bl w:val="nil"/>
                  </w:tcBorders>
                  <w:noWrap w:val="0"/>
                  <w:vAlign w:val="center"/>
                </w:tcPr>
                <w:p w14:paraId="19B097F3">
                  <w:pPr>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改建</w:t>
                  </w:r>
                </w:p>
              </w:tc>
              <w:tc>
                <w:tcPr>
                  <w:tcW w:w="2094" w:type="dxa"/>
                  <w:gridSpan w:val="2"/>
                  <w:tcBorders>
                    <w:tl2br w:val="nil"/>
                    <w:tr2bl w:val="nil"/>
                  </w:tcBorders>
                  <w:noWrap w:val="0"/>
                  <w:vAlign w:val="center"/>
                </w:tcPr>
                <w:p w14:paraId="16F77C6E">
                  <w:pPr>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改建后全厂</w:t>
                  </w:r>
                </w:p>
              </w:tc>
            </w:tr>
            <w:tr w14:paraId="068FE06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vMerge w:val="continue"/>
                  <w:tcBorders>
                    <w:tl2br w:val="nil"/>
                    <w:tr2bl w:val="nil"/>
                  </w:tcBorders>
                  <w:noWrap w:val="0"/>
                  <w:vAlign w:val="center"/>
                </w:tcPr>
                <w:p w14:paraId="27D9BF2C">
                  <w:pPr>
                    <w:jc w:val="center"/>
                    <w:rPr>
                      <w:rFonts w:hint="default" w:ascii="Times New Roman" w:hAnsi="Times New Roman" w:eastAsia="宋体" w:cs="Times New Roman"/>
                      <w:b/>
                      <w:color w:val="auto"/>
                      <w:sz w:val="21"/>
                      <w:szCs w:val="21"/>
                    </w:rPr>
                  </w:pPr>
                </w:p>
              </w:tc>
              <w:tc>
                <w:tcPr>
                  <w:tcW w:w="2837" w:type="dxa"/>
                  <w:vMerge w:val="continue"/>
                  <w:tcBorders>
                    <w:tl2br w:val="nil"/>
                    <w:tr2bl w:val="nil"/>
                  </w:tcBorders>
                  <w:noWrap w:val="0"/>
                  <w:vAlign w:val="center"/>
                </w:tcPr>
                <w:p w14:paraId="49B6F110">
                  <w:pPr>
                    <w:jc w:val="center"/>
                    <w:rPr>
                      <w:rFonts w:hint="default" w:ascii="Times New Roman" w:hAnsi="Times New Roman" w:eastAsia="宋体" w:cs="Times New Roman"/>
                      <w:b/>
                      <w:color w:val="auto"/>
                      <w:sz w:val="21"/>
                      <w:szCs w:val="21"/>
                      <w:lang w:val="en-US" w:eastAsia="zh-CN"/>
                    </w:rPr>
                  </w:pPr>
                </w:p>
              </w:tc>
              <w:tc>
                <w:tcPr>
                  <w:tcW w:w="818" w:type="dxa"/>
                  <w:tcBorders>
                    <w:tl2br w:val="nil"/>
                    <w:tr2bl w:val="nil"/>
                  </w:tcBorders>
                  <w:noWrap w:val="0"/>
                  <w:vAlign w:val="center"/>
                </w:tcPr>
                <w:p w14:paraId="1D07C485">
                  <w:pPr>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数量</w:t>
                  </w:r>
                </w:p>
              </w:tc>
              <w:tc>
                <w:tcPr>
                  <w:tcW w:w="1364" w:type="dxa"/>
                  <w:tcBorders>
                    <w:tl2br w:val="nil"/>
                    <w:tr2bl w:val="nil"/>
                  </w:tcBorders>
                  <w:noWrap w:val="0"/>
                  <w:vAlign w:val="center"/>
                </w:tcPr>
                <w:p w14:paraId="51262C9A">
                  <w:pPr>
                    <w:jc w:val="center"/>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对应的产能</w:t>
                  </w:r>
                </w:p>
              </w:tc>
              <w:tc>
                <w:tcPr>
                  <w:tcW w:w="695" w:type="dxa"/>
                  <w:tcBorders>
                    <w:tl2br w:val="nil"/>
                    <w:tr2bl w:val="nil"/>
                  </w:tcBorders>
                  <w:noWrap w:val="0"/>
                  <w:vAlign w:val="center"/>
                </w:tcPr>
                <w:p w14:paraId="189AB28B">
                  <w:pPr>
                    <w:jc w:val="center"/>
                    <w:rPr>
                      <w:rFonts w:hint="default" w:ascii="Times New Roman" w:hAnsi="Times New Roman" w:eastAsia="宋体" w:cs="Times New Roman"/>
                      <w:b/>
                      <w:color w:val="auto"/>
                      <w:kern w:val="2"/>
                      <w:sz w:val="21"/>
                      <w:szCs w:val="21"/>
                      <w:lang w:val="en-US" w:eastAsia="zh-CN" w:bidi="ar-SA"/>
                    </w:rPr>
                  </w:pPr>
                  <w:r>
                    <w:rPr>
                      <w:rFonts w:hint="default" w:ascii="Times New Roman" w:hAnsi="Times New Roman" w:eastAsia="宋体" w:cs="Times New Roman"/>
                      <w:b/>
                      <w:color w:val="auto"/>
                      <w:sz w:val="21"/>
                      <w:szCs w:val="21"/>
                      <w:lang w:val="en-US" w:eastAsia="zh-CN"/>
                    </w:rPr>
                    <w:t>数量</w:t>
                  </w:r>
                </w:p>
              </w:tc>
              <w:tc>
                <w:tcPr>
                  <w:tcW w:w="1323" w:type="dxa"/>
                  <w:tcBorders>
                    <w:tl2br w:val="nil"/>
                    <w:tr2bl w:val="nil"/>
                  </w:tcBorders>
                  <w:noWrap w:val="0"/>
                  <w:vAlign w:val="center"/>
                </w:tcPr>
                <w:p w14:paraId="05970684">
                  <w:pPr>
                    <w:jc w:val="center"/>
                    <w:rPr>
                      <w:rFonts w:hint="default" w:ascii="Times New Roman" w:hAnsi="Times New Roman" w:eastAsia="宋体" w:cs="Times New Roman"/>
                      <w:b/>
                      <w:color w:val="auto"/>
                      <w:kern w:val="2"/>
                      <w:sz w:val="21"/>
                      <w:szCs w:val="21"/>
                      <w:lang w:val="en-US" w:eastAsia="zh-CN" w:bidi="ar-SA"/>
                    </w:rPr>
                  </w:pPr>
                  <w:r>
                    <w:rPr>
                      <w:rFonts w:hint="default" w:ascii="Times New Roman" w:hAnsi="Times New Roman" w:eastAsia="宋体" w:cs="Times New Roman"/>
                      <w:b/>
                      <w:color w:val="auto"/>
                      <w:sz w:val="21"/>
                      <w:szCs w:val="21"/>
                      <w:lang w:val="en-US" w:eastAsia="zh-CN"/>
                    </w:rPr>
                    <w:t>对应的产能</w:t>
                  </w:r>
                </w:p>
              </w:tc>
              <w:tc>
                <w:tcPr>
                  <w:tcW w:w="688" w:type="dxa"/>
                  <w:tcBorders>
                    <w:tl2br w:val="nil"/>
                    <w:tr2bl w:val="nil"/>
                  </w:tcBorders>
                  <w:noWrap w:val="0"/>
                  <w:vAlign w:val="center"/>
                </w:tcPr>
                <w:p w14:paraId="6F298C15">
                  <w:pPr>
                    <w:jc w:val="center"/>
                    <w:rPr>
                      <w:rFonts w:hint="default" w:ascii="Times New Roman" w:hAnsi="Times New Roman" w:eastAsia="宋体" w:cs="Times New Roman"/>
                      <w:b/>
                      <w:color w:val="auto"/>
                      <w:kern w:val="2"/>
                      <w:sz w:val="21"/>
                      <w:szCs w:val="21"/>
                      <w:lang w:val="en-US" w:eastAsia="zh-CN" w:bidi="ar-SA"/>
                    </w:rPr>
                  </w:pPr>
                  <w:r>
                    <w:rPr>
                      <w:rFonts w:hint="default" w:ascii="Times New Roman" w:hAnsi="Times New Roman" w:eastAsia="宋体" w:cs="Times New Roman"/>
                      <w:b/>
                      <w:color w:val="auto"/>
                      <w:sz w:val="21"/>
                      <w:szCs w:val="21"/>
                      <w:lang w:val="en-US" w:eastAsia="zh-CN"/>
                    </w:rPr>
                    <w:t>数量</w:t>
                  </w:r>
                </w:p>
              </w:tc>
              <w:tc>
                <w:tcPr>
                  <w:tcW w:w="1406" w:type="dxa"/>
                  <w:tcBorders>
                    <w:tl2br w:val="nil"/>
                    <w:tr2bl w:val="nil"/>
                  </w:tcBorders>
                  <w:noWrap w:val="0"/>
                  <w:vAlign w:val="center"/>
                </w:tcPr>
                <w:p w14:paraId="07C77535">
                  <w:pPr>
                    <w:jc w:val="center"/>
                    <w:rPr>
                      <w:rFonts w:hint="default" w:ascii="Times New Roman" w:hAnsi="Times New Roman" w:eastAsia="宋体" w:cs="Times New Roman"/>
                      <w:b/>
                      <w:color w:val="auto"/>
                      <w:kern w:val="2"/>
                      <w:sz w:val="21"/>
                      <w:szCs w:val="21"/>
                      <w:lang w:val="en-US" w:eastAsia="zh-CN" w:bidi="ar-SA"/>
                    </w:rPr>
                  </w:pPr>
                  <w:r>
                    <w:rPr>
                      <w:rFonts w:hint="default" w:ascii="Times New Roman" w:hAnsi="Times New Roman" w:eastAsia="宋体" w:cs="Times New Roman"/>
                      <w:b/>
                      <w:color w:val="auto"/>
                      <w:sz w:val="21"/>
                      <w:szCs w:val="21"/>
                      <w:lang w:val="en-US" w:eastAsia="zh-CN"/>
                    </w:rPr>
                    <w:t>对应的产能</w:t>
                  </w:r>
                </w:p>
              </w:tc>
            </w:tr>
            <w:tr w14:paraId="2BC5A3D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tcBorders>
                    <w:tl2br w:val="nil"/>
                    <w:tr2bl w:val="nil"/>
                  </w:tcBorders>
                  <w:noWrap w:val="0"/>
                  <w:vAlign w:val="center"/>
                </w:tcPr>
                <w:p w14:paraId="22A465F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2837" w:type="dxa"/>
                  <w:tcBorders>
                    <w:tl2br w:val="nil"/>
                    <w:tr2bl w:val="nil"/>
                  </w:tcBorders>
                  <w:noWrap w:val="0"/>
                  <w:vAlign w:val="center"/>
                </w:tcPr>
                <w:p w14:paraId="174BA3AC">
                  <w:pPr>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号</w:t>
                  </w:r>
                  <w:r>
                    <w:rPr>
                      <w:rFonts w:hint="default" w:ascii="Times New Roman" w:hAnsi="Times New Roman" w:eastAsia="宋体" w:cs="Times New Roman"/>
                      <w:color w:val="auto"/>
                      <w:sz w:val="21"/>
                      <w:szCs w:val="21"/>
                      <w:highlight w:val="none"/>
                    </w:rPr>
                    <w:t>阳极氧化</w:t>
                  </w:r>
                  <w:r>
                    <w:rPr>
                      <w:rFonts w:hint="default" w:ascii="Times New Roman" w:hAnsi="Times New Roman" w:eastAsia="宋体" w:cs="Times New Roman"/>
                      <w:color w:val="auto"/>
                      <w:sz w:val="21"/>
                      <w:szCs w:val="21"/>
                      <w:highlight w:val="none"/>
                      <w:lang w:val="en-US" w:eastAsia="zh-CN"/>
                    </w:rPr>
                    <w:t>表面加工</w:t>
                  </w:r>
                  <w:r>
                    <w:rPr>
                      <w:rFonts w:hint="default" w:ascii="Times New Roman" w:hAnsi="Times New Roman" w:eastAsia="宋体" w:cs="Times New Roman"/>
                      <w:color w:val="auto"/>
                      <w:sz w:val="21"/>
                      <w:szCs w:val="21"/>
                      <w:highlight w:val="none"/>
                    </w:rPr>
                    <w:t>生产线</w:t>
                  </w:r>
                  <w:r>
                    <w:rPr>
                      <w:rFonts w:hint="eastAsia" w:ascii="Times New Roman" w:hAnsi="Times New Roman" w:eastAsia="宋体" w:cs="Times New Roman"/>
                      <w:color w:val="auto"/>
                      <w:sz w:val="21"/>
                      <w:szCs w:val="21"/>
                      <w:lang w:val="en-US" w:eastAsia="zh-CN"/>
                    </w:rPr>
                    <w:t>（</w:t>
                  </w:r>
                  <w:r>
                    <w:rPr>
                      <w:color w:val="auto"/>
                      <w:sz w:val="21"/>
                      <w:szCs w:val="21"/>
                    </w:rPr>
                    <w:t>简称“</w:t>
                  </w:r>
                  <w:r>
                    <w:rPr>
                      <w:rFonts w:hint="eastAsia"/>
                      <w:color w:val="auto"/>
                      <w:sz w:val="21"/>
                      <w:szCs w:val="21"/>
                      <w:lang w:val="en-US" w:eastAsia="zh-CN"/>
                    </w:rPr>
                    <w:t>大阳极氧化线</w:t>
                  </w:r>
                  <w:r>
                    <w:rPr>
                      <w:color w:val="auto"/>
                      <w:sz w:val="21"/>
                      <w:szCs w:val="21"/>
                    </w:rPr>
                    <w:t>”</w:t>
                  </w:r>
                  <w:r>
                    <w:rPr>
                      <w:rFonts w:hint="eastAsia" w:ascii="Times New Roman" w:hAnsi="Times New Roman" w:eastAsia="宋体" w:cs="Times New Roman"/>
                      <w:color w:val="auto"/>
                      <w:sz w:val="21"/>
                      <w:szCs w:val="21"/>
                      <w:lang w:val="en-US" w:eastAsia="zh-CN"/>
                    </w:rPr>
                    <w:t>）</w:t>
                  </w:r>
                </w:p>
              </w:tc>
              <w:tc>
                <w:tcPr>
                  <w:tcW w:w="818" w:type="dxa"/>
                  <w:tcBorders>
                    <w:tl2br w:val="nil"/>
                    <w:tr2bl w:val="nil"/>
                  </w:tcBorders>
                  <w:noWrap w:val="0"/>
                  <w:vAlign w:val="center"/>
                </w:tcPr>
                <w:p w14:paraId="45FCCA8B">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条</w:t>
                  </w:r>
                </w:p>
              </w:tc>
              <w:tc>
                <w:tcPr>
                  <w:tcW w:w="1364" w:type="dxa"/>
                  <w:tcBorders>
                    <w:tl2br w:val="nil"/>
                    <w:tr2bl w:val="nil"/>
                  </w:tcBorders>
                  <w:noWrap w:val="0"/>
                  <w:vAlign w:val="center"/>
                </w:tcPr>
                <w:p w14:paraId="43AA7C19">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50</w:t>
                  </w:r>
                  <w:r>
                    <w:rPr>
                      <w:rFonts w:hint="default" w:ascii="Times New Roman" w:hAnsi="Times New Roman" w:eastAsia="宋体" w:cs="Times New Roman"/>
                      <w:color w:val="auto"/>
                      <w:sz w:val="21"/>
                      <w:szCs w:val="21"/>
                      <w:lang w:val="en-US" w:eastAsia="zh-CN"/>
                    </w:rPr>
                    <w:t>8万件（3</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0吨）</w:t>
                  </w:r>
                </w:p>
              </w:tc>
              <w:tc>
                <w:tcPr>
                  <w:tcW w:w="695" w:type="dxa"/>
                  <w:tcBorders>
                    <w:tl2br w:val="nil"/>
                    <w:tr2bl w:val="nil"/>
                  </w:tcBorders>
                  <w:noWrap w:val="0"/>
                  <w:vAlign w:val="center"/>
                </w:tcPr>
                <w:p w14:paraId="4AE2B0D5">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w:t>
                  </w:r>
                </w:p>
              </w:tc>
              <w:tc>
                <w:tcPr>
                  <w:tcW w:w="1323" w:type="dxa"/>
                  <w:tcBorders>
                    <w:tl2br w:val="nil"/>
                    <w:tr2bl w:val="nil"/>
                  </w:tcBorders>
                  <w:noWrap w:val="0"/>
                  <w:vAlign w:val="center"/>
                </w:tcPr>
                <w:p w14:paraId="21970F24">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0</w:t>
                  </w:r>
                </w:p>
              </w:tc>
              <w:tc>
                <w:tcPr>
                  <w:tcW w:w="688" w:type="dxa"/>
                  <w:tcBorders>
                    <w:tl2br w:val="nil"/>
                    <w:tr2bl w:val="nil"/>
                  </w:tcBorders>
                  <w:noWrap w:val="0"/>
                  <w:vAlign w:val="center"/>
                </w:tcPr>
                <w:p w14:paraId="2C1586D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1条</w:t>
                  </w:r>
                </w:p>
              </w:tc>
              <w:tc>
                <w:tcPr>
                  <w:tcW w:w="1406" w:type="dxa"/>
                  <w:tcBorders>
                    <w:tl2br w:val="nil"/>
                    <w:tr2bl w:val="nil"/>
                  </w:tcBorders>
                  <w:noWrap w:val="0"/>
                  <w:vAlign w:val="center"/>
                </w:tcPr>
                <w:p w14:paraId="3B625083">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r>
                    <w:rPr>
                      <w:rFonts w:hint="eastAsia" w:ascii="Times New Roman" w:hAnsi="Times New Roman" w:eastAsia="宋体" w:cs="Times New Roman"/>
                      <w:color w:val="auto"/>
                      <w:sz w:val="21"/>
                      <w:szCs w:val="21"/>
                      <w:lang w:val="en-US" w:eastAsia="zh-CN"/>
                    </w:rPr>
                    <w:t>50</w:t>
                  </w:r>
                  <w:r>
                    <w:rPr>
                      <w:rFonts w:hint="default" w:ascii="Times New Roman" w:hAnsi="Times New Roman" w:eastAsia="宋体" w:cs="Times New Roman"/>
                      <w:color w:val="auto"/>
                      <w:sz w:val="21"/>
                      <w:szCs w:val="21"/>
                      <w:lang w:val="en-US" w:eastAsia="zh-CN"/>
                    </w:rPr>
                    <w:t>8万件（3</w:t>
                  </w:r>
                  <w:r>
                    <w:rPr>
                      <w:rFonts w:hint="eastAsia" w:ascii="Times New Roman" w:hAnsi="Times New Roman" w:eastAsia="宋体" w:cs="Times New Roman"/>
                      <w:color w:val="auto"/>
                      <w:sz w:val="21"/>
                      <w:szCs w:val="21"/>
                      <w:lang w:val="en-US" w:eastAsia="zh-CN"/>
                    </w:rPr>
                    <w:t>0</w:t>
                  </w:r>
                  <w:r>
                    <w:rPr>
                      <w:rFonts w:hint="default" w:ascii="Times New Roman" w:hAnsi="Times New Roman" w:eastAsia="宋体" w:cs="Times New Roman"/>
                      <w:color w:val="auto"/>
                      <w:sz w:val="21"/>
                      <w:szCs w:val="21"/>
                      <w:lang w:val="en-US" w:eastAsia="zh-CN"/>
                    </w:rPr>
                    <w:t>0吨）</w:t>
                  </w:r>
                </w:p>
              </w:tc>
            </w:tr>
            <w:tr w14:paraId="2D8AD9B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tcBorders>
                    <w:tl2br w:val="nil"/>
                    <w:tr2bl w:val="nil"/>
                  </w:tcBorders>
                  <w:noWrap w:val="0"/>
                  <w:vAlign w:val="center"/>
                </w:tcPr>
                <w:p w14:paraId="5D7915CB">
                  <w:pPr>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2837" w:type="dxa"/>
                  <w:tcBorders>
                    <w:tl2br w:val="nil"/>
                    <w:tr2bl w:val="nil"/>
                  </w:tcBorders>
                  <w:noWrap w:val="0"/>
                  <w:vAlign w:val="center"/>
                </w:tcPr>
                <w:p w14:paraId="57AB86EB">
                  <w:pPr>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号</w:t>
                  </w:r>
                  <w:r>
                    <w:rPr>
                      <w:rFonts w:hint="default" w:ascii="Times New Roman" w:hAnsi="Times New Roman" w:eastAsia="宋体" w:cs="Times New Roman"/>
                      <w:color w:val="auto"/>
                      <w:sz w:val="21"/>
                      <w:szCs w:val="21"/>
                      <w:highlight w:val="none"/>
                    </w:rPr>
                    <w:t>阳极氧化</w:t>
                  </w:r>
                  <w:r>
                    <w:rPr>
                      <w:rFonts w:hint="default" w:ascii="Times New Roman" w:hAnsi="Times New Roman" w:eastAsia="宋体" w:cs="Times New Roman"/>
                      <w:color w:val="auto"/>
                      <w:sz w:val="21"/>
                      <w:szCs w:val="21"/>
                      <w:highlight w:val="none"/>
                      <w:lang w:val="en-US" w:eastAsia="zh-CN"/>
                    </w:rPr>
                    <w:t>表面加工</w:t>
                  </w:r>
                  <w:r>
                    <w:rPr>
                      <w:rFonts w:hint="default" w:ascii="Times New Roman" w:hAnsi="Times New Roman" w:eastAsia="宋体" w:cs="Times New Roman"/>
                      <w:color w:val="auto"/>
                      <w:sz w:val="21"/>
                      <w:szCs w:val="21"/>
                      <w:highlight w:val="none"/>
                    </w:rPr>
                    <w:t>生产线</w:t>
                  </w:r>
                  <w:r>
                    <w:rPr>
                      <w:rFonts w:hint="eastAsia" w:ascii="Times New Roman" w:hAnsi="Times New Roman" w:eastAsia="宋体" w:cs="Times New Roman"/>
                      <w:color w:val="auto"/>
                      <w:sz w:val="21"/>
                      <w:szCs w:val="21"/>
                      <w:lang w:val="en-US" w:eastAsia="zh-CN"/>
                    </w:rPr>
                    <w:t>（</w:t>
                  </w:r>
                  <w:r>
                    <w:rPr>
                      <w:color w:val="auto"/>
                      <w:sz w:val="21"/>
                      <w:szCs w:val="21"/>
                    </w:rPr>
                    <w:t>简称“</w:t>
                  </w:r>
                  <w:r>
                    <w:rPr>
                      <w:rFonts w:hint="eastAsia"/>
                      <w:color w:val="auto"/>
                      <w:sz w:val="21"/>
                      <w:szCs w:val="21"/>
                      <w:lang w:val="en-US" w:eastAsia="zh-CN"/>
                    </w:rPr>
                    <w:t>小阳极氧化线</w:t>
                  </w:r>
                  <w:r>
                    <w:rPr>
                      <w:color w:val="auto"/>
                      <w:sz w:val="21"/>
                      <w:szCs w:val="21"/>
                    </w:rPr>
                    <w:t>”</w:t>
                  </w:r>
                  <w:r>
                    <w:rPr>
                      <w:rFonts w:hint="eastAsia" w:ascii="Times New Roman" w:hAnsi="Times New Roman" w:eastAsia="宋体" w:cs="Times New Roman"/>
                      <w:color w:val="auto"/>
                      <w:sz w:val="21"/>
                      <w:szCs w:val="21"/>
                      <w:lang w:val="en-US" w:eastAsia="zh-CN"/>
                    </w:rPr>
                    <w:t>）</w:t>
                  </w:r>
                </w:p>
              </w:tc>
              <w:tc>
                <w:tcPr>
                  <w:tcW w:w="818" w:type="dxa"/>
                  <w:tcBorders>
                    <w:tl2br w:val="nil"/>
                    <w:tr2bl w:val="nil"/>
                  </w:tcBorders>
                  <w:noWrap w:val="0"/>
                  <w:vAlign w:val="center"/>
                </w:tcPr>
                <w:p w14:paraId="540271FB">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1条</w:t>
                  </w:r>
                </w:p>
              </w:tc>
              <w:tc>
                <w:tcPr>
                  <w:tcW w:w="1364" w:type="dxa"/>
                  <w:tcBorders>
                    <w:tl2br w:val="nil"/>
                    <w:tr2bl w:val="nil"/>
                  </w:tcBorders>
                  <w:noWrap w:val="0"/>
                  <w:vAlign w:val="center"/>
                </w:tcPr>
                <w:p w14:paraId="0F219290">
                  <w:pPr>
                    <w:jc w:val="center"/>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250</w:t>
                  </w:r>
                  <w:r>
                    <w:rPr>
                      <w:rFonts w:hint="default" w:ascii="Times New Roman" w:hAnsi="Times New Roman" w:eastAsia="宋体" w:cs="Times New Roman"/>
                      <w:color w:val="auto"/>
                      <w:sz w:val="21"/>
                      <w:szCs w:val="21"/>
                      <w:lang w:val="en-US" w:eastAsia="zh-CN"/>
                    </w:rPr>
                    <w:t>万件（30吨）</w:t>
                  </w:r>
                </w:p>
              </w:tc>
              <w:tc>
                <w:tcPr>
                  <w:tcW w:w="695" w:type="dxa"/>
                  <w:tcBorders>
                    <w:tl2br w:val="nil"/>
                    <w:tr2bl w:val="nil"/>
                  </w:tcBorders>
                  <w:noWrap w:val="0"/>
                  <w:vAlign w:val="center"/>
                </w:tcPr>
                <w:p w14:paraId="50218762">
                  <w:pPr>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-1条</w:t>
                  </w:r>
                </w:p>
              </w:tc>
              <w:tc>
                <w:tcPr>
                  <w:tcW w:w="1323" w:type="dxa"/>
                  <w:tcBorders>
                    <w:tl2br w:val="nil"/>
                    <w:tr2bl w:val="nil"/>
                  </w:tcBorders>
                  <w:noWrap w:val="0"/>
                  <w:vAlign w:val="center"/>
                </w:tcPr>
                <w:p w14:paraId="2AF9AE48">
                  <w:pPr>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-250万件（30吨）</w:t>
                  </w:r>
                </w:p>
              </w:tc>
              <w:tc>
                <w:tcPr>
                  <w:tcW w:w="688" w:type="dxa"/>
                  <w:tcBorders>
                    <w:tl2br w:val="nil"/>
                    <w:tr2bl w:val="nil"/>
                  </w:tcBorders>
                  <w:noWrap w:val="0"/>
                  <w:vAlign w:val="center"/>
                </w:tcPr>
                <w:p w14:paraId="6EA0EB70">
                  <w:pPr>
                    <w:jc w:val="center"/>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0</w:t>
                  </w:r>
                </w:p>
              </w:tc>
              <w:tc>
                <w:tcPr>
                  <w:tcW w:w="1406" w:type="dxa"/>
                  <w:tcBorders>
                    <w:tl2br w:val="nil"/>
                    <w:tr2bl w:val="nil"/>
                  </w:tcBorders>
                  <w:noWrap w:val="0"/>
                  <w:vAlign w:val="center"/>
                </w:tcPr>
                <w:p w14:paraId="66725DBC">
                  <w:pPr>
                    <w:jc w:val="center"/>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auto"/>
                      <w:sz w:val="21"/>
                      <w:szCs w:val="21"/>
                      <w:lang w:val="en-US" w:eastAsia="zh-CN"/>
                    </w:rPr>
                    <w:t>0</w:t>
                  </w:r>
                </w:p>
              </w:tc>
            </w:tr>
            <w:tr w14:paraId="6674551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tcBorders>
                    <w:tl2br w:val="nil"/>
                    <w:tr2bl w:val="nil"/>
                  </w:tcBorders>
                  <w:noWrap w:val="0"/>
                  <w:vAlign w:val="center"/>
                </w:tcPr>
                <w:p w14:paraId="5FB24C18">
                  <w:pPr>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3</w:t>
                  </w:r>
                </w:p>
              </w:tc>
              <w:tc>
                <w:tcPr>
                  <w:tcW w:w="2837" w:type="dxa"/>
                  <w:tcBorders>
                    <w:tl2br w:val="nil"/>
                    <w:tr2bl w:val="nil"/>
                  </w:tcBorders>
                  <w:noWrap w:val="0"/>
                  <w:vAlign w:val="center"/>
                </w:tcPr>
                <w:p w14:paraId="4921F123">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rPr>
                    <w:t>电泳漆</w:t>
                  </w:r>
                  <w:r>
                    <w:rPr>
                      <w:rFonts w:hint="default" w:ascii="Times New Roman" w:hAnsi="Times New Roman" w:eastAsia="宋体" w:cs="Times New Roman"/>
                      <w:color w:val="auto"/>
                      <w:sz w:val="21"/>
                      <w:szCs w:val="21"/>
                      <w:highlight w:val="none"/>
                      <w:lang w:val="en-US" w:eastAsia="zh-CN"/>
                    </w:rPr>
                    <w:t>表面</w:t>
                  </w:r>
                  <w:r>
                    <w:rPr>
                      <w:rFonts w:hint="default" w:ascii="Times New Roman" w:hAnsi="Times New Roman" w:eastAsia="宋体" w:cs="Times New Roman"/>
                      <w:color w:val="auto"/>
                      <w:sz w:val="21"/>
                      <w:szCs w:val="21"/>
                      <w:highlight w:val="none"/>
                    </w:rPr>
                    <w:t>加工生产线</w:t>
                  </w:r>
                </w:p>
              </w:tc>
              <w:tc>
                <w:tcPr>
                  <w:tcW w:w="818" w:type="dxa"/>
                  <w:tcBorders>
                    <w:tl2br w:val="nil"/>
                    <w:tr2bl w:val="nil"/>
                  </w:tcBorders>
                  <w:noWrap w:val="0"/>
                  <w:vAlign w:val="center"/>
                </w:tcPr>
                <w:p w14:paraId="00DFD69C">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0</w:t>
                  </w:r>
                </w:p>
              </w:tc>
              <w:tc>
                <w:tcPr>
                  <w:tcW w:w="1364" w:type="dxa"/>
                  <w:tcBorders>
                    <w:tl2br w:val="nil"/>
                    <w:tr2bl w:val="nil"/>
                  </w:tcBorders>
                  <w:noWrap w:val="0"/>
                  <w:vAlign w:val="center"/>
                </w:tcPr>
                <w:p w14:paraId="28B9C946">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0吨</w:t>
                  </w:r>
                </w:p>
              </w:tc>
              <w:tc>
                <w:tcPr>
                  <w:tcW w:w="695" w:type="dxa"/>
                  <w:tcBorders>
                    <w:tl2br w:val="nil"/>
                    <w:tr2bl w:val="nil"/>
                  </w:tcBorders>
                  <w:noWrap w:val="0"/>
                  <w:vAlign w:val="center"/>
                </w:tcPr>
                <w:p w14:paraId="66EBFDE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+1条</w:t>
                  </w:r>
                </w:p>
              </w:tc>
              <w:tc>
                <w:tcPr>
                  <w:tcW w:w="1323" w:type="dxa"/>
                  <w:tcBorders>
                    <w:tl2br w:val="nil"/>
                    <w:tr2bl w:val="nil"/>
                  </w:tcBorders>
                  <w:noWrap w:val="0"/>
                  <w:vAlign w:val="center"/>
                </w:tcPr>
                <w:p w14:paraId="088B8969">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250万件（30吨）</w:t>
                  </w:r>
                </w:p>
              </w:tc>
              <w:tc>
                <w:tcPr>
                  <w:tcW w:w="688" w:type="dxa"/>
                  <w:tcBorders>
                    <w:tl2br w:val="nil"/>
                    <w:tr2bl w:val="nil"/>
                  </w:tcBorders>
                  <w:noWrap w:val="0"/>
                  <w:vAlign w:val="center"/>
                </w:tcPr>
                <w:p w14:paraId="5B729136">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1条</w:t>
                  </w:r>
                </w:p>
              </w:tc>
              <w:tc>
                <w:tcPr>
                  <w:tcW w:w="1406" w:type="dxa"/>
                  <w:tcBorders>
                    <w:tl2br w:val="nil"/>
                    <w:tr2bl w:val="nil"/>
                  </w:tcBorders>
                  <w:noWrap w:val="0"/>
                  <w:vAlign w:val="center"/>
                </w:tcPr>
                <w:p w14:paraId="168497D7">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250万件（30吨）</w:t>
                  </w:r>
                </w:p>
              </w:tc>
            </w:tr>
            <w:tr w14:paraId="2F43F06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0" w:type="dxa"/>
                  <w:tcBorders>
                    <w:tl2br w:val="nil"/>
                    <w:tr2bl w:val="nil"/>
                  </w:tcBorders>
                  <w:noWrap w:val="0"/>
                  <w:vAlign w:val="center"/>
                </w:tcPr>
                <w:p w14:paraId="6C0ADDB9">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w:t>
                  </w:r>
                </w:p>
              </w:tc>
              <w:tc>
                <w:tcPr>
                  <w:tcW w:w="2837" w:type="dxa"/>
                  <w:tcBorders>
                    <w:tl2br w:val="nil"/>
                    <w:tr2bl w:val="nil"/>
                  </w:tcBorders>
                  <w:noWrap w:val="0"/>
                  <w:vAlign w:val="center"/>
                </w:tcPr>
                <w:p w14:paraId="71DA988F">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合计</w:t>
                  </w:r>
                </w:p>
              </w:tc>
              <w:tc>
                <w:tcPr>
                  <w:tcW w:w="818" w:type="dxa"/>
                  <w:tcBorders>
                    <w:tl2br w:val="nil"/>
                    <w:tr2bl w:val="nil"/>
                  </w:tcBorders>
                  <w:noWrap w:val="0"/>
                  <w:vAlign w:val="center"/>
                </w:tcPr>
                <w:p w14:paraId="14B30B16">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2条</w:t>
                  </w:r>
                </w:p>
              </w:tc>
              <w:tc>
                <w:tcPr>
                  <w:tcW w:w="1364" w:type="dxa"/>
                  <w:tcBorders>
                    <w:tl2br w:val="nil"/>
                    <w:tr2bl w:val="nil"/>
                  </w:tcBorders>
                  <w:noWrap w:val="0"/>
                  <w:vAlign w:val="center"/>
                </w:tcPr>
                <w:p w14:paraId="441C0400">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2758万件（330吨）</w:t>
                  </w:r>
                </w:p>
              </w:tc>
              <w:tc>
                <w:tcPr>
                  <w:tcW w:w="695" w:type="dxa"/>
                  <w:tcBorders>
                    <w:tl2br w:val="nil"/>
                    <w:tr2bl w:val="nil"/>
                  </w:tcBorders>
                  <w:noWrap w:val="0"/>
                  <w:vAlign w:val="center"/>
                </w:tcPr>
                <w:p w14:paraId="3358595B">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w:t>
                  </w:r>
                </w:p>
              </w:tc>
              <w:tc>
                <w:tcPr>
                  <w:tcW w:w="1323" w:type="dxa"/>
                  <w:tcBorders>
                    <w:tl2br w:val="nil"/>
                    <w:tr2bl w:val="nil"/>
                  </w:tcBorders>
                  <w:noWrap w:val="0"/>
                  <w:vAlign w:val="center"/>
                </w:tcPr>
                <w:p w14:paraId="2A09555F">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w:t>
                  </w:r>
                </w:p>
              </w:tc>
              <w:tc>
                <w:tcPr>
                  <w:tcW w:w="688" w:type="dxa"/>
                  <w:tcBorders>
                    <w:tl2br w:val="nil"/>
                    <w:tr2bl w:val="nil"/>
                  </w:tcBorders>
                  <w:noWrap w:val="0"/>
                  <w:vAlign w:val="center"/>
                </w:tcPr>
                <w:p w14:paraId="2DA8D42D">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2条</w:t>
                  </w:r>
                </w:p>
              </w:tc>
              <w:tc>
                <w:tcPr>
                  <w:tcW w:w="1406" w:type="dxa"/>
                  <w:tcBorders>
                    <w:tl2br w:val="nil"/>
                    <w:tr2bl w:val="nil"/>
                  </w:tcBorders>
                  <w:noWrap w:val="0"/>
                  <w:vAlign w:val="center"/>
                </w:tcPr>
                <w:p w14:paraId="0E3343CA">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2758万件（330吨）</w:t>
                  </w:r>
                </w:p>
              </w:tc>
            </w:tr>
          </w:tbl>
          <w:p w14:paraId="69A4F3A5">
            <w:pPr>
              <w:spacing w:line="360" w:lineRule="auto"/>
              <w:ind w:firstLine="482" w:firstLineChars="200"/>
              <w:rPr>
                <w:b/>
                <w:bCs/>
                <w:color w:val="auto"/>
                <w:sz w:val="24"/>
                <w:lang w:val="en-GB"/>
              </w:rPr>
            </w:pPr>
            <w:r>
              <w:rPr>
                <w:rFonts w:hint="eastAsia"/>
                <w:b/>
                <w:bCs/>
                <w:color w:val="auto"/>
                <w:sz w:val="24"/>
                <w:lang w:val="en-GB"/>
              </w:rPr>
              <w:t>（</w:t>
            </w:r>
            <w:r>
              <w:rPr>
                <w:rFonts w:hint="eastAsia"/>
                <w:b/>
                <w:bCs/>
                <w:color w:val="auto"/>
                <w:sz w:val="24"/>
              </w:rPr>
              <w:t>三</w:t>
            </w:r>
            <w:r>
              <w:rPr>
                <w:rFonts w:hint="eastAsia"/>
                <w:b/>
                <w:bCs/>
                <w:color w:val="auto"/>
                <w:sz w:val="24"/>
                <w:lang w:val="en-GB"/>
              </w:rPr>
              <w:t>）</w:t>
            </w:r>
            <w:r>
              <w:rPr>
                <w:b/>
                <w:bCs/>
                <w:color w:val="auto"/>
                <w:sz w:val="24"/>
                <w:lang w:val="en-GB"/>
              </w:rPr>
              <w:t>项目地理位置及周边环境概况</w:t>
            </w:r>
          </w:p>
          <w:p w14:paraId="7823E98A">
            <w:pPr>
              <w:spacing w:line="360" w:lineRule="auto"/>
              <w:ind w:firstLine="480" w:firstLineChars="200"/>
              <w:rPr>
                <w:color w:val="auto"/>
                <w:sz w:val="24"/>
              </w:rPr>
            </w:pPr>
            <w:r>
              <w:rPr>
                <w:rFonts w:hint="eastAsia"/>
                <w:bCs/>
                <w:color w:val="auto"/>
                <w:sz w:val="24"/>
              </w:rPr>
              <w:t>本</w:t>
            </w:r>
            <w:r>
              <w:rPr>
                <w:rFonts w:hint="eastAsia"/>
                <w:bCs/>
                <w:color w:val="auto"/>
                <w:sz w:val="24"/>
                <w:lang w:eastAsia="zh-CN"/>
              </w:rPr>
              <w:t>改建</w:t>
            </w:r>
            <w:r>
              <w:rPr>
                <w:rFonts w:hint="eastAsia"/>
                <w:bCs/>
                <w:color w:val="auto"/>
                <w:sz w:val="24"/>
              </w:rPr>
              <w:t>项目</w:t>
            </w:r>
            <w:r>
              <w:rPr>
                <w:bCs/>
                <w:color w:val="auto"/>
                <w:sz w:val="24"/>
                <w:lang w:val="en-GB"/>
              </w:rPr>
              <w:t>位于</w:t>
            </w:r>
            <w:r>
              <w:rPr>
                <w:rFonts w:hint="eastAsia"/>
                <w:color w:val="auto"/>
                <w:sz w:val="24"/>
              </w:rPr>
              <w:t>阳江市阳东区东城镇裕东一路25号</w:t>
            </w:r>
            <w:r>
              <w:rPr>
                <w:bCs/>
                <w:color w:val="auto"/>
                <w:sz w:val="24"/>
              </w:rPr>
              <w:t>，</w:t>
            </w:r>
            <w:r>
              <w:rPr>
                <w:color w:val="auto"/>
                <w:sz w:val="24"/>
              </w:rPr>
              <w:t>项目周边有市政雨污管网铺设到位。项目周围以道路、工业企业为主</w:t>
            </w:r>
            <w:r>
              <w:rPr>
                <w:bCs/>
                <w:color w:val="auto"/>
                <w:sz w:val="24"/>
              </w:rPr>
              <w:t>，厂界东面隔裕东一路35米为商铺、商住楼，南面隔新工业大道32m为五金厂、阳东龙源实验学校、信诚覆膜厂，西面</w:t>
            </w:r>
            <w:r>
              <w:rPr>
                <w:rFonts w:hint="eastAsia"/>
                <w:bCs/>
                <w:color w:val="auto"/>
                <w:sz w:val="24"/>
              </w:rPr>
              <w:t>为空地</w:t>
            </w:r>
            <w:r>
              <w:rPr>
                <w:bCs/>
                <w:color w:val="auto"/>
                <w:sz w:val="24"/>
              </w:rPr>
              <w:t>，北面隔</w:t>
            </w:r>
            <w:r>
              <w:rPr>
                <w:rFonts w:hint="eastAsia"/>
                <w:bCs/>
                <w:color w:val="auto"/>
                <w:sz w:val="24"/>
                <w:lang w:val="en-US" w:eastAsia="zh-CN"/>
              </w:rPr>
              <w:t>永兴七路35m</w:t>
            </w:r>
            <w:r>
              <w:rPr>
                <w:bCs/>
                <w:color w:val="auto"/>
                <w:sz w:val="24"/>
              </w:rPr>
              <w:t>为阳光天地住宅区、空地。</w:t>
            </w:r>
            <w:r>
              <w:rPr>
                <w:color w:val="auto"/>
                <w:sz w:val="24"/>
              </w:rPr>
              <w:t>厂界外50米范围内</w:t>
            </w:r>
            <w:r>
              <w:rPr>
                <w:rFonts w:hint="eastAsia"/>
                <w:color w:val="auto"/>
                <w:sz w:val="24"/>
              </w:rPr>
              <w:t>存在</w:t>
            </w:r>
            <w:r>
              <w:rPr>
                <w:color w:val="auto"/>
                <w:sz w:val="24"/>
              </w:rPr>
              <w:t>声环境保护目标。项目地理位置详见附图1，四至卫星图详见附图2，项目四至现状</w:t>
            </w:r>
            <w:r>
              <w:rPr>
                <w:rFonts w:hint="eastAsia"/>
                <w:color w:val="auto"/>
                <w:sz w:val="24"/>
              </w:rPr>
              <w:t>照片</w:t>
            </w:r>
            <w:r>
              <w:rPr>
                <w:color w:val="auto"/>
                <w:sz w:val="24"/>
              </w:rPr>
              <w:t>图详见附图3。</w:t>
            </w:r>
          </w:p>
          <w:p w14:paraId="14C342DB">
            <w:pPr>
              <w:tabs>
                <w:tab w:val="right" w:pos="9069"/>
              </w:tabs>
              <w:adjustRightInd w:val="0"/>
              <w:snapToGrid w:val="0"/>
              <w:spacing w:line="360" w:lineRule="auto"/>
              <w:ind w:firstLine="480"/>
              <w:rPr>
                <w:b/>
                <w:bCs/>
                <w:color w:val="auto"/>
                <w:sz w:val="24"/>
              </w:rPr>
            </w:pPr>
            <w:r>
              <w:rPr>
                <w:b/>
                <w:bCs/>
                <w:color w:val="auto"/>
                <w:sz w:val="24"/>
                <w:lang w:val="en-GB"/>
              </w:rPr>
              <w:t>（</w:t>
            </w:r>
            <w:r>
              <w:rPr>
                <w:b/>
                <w:bCs/>
                <w:color w:val="auto"/>
                <w:sz w:val="24"/>
              </w:rPr>
              <w:t>四</w:t>
            </w:r>
            <w:r>
              <w:rPr>
                <w:b/>
                <w:bCs/>
                <w:color w:val="auto"/>
                <w:sz w:val="24"/>
                <w:lang w:val="en-GB"/>
              </w:rPr>
              <w:t>）</w:t>
            </w:r>
            <w:r>
              <w:rPr>
                <w:b/>
                <w:bCs/>
                <w:color w:val="auto"/>
                <w:sz w:val="24"/>
              </w:rPr>
              <w:t>建设规模及内容</w:t>
            </w:r>
          </w:p>
          <w:p w14:paraId="21E87871">
            <w:pPr>
              <w:tabs>
                <w:tab w:val="right" w:pos="9069"/>
              </w:tabs>
              <w:adjustRightInd w:val="0"/>
              <w:snapToGrid w:val="0"/>
              <w:spacing w:line="360" w:lineRule="auto"/>
              <w:ind w:firstLine="480"/>
              <w:rPr>
                <w:b/>
                <w:bCs/>
                <w:color w:val="auto"/>
                <w:sz w:val="24"/>
              </w:rPr>
            </w:pPr>
            <w:r>
              <w:rPr>
                <w:rFonts w:hint="eastAsia"/>
                <w:b/>
                <w:bCs/>
                <w:color w:val="auto"/>
                <w:sz w:val="24"/>
              </w:rPr>
              <w:t>1、建筑情况</w:t>
            </w:r>
          </w:p>
          <w:p w14:paraId="6E615952">
            <w:pPr>
              <w:spacing w:line="360" w:lineRule="auto"/>
              <w:ind w:firstLine="482"/>
              <w:rPr>
                <w:color w:val="auto"/>
                <w:sz w:val="24"/>
              </w:rPr>
            </w:pPr>
            <w:r>
              <w:rPr>
                <w:rFonts w:hint="eastAsia"/>
                <w:color w:val="auto"/>
                <w:sz w:val="24"/>
              </w:rPr>
              <w:t>现有</w:t>
            </w:r>
            <w:r>
              <w:rPr>
                <w:color w:val="auto"/>
                <w:sz w:val="24"/>
              </w:rPr>
              <w:t>项目总占地面积</w:t>
            </w:r>
            <w:r>
              <w:rPr>
                <w:rFonts w:hint="eastAsia"/>
                <w:color w:val="auto"/>
                <w:sz w:val="24"/>
              </w:rPr>
              <w:t>33348.28</w:t>
            </w:r>
            <w:r>
              <w:rPr>
                <w:color w:val="auto"/>
                <w:sz w:val="24"/>
              </w:rPr>
              <w:t>m</w:t>
            </w:r>
            <w:r>
              <w:rPr>
                <w:color w:val="auto"/>
                <w:sz w:val="24"/>
                <w:vertAlign w:val="superscript"/>
              </w:rPr>
              <w:t>2</w:t>
            </w:r>
            <w:r>
              <w:rPr>
                <w:color w:val="auto"/>
                <w:sz w:val="24"/>
              </w:rPr>
              <w:t>，总建筑面积</w:t>
            </w:r>
            <w:r>
              <w:rPr>
                <w:rFonts w:hint="eastAsia"/>
                <w:color w:val="auto"/>
                <w:sz w:val="24"/>
              </w:rPr>
              <w:t>48451.72</w:t>
            </w:r>
            <w:r>
              <w:rPr>
                <w:color w:val="auto"/>
                <w:sz w:val="24"/>
              </w:rPr>
              <w:t>m</w:t>
            </w:r>
            <w:r>
              <w:rPr>
                <w:color w:val="auto"/>
                <w:sz w:val="24"/>
                <w:vertAlign w:val="superscript"/>
              </w:rPr>
              <w:t>2</w:t>
            </w:r>
            <w:r>
              <w:rPr>
                <w:color w:val="auto"/>
                <w:sz w:val="24"/>
              </w:rPr>
              <w:t>，</w:t>
            </w:r>
            <w:r>
              <w:rPr>
                <w:rFonts w:hint="eastAsia"/>
                <w:color w:val="auto"/>
                <w:sz w:val="24"/>
              </w:rPr>
              <w:t>包含5栋综合楼（其中1栋4层综合楼1、1栋2层综合楼2、1栋4层综合楼3、1栋4层综合楼4、1栋1层综合楼6）、1间1层生产车间、1间1层发电机房、1间1层配电房、1栋4层办公楼</w:t>
            </w:r>
            <w:r>
              <w:rPr>
                <w:color w:val="auto"/>
                <w:sz w:val="24"/>
              </w:rPr>
              <w:t>。</w:t>
            </w:r>
            <w:r>
              <w:rPr>
                <w:rFonts w:hint="eastAsia"/>
                <w:color w:val="auto"/>
                <w:sz w:val="24"/>
                <w:lang w:val="en-US" w:eastAsia="zh-CN"/>
              </w:rPr>
              <w:t>本改建项目无需新增厂房，利用现有厂房进行改建，</w:t>
            </w:r>
            <w:r>
              <w:rPr>
                <w:rFonts w:hint="eastAsia"/>
                <w:color w:val="auto"/>
                <w:sz w:val="24"/>
              </w:rPr>
              <w:t>本</w:t>
            </w:r>
            <w:r>
              <w:rPr>
                <w:rFonts w:hint="eastAsia"/>
                <w:color w:val="auto"/>
                <w:sz w:val="24"/>
                <w:lang w:eastAsia="zh-CN"/>
              </w:rPr>
              <w:t>改建</w:t>
            </w:r>
            <w:r>
              <w:rPr>
                <w:rFonts w:hint="eastAsia"/>
                <w:color w:val="auto"/>
                <w:sz w:val="24"/>
              </w:rPr>
              <w:t>项目及</w:t>
            </w:r>
            <w:r>
              <w:rPr>
                <w:rFonts w:hint="eastAsia"/>
                <w:color w:val="auto"/>
                <w:sz w:val="24"/>
                <w:lang w:eastAsia="zh-CN"/>
              </w:rPr>
              <w:t>改建</w:t>
            </w:r>
            <w:r>
              <w:rPr>
                <w:rFonts w:hint="eastAsia"/>
                <w:color w:val="auto"/>
                <w:sz w:val="24"/>
              </w:rPr>
              <w:t>后全厂</w:t>
            </w:r>
            <w:r>
              <w:rPr>
                <w:color w:val="auto"/>
                <w:sz w:val="24"/>
              </w:rPr>
              <w:t>的建筑情况见表2-</w:t>
            </w:r>
            <w:r>
              <w:rPr>
                <w:rFonts w:hint="eastAsia"/>
                <w:color w:val="auto"/>
                <w:sz w:val="24"/>
              </w:rPr>
              <w:t>3</w:t>
            </w:r>
            <w:r>
              <w:rPr>
                <w:color w:val="auto"/>
                <w:sz w:val="24"/>
              </w:rPr>
              <w:t>所示。</w:t>
            </w:r>
          </w:p>
          <w:p w14:paraId="27AC8990">
            <w:pPr>
              <w:ind w:firstLine="482"/>
              <w:jc w:val="center"/>
              <w:rPr>
                <w:b/>
                <w:color w:val="auto"/>
              </w:rPr>
            </w:pPr>
            <w:r>
              <w:rPr>
                <w:b/>
                <w:color w:val="auto"/>
              </w:rPr>
              <w:t>表2-</w:t>
            </w:r>
            <w:r>
              <w:rPr>
                <w:rFonts w:hint="eastAsia"/>
                <w:b/>
                <w:color w:val="auto"/>
                <w:lang w:val="en-US" w:eastAsia="zh-CN"/>
              </w:rPr>
              <w:t>4</w:t>
            </w:r>
            <w:r>
              <w:rPr>
                <w:rFonts w:hint="eastAsia"/>
                <w:b/>
                <w:color w:val="auto"/>
              </w:rPr>
              <w:t>本</w:t>
            </w:r>
            <w:r>
              <w:rPr>
                <w:rFonts w:hint="eastAsia"/>
                <w:b/>
                <w:color w:val="auto"/>
                <w:lang w:eastAsia="zh-CN"/>
              </w:rPr>
              <w:t>改建</w:t>
            </w:r>
            <w:r>
              <w:rPr>
                <w:rFonts w:hint="eastAsia"/>
                <w:b/>
                <w:color w:val="auto"/>
              </w:rPr>
              <w:t>项目及</w:t>
            </w:r>
            <w:r>
              <w:rPr>
                <w:rFonts w:hint="eastAsia"/>
                <w:b/>
                <w:color w:val="auto"/>
                <w:lang w:eastAsia="zh-CN"/>
              </w:rPr>
              <w:t>改建</w:t>
            </w:r>
            <w:r>
              <w:rPr>
                <w:rFonts w:hint="eastAsia"/>
                <w:b/>
                <w:color w:val="auto"/>
              </w:rPr>
              <w:t>后全厂</w:t>
            </w:r>
            <w:r>
              <w:rPr>
                <w:b/>
                <w:color w:val="auto"/>
              </w:rPr>
              <w:t>建筑情况一览表</w:t>
            </w:r>
          </w:p>
          <w:tbl>
            <w:tblPr>
              <w:tblStyle w:val="42"/>
              <w:tblW w:w="9572"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541"/>
              <w:gridCol w:w="1269"/>
              <w:gridCol w:w="855"/>
              <w:gridCol w:w="1050"/>
              <w:gridCol w:w="1170"/>
              <w:gridCol w:w="1080"/>
              <w:gridCol w:w="1281"/>
              <w:gridCol w:w="2326"/>
            </w:tblGrid>
            <w:tr w14:paraId="36073C8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1" w:type="dxa"/>
                  <w:tcBorders>
                    <w:tl2br w:val="nil"/>
                    <w:tr2bl w:val="nil"/>
                  </w:tcBorders>
                  <w:vAlign w:val="center"/>
                </w:tcPr>
                <w:p w14:paraId="21262D02">
                  <w:pPr>
                    <w:jc w:val="center"/>
                    <w:rPr>
                      <w:b/>
                      <w:color w:val="auto"/>
                      <w:szCs w:val="21"/>
                    </w:rPr>
                  </w:pPr>
                  <w:r>
                    <w:rPr>
                      <w:b/>
                      <w:color w:val="auto"/>
                      <w:szCs w:val="21"/>
                    </w:rPr>
                    <w:t>序号</w:t>
                  </w:r>
                </w:p>
              </w:tc>
              <w:tc>
                <w:tcPr>
                  <w:tcW w:w="1269" w:type="dxa"/>
                  <w:tcBorders>
                    <w:tl2br w:val="nil"/>
                    <w:tr2bl w:val="nil"/>
                  </w:tcBorders>
                  <w:vAlign w:val="center"/>
                </w:tcPr>
                <w:p w14:paraId="50997B72">
                  <w:pPr>
                    <w:jc w:val="center"/>
                    <w:rPr>
                      <w:b/>
                      <w:color w:val="auto"/>
                      <w:szCs w:val="21"/>
                    </w:rPr>
                  </w:pPr>
                  <w:r>
                    <w:rPr>
                      <w:rFonts w:hint="eastAsia"/>
                      <w:b/>
                      <w:color w:val="auto"/>
                      <w:szCs w:val="21"/>
                    </w:rPr>
                    <w:t>建筑物名称</w:t>
                  </w:r>
                </w:p>
              </w:tc>
              <w:tc>
                <w:tcPr>
                  <w:tcW w:w="855" w:type="dxa"/>
                  <w:tcBorders>
                    <w:tl2br w:val="nil"/>
                    <w:tr2bl w:val="nil"/>
                  </w:tcBorders>
                  <w:vAlign w:val="center"/>
                </w:tcPr>
                <w:p w14:paraId="2B219676">
                  <w:pPr>
                    <w:jc w:val="center"/>
                    <w:rPr>
                      <w:b/>
                      <w:color w:val="auto"/>
                      <w:szCs w:val="21"/>
                    </w:rPr>
                  </w:pPr>
                  <w:r>
                    <w:rPr>
                      <w:rFonts w:hint="eastAsia"/>
                      <w:b/>
                      <w:color w:val="auto"/>
                      <w:szCs w:val="21"/>
                    </w:rPr>
                    <w:t>层数（层）</w:t>
                  </w:r>
                </w:p>
              </w:tc>
              <w:tc>
                <w:tcPr>
                  <w:tcW w:w="1050" w:type="dxa"/>
                  <w:tcBorders>
                    <w:tl2br w:val="nil"/>
                    <w:tr2bl w:val="nil"/>
                  </w:tcBorders>
                  <w:vAlign w:val="center"/>
                </w:tcPr>
                <w:p w14:paraId="429602BC">
                  <w:pPr>
                    <w:jc w:val="center"/>
                    <w:rPr>
                      <w:b/>
                      <w:color w:val="auto"/>
                      <w:szCs w:val="21"/>
                    </w:rPr>
                  </w:pPr>
                  <w:r>
                    <w:rPr>
                      <w:rFonts w:hint="eastAsia"/>
                      <w:b/>
                      <w:color w:val="auto"/>
                      <w:szCs w:val="21"/>
                    </w:rPr>
                    <w:t>建筑高度（m）</w:t>
                  </w:r>
                </w:p>
              </w:tc>
              <w:tc>
                <w:tcPr>
                  <w:tcW w:w="1170" w:type="dxa"/>
                  <w:tcBorders>
                    <w:tl2br w:val="nil"/>
                    <w:tr2bl w:val="nil"/>
                  </w:tcBorders>
                  <w:vAlign w:val="center"/>
                </w:tcPr>
                <w:p w14:paraId="0FF3C649">
                  <w:pPr>
                    <w:jc w:val="center"/>
                    <w:rPr>
                      <w:b/>
                      <w:color w:val="auto"/>
                      <w:szCs w:val="21"/>
                    </w:rPr>
                  </w:pPr>
                  <w:r>
                    <w:rPr>
                      <w:rFonts w:hint="eastAsia"/>
                      <w:b/>
                      <w:color w:val="auto"/>
                      <w:szCs w:val="21"/>
                    </w:rPr>
                    <w:t>基底面积（m</w:t>
                  </w:r>
                  <w:r>
                    <w:rPr>
                      <w:rFonts w:hint="eastAsia"/>
                      <w:b/>
                      <w:color w:val="auto"/>
                      <w:szCs w:val="21"/>
                      <w:vertAlign w:val="superscript"/>
                    </w:rPr>
                    <w:t>2</w:t>
                  </w:r>
                  <w:r>
                    <w:rPr>
                      <w:rFonts w:hint="eastAsia"/>
                      <w:b/>
                      <w:color w:val="auto"/>
                      <w:szCs w:val="21"/>
                    </w:rPr>
                    <w:t>）</w:t>
                  </w:r>
                </w:p>
              </w:tc>
              <w:tc>
                <w:tcPr>
                  <w:tcW w:w="1080" w:type="dxa"/>
                  <w:tcBorders>
                    <w:tl2br w:val="nil"/>
                    <w:tr2bl w:val="nil"/>
                  </w:tcBorders>
                  <w:vAlign w:val="center"/>
                </w:tcPr>
                <w:p w14:paraId="160A85C9">
                  <w:pPr>
                    <w:jc w:val="center"/>
                    <w:rPr>
                      <w:b/>
                      <w:color w:val="auto"/>
                      <w:szCs w:val="21"/>
                    </w:rPr>
                  </w:pPr>
                  <w:r>
                    <w:rPr>
                      <w:rFonts w:hint="eastAsia"/>
                      <w:b/>
                      <w:color w:val="auto"/>
                      <w:szCs w:val="21"/>
                    </w:rPr>
                    <w:t>建筑面积（m</w:t>
                  </w:r>
                  <w:r>
                    <w:rPr>
                      <w:rFonts w:hint="eastAsia"/>
                      <w:b/>
                      <w:color w:val="auto"/>
                      <w:szCs w:val="21"/>
                      <w:vertAlign w:val="superscript"/>
                    </w:rPr>
                    <w:t>2</w:t>
                  </w:r>
                  <w:r>
                    <w:rPr>
                      <w:rFonts w:hint="eastAsia"/>
                      <w:b/>
                      <w:color w:val="auto"/>
                      <w:szCs w:val="21"/>
                    </w:rPr>
                    <w:t>）</w:t>
                  </w:r>
                </w:p>
              </w:tc>
              <w:tc>
                <w:tcPr>
                  <w:tcW w:w="1281" w:type="dxa"/>
                  <w:tcBorders>
                    <w:tl2br w:val="nil"/>
                    <w:tr2bl w:val="nil"/>
                  </w:tcBorders>
                  <w:vAlign w:val="center"/>
                </w:tcPr>
                <w:p w14:paraId="2CBB2A64">
                  <w:pPr>
                    <w:jc w:val="center"/>
                    <w:rPr>
                      <w:b/>
                      <w:color w:val="auto"/>
                      <w:szCs w:val="21"/>
                    </w:rPr>
                  </w:pPr>
                  <w:r>
                    <w:rPr>
                      <w:rFonts w:hint="eastAsia"/>
                      <w:b/>
                      <w:color w:val="auto"/>
                      <w:szCs w:val="21"/>
                    </w:rPr>
                    <w:t>结构形式</w:t>
                  </w:r>
                </w:p>
              </w:tc>
              <w:tc>
                <w:tcPr>
                  <w:tcW w:w="2326" w:type="dxa"/>
                  <w:tcBorders>
                    <w:tl2br w:val="nil"/>
                    <w:tr2bl w:val="nil"/>
                  </w:tcBorders>
                  <w:vAlign w:val="center"/>
                </w:tcPr>
                <w:p w14:paraId="235604EA">
                  <w:pPr>
                    <w:jc w:val="center"/>
                    <w:rPr>
                      <w:b/>
                      <w:color w:val="auto"/>
                      <w:szCs w:val="21"/>
                    </w:rPr>
                  </w:pPr>
                  <w:r>
                    <w:rPr>
                      <w:rFonts w:hint="eastAsia"/>
                      <w:b/>
                      <w:color w:val="auto"/>
                      <w:szCs w:val="21"/>
                    </w:rPr>
                    <w:t>使用性质</w:t>
                  </w:r>
                </w:p>
              </w:tc>
            </w:tr>
            <w:tr w14:paraId="4FE56AB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1" w:type="dxa"/>
                  <w:tcBorders>
                    <w:tl2br w:val="nil"/>
                    <w:tr2bl w:val="nil"/>
                  </w:tcBorders>
                  <w:vAlign w:val="center"/>
                </w:tcPr>
                <w:p w14:paraId="4EA9F7BC">
                  <w:pPr>
                    <w:jc w:val="center"/>
                    <w:rPr>
                      <w:color w:val="auto"/>
                      <w:szCs w:val="21"/>
                    </w:rPr>
                  </w:pPr>
                  <w:r>
                    <w:rPr>
                      <w:rFonts w:hint="eastAsia"/>
                      <w:color w:val="auto"/>
                      <w:szCs w:val="21"/>
                    </w:rPr>
                    <w:t>1</w:t>
                  </w:r>
                </w:p>
              </w:tc>
              <w:tc>
                <w:tcPr>
                  <w:tcW w:w="1269" w:type="dxa"/>
                  <w:tcBorders>
                    <w:tl2br w:val="nil"/>
                    <w:tr2bl w:val="nil"/>
                  </w:tcBorders>
                  <w:vAlign w:val="center"/>
                </w:tcPr>
                <w:p w14:paraId="6991C854">
                  <w:pPr>
                    <w:jc w:val="center"/>
                    <w:rPr>
                      <w:color w:val="auto"/>
                      <w:szCs w:val="21"/>
                    </w:rPr>
                  </w:pPr>
                  <w:r>
                    <w:rPr>
                      <w:rFonts w:hint="eastAsia"/>
                      <w:color w:val="auto"/>
                      <w:szCs w:val="21"/>
                    </w:rPr>
                    <w:t>综合楼1</w:t>
                  </w:r>
                </w:p>
              </w:tc>
              <w:tc>
                <w:tcPr>
                  <w:tcW w:w="855" w:type="dxa"/>
                  <w:tcBorders>
                    <w:tl2br w:val="nil"/>
                    <w:tr2bl w:val="nil"/>
                  </w:tcBorders>
                  <w:vAlign w:val="center"/>
                </w:tcPr>
                <w:p w14:paraId="18BF20F9">
                  <w:pPr>
                    <w:jc w:val="center"/>
                    <w:rPr>
                      <w:color w:val="auto"/>
                      <w:szCs w:val="21"/>
                    </w:rPr>
                  </w:pPr>
                  <w:r>
                    <w:rPr>
                      <w:rFonts w:hint="eastAsia"/>
                      <w:color w:val="auto"/>
                      <w:szCs w:val="21"/>
                    </w:rPr>
                    <w:t>4</w:t>
                  </w:r>
                </w:p>
              </w:tc>
              <w:tc>
                <w:tcPr>
                  <w:tcW w:w="1050" w:type="dxa"/>
                  <w:tcBorders>
                    <w:tl2br w:val="nil"/>
                    <w:tr2bl w:val="nil"/>
                  </w:tcBorders>
                  <w:vAlign w:val="center"/>
                </w:tcPr>
                <w:p w14:paraId="7760BDDB">
                  <w:pPr>
                    <w:jc w:val="center"/>
                    <w:rPr>
                      <w:color w:val="auto"/>
                      <w:szCs w:val="21"/>
                    </w:rPr>
                  </w:pPr>
                  <w:r>
                    <w:rPr>
                      <w:rFonts w:hint="eastAsia"/>
                      <w:color w:val="auto"/>
                      <w:szCs w:val="21"/>
                    </w:rPr>
                    <w:t>20.3</w:t>
                  </w:r>
                </w:p>
              </w:tc>
              <w:tc>
                <w:tcPr>
                  <w:tcW w:w="1170" w:type="dxa"/>
                  <w:tcBorders>
                    <w:tl2br w:val="nil"/>
                    <w:tr2bl w:val="nil"/>
                  </w:tcBorders>
                  <w:vAlign w:val="center"/>
                </w:tcPr>
                <w:p w14:paraId="55606CC0">
                  <w:pPr>
                    <w:jc w:val="center"/>
                    <w:rPr>
                      <w:color w:val="auto"/>
                      <w:szCs w:val="21"/>
                    </w:rPr>
                  </w:pPr>
                  <w:r>
                    <w:rPr>
                      <w:rFonts w:hint="eastAsia"/>
                      <w:color w:val="auto"/>
                      <w:szCs w:val="21"/>
                    </w:rPr>
                    <w:t>4260.17</w:t>
                  </w:r>
                </w:p>
              </w:tc>
              <w:tc>
                <w:tcPr>
                  <w:tcW w:w="1080" w:type="dxa"/>
                  <w:tcBorders>
                    <w:tl2br w:val="nil"/>
                    <w:tr2bl w:val="nil"/>
                  </w:tcBorders>
                  <w:vAlign w:val="center"/>
                </w:tcPr>
                <w:p w14:paraId="6F38D4B1">
                  <w:pPr>
                    <w:jc w:val="center"/>
                    <w:rPr>
                      <w:color w:val="auto"/>
                      <w:szCs w:val="21"/>
                    </w:rPr>
                  </w:pPr>
                  <w:r>
                    <w:rPr>
                      <w:rFonts w:hint="eastAsia"/>
                      <w:color w:val="auto"/>
                      <w:szCs w:val="21"/>
                    </w:rPr>
                    <w:t>17076.47</w:t>
                  </w:r>
                </w:p>
              </w:tc>
              <w:tc>
                <w:tcPr>
                  <w:tcW w:w="1281" w:type="dxa"/>
                  <w:tcBorders>
                    <w:tl2br w:val="nil"/>
                    <w:tr2bl w:val="nil"/>
                  </w:tcBorders>
                  <w:vAlign w:val="center"/>
                </w:tcPr>
                <w:p w14:paraId="72448D6C">
                  <w:pPr>
                    <w:jc w:val="center"/>
                    <w:rPr>
                      <w:color w:val="auto"/>
                      <w:szCs w:val="21"/>
                    </w:rPr>
                  </w:pPr>
                  <w:r>
                    <w:rPr>
                      <w:rFonts w:hint="eastAsia"/>
                      <w:color w:val="auto"/>
                      <w:szCs w:val="21"/>
                    </w:rPr>
                    <w:t>混凝土结构</w:t>
                  </w:r>
                </w:p>
              </w:tc>
              <w:tc>
                <w:tcPr>
                  <w:tcW w:w="2326" w:type="dxa"/>
                  <w:tcBorders>
                    <w:tl2br w:val="nil"/>
                    <w:tr2bl w:val="nil"/>
                  </w:tcBorders>
                  <w:vAlign w:val="center"/>
                </w:tcPr>
                <w:p w14:paraId="4AF263A4">
                  <w:pPr>
                    <w:jc w:val="center"/>
                    <w:rPr>
                      <w:color w:val="auto"/>
                      <w:szCs w:val="21"/>
                    </w:rPr>
                  </w:pPr>
                  <w:r>
                    <w:rPr>
                      <w:rFonts w:hint="eastAsia"/>
                      <w:color w:val="auto"/>
                      <w:szCs w:val="21"/>
                    </w:rPr>
                    <w:t>生产、办公</w:t>
                  </w:r>
                </w:p>
              </w:tc>
            </w:tr>
            <w:tr w14:paraId="7FE5A80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1" w:type="dxa"/>
                  <w:tcBorders>
                    <w:tl2br w:val="nil"/>
                    <w:tr2bl w:val="nil"/>
                  </w:tcBorders>
                  <w:vAlign w:val="center"/>
                </w:tcPr>
                <w:p w14:paraId="2F3BA3AE">
                  <w:pPr>
                    <w:jc w:val="center"/>
                    <w:rPr>
                      <w:color w:val="auto"/>
                      <w:szCs w:val="21"/>
                    </w:rPr>
                  </w:pPr>
                  <w:r>
                    <w:rPr>
                      <w:rFonts w:hint="eastAsia"/>
                      <w:color w:val="auto"/>
                      <w:szCs w:val="21"/>
                    </w:rPr>
                    <w:t>2</w:t>
                  </w:r>
                </w:p>
              </w:tc>
              <w:tc>
                <w:tcPr>
                  <w:tcW w:w="1269" w:type="dxa"/>
                  <w:tcBorders>
                    <w:tl2br w:val="nil"/>
                    <w:tr2bl w:val="nil"/>
                  </w:tcBorders>
                  <w:vAlign w:val="center"/>
                </w:tcPr>
                <w:p w14:paraId="1E0322B4">
                  <w:pPr>
                    <w:jc w:val="center"/>
                    <w:rPr>
                      <w:color w:val="auto"/>
                      <w:szCs w:val="21"/>
                    </w:rPr>
                  </w:pPr>
                  <w:r>
                    <w:rPr>
                      <w:rFonts w:hint="eastAsia"/>
                      <w:color w:val="auto"/>
                      <w:szCs w:val="21"/>
                    </w:rPr>
                    <w:t>综合楼2</w:t>
                  </w:r>
                </w:p>
              </w:tc>
              <w:tc>
                <w:tcPr>
                  <w:tcW w:w="855" w:type="dxa"/>
                  <w:tcBorders>
                    <w:tl2br w:val="nil"/>
                    <w:tr2bl w:val="nil"/>
                  </w:tcBorders>
                  <w:vAlign w:val="center"/>
                </w:tcPr>
                <w:p w14:paraId="79571AB8">
                  <w:pPr>
                    <w:jc w:val="center"/>
                    <w:rPr>
                      <w:rFonts w:hint="eastAsia"/>
                      <w:color w:val="auto"/>
                      <w:szCs w:val="21"/>
                    </w:rPr>
                  </w:pPr>
                  <w:r>
                    <w:rPr>
                      <w:rFonts w:hint="eastAsia"/>
                      <w:color w:val="auto"/>
                      <w:szCs w:val="21"/>
                    </w:rPr>
                    <w:t>2</w:t>
                  </w:r>
                </w:p>
              </w:tc>
              <w:tc>
                <w:tcPr>
                  <w:tcW w:w="1050" w:type="dxa"/>
                  <w:tcBorders>
                    <w:tl2br w:val="nil"/>
                    <w:tr2bl w:val="nil"/>
                  </w:tcBorders>
                  <w:vAlign w:val="center"/>
                </w:tcPr>
                <w:p w14:paraId="1DA9020D">
                  <w:pPr>
                    <w:jc w:val="center"/>
                    <w:rPr>
                      <w:color w:val="auto"/>
                      <w:szCs w:val="21"/>
                    </w:rPr>
                  </w:pPr>
                  <w:r>
                    <w:rPr>
                      <w:rFonts w:hint="eastAsia"/>
                      <w:color w:val="auto"/>
                      <w:szCs w:val="21"/>
                    </w:rPr>
                    <w:t>8.55</w:t>
                  </w:r>
                </w:p>
              </w:tc>
              <w:tc>
                <w:tcPr>
                  <w:tcW w:w="1170" w:type="dxa"/>
                  <w:tcBorders>
                    <w:tl2br w:val="nil"/>
                    <w:tr2bl w:val="nil"/>
                  </w:tcBorders>
                  <w:vAlign w:val="center"/>
                </w:tcPr>
                <w:p w14:paraId="77C07447">
                  <w:pPr>
                    <w:jc w:val="center"/>
                    <w:rPr>
                      <w:color w:val="auto"/>
                      <w:szCs w:val="21"/>
                    </w:rPr>
                  </w:pPr>
                  <w:r>
                    <w:rPr>
                      <w:rFonts w:hint="eastAsia"/>
                      <w:color w:val="auto"/>
                      <w:szCs w:val="21"/>
                    </w:rPr>
                    <w:t>1243.54</w:t>
                  </w:r>
                </w:p>
              </w:tc>
              <w:tc>
                <w:tcPr>
                  <w:tcW w:w="1080" w:type="dxa"/>
                  <w:tcBorders>
                    <w:tl2br w:val="nil"/>
                    <w:tr2bl w:val="nil"/>
                  </w:tcBorders>
                  <w:vAlign w:val="center"/>
                </w:tcPr>
                <w:p w14:paraId="2D39B38B">
                  <w:pPr>
                    <w:jc w:val="center"/>
                    <w:rPr>
                      <w:color w:val="auto"/>
                      <w:szCs w:val="21"/>
                    </w:rPr>
                  </w:pPr>
                  <w:r>
                    <w:rPr>
                      <w:rFonts w:hint="eastAsia"/>
                      <w:color w:val="auto"/>
                      <w:szCs w:val="21"/>
                    </w:rPr>
                    <w:t>2338.69</w:t>
                  </w:r>
                </w:p>
              </w:tc>
              <w:tc>
                <w:tcPr>
                  <w:tcW w:w="1281" w:type="dxa"/>
                  <w:tcBorders>
                    <w:tl2br w:val="nil"/>
                    <w:tr2bl w:val="nil"/>
                  </w:tcBorders>
                  <w:vAlign w:val="center"/>
                </w:tcPr>
                <w:p w14:paraId="19A996C4">
                  <w:pPr>
                    <w:jc w:val="center"/>
                    <w:rPr>
                      <w:color w:val="auto"/>
                      <w:szCs w:val="21"/>
                    </w:rPr>
                  </w:pPr>
                  <w:r>
                    <w:rPr>
                      <w:rFonts w:hint="eastAsia"/>
                      <w:color w:val="auto"/>
                      <w:szCs w:val="21"/>
                    </w:rPr>
                    <w:t>混凝土结构</w:t>
                  </w:r>
                </w:p>
              </w:tc>
              <w:tc>
                <w:tcPr>
                  <w:tcW w:w="2326" w:type="dxa"/>
                  <w:tcBorders>
                    <w:tl2br w:val="nil"/>
                    <w:tr2bl w:val="nil"/>
                  </w:tcBorders>
                  <w:vAlign w:val="center"/>
                </w:tcPr>
                <w:p w14:paraId="1A09AAAE">
                  <w:pPr>
                    <w:jc w:val="center"/>
                    <w:rPr>
                      <w:color w:val="auto"/>
                      <w:szCs w:val="21"/>
                    </w:rPr>
                  </w:pPr>
                  <w:r>
                    <w:rPr>
                      <w:rFonts w:hint="eastAsia"/>
                      <w:color w:val="auto"/>
                      <w:szCs w:val="21"/>
                    </w:rPr>
                    <w:t>生产</w:t>
                  </w:r>
                </w:p>
              </w:tc>
            </w:tr>
            <w:tr w14:paraId="116F48B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1" w:type="dxa"/>
                  <w:tcBorders>
                    <w:tl2br w:val="nil"/>
                    <w:tr2bl w:val="nil"/>
                  </w:tcBorders>
                  <w:vAlign w:val="center"/>
                </w:tcPr>
                <w:p w14:paraId="286B238E">
                  <w:pPr>
                    <w:jc w:val="center"/>
                    <w:rPr>
                      <w:color w:val="auto"/>
                      <w:szCs w:val="21"/>
                    </w:rPr>
                  </w:pPr>
                  <w:r>
                    <w:rPr>
                      <w:rFonts w:hint="eastAsia"/>
                      <w:color w:val="auto"/>
                      <w:szCs w:val="21"/>
                    </w:rPr>
                    <w:t>3</w:t>
                  </w:r>
                </w:p>
              </w:tc>
              <w:tc>
                <w:tcPr>
                  <w:tcW w:w="1269" w:type="dxa"/>
                  <w:tcBorders>
                    <w:tl2br w:val="nil"/>
                    <w:tr2bl w:val="nil"/>
                  </w:tcBorders>
                  <w:vAlign w:val="center"/>
                </w:tcPr>
                <w:p w14:paraId="313FB55C">
                  <w:pPr>
                    <w:jc w:val="center"/>
                    <w:rPr>
                      <w:color w:val="auto"/>
                      <w:szCs w:val="21"/>
                    </w:rPr>
                  </w:pPr>
                  <w:r>
                    <w:rPr>
                      <w:rFonts w:hint="eastAsia"/>
                      <w:color w:val="auto"/>
                      <w:szCs w:val="21"/>
                    </w:rPr>
                    <w:t>综合楼3</w:t>
                  </w:r>
                </w:p>
              </w:tc>
              <w:tc>
                <w:tcPr>
                  <w:tcW w:w="855" w:type="dxa"/>
                  <w:tcBorders>
                    <w:tl2br w:val="nil"/>
                    <w:tr2bl w:val="nil"/>
                  </w:tcBorders>
                  <w:vAlign w:val="center"/>
                </w:tcPr>
                <w:p w14:paraId="741D5BCB">
                  <w:pPr>
                    <w:jc w:val="center"/>
                    <w:rPr>
                      <w:rFonts w:hint="eastAsia"/>
                      <w:color w:val="auto"/>
                      <w:szCs w:val="21"/>
                    </w:rPr>
                  </w:pPr>
                  <w:r>
                    <w:rPr>
                      <w:rFonts w:hint="eastAsia"/>
                      <w:color w:val="auto"/>
                      <w:szCs w:val="21"/>
                    </w:rPr>
                    <w:t>4</w:t>
                  </w:r>
                </w:p>
              </w:tc>
              <w:tc>
                <w:tcPr>
                  <w:tcW w:w="1050" w:type="dxa"/>
                  <w:tcBorders>
                    <w:tl2br w:val="nil"/>
                    <w:tr2bl w:val="nil"/>
                  </w:tcBorders>
                  <w:vAlign w:val="center"/>
                </w:tcPr>
                <w:p w14:paraId="25575EA1">
                  <w:pPr>
                    <w:jc w:val="center"/>
                    <w:rPr>
                      <w:color w:val="auto"/>
                      <w:szCs w:val="21"/>
                    </w:rPr>
                  </w:pPr>
                  <w:r>
                    <w:rPr>
                      <w:rFonts w:hint="eastAsia"/>
                      <w:color w:val="auto"/>
                      <w:szCs w:val="21"/>
                    </w:rPr>
                    <w:t>19.85</w:t>
                  </w:r>
                </w:p>
              </w:tc>
              <w:tc>
                <w:tcPr>
                  <w:tcW w:w="1170" w:type="dxa"/>
                  <w:tcBorders>
                    <w:tl2br w:val="nil"/>
                    <w:tr2bl w:val="nil"/>
                  </w:tcBorders>
                  <w:vAlign w:val="center"/>
                </w:tcPr>
                <w:p w14:paraId="23D5FEE9">
                  <w:pPr>
                    <w:jc w:val="center"/>
                    <w:rPr>
                      <w:color w:val="auto"/>
                      <w:szCs w:val="21"/>
                    </w:rPr>
                  </w:pPr>
                  <w:r>
                    <w:rPr>
                      <w:rFonts w:hint="eastAsia"/>
                      <w:color w:val="auto"/>
                      <w:szCs w:val="21"/>
                    </w:rPr>
                    <w:t>2745.16</w:t>
                  </w:r>
                </w:p>
              </w:tc>
              <w:tc>
                <w:tcPr>
                  <w:tcW w:w="1080" w:type="dxa"/>
                  <w:tcBorders>
                    <w:tl2br w:val="nil"/>
                    <w:tr2bl w:val="nil"/>
                  </w:tcBorders>
                  <w:vAlign w:val="center"/>
                </w:tcPr>
                <w:p w14:paraId="63A101DD">
                  <w:pPr>
                    <w:jc w:val="center"/>
                    <w:rPr>
                      <w:color w:val="auto"/>
                      <w:szCs w:val="21"/>
                    </w:rPr>
                  </w:pPr>
                  <w:r>
                    <w:rPr>
                      <w:rFonts w:hint="eastAsia"/>
                      <w:color w:val="auto"/>
                      <w:szCs w:val="21"/>
                    </w:rPr>
                    <w:t>10324.95</w:t>
                  </w:r>
                </w:p>
              </w:tc>
              <w:tc>
                <w:tcPr>
                  <w:tcW w:w="1281" w:type="dxa"/>
                  <w:tcBorders>
                    <w:tl2br w:val="nil"/>
                    <w:tr2bl w:val="nil"/>
                  </w:tcBorders>
                  <w:vAlign w:val="center"/>
                </w:tcPr>
                <w:p w14:paraId="32D17798">
                  <w:pPr>
                    <w:jc w:val="center"/>
                    <w:rPr>
                      <w:color w:val="auto"/>
                      <w:szCs w:val="21"/>
                    </w:rPr>
                  </w:pPr>
                  <w:r>
                    <w:rPr>
                      <w:rFonts w:hint="eastAsia"/>
                      <w:color w:val="auto"/>
                      <w:szCs w:val="21"/>
                    </w:rPr>
                    <w:t>混凝土结构</w:t>
                  </w:r>
                </w:p>
              </w:tc>
              <w:tc>
                <w:tcPr>
                  <w:tcW w:w="2326" w:type="dxa"/>
                  <w:tcBorders>
                    <w:tl2br w:val="nil"/>
                    <w:tr2bl w:val="nil"/>
                  </w:tcBorders>
                  <w:vAlign w:val="center"/>
                </w:tcPr>
                <w:p w14:paraId="28E5C2CF">
                  <w:pPr>
                    <w:jc w:val="center"/>
                    <w:rPr>
                      <w:color w:val="auto"/>
                      <w:szCs w:val="21"/>
                    </w:rPr>
                  </w:pPr>
                  <w:r>
                    <w:rPr>
                      <w:rFonts w:hint="eastAsia"/>
                      <w:color w:val="auto"/>
                      <w:szCs w:val="21"/>
                    </w:rPr>
                    <w:t>仓库</w:t>
                  </w:r>
                </w:p>
              </w:tc>
            </w:tr>
            <w:tr w14:paraId="5D97A1F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1" w:type="dxa"/>
                  <w:tcBorders>
                    <w:tl2br w:val="nil"/>
                    <w:tr2bl w:val="nil"/>
                  </w:tcBorders>
                  <w:vAlign w:val="center"/>
                </w:tcPr>
                <w:p w14:paraId="7545027F">
                  <w:pPr>
                    <w:jc w:val="center"/>
                    <w:rPr>
                      <w:color w:val="auto"/>
                      <w:szCs w:val="21"/>
                    </w:rPr>
                  </w:pPr>
                  <w:r>
                    <w:rPr>
                      <w:rFonts w:hint="eastAsia"/>
                      <w:color w:val="auto"/>
                      <w:szCs w:val="21"/>
                    </w:rPr>
                    <w:t>4</w:t>
                  </w:r>
                </w:p>
              </w:tc>
              <w:tc>
                <w:tcPr>
                  <w:tcW w:w="1269" w:type="dxa"/>
                  <w:tcBorders>
                    <w:tl2br w:val="nil"/>
                    <w:tr2bl w:val="nil"/>
                  </w:tcBorders>
                  <w:vAlign w:val="center"/>
                </w:tcPr>
                <w:p w14:paraId="737DAB8F">
                  <w:pPr>
                    <w:jc w:val="center"/>
                    <w:rPr>
                      <w:color w:val="auto"/>
                      <w:szCs w:val="21"/>
                    </w:rPr>
                  </w:pPr>
                  <w:r>
                    <w:rPr>
                      <w:rFonts w:hint="eastAsia"/>
                      <w:color w:val="auto"/>
                      <w:szCs w:val="21"/>
                    </w:rPr>
                    <w:t>综合楼4</w:t>
                  </w:r>
                </w:p>
              </w:tc>
              <w:tc>
                <w:tcPr>
                  <w:tcW w:w="855" w:type="dxa"/>
                  <w:tcBorders>
                    <w:tl2br w:val="nil"/>
                    <w:tr2bl w:val="nil"/>
                  </w:tcBorders>
                  <w:vAlign w:val="center"/>
                </w:tcPr>
                <w:p w14:paraId="372B7CAB">
                  <w:pPr>
                    <w:jc w:val="center"/>
                    <w:rPr>
                      <w:rFonts w:hint="eastAsia"/>
                      <w:color w:val="auto"/>
                      <w:szCs w:val="21"/>
                    </w:rPr>
                  </w:pPr>
                  <w:r>
                    <w:rPr>
                      <w:rFonts w:hint="eastAsia"/>
                      <w:color w:val="auto"/>
                      <w:szCs w:val="21"/>
                    </w:rPr>
                    <w:t>4</w:t>
                  </w:r>
                </w:p>
              </w:tc>
              <w:tc>
                <w:tcPr>
                  <w:tcW w:w="1050" w:type="dxa"/>
                  <w:tcBorders>
                    <w:tl2br w:val="nil"/>
                    <w:tr2bl w:val="nil"/>
                  </w:tcBorders>
                  <w:vAlign w:val="center"/>
                </w:tcPr>
                <w:p w14:paraId="1A5A7F5E">
                  <w:pPr>
                    <w:jc w:val="center"/>
                    <w:rPr>
                      <w:color w:val="auto"/>
                      <w:szCs w:val="21"/>
                    </w:rPr>
                  </w:pPr>
                  <w:r>
                    <w:rPr>
                      <w:rFonts w:hint="eastAsia"/>
                      <w:color w:val="auto"/>
                      <w:szCs w:val="21"/>
                    </w:rPr>
                    <w:t>19.85</w:t>
                  </w:r>
                </w:p>
              </w:tc>
              <w:tc>
                <w:tcPr>
                  <w:tcW w:w="1170" w:type="dxa"/>
                  <w:tcBorders>
                    <w:tl2br w:val="nil"/>
                    <w:tr2bl w:val="nil"/>
                  </w:tcBorders>
                  <w:vAlign w:val="center"/>
                </w:tcPr>
                <w:p w14:paraId="1CD50B6C">
                  <w:pPr>
                    <w:jc w:val="center"/>
                    <w:rPr>
                      <w:color w:val="auto"/>
                      <w:szCs w:val="21"/>
                    </w:rPr>
                  </w:pPr>
                  <w:r>
                    <w:rPr>
                      <w:rFonts w:hint="eastAsia"/>
                      <w:color w:val="auto"/>
                      <w:szCs w:val="21"/>
                    </w:rPr>
                    <w:t>2745.16</w:t>
                  </w:r>
                </w:p>
              </w:tc>
              <w:tc>
                <w:tcPr>
                  <w:tcW w:w="1080" w:type="dxa"/>
                  <w:tcBorders>
                    <w:tl2br w:val="nil"/>
                    <w:tr2bl w:val="nil"/>
                  </w:tcBorders>
                  <w:vAlign w:val="center"/>
                </w:tcPr>
                <w:p w14:paraId="3423F2A5">
                  <w:pPr>
                    <w:jc w:val="center"/>
                    <w:rPr>
                      <w:color w:val="auto"/>
                      <w:szCs w:val="21"/>
                    </w:rPr>
                  </w:pPr>
                  <w:r>
                    <w:rPr>
                      <w:rFonts w:hint="eastAsia"/>
                      <w:color w:val="auto"/>
                      <w:szCs w:val="21"/>
                    </w:rPr>
                    <w:t>10324.95</w:t>
                  </w:r>
                </w:p>
              </w:tc>
              <w:tc>
                <w:tcPr>
                  <w:tcW w:w="1281" w:type="dxa"/>
                  <w:tcBorders>
                    <w:tl2br w:val="nil"/>
                    <w:tr2bl w:val="nil"/>
                  </w:tcBorders>
                  <w:vAlign w:val="center"/>
                </w:tcPr>
                <w:p w14:paraId="6220778F">
                  <w:pPr>
                    <w:jc w:val="center"/>
                    <w:rPr>
                      <w:color w:val="auto"/>
                      <w:szCs w:val="21"/>
                    </w:rPr>
                  </w:pPr>
                  <w:r>
                    <w:rPr>
                      <w:rFonts w:hint="eastAsia"/>
                      <w:color w:val="auto"/>
                      <w:szCs w:val="21"/>
                    </w:rPr>
                    <w:t>混凝土结构</w:t>
                  </w:r>
                </w:p>
              </w:tc>
              <w:tc>
                <w:tcPr>
                  <w:tcW w:w="2326" w:type="dxa"/>
                  <w:tcBorders>
                    <w:tl2br w:val="nil"/>
                    <w:tr2bl w:val="nil"/>
                  </w:tcBorders>
                  <w:vAlign w:val="center"/>
                </w:tcPr>
                <w:p w14:paraId="12979E11">
                  <w:pPr>
                    <w:jc w:val="center"/>
                    <w:rPr>
                      <w:color w:val="auto"/>
                      <w:szCs w:val="21"/>
                    </w:rPr>
                  </w:pPr>
                  <w:r>
                    <w:rPr>
                      <w:rFonts w:hint="eastAsia"/>
                      <w:color w:val="auto"/>
                      <w:szCs w:val="21"/>
                    </w:rPr>
                    <w:t>生产、员工休闲</w:t>
                  </w:r>
                </w:p>
              </w:tc>
            </w:tr>
            <w:tr w14:paraId="1C2C8C2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1" w:type="dxa"/>
                  <w:tcBorders>
                    <w:tl2br w:val="nil"/>
                    <w:tr2bl w:val="nil"/>
                  </w:tcBorders>
                  <w:vAlign w:val="center"/>
                </w:tcPr>
                <w:p w14:paraId="1D2DEFAE">
                  <w:pPr>
                    <w:jc w:val="center"/>
                    <w:rPr>
                      <w:color w:val="auto"/>
                      <w:szCs w:val="21"/>
                    </w:rPr>
                  </w:pPr>
                  <w:r>
                    <w:rPr>
                      <w:rFonts w:hint="eastAsia"/>
                      <w:color w:val="auto"/>
                      <w:szCs w:val="21"/>
                    </w:rPr>
                    <w:t>5</w:t>
                  </w:r>
                </w:p>
              </w:tc>
              <w:tc>
                <w:tcPr>
                  <w:tcW w:w="1269" w:type="dxa"/>
                  <w:tcBorders>
                    <w:tl2br w:val="nil"/>
                    <w:tr2bl w:val="nil"/>
                  </w:tcBorders>
                  <w:vAlign w:val="center"/>
                </w:tcPr>
                <w:p w14:paraId="0650A35B">
                  <w:pPr>
                    <w:jc w:val="center"/>
                    <w:rPr>
                      <w:color w:val="auto"/>
                      <w:szCs w:val="21"/>
                    </w:rPr>
                  </w:pPr>
                  <w:r>
                    <w:rPr>
                      <w:rFonts w:hint="eastAsia"/>
                      <w:color w:val="auto"/>
                      <w:szCs w:val="21"/>
                    </w:rPr>
                    <w:t>综合楼6</w:t>
                  </w:r>
                </w:p>
              </w:tc>
              <w:tc>
                <w:tcPr>
                  <w:tcW w:w="855" w:type="dxa"/>
                  <w:tcBorders>
                    <w:tl2br w:val="nil"/>
                    <w:tr2bl w:val="nil"/>
                  </w:tcBorders>
                  <w:vAlign w:val="center"/>
                </w:tcPr>
                <w:p w14:paraId="5E9795ED">
                  <w:pPr>
                    <w:jc w:val="center"/>
                    <w:rPr>
                      <w:rFonts w:hint="eastAsia"/>
                      <w:color w:val="auto"/>
                      <w:szCs w:val="21"/>
                    </w:rPr>
                  </w:pPr>
                  <w:r>
                    <w:rPr>
                      <w:rFonts w:hint="eastAsia"/>
                      <w:color w:val="auto"/>
                      <w:szCs w:val="21"/>
                    </w:rPr>
                    <w:t>1</w:t>
                  </w:r>
                </w:p>
              </w:tc>
              <w:tc>
                <w:tcPr>
                  <w:tcW w:w="1050" w:type="dxa"/>
                  <w:tcBorders>
                    <w:tl2br w:val="nil"/>
                    <w:tr2bl w:val="nil"/>
                  </w:tcBorders>
                  <w:vAlign w:val="center"/>
                </w:tcPr>
                <w:p w14:paraId="785F83F4">
                  <w:pPr>
                    <w:jc w:val="center"/>
                    <w:rPr>
                      <w:color w:val="auto"/>
                      <w:szCs w:val="21"/>
                    </w:rPr>
                  </w:pPr>
                  <w:r>
                    <w:rPr>
                      <w:rFonts w:hint="eastAsia"/>
                      <w:color w:val="auto"/>
                      <w:szCs w:val="21"/>
                    </w:rPr>
                    <w:t>12</w:t>
                  </w:r>
                </w:p>
              </w:tc>
              <w:tc>
                <w:tcPr>
                  <w:tcW w:w="1170" w:type="dxa"/>
                  <w:tcBorders>
                    <w:tl2br w:val="nil"/>
                    <w:tr2bl w:val="nil"/>
                  </w:tcBorders>
                  <w:vAlign w:val="center"/>
                </w:tcPr>
                <w:p w14:paraId="03562633">
                  <w:pPr>
                    <w:jc w:val="center"/>
                    <w:rPr>
                      <w:color w:val="auto"/>
                      <w:szCs w:val="21"/>
                    </w:rPr>
                  </w:pPr>
                  <w:r>
                    <w:rPr>
                      <w:rFonts w:hint="eastAsia"/>
                      <w:color w:val="auto"/>
                      <w:szCs w:val="21"/>
                    </w:rPr>
                    <w:t>860</w:t>
                  </w:r>
                </w:p>
              </w:tc>
              <w:tc>
                <w:tcPr>
                  <w:tcW w:w="1080" w:type="dxa"/>
                  <w:tcBorders>
                    <w:tl2br w:val="nil"/>
                    <w:tr2bl w:val="nil"/>
                  </w:tcBorders>
                  <w:vAlign w:val="center"/>
                </w:tcPr>
                <w:p w14:paraId="1B041E10">
                  <w:pPr>
                    <w:jc w:val="center"/>
                    <w:rPr>
                      <w:color w:val="auto"/>
                      <w:szCs w:val="21"/>
                    </w:rPr>
                  </w:pPr>
                  <w:r>
                    <w:rPr>
                      <w:rFonts w:hint="eastAsia"/>
                      <w:color w:val="auto"/>
                      <w:szCs w:val="21"/>
                    </w:rPr>
                    <w:t>860</w:t>
                  </w:r>
                </w:p>
              </w:tc>
              <w:tc>
                <w:tcPr>
                  <w:tcW w:w="1281" w:type="dxa"/>
                  <w:tcBorders>
                    <w:tl2br w:val="nil"/>
                    <w:tr2bl w:val="nil"/>
                  </w:tcBorders>
                  <w:vAlign w:val="center"/>
                </w:tcPr>
                <w:p w14:paraId="080213BF">
                  <w:pPr>
                    <w:jc w:val="center"/>
                    <w:rPr>
                      <w:color w:val="auto"/>
                      <w:szCs w:val="21"/>
                    </w:rPr>
                  </w:pPr>
                  <w:r>
                    <w:rPr>
                      <w:rFonts w:hint="eastAsia"/>
                      <w:color w:val="auto"/>
                      <w:szCs w:val="21"/>
                    </w:rPr>
                    <w:t>混凝土结构</w:t>
                  </w:r>
                </w:p>
              </w:tc>
              <w:tc>
                <w:tcPr>
                  <w:tcW w:w="2326" w:type="dxa"/>
                  <w:tcBorders>
                    <w:tl2br w:val="nil"/>
                    <w:tr2bl w:val="nil"/>
                  </w:tcBorders>
                  <w:vAlign w:val="center"/>
                </w:tcPr>
                <w:p w14:paraId="52BC483F">
                  <w:pPr>
                    <w:jc w:val="center"/>
                    <w:rPr>
                      <w:color w:val="auto"/>
                      <w:szCs w:val="21"/>
                    </w:rPr>
                  </w:pPr>
                  <w:r>
                    <w:rPr>
                      <w:rFonts w:hint="eastAsia"/>
                      <w:color w:val="auto"/>
                      <w:szCs w:val="21"/>
                    </w:rPr>
                    <w:t>员工食堂（配有厨房）</w:t>
                  </w:r>
                </w:p>
              </w:tc>
            </w:tr>
            <w:tr w14:paraId="36CADEF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1" w:type="dxa"/>
                  <w:tcBorders>
                    <w:tl2br w:val="nil"/>
                    <w:tr2bl w:val="nil"/>
                  </w:tcBorders>
                  <w:vAlign w:val="center"/>
                </w:tcPr>
                <w:p w14:paraId="74088F66">
                  <w:pPr>
                    <w:jc w:val="center"/>
                    <w:rPr>
                      <w:rFonts w:hint="eastAsia"/>
                      <w:color w:val="auto"/>
                      <w:szCs w:val="21"/>
                    </w:rPr>
                  </w:pPr>
                  <w:r>
                    <w:rPr>
                      <w:rFonts w:hint="eastAsia"/>
                      <w:color w:val="auto"/>
                      <w:szCs w:val="21"/>
                    </w:rPr>
                    <w:t>6</w:t>
                  </w:r>
                </w:p>
              </w:tc>
              <w:tc>
                <w:tcPr>
                  <w:tcW w:w="1269" w:type="dxa"/>
                  <w:tcBorders>
                    <w:tl2br w:val="nil"/>
                    <w:tr2bl w:val="nil"/>
                  </w:tcBorders>
                  <w:vAlign w:val="center"/>
                </w:tcPr>
                <w:p w14:paraId="07722BDA">
                  <w:pPr>
                    <w:jc w:val="center"/>
                    <w:rPr>
                      <w:rFonts w:hint="eastAsia"/>
                      <w:color w:val="auto"/>
                      <w:szCs w:val="21"/>
                    </w:rPr>
                  </w:pPr>
                  <w:r>
                    <w:rPr>
                      <w:rFonts w:hint="eastAsia"/>
                      <w:color w:val="auto"/>
                      <w:szCs w:val="21"/>
                    </w:rPr>
                    <w:t>*生产车间</w:t>
                  </w:r>
                </w:p>
              </w:tc>
              <w:tc>
                <w:tcPr>
                  <w:tcW w:w="855" w:type="dxa"/>
                  <w:tcBorders>
                    <w:tl2br w:val="nil"/>
                    <w:tr2bl w:val="nil"/>
                  </w:tcBorders>
                  <w:vAlign w:val="center"/>
                </w:tcPr>
                <w:p w14:paraId="4208FDF9">
                  <w:pPr>
                    <w:jc w:val="center"/>
                    <w:rPr>
                      <w:rFonts w:hint="eastAsia"/>
                      <w:color w:val="auto"/>
                      <w:szCs w:val="21"/>
                    </w:rPr>
                  </w:pPr>
                  <w:r>
                    <w:rPr>
                      <w:rFonts w:hint="eastAsia"/>
                      <w:color w:val="auto"/>
                      <w:szCs w:val="21"/>
                    </w:rPr>
                    <w:t>1</w:t>
                  </w:r>
                </w:p>
              </w:tc>
              <w:tc>
                <w:tcPr>
                  <w:tcW w:w="1050" w:type="dxa"/>
                  <w:tcBorders>
                    <w:tl2br w:val="nil"/>
                    <w:tr2bl w:val="nil"/>
                  </w:tcBorders>
                  <w:vAlign w:val="center"/>
                </w:tcPr>
                <w:p w14:paraId="6E0400A3">
                  <w:pPr>
                    <w:jc w:val="center"/>
                    <w:rPr>
                      <w:rFonts w:hint="eastAsia"/>
                      <w:color w:val="auto"/>
                      <w:szCs w:val="21"/>
                    </w:rPr>
                  </w:pPr>
                  <w:r>
                    <w:rPr>
                      <w:rFonts w:hint="eastAsia"/>
                      <w:color w:val="auto"/>
                      <w:szCs w:val="21"/>
                    </w:rPr>
                    <w:t>4</w:t>
                  </w:r>
                </w:p>
              </w:tc>
              <w:tc>
                <w:tcPr>
                  <w:tcW w:w="1170" w:type="dxa"/>
                  <w:tcBorders>
                    <w:tl2br w:val="nil"/>
                    <w:tr2bl w:val="nil"/>
                  </w:tcBorders>
                  <w:vAlign w:val="center"/>
                </w:tcPr>
                <w:p w14:paraId="2A995C7C">
                  <w:pPr>
                    <w:jc w:val="center"/>
                    <w:rPr>
                      <w:rFonts w:hint="eastAsia"/>
                      <w:color w:val="auto"/>
                      <w:szCs w:val="21"/>
                    </w:rPr>
                  </w:pPr>
                  <w:r>
                    <w:rPr>
                      <w:rFonts w:hint="eastAsia"/>
                      <w:color w:val="auto"/>
                      <w:szCs w:val="21"/>
                    </w:rPr>
                    <w:t>310</w:t>
                  </w:r>
                </w:p>
              </w:tc>
              <w:tc>
                <w:tcPr>
                  <w:tcW w:w="1080" w:type="dxa"/>
                  <w:tcBorders>
                    <w:tl2br w:val="nil"/>
                    <w:tr2bl w:val="nil"/>
                  </w:tcBorders>
                  <w:vAlign w:val="center"/>
                </w:tcPr>
                <w:p w14:paraId="587DD0D8">
                  <w:pPr>
                    <w:jc w:val="center"/>
                    <w:rPr>
                      <w:rFonts w:hint="eastAsia"/>
                      <w:color w:val="auto"/>
                      <w:szCs w:val="21"/>
                    </w:rPr>
                  </w:pPr>
                  <w:r>
                    <w:rPr>
                      <w:color w:val="auto"/>
                      <w:szCs w:val="21"/>
                    </w:rPr>
                    <w:t>310</w:t>
                  </w:r>
                </w:p>
              </w:tc>
              <w:tc>
                <w:tcPr>
                  <w:tcW w:w="1281" w:type="dxa"/>
                  <w:tcBorders>
                    <w:tl2br w:val="nil"/>
                    <w:tr2bl w:val="nil"/>
                  </w:tcBorders>
                  <w:vAlign w:val="center"/>
                </w:tcPr>
                <w:p w14:paraId="6DC1D977">
                  <w:pPr>
                    <w:jc w:val="center"/>
                    <w:rPr>
                      <w:rFonts w:hint="eastAsia"/>
                      <w:color w:val="auto"/>
                      <w:szCs w:val="21"/>
                    </w:rPr>
                  </w:pPr>
                  <w:r>
                    <w:rPr>
                      <w:rFonts w:hint="eastAsia"/>
                      <w:color w:val="auto"/>
                      <w:szCs w:val="21"/>
                    </w:rPr>
                    <w:t>混凝土结构</w:t>
                  </w:r>
                </w:p>
              </w:tc>
              <w:tc>
                <w:tcPr>
                  <w:tcW w:w="2326" w:type="dxa"/>
                  <w:tcBorders>
                    <w:tl2br w:val="nil"/>
                    <w:tr2bl w:val="nil"/>
                  </w:tcBorders>
                  <w:vAlign w:val="center"/>
                </w:tcPr>
                <w:p w14:paraId="40C092C1">
                  <w:pPr>
                    <w:jc w:val="center"/>
                    <w:rPr>
                      <w:rFonts w:hint="eastAsia"/>
                      <w:color w:val="auto"/>
                      <w:szCs w:val="21"/>
                    </w:rPr>
                  </w:pPr>
                  <w:r>
                    <w:rPr>
                      <w:rFonts w:hint="eastAsia"/>
                      <w:color w:val="auto"/>
                      <w:szCs w:val="21"/>
                    </w:rPr>
                    <w:t>生产（本次</w:t>
                  </w:r>
                  <w:r>
                    <w:rPr>
                      <w:rFonts w:hint="eastAsia"/>
                      <w:color w:val="auto"/>
                      <w:szCs w:val="21"/>
                      <w:lang w:eastAsia="zh-CN"/>
                    </w:rPr>
                    <w:t>改建</w:t>
                  </w:r>
                  <w:r>
                    <w:rPr>
                      <w:rFonts w:hint="eastAsia"/>
                      <w:color w:val="auto"/>
                      <w:szCs w:val="21"/>
                    </w:rPr>
                    <w:t>车间）</w:t>
                  </w:r>
                </w:p>
              </w:tc>
            </w:tr>
            <w:tr w14:paraId="1F70DE0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1" w:type="dxa"/>
                  <w:tcBorders>
                    <w:tl2br w:val="nil"/>
                    <w:tr2bl w:val="nil"/>
                  </w:tcBorders>
                  <w:vAlign w:val="center"/>
                </w:tcPr>
                <w:p w14:paraId="1FD77B73">
                  <w:pPr>
                    <w:jc w:val="center"/>
                    <w:rPr>
                      <w:color w:val="auto"/>
                      <w:szCs w:val="21"/>
                    </w:rPr>
                  </w:pPr>
                  <w:r>
                    <w:rPr>
                      <w:rFonts w:hint="eastAsia"/>
                      <w:color w:val="auto"/>
                      <w:szCs w:val="21"/>
                    </w:rPr>
                    <w:t>7</w:t>
                  </w:r>
                </w:p>
              </w:tc>
              <w:tc>
                <w:tcPr>
                  <w:tcW w:w="1269" w:type="dxa"/>
                  <w:tcBorders>
                    <w:tl2br w:val="nil"/>
                    <w:tr2bl w:val="nil"/>
                  </w:tcBorders>
                  <w:vAlign w:val="center"/>
                </w:tcPr>
                <w:p w14:paraId="28A7B196">
                  <w:pPr>
                    <w:jc w:val="center"/>
                    <w:rPr>
                      <w:color w:val="auto"/>
                      <w:szCs w:val="21"/>
                    </w:rPr>
                  </w:pPr>
                  <w:r>
                    <w:rPr>
                      <w:rFonts w:hint="eastAsia"/>
                      <w:color w:val="auto"/>
                      <w:szCs w:val="21"/>
                    </w:rPr>
                    <w:t>发电机房</w:t>
                  </w:r>
                </w:p>
              </w:tc>
              <w:tc>
                <w:tcPr>
                  <w:tcW w:w="855" w:type="dxa"/>
                  <w:tcBorders>
                    <w:tl2br w:val="nil"/>
                    <w:tr2bl w:val="nil"/>
                  </w:tcBorders>
                  <w:vAlign w:val="center"/>
                </w:tcPr>
                <w:p w14:paraId="445493EB">
                  <w:pPr>
                    <w:jc w:val="center"/>
                    <w:rPr>
                      <w:rFonts w:hint="eastAsia"/>
                      <w:color w:val="auto"/>
                      <w:szCs w:val="21"/>
                    </w:rPr>
                  </w:pPr>
                  <w:r>
                    <w:rPr>
                      <w:rFonts w:hint="eastAsia"/>
                      <w:color w:val="auto"/>
                      <w:szCs w:val="21"/>
                    </w:rPr>
                    <w:t>1</w:t>
                  </w:r>
                </w:p>
              </w:tc>
              <w:tc>
                <w:tcPr>
                  <w:tcW w:w="1050" w:type="dxa"/>
                  <w:tcBorders>
                    <w:tl2br w:val="nil"/>
                    <w:tr2bl w:val="nil"/>
                  </w:tcBorders>
                  <w:vAlign w:val="center"/>
                </w:tcPr>
                <w:p w14:paraId="7BBB82B2">
                  <w:pPr>
                    <w:jc w:val="center"/>
                    <w:rPr>
                      <w:color w:val="auto"/>
                      <w:szCs w:val="21"/>
                    </w:rPr>
                  </w:pPr>
                  <w:r>
                    <w:rPr>
                      <w:rFonts w:hint="eastAsia"/>
                      <w:color w:val="auto"/>
                      <w:szCs w:val="21"/>
                    </w:rPr>
                    <w:t>4</w:t>
                  </w:r>
                </w:p>
              </w:tc>
              <w:tc>
                <w:tcPr>
                  <w:tcW w:w="1170" w:type="dxa"/>
                  <w:tcBorders>
                    <w:tl2br w:val="nil"/>
                    <w:tr2bl w:val="nil"/>
                  </w:tcBorders>
                  <w:vAlign w:val="center"/>
                </w:tcPr>
                <w:p w14:paraId="6391EF2E">
                  <w:pPr>
                    <w:jc w:val="center"/>
                    <w:rPr>
                      <w:color w:val="auto"/>
                      <w:szCs w:val="21"/>
                    </w:rPr>
                  </w:pPr>
                  <w:r>
                    <w:rPr>
                      <w:rFonts w:hint="eastAsia"/>
                      <w:color w:val="auto"/>
                      <w:szCs w:val="21"/>
                    </w:rPr>
                    <w:t>200</w:t>
                  </w:r>
                </w:p>
              </w:tc>
              <w:tc>
                <w:tcPr>
                  <w:tcW w:w="1080" w:type="dxa"/>
                  <w:tcBorders>
                    <w:tl2br w:val="nil"/>
                    <w:tr2bl w:val="nil"/>
                  </w:tcBorders>
                  <w:vAlign w:val="center"/>
                </w:tcPr>
                <w:p w14:paraId="7091B61D">
                  <w:pPr>
                    <w:jc w:val="center"/>
                    <w:rPr>
                      <w:color w:val="auto"/>
                      <w:szCs w:val="21"/>
                    </w:rPr>
                  </w:pPr>
                  <w:r>
                    <w:rPr>
                      <w:rFonts w:hint="eastAsia"/>
                      <w:color w:val="auto"/>
                      <w:szCs w:val="21"/>
                    </w:rPr>
                    <w:t>200</w:t>
                  </w:r>
                </w:p>
              </w:tc>
              <w:tc>
                <w:tcPr>
                  <w:tcW w:w="1281" w:type="dxa"/>
                  <w:tcBorders>
                    <w:tl2br w:val="nil"/>
                    <w:tr2bl w:val="nil"/>
                  </w:tcBorders>
                  <w:vAlign w:val="center"/>
                </w:tcPr>
                <w:p w14:paraId="210460C9">
                  <w:pPr>
                    <w:jc w:val="center"/>
                    <w:rPr>
                      <w:color w:val="auto"/>
                      <w:szCs w:val="21"/>
                    </w:rPr>
                  </w:pPr>
                  <w:r>
                    <w:rPr>
                      <w:rFonts w:hint="eastAsia"/>
                      <w:color w:val="auto"/>
                      <w:szCs w:val="21"/>
                    </w:rPr>
                    <w:t>混凝土结构</w:t>
                  </w:r>
                </w:p>
              </w:tc>
              <w:tc>
                <w:tcPr>
                  <w:tcW w:w="2326" w:type="dxa"/>
                  <w:tcBorders>
                    <w:tl2br w:val="nil"/>
                    <w:tr2bl w:val="nil"/>
                  </w:tcBorders>
                  <w:vAlign w:val="center"/>
                </w:tcPr>
                <w:p w14:paraId="4001C860">
                  <w:pPr>
                    <w:jc w:val="center"/>
                    <w:rPr>
                      <w:color w:val="auto"/>
                      <w:szCs w:val="21"/>
                    </w:rPr>
                  </w:pPr>
                  <w:r>
                    <w:rPr>
                      <w:rFonts w:hint="eastAsia"/>
                      <w:color w:val="auto"/>
                      <w:szCs w:val="21"/>
                    </w:rPr>
                    <w:t>备用发电</w:t>
                  </w:r>
                </w:p>
              </w:tc>
            </w:tr>
            <w:tr w14:paraId="34BD93B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1" w:type="dxa"/>
                  <w:vAlign w:val="center"/>
                </w:tcPr>
                <w:p w14:paraId="48033DAA">
                  <w:pPr>
                    <w:jc w:val="center"/>
                    <w:rPr>
                      <w:color w:val="auto"/>
                      <w:szCs w:val="21"/>
                    </w:rPr>
                  </w:pPr>
                  <w:r>
                    <w:rPr>
                      <w:rFonts w:hint="eastAsia"/>
                      <w:color w:val="auto"/>
                      <w:szCs w:val="21"/>
                    </w:rPr>
                    <w:t>8</w:t>
                  </w:r>
                </w:p>
              </w:tc>
              <w:tc>
                <w:tcPr>
                  <w:tcW w:w="1269" w:type="dxa"/>
                  <w:vAlign w:val="center"/>
                </w:tcPr>
                <w:p w14:paraId="3F616B4A">
                  <w:pPr>
                    <w:jc w:val="center"/>
                    <w:rPr>
                      <w:color w:val="auto"/>
                      <w:szCs w:val="21"/>
                    </w:rPr>
                  </w:pPr>
                  <w:r>
                    <w:rPr>
                      <w:rFonts w:hint="eastAsia"/>
                      <w:color w:val="auto"/>
                      <w:szCs w:val="21"/>
                    </w:rPr>
                    <w:t>配电房</w:t>
                  </w:r>
                </w:p>
              </w:tc>
              <w:tc>
                <w:tcPr>
                  <w:tcW w:w="855" w:type="dxa"/>
                  <w:vAlign w:val="center"/>
                </w:tcPr>
                <w:p w14:paraId="175DC922">
                  <w:pPr>
                    <w:jc w:val="center"/>
                    <w:rPr>
                      <w:rFonts w:hint="eastAsia"/>
                      <w:color w:val="auto"/>
                      <w:szCs w:val="21"/>
                    </w:rPr>
                  </w:pPr>
                  <w:r>
                    <w:rPr>
                      <w:rFonts w:hint="eastAsia"/>
                      <w:color w:val="auto"/>
                      <w:szCs w:val="21"/>
                    </w:rPr>
                    <w:t>1</w:t>
                  </w:r>
                </w:p>
              </w:tc>
              <w:tc>
                <w:tcPr>
                  <w:tcW w:w="1050" w:type="dxa"/>
                  <w:vAlign w:val="center"/>
                </w:tcPr>
                <w:p w14:paraId="03F9C943">
                  <w:pPr>
                    <w:jc w:val="center"/>
                    <w:rPr>
                      <w:color w:val="auto"/>
                      <w:szCs w:val="21"/>
                    </w:rPr>
                  </w:pPr>
                  <w:r>
                    <w:rPr>
                      <w:rFonts w:hint="eastAsia"/>
                      <w:color w:val="auto"/>
                      <w:szCs w:val="21"/>
                    </w:rPr>
                    <w:t>4</w:t>
                  </w:r>
                </w:p>
              </w:tc>
              <w:tc>
                <w:tcPr>
                  <w:tcW w:w="1170" w:type="dxa"/>
                  <w:vAlign w:val="center"/>
                </w:tcPr>
                <w:p w14:paraId="20AAD3C0">
                  <w:pPr>
                    <w:jc w:val="center"/>
                    <w:rPr>
                      <w:color w:val="auto"/>
                      <w:szCs w:val="21"/>
                    </w:rPr>
                  </w:pPr>
                  <w:r>
                    <w:rPr>
                      <w:rFonts w:hint="eastAsia"/>
                      <w:color w:val="auto"/>
                      <w:szCs w:val="21"/>
                    </w:rPr>
                    <w:t>300</w:t>
                  </w:r>
                </w:p>
              </w:tc>
              <w:tc>
                <w:tcPr>
                  <w:tcW w:w="1080" w:type="dxa"/>
                  <w:vAlign w:val="center"/>
                </w:tcPr>
                <w:p w14:paraId="548A405E">
                  <w:pPr>
                    <w:jc w:val="center"/>
                    <w:rPr>
                      <w:color w:val="auto"/>
                      <w:szCs w:val="21"/>
                    </w:rPr>
                  </w:pPr>
                  <w:r>
                    <w:rPr>
                      <w:rFonts w:hint="eastAsia"/>
                      <w:color w:val="auto"/>
                      <w:szCs w:val="21"/>
                    </w:rPr>
                    <w:t>300</w:t>
                  </w:r>
                </w:p>
              </w:tc>
              <w:tc>
                <w:tcPr>
                  <w:tcW w:w="1281" w:type="dxa"/>
                  <w:vAlign w:val="center"/>
                </w:tcPr>
                <w:p w14:paraId="56D44B43">
                  <w:pPr>
                    <w:jc w:val="center"/>
                    <w:rPr>
                      <w:color w:val="auto"/>
                      <w:szCs w:val="21"/>
                    </w:rPr>
                  </w:pPr>
                  <w:r>
                    <w:rPr>
                      <w:rFonts w:hint="eastAsia"/>
                      <w:color w:val="auto"/>
                      <w:szCs w:val="21"/>
                    </w:rPr>
                    <w:t>混凝土结构</w:t>
                  </w:r>
                </w:p>
              </w:tc>
              <w:tc>
                <w:tcPr>
                  <w:tcW w:w="2326" w:type="dxa"/>
                  <w:vAlign w:val="center"/>
                </w:tcPr>
                <w:p w14:paraId="29581F82">
                  <w:pPr>
                    <w:jc w:val="center"/>
                    <w:rPr>
                      <w:color w:val="auto"/>
                      <w:szCs w:val="21"/>
                    </w:rPr>
                  </w:pPr>
                  <w:r>
                    <w:rPr>
                      <w:rFonts w:hint="eastAsia"/>
                      <w:color w:val="auto"/>
                      <w:szCs w:val="21"/>
                    </w:rPr>
                    <w:t>供电</w:t>
                  </w:r>
                </w:p>
              </w:tc>
            </w:tr>
            <w:tr w14:paraId="3FAA597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41" w:type="dxa"/>
                  <w:tcBorders>
                    <w:bottom w:val="single" w:color="auto" w:sz="4" w:space="0"/>
                  </w:tcBorders>
                  <w:vAlign w:val="center"/>
                </w:tcPr>
                <w:p w14:paraId="67D8DD59">
                  <w:pPr>
                    <w:jc w:val="center"/>
                    <w:rPr>
                      <w:color w:val="auto"/>
                      <w:szCs w:val="21"/>
                    </w:rPr>
                  </w:pPr>
                  <w:r>
                    <w:rPr>
                      <w:rFonts w:hint="eastAsia"/>
                      <w:color w:val="auto"/>
                      <w:szCs w:val="21"/>
                    </w:rPr>
                    <w:t>9</w:t>
                  </w:r>
                </w:p>
              </w:tc>
              <w:tc>
                <w:tcPr>
                  <w:tcW w:w="1269" w:type="dxa"/>
                  <w:tcBorders>
                    <w:bottom w:val="single" w:color="auto" w:sz="4" w:space="0"/>
                  </w:tcBorders>
                  <w:vAlign w:val="center"/>
                </w:tcPr>
                <w:p w14:paraId="05B08191">
                  <w:pPr>
                    <w:jc w:val="center"/>
                    <w:rPr>
                      <w:color w:val="auto"/>
                      <w:szCs w:val="21"/>
                    </w:rPr>
                  </w:pPr>
                  <w:r>
                    <w:rPr>
                      <w:rFonts w:hint="eastAsia"/>
                      <w:color w:val="auto"/>
                      <w:szCs w:val="21"/>
                    </w:rPr>
                    <w:t>办公楼</w:t>
                  </w:r>
                </w:p>
              </w:tc>
              <w:tc>
                <w:tcPr>
                  <w:tcW w:w="855" w:type="dxa"/>
                  <w:tcBorders>
                    <w:bottom w:val="single" w:color="auto" w:sz="4" w:space="0"/>
                  </w:tcBorders>
                  <w:vAlign w:val="center"/>
                </w:tcPr>
                <w:p w14:paraId="5F67502C">
                  <w:pPr>
                    <w:jc w:val="center"/>
                    <w:rPr>
                      <w:rFonts w:hint="eastAsia"/>
                      <w:color w:val="auto"/>
                      <w:szCs w:val="21"/>
                    </w:rPr>
                  </w:pPr>
                  <w:r>
                    <w:rPr>
                      <w:rFonts w:hint="eastAsia"/>
                      <w:color w:val="auto"/>
                      <w:szCs w:val="21"/>
                    </w:rPr>
                    <w:t>3</w:t>
                  </w:r>
                </w:p>
              </w:tc>
              <w:tc>
                <w:tcPr>
                  <w:tcW w:w="1050" w:type="dxa"/>
                  <w:tcBorders>
                    <w:bottom w:val="single" w:color="auto" w:sz="4" w:space="0"/>
                  </w:tcBorders>
                  <w:vAlign w:val="center"/>
                </w:tcPr>
                <w:p w14:paraId="197B802D">
                  <w:pPr>
                    <w:jc w:val="center"/>
                    <w:rPr>
                      <w:color w:val="auto"/>
                      <w:szCs w:val="21"/>
                    </w:rPr>
                  </w:pPr>
                  <w:r>
                    <w:rPr>
                      <w:rFonts w:hint="eastAsia"/>
                      <w:color w:val="auto"/>
                      <w:szCs w:val="21"/>
                    </w:rPr>
                    <w:t>14.86</w:t>
                  </w:r>
                </w:p>
              </w:tc>
              <w:tc>
                <w:tcPr>
                  <w:tcW w:w="1170" w:type="dxa"/>
                  <w:tcBorders>
                    <w:bottom w:val="single" w:color="auto" w:sz="4" w:space="0"/>
                  </w:tcBorders>
                  <w:vAlign w:val="center"/>
                </w:tcPr>
                <w:p w14:paraId="31F1102C">
                  <w:pPr>
                    <w:jc w:val="center"/>
                    <w:rPr>
                      <w:color w:val="auto"/>
                      <w:szCs w:val="21"/>
                    </w:rPr>
                  </w:pPr>
                  <w:r>
                    <w:rPr>
                      <w:rFonts w:hint="eastAsia"/>
                      <w:color w:val="auto"/>
                      <w:szCs w:val="21"/>
                    </w:rPr>
                    <w:t>1921.64</w:t>
                  </w:r>
                </w:p>
              </w:tc>
              <w:tc>
                <w:tcPr>
                  <w:tcW w:w="1080" w:type="dxa"/>
                  <w:tcBorders>
                    <w:bottom w:val="single" w:color="auto" w:sz="4" w:space="0"/>
                  </w:tcBorders>
                  <w:vAlign w:val="center"/>
                </w:tcPr>
                <w:p w14:paraId="080628F3">
                  <w:pPr>
                    <w:jc w:val="center"/>
                    <w:rPr>
                      <w:color w:val="auto"/>
                      <w:szCs w:val="21"/>
                    </w:rPr>
                  </w:pPr>
                  <w:r>
                    <w:rPr>
                      <w:rFonts w:hint="eastAsia"/>
                      <w:color w:val="auto"/>
                      <w:szCs w:val="21"/>
                    </w:rPr>
                    <w:t>6716.66</w:t>
                  </w:r>
                </w:p>
              </w:tc>
              <w:tc>
                <w:tcPr>
                  <w:tcW w:w="1281" w:type="dxa"/>
                  <w:tcBorders>
                    <w:bottom w:val="single" w:color="auto" w:sz="4" w:space="0"/>
                  </w:tcBorders>
                  <w:vAlign w:val="center"/>
                </w:tcPr>
                <w:p w14:paraId="6F5DB842">
                  <w:pPr>
                    <w:jc w:val="center"/>
                    <w:rPr>
                      <w:color w:val="auto"/>
                      <w:szCs w:val="21"/>
                    </w:rPr>
                  </w:pPr>
                  <w:r>
                    <w:rPr>
                      <w:rFonts w:hint="eastAsia"/>
                      <w:color w:val="auto"/>
                      <w:szCs w:val="21"/>
                    </w:rPr>
                    <w:t>混凝土结构</w:t>
                  </w:r>
                </w:p>
              </w:tc>
              <w:tc>
                <w:tcPr>
                  <w:tcW w:w="2326" w:type="dxa"/>
                  <w:tcBorders>
                    <w:bottom w:val="single" w:color="auto" w:sz="4" w:space="0"/>
                  </w:tcBorders>
                  <w:vAlign w:val="center"/>
                </w:tcPr>
                <w:p w14:paraId="7972AED7">
                  <w:pPr>
                    <w:jc w:val="center"/>
                    <w:rPr>
                      <w:color w:val="auto"/>
                      <w:szCs w:val="21"/>
                    </w:rPr>
                  </w:pPr>
                  <w:r>
                    <w:rPr>
                      <w:rFonts w:hint="eastAsia"/>
                      <w:color w:val="auto"/>
                      <w:szCs w:val="21"/>
                    </w:rPr>
                    <w:t>办公</w:t>
                  </w:r>
                </w:p>
              </w:tc>
            </w:tr>
            <w:tr w14:paraId="400095E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15" w:type="dxa"/>
                  <w:gridSpan w:val="4"/>
                  <w:tcBorders>
                    <w:top w:val="single" w:color="000000" w:sz="6" w:space="0"/>
                    <w:bottom w:val="single" w:color="auto" w:sz="4" w:space="0"/>
                  </w:tcBorders>
                  <w:vAlign w:val="center"/>
                </w:tcPr>
                <w:p w14:paraId="05378267">
                  <w:pPr>
                    <w:jc w:val="center"/>
                    <w:rPr>
                      <w:rFonts w:hint="eastAsia"/>
                      <w:color w:val="auto"/>
                      <w:szCs w:val="21"/>
                    </w:rPr>
                  </w:pPr>
                  <w:r>
                    <w:rPr>
                      <w:rFonts w:hint="eastAsia"/>
                      <w:color w:val="auto"/>
                      <w:szCs w:val="21"/>
                    </w:rPr>
                    <w:t>合计</w:t>
                  </w:r>
                </w:p>
              </w:tc>
              <w:tc>
                <w:tcPr>
                  <w:tcW w:w="1170" w:type="dxa"/>
                  <w:tcBorders>
                    <w:top w:val="single" w:color="000000" w:sz="6" w:space="0"/>
                    <w:bottom w:val="single" w:color="auto" w:sz="4" w:space="0"/>
                  </w:tcBorders>
                  <w:vAlign w:val="center"/>
                </w:tcPr>
                <w:p w14:paraId="3D925E2B">
                  <w:pPr>
                    <w:jc w:val="center"/>
                    <w:rPr>
                      <w:rFonts w:hint="eastAsia"/>
                      <w:color w:val="auto"/>
                      <w:szCs w:val="21"/>
                    </w:rPr>
                  </w:pPr>
                  <w:r>
                    <w:rPr>
                      <w:rFonts w:hint="eastAsia"/>
                      <w:color w:val="auto"/>
                      <w:szCs w:val="21"/>
                    </w:rPr>
                    <w:t>14585.67</w:t>
                  </w:r>
                </w:p>
              </w:tc>
              <w:tc>
                <w:tcPr>
                  <w:tcW w:w="1080" w:type="dxa"/>
                  <w:tcBorders>
                    <w:top w:val="single" w:color="000000" w:sz="6" w:space="0"/>
                    <w:bottom w:val="single" w:color="auto" w:sz="4" w:space="0"/>
                  </w:tcBorders>
                  <w:vAlign w:val="center"/>
                </w:tcPr>
                <w:p w14:paraId="33336CAA">
                  <w:pPr>
                    <w:jc w:val="center"/>
                    <w:rPr>
                      <w:rFonts w:hint="eastAsia"/>
                      <w:color w:val="auto"/>
                      <w:szCs w:val="21"/>
                    </w:rPr>
                  </w:pPr>
                  <w:r>
                    <w:rPr>
                      <w:rFonts w:hint="eastAsia"/>
                      <w:color w:val="auto"/>
                      <w:szCs w:val="21"/>
                    </w:rPr>
                    <w:t>48451.72</w:t>
                  </w:r>
                </w:p>
              </w:tc>
              <w:tc>
                <w:tcPr>
                  <w:tcW w:w="1281" w:type="dxa"/>
                  <w:tcBorders>
                    <w:top w:val="single" w:color="000000" w:sz="6" w:space="0"/>
                    <w:bottom w:val="single" w:color="auto" w:sz="4" w:space="0"/>
                  </w:tcBorders>
                  <w:vAlign w:val="center"/>
                </w:tcPr>
                <w:p w14:paraId="56DC95D1">
                  <w:pPr>
                    <w:jc w:val="center"/>
                    <w:rPr>
                      <w:color w:val="auto"/>
                      <w:szCs w:val="21"/>
                    </w:rPr>
                  </w:pPr>
                  <w:r>
                    <w:rPr>
                      <w:rFonts w:hint="eastAsia"/>
                      <w:color w:val="auto"/>
                      <w:szCs w:val="21"/>
                    </w:rPr>
                    <w:t>/</w:t>
                  </w:r>
                </w:p>
              </w:tc>
              <w:tc>
                <w:tcPr>
                  <w:tcW w:w="2326" w:type="dxa"/>
                  <w:tcBorders>
                    <w:top w:val="single" w:color="000000" w:sz="6" w:space="0"/>
                    <w:bottom w:val="single" w:color="auto" w:sz="4" w:space="0"/>
                  </w:tcBorders>
                  <w:vAlign w:val="center"/>
                </w:tcPr>
                <w:p w14:paraId="676C4785">
                  <w:pPr>
                    <w:jc w:val="center"/>
                    <w:rPr>
                      <w:color w:val="auto"/>
                      <w:szCs w:val="21"/>
                    </w:rPr>
                  </w:pPr>
                  <w:r>
                    <w:rPr>
                      <w:rFonts w:hint="eastAsia"/>
                      <w:color w:val="auto"/>
                      <w:szCs w:val="21"/>
                    </w:rPr>
                    <w:t>/</w:t>
                  </w:r>
                </w:p>
              </w:tc>
            </w:tr>
            <w:tr w14:paraId="05F1ED3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72" w:type="dxa"/>
                  <w:gridSpan w:val="8"/>
                  <w:tcBorders>
                    <w:top w:val="single" w:color="auto" w:sz="4" w:space="0"/>
                  </w:tcBorders>
                  <w:vAlign w:val="center"/>
                </w:tcPr>
                <w:p w14:paraId="7184926A">
                  <w:pPr>
                    <w:rPr>
                      <w:color w:val="auto"/>
                      <w:szCs w:val="21"/>
                    </w:rPr>
                  </w:pPr>
                  <w:r>
                    <w:rPr>
                      <w:rFonts w:hint="eastAsia"/>
                      <w:b/>
                      <w:bCs/>
                      <w:color w:val="auto"/>
                      <w:szCs w:val="21"/>
                    </w:rPr>
                    <w:t>备注：</w:t>
                  </w:r>
                  <w:r>
                    <w:rPr>
                      <w:rFonts w:hint="eastAsia"/>
                      <w:color w:val="auto"/>
                      <w:szCs w:val="21"/>
                    </w:rPr>
                    <w:t>*生产车间原为其中1条</w:t>
                  </w:r>
                  <w:r>
                    <w:rPr>
                      <w:rFonts w:hint="eastAsia"/>
                      <w:color w:val="auto"/>
                      <w:szCs w:val="21"/>
                      <w:lang w:val="en-US" w:eastAsia="zh-CN"/>
                    </w:rPr>
                    <w:t>小</w:t>
                  </w:r>
                  <w:r>
                    <w:rPr>
                      <w:rFonts w:hint="eastAsia"/>
                      <w:color w:val="auto"/>
                      <w:szCs w:val="21"/>
                    </w:rPr>
                    <w:t>阳极氧化生产线所在车间，届时</w:t>
                  </w:r>
                  <w:r>
                    <w:rPr>
                      <w:rFonts w:hint="eastAsia"/>
                      <w:color w:val="auto"/>
                      <w:szCs w:val="21"/>
                      <w:lang w:eastAsia="zh-CN"/>
                    </w:rPr>
                    <w:t>改建</w:t>
                  </w:r>
                  <w:r>
                    <w:rPr>
                      <w:rFonts w:hint="eastAsia"/>
                      <w:color w:val="auto"/>
                      <w:szCs w:val="21"/>
                    </w:rPr>
                    <w:t>为电泳漆加工生产线，名称同时更改为</w:t>
                  </w:r>
                  <w:r>
                    <w:rPr>
                      <w:color w:val="auto"/>
                      <w:szCs w:val="21"/>
                    </w:rPr>
                    <w:t>“</w:t>
                  </w:r>
                  <w:r>
                    <w:rPr>
                      <w:rFonts w:hint="eastAsia"/>
                      <w:color w:val="auto"/>
                      <w:szCs w:val="21"/>
                    </w:rPr>
                    <w:t>电泳车间</w:t>
                  </w:r>
                  <w:r>
                    <w:rPr>
                      <w:color w:val="auto"/>
                      <w:szCs w:val="21"/>
                    </w:rPr>
                    <w:t>”</w:t>
                  </w:r>
                  <w:r>
                    <w:rPr>
                      <w:rFonts w:hint="eastAsia"/>
                      <w:color w:val="auto"/>
                      <w:szCs w:val="21"/>
                    </w:rPr>
                    <w:t>。目前</w:t>
                  </w:r>
                  <w:r>
                    <w:rPr>
                      <w:rFonts w:hint="eastAsia"/>
                      <w:color w:val="auto"/>
                      <w:szCs w:val="21"/>
                      <w:lang w:val="en-US" w:eastAsia="zh-CN"/>
                    </w:rPr>
                    <w:t>小</w:t>
                  </w:r>
                  <w:r>
                    <w:rPr>
                      <w:rFonts w:hint="eastAsia"/>
                      <w:color w:val="auto"/>
                      <w:szCs w:val="21"/>
                    </w:rPr>
                    <w:t>阳极氧化生产线已停产并已拆除。</w:t>
                  </w:r>
                </w:p>
              </w:tc>
            </w:tr>
          </w:tbl>
          <w:p w14:paraId="2D26F309">
            <w:pPr>
              <w:tabs>
                <w:tab w:val="right" w:pos="9069"/>
              </w:tabs>
              <w:adjustRightInd w:val="0"/>
              <w:snapToGrid w:val="0"/>
              <w:spacing w:line="360" w:lineRule="auto"/>
              <w:ind w:firstLine="480"/>
              <w:rPr>
                <w:b/>
                <w:bCs/>
                <w:color w:val="auto"/>
                <w:sz w:val="24"/>
              </w:rPr>
            </w:pPr>
            <w:r>
              <w:rPr>
                <w:rFonts w:hint="eastAsia"/>
                <w:b/>
                <w:bCs/>
                <w:color w:val="auto"/>
                <w:sz w:val="24"/>
              </w:rPr>
              <w:t>2、工程组成</w:t>
            </w:r>
          </w:p>
          <w:p w14:paraId="4A466ABF">
            <w:pPr>
              <w:tabs>
                <w:tab w:val="right" w:pos="9069"/>
              </w:tabs>
              <w:adjustRightInd w:val="0"/>
              <w:snapToGrid w:val="0"/>
              <w:spacing w:line="360" w:lineRule="auto"/>
              <w:ind w:firstLine="480"/>
              <w:rPr>
                <w:color w:val="auto"/>
                <w:sz w:val="24"/>
              </w:rPr>
            </w:pPr>
            <w:r>
              <w:rPr>
                <w:rFonts w:hint="eastAsia"/>
                <w:color w:val="auto"/>
                <w:sz w:val="24"/>
              </w:rPr>
              <w:t>本</w:t>
            </w:r>
            <w:r>
              <w:rPr>
                <w:rFonts w:hint="eastAsia"/>
                <w:color w:val="auto"/>
                <w:sz w:val="24"/>
                <w:lang w:eastAsia="zh-CN"/>
              </w:rPr>
              <w:t>改建</w:t>
            </w:r>
            <w:r>
              <w:rPr>
                <w:color w:val="auto"/>
                <w:sz w:val="24"/>
              </w:rPr>
              <w:t>项目是依托</w:t>
            </w:r>
            <w:r>
              <w:rPr>
                <w:rFonts w:hint="eastAsia"/>
                <w:color w:val="auto"/>
                <w:sz w:val="24"/>
              </w:rPr>
              <w:t>现有</w:t>
            </w:r>
            <w:r>
              <w:rPr>
                <w:color w:val="auto"/>
                <w:sz w:val="24"/>
              </w:rPr>
              <w:t>项目</w:t>
            </w:r>
            <w:r>
              <w:rPr>
                <w:rFonts w:hint="eastAsia"/>
                <w:color w:val="auto"/>
                <w:sz w:val="24"/>
              </w:rPr>
              <w:t>厂房进行</w:t>
            </w:r>
            <w:r>
              <w:rPr>
                <w:rFonts w:hint="eastAsia"/>
                <w:color w:val="auto"/>
                <w:sz w:val="24"/>
                <w:lang w:eastAsia="zh-CN"/>
              </w:rPr>
              <w:t>改建</w:t>
            </w:r>
            <w:r>
              <w:rPr>
                <w:color w:val="auto"/>
                <w:sz w:val="24"/>
              </w:rPr>
              <w:t>。</w:t>
            </w:r>
            <w:r>
              <w:rPr>
                <w:rFonts w:hint="eastAsia"/>
                <w:color w:val="auto"/>
                <w:sz w:val="24"/>
                <w:lang w:eastAsia="zh-CN"/>
              </w:rPr>
              <w:t>改建</w:t>
            </w:r>
            <w:r>
              <w:rPr>
                <w:color w:val="auto"/>
                <w:sz w:val="24"/>
              </w:rPr>
              <w:t>项目依托</w:t>
            </w:r>
            <w:r>
              <w:rPr>
                <w:rFonts w:hint="eastAsia"/>
                <w:color w:val="auto"/>
                <w:sz w:val="24"/>
              </w:rPr>
              <w:t>现有</w:t>
            </w:r>
            <w:r>
              <w:rPr>
                <w:color w:val="auto"/>
                <w:sz w:val="24"/>
              </w:rPr>
              <w:t>项目的主体工程和配套的辅助工程、</w:t>
            </w:r>
            <w:r>
              <w:rPr>
                <w:rFonts w:hint="eastAsia"/>
                <w:color w:val="auto"/>
                <w:sz w:val="24"/>
              </w:rPr>
              <w:t>储运工程、</w:t>
            </w:r>
            <w:r>
              <w:rPr>
                <w:color w:val="auto"/>
                <w:sz w:val="24"/>
              </w:rPr>
              <w:t>公用工程、环保工程，具体详见表2-</w:t>
            </w:r>
            <w:r>
              <w:rPr>
                <w:rFonts w:hint="eastAsia"/>
                <w:color w:val="auto"/>
                <w:sz w:val="24"/>
                <w:lang w:val="en-US" w:eastAsia="zh-CN"/>
              </w:rPr>
              <w:t>5</w:t>
            </w:r>
            <w:r>
              <w:rPr>
                <w:color w:val="auto"/>
                <w:sz w:val="24"/>
              </w:rPr>
              <w:t>。</w:t>
            </w:r>
          </w:p>
          <w:p w14:paraId="7094C0D4">
            <w:pPr>
              <w:tabs>
                <w:tab w:val="right" w:pos="9069"/>
              </w:tabs>
              <w:adjustRightInd w:val="0"/>
              <w:snapToGrid w:val="0"/>
              <w:ind w:firstLine="480"/>
              <w:jc w:val="center"/>
              <w:rPr>
                <w:b/>
                <w:color w:val="auto"/>
                <w:szCs w:val="21"/>
              </w:rPr>
            </w:pPr>
          </w:p>
          <w:p w14:paraId="61F7ABA8">
            <w:pPr>
              <w:tabs>
                <w:tab w:val="right" w:pos="9069"/>
              </w:tabs>
              <w:adjustRightInd w:val="0"/>
              <w:snapToGrid w:val="0"/>
              <w:ind w:firstLine="480"/>
              <w:jc w:val="center"/>
              <w:rPr>
                <w:b/>
                <w:color w:val="auto"/>
                <w:szCs w:val="21"/>
              </w:rPr>
            </w:pPr>
          </w:p>
          <w:p w14:paraId="6707D9A7">
            <w:pPr>
              <w:tabs>
                <w:tab w:val="right" w:pos="9069"/>
              </w:tabs>
              <w:adjustRightInd w:val="0"/>
              <w:snapToGrid w:val="0"/>
              <w:ind w:firstLine="480"/>
              <w:jc w:val="center"/>
              <w:rPr>
                <w:b/>
                <w:color w:val="auto"/>
                <w:szCs w:val="21"/>
              </w:rPr>
            </w:pPr>
          </w:p>
          <w:p w14:paraId="4E3D6FE7">
            <w:pPr>
              <w:pStyle w:val="50"/>
              <w:rPr>
                <w:b/>
                <w:color w:val="auto"/>
                <w:szCs w:val="21"/>
              </w:rPr>
            </w:pPr>
          </w:p>
          <w:p w14:paraId="7985EE0B">
            <w:pPr>
              <w:pStyle w:val="52"/>
              <w:rPr>
                <w:color w:val="auto"/>
              </w:rPr>
            </w:pPr>
          </w:p>
          <w:p w14:paraId="0A7A105C">
            <w:pPr>
              <w:tabs>
                <w:tab w:val="right" w:pos="9069"/>
              </w:tabs>
              <w:adjustRightInd w:val="0"/>
              <w:snapToGrid w:val="0"/>
              <w:ind w:firstLine="480"/>
              <w:jc w:val="center"/>
              <w:rPr>
                <w:b/>
                <w:color w:val="auto"/>
                <w:szCs w:val="21"/>
              </w:rPr>
            </w:pPr>
            <w:r>
              <w:rPr>
                <w:b/>
                <w:color w:val="auto"/>
                <w:szCs w:val="21"/>
              </w:rPr>
              <w:t>表2-</w:t>
            </w:r>
            <w:r>
              <w:rPr>
                <w:rFonts w:hint="eastAsia"/>
                <w:b/>
                <w:color w:val="auto"/>
                <w:szCs w:val="21"/>
                <w:lang w:val="en-US" w:eastAsia="zh-CN"/>
              </w:rPr>
              <w:t>5</w:t>
            </w:r>
            <w:r>
              <w:rPr>
                <w:b/>
                <w:color w:val="auto"/>
                <w:szCs w:val="21"/>
              </w:rPr>
              <w:t xml:space="preserve"> </w:t>
            </w:r>
            <w:r>
              <w:rPr>
                <w:rFonts w:hint="eastAsia"/>
                <w:b/>
                <w:color w:val="auto"/>
                <w:szCs w:val="21"/>
                <w:lang w:eastAsia="zh-CN"/>
              </w:rPr>
              <w:t>改建</w:t>
            </w:r>
            <w:r>
              <w:rPr>
                <w:b/>
                <w:color w:val="auto"/>
                <w:szCs w:val="21"/>
              </w:rPr>
              <w:t>前后项目工程组成一览表</w:t>
            </w:r>
          </w:p>
          <w:tbl>
            <w:tblPr>
              <w:tblStyle w:val="42"/>
              <w:tblW w:w="9583" w:type="dxa"/>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656"/>
              <w:gridCol w:w="919"/>
              <w:gridCol w:w="2631"/>
              <w:gridCol w:w="1736"/>
              <w:gridCol w:w="2478"/>
              <w:gridCol w:w="1163"/>
            </w:tblGrid>
            <w:tr w14:paraId="70BD2B7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Align w:val="center"/>
                </w:tcPr>
                <w:p w14:paraId="07D24D47">
                  <w:pPr>
                    <w:pStyle w:val="194"/>
                    <w:widowControl w:val="0"/>
                    <w:snapToGrid w:val="0"/>
                    <w:spacing w:line="0" w:lineRule="atLeast"/>
                    <w:rPr>
                      <w:b/>
                      <w:bCs w:val="0"/>
                      <w:color w:val="auto"/>
                    </w:rPr>
                  </w:pPr>
                  <w:r>
                    <w:rPr>
                      <w:b/>
                      <w:bCs w:val="0"/>
                      <w:color w:val="auto"/>
                    </w:rPr>
                    <w:t>工程类别</w:t>
                  </w:r>
                </w:p>
              </w:tc>
              <w:tc>
                <w:tcPr>
                  <w:tcW w:w="919" w:type="dxa"/>
                  <w:vAlign w:val="center"/>
                </w:tcPr>
                <w:p w14:paraId="29EB4495">
                  <w:pPr>
                    <w:pStyle w:val="194"/>
                    <w:widowControl w:val="0"/>
                    <w:snapToGrid w:val="0"/>
                    <w:spacing w:line="0" w:lineRule="atLeast"/>
                    <w:rPr>
                      <w:b/>
                      <w:bCs w:val="0"/>
                      <w:color w:val="auto"/>
                    </w:rPr>
                  </w:pPr>
                  <w:r>
                    <w:rPr>
                      <w:b/>
                      <w:bCs w:val="0"/>
                      <w:color w:val="auto"/>
                    </w:rPr>
                    <w:t>建设内容</w:t>
                  </w:r>
                </w:p>
              </w:tc>
              <w:tc>
                <w:tcPr>
                  <w:tcW w:w="2631" w:type="dxa"/>
                  <w:tcBorders>
                    <w:right w:val="single" w:color="000000" w:sz="6" w:space="0"/>
                  </w:tcBorders>
                  <w:vAlign w:val="center"/>
                </w:tcPr>
                <w:p w14:paraId="41B2CCEA">
                  <w:pPr>
                    <w:pStyle w:val="194"/>
                    <w:widowControl w:val="0"/>
                    <w:snapToGrid w:val="0"/>
                    <w:spacing w:line="0" w:lineRule="atLeast"/>
                    <w:rPr>
                      <w:b/>
                      <w:bCs w:val="0"/>
                      <w:color w:val="auto"/>
                    </w:rPr>
                  </w:pPr>
                  <w:r>
                    <w:rPr>
                      <w:rFonts w:hint="eastAsia"/>
                      <w:b/>
                      <w:bCs w:val="0"/>
                      <w:color w:val="auto"/>
                    </w:rPr>
                    <w:t>现有</w:t>
                  </w:r>
                  <w:r>
                    <w:rPr>
                      <w:b/>
                      <w:bCs w:val="0"/>
                      <w:color w:val="auto"/>
                    </w:rPr>
                    <w:t>项目</w:t>
                  </w:r>
                </w:p>
              </w:tc>
              <w:tc>
                <w:tcPr>
                  <w:tcW w:w="1736" w:type="dxa"/>
                  <w:tcBorders>
                    <w:left w:val="single" w:color="000000" w:sz="6" w:space="0"/>
                  </w:tcBorders>
                  <w:vAlign w:val="center"/>
                </w:tcPr>
                <w:p w14:paraId="036BFD1C">
                  <w:pPr>
                    <w:pStyle w:val="194"/>
                    <w:widowControl w:val="0"/>
                    <w:snapToGrid w:val="0"/>
                    <w:spacing w:line="0" w:lineRule="atLeast"/>
                    <w:rPr>
                      <w:b/>
                      <w:bCs w:val="0"/>
                      <w:color w:val="auto"/>
                    </w:rPr>
                  </w:pPr>
                  <w:r>
                    <w:rPr>
                      <w:rFonts w:hint="eastAsia"/>
                      <w:b/>
                      <w:bCs w:val="0"/>
                      <w:color w:val="auto"/>
                      <w:lang w:eastAsia="zh-CN"/>
                    </w:rPr>
                    <w:t>改建</w:t>
                  </w:r>
                  <w:r>
                    <w:rPr>
                      <w:b/>
                      <w:bCs w:val="0"/>
                      <w:color w:val="auto"/>
                    </w:rPr>
                    <w:t>项目</w:t>
                  </w:r>
                </w:p>
              </w:tc>
              <w:tc>
                <w:tcPr>
                  <w:tcW w:w="2478" w:type="dxa"/>
                  <w:vAlign w:val="center"/>
                </w:tcPr>
                <w:p w14:paraId="60D9D551">
                  <w:pPr>
                    <w:pStyle w:val="194"/>
                    <w:widowControl w:val="0"/>
                    <w:snapToGrid w:val="0"/>
                    <w:spacing w:line="0" w:lineRule="atLeast"/>
                    <w:rPr>
                      <w:b/>
                      <w:bCs w:val="0"/>
                      <w:color w:val="auto"/>
                    </w:rPr>
                  </w:pPr>
                  <w:r>
                    <w:rPr>
                      <w:rFonts w:hint="eastAsia"/>
                      <w:b/>
                      <w:bCs w:val="0"/>
                      <w:color w:val="auto"/>
                      <w:lang w:eastAsia="zh-CN"/>
                    </w:rPr>
                    <w:t>改建</w:t>
                  </w:r>
                  <w:r>
                    <w:rPr>
                      <w:b/>
                      <w:bCs w:val="0"/>
                      <w:color w:val="auto"/>
                    </w:rPr>
                    <w:t>后全厂</w:t>
                  </w:r>
                </w:p>
              </w:tc>
              <w:tc>
                <w:tcPr>
                  <w:tcW w:w="1163" w:type="dxa"/>
                  <w:vAlign w:val="center"/>
                </w:tcPr>
                <w:p w14:paraId="1FD95C78">
                  <w:pPr>
                    <w:pStyle w:val="194"/>
                    <w:widowControl w:val="0"/>
                    <w:snapToGrid w:val="0"/>
                    <w:spacing w:line="0" w:lineRule="atLeast"/>
                    <w:rPr>
                      <w:b/>
                      <w:bCs w:val="0"/>
                      <w:color w:val="auto"/>
                    </w:rPr>
                  </w:pPr>
                  <w:r>
                    <w:rPr>
                      <w:b/>
                      <w:bCs w:val="0"/>
                      <w:color w:val="auto"/>
                    </w:rPr>
                    <w:t>备注</w:t>
                  </w:r>
                </w:p>
              </w:tc>
            </w:tr>
            <w:tr w14:paraId="5EA2E4B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restart"/>
                  <w:vAlign w:val="center"/>
                </w:tcPr>
                <w:p w14:paraId="2439D6E4">
                  <w:pPr>
                    <w:pStyle w:val="194"/>
                    <w:widowControl w:val="0"/>
                    <w:snapToGrid w:val="0"/>
                    <w:spacing w:line="0" w:lineRule="atLeast"/>
                    <w:rPr>
                      <w:color w:val="auto"/>
                    </w:rPr>
                  </w:pPr>
                  <w:r>
                    <w:rPr>
                      <w:color w:val="auto"/>
                    </w:rPr>
                    <w:t>主体工程</w:t>
                  </w:r>
                </w:p>
              </w:tc>
              <w:tc>
                <w:tcPr>
                  <w:tcW w:w="919" w:type="dxa"/>
                  <w:vMerge w:val="restart"/>
                  <w:vAlign w:val="center"/>
                </w:tcPr>
                <w:p w14:paraId="59F5AE23">
                  <w:pPr>
                    <w:widowControl w:val="0"/>
                    <w:jc w:val="center"/>
                    <w:rPr>
                      <w:color w:val="auto"/>
                      <w:szCs w:val="21"/>
                    </w:rPr>
                  </w:pPr>
                  <w:r>
                    <w:rPr>
                      <w:rFonts w:hint="eastAsia"/>
                      <w:bCs/>
                      <w:color w:val="auto"/>
                      <w:szCs w:val="21"/>
                    </w:rPr>
                    <w:t>综合楼1</w:t>
                  </w:r>
                </w:p>
              </w:tc>
              <w:tc>
                <w:tcPr>
                  <w:tcW w:w="2631" w:type="dxa"/>
                  <w:tcBorders>
                    <w:bottom w:val="single" w:color="auto" w:sz="4" w:space="0"/>
                    <w:right w:val="single" w:color="000000" w:sz="6" w:space="0"/>
                  </w:tcBorders>
                  <w:vAlign w:val="center"/>
                </w:tcPr>
                <w:p w14:paraId="41264F3A">
                  <w:pPr>
                    <w:widowControl w:val="0"/>
                    <w:jc w:val="center"/>
                    <w:rPr>
                      <w:color w:val="auto"/>
                      <w:szCs w:val="21"/>
                    </w:rPr>
                  </w:pPr>
                  <w:r>
                    <w:rPr>
                      <w:rFonts w:hint="eastAsia"/>
                      <w:color w:val="auto"/>
                      <w:szCs w:val="21"/>
                    </w:rPr>
                    <w:t>首层</w:t>
                  </w:r>
                  <w:r>
                    <w:rPr>
                      <w:bCs/>
                      <w:color w:val="auto"/>
                      <w:szCs w:val="21"/>
                    </w:rPr>
                    <w:t>，建筑面积约</w:t>
                  </w:r>
                  <w:r>
                    <w:rPr>
                      <w:rFonts w:hint="eastAsia"/>
                      <w:bCs/>
                      <w:color w:val="auto"/>
                      <w:szCs w:val="21"/>
                    </w:rPr>
                    <w:t>4260.17</w:t>
                  </w:r>
                  <w:r>
                    <w:rPr>
                      <w:bCs/>
                      <w:color w:val="auto"/>
                      <w:szCs w:val="21"/>
                    </w:rPr>
                    <w:t>m</w:t>
                  </w:r>
                  <w:r>
                    <w:rPr>
                      <w:bCs/>
                      <w:color w:val="auto"/>
                      <w:szCs w:val="21"/>
                      <w:vertAlign w:val="superscript"/>
                    </w:rPr>
                    <w:t>2</w:t>
                  </w:r>
                  <w:r>
                    <w:rPr>
                      <w:bCs/>
                      <w:color w:val="auto"/>
                      <w:szCs w:val="21"/>
                    </w:rPr>
                    <w:t>，</w:t>
                  </w:r>
                  <w:r>
                    <w:rPr>
                      <w:rFonts w:hint="eastAsia"/>
                      <w:color w:val="auto"/>
                      <w:szCs w:val="21"/>
                    </w:rPr>
                    <w:t>氧化车间</w:t>
                  </w:r>
                </w:p>
              </w:tc>
              <w:tc>
                <w:tcPr>
                  <w:tcW w:w="1736" w:type="dxa"/>
                  <w:tcBorders>
                    <w:left w:val="single" w:color="000000" w:sz="6" w:space="0"/>
                    <w:bottom w:val="single" w:color="auto" w:sz="4" w:space="0"/>
                  </w:tcBorders>
                  <w:vAlign w:val="center"/>
                </w:tcPr>
                <w:p w14:paraId="75BA4E17">
                  <w:pPr>
                    <w:widowControl w:val="0"/>
                    <w:jc w:val="center"/>
                    <w:rPr>
                      <w:color w:val="auto"/>
                      <w:szCs w:val="21"/>
                    </w:rPr>
                  </w:pPr>
                  <w:r>
                    <w:rPr>
                      <w:rFonts w:hint="eastAsia"/>
                      <w:bCs/>
                      <w:color w:val="auto"/>
                      <w:szCs w:val="21"/>
                    </w:rPr>
                    <w:t>/</w:t>
                  </w:r>
                </w:p>
              </w:tc>
              <w:tc>
                <w:tcPr>
                  <w:tcW w:w="2478" w:type="dxa"/>
                  <w:tcBorders>
                    <w:bottom w:val="single" w:color="auto" w:sz="4" w:space="0"/>
                  </w:tcBorders>
                  <w:vAlign w:val="center"/>
                </w:tcPr>
                <w:p w14:paraId="0752C963">
                  <w:pPr>
                    <w:widowControl w:val="0"/>
                    <w:jc w:val="center"/>
                    <w:rPr>
                      <w:color w:val="auto"/>
                      <w:szCs w:val="21"/>
                    </w:rPr>
                  </w:pPr>
                  <w:r>
                    <w:rPr>
                      <w:rFonts w:hint="eastAsia"/>
                      <w:color w:val="auto"/>
                      <w:szCs w:val="21"/>
                    </w:rPr>
                    <w:t>首层</w:t>
                  </w:r>
                  <w:r>
                    <w:rPr>
                      <w:bCs/>
                      <w:color w:val="auto"/>
                      <w:szCs w:val="21"/>
                    </w:rPr>
                    <w:t>，建筑面积约</w:t>
                  </w:r>
                  <w:r>
                    <w:rPr>
                      <w:rFonts w:hint="eastAsia"/>
                      <w:bCs/>
                      <w:color w:val="auto"/>
                      <w:szCs w:val="21"/>
                    </w:rPr>
                    <w:t>4260.17</w:t>
                  </w:r>
                  <w:r>
                    <w:rPr>
                      <w:bCs/>
                      <w:color w:val="auto"/>
                      <w:szCs w:val="21"/>
                    </w:rPr>
                    <w:t>m</w:t>
                  </w:r>
                  <w:r>
                    <w:rPr>
                      <w:bCs/>
                      <w:color w:val="auto"/>
                      <w:szCs w:val="21"/>
                      <w:vertAlign w:val="superscript"/>
                    </w:rPr>
                    <w:t>2</w:t>
                  </w:r>
                  <w:r>
                    <w:rPr>
                      <w:bCs/>
                      <w:color w:val="auto"/>
                      <w:szCs w:val="21"/>
                    </w:rPr>
                    <w:t>，</w:t>
                  </w:r>
                  <w:r>
                    <w:rPr>
                      <w:rFonts w:hint="eastAsia"/>
                      <w:color w:val="auto"/>
                      <w:szCs w:val="21"/>
                    </w:rPr>
                    <w:t>氧化车间</w:t>
                  </w:r>
                </w:p>
              </w:tc>
              <w:tc>
                <w:tcPr>
                  <w:tcW w:w="1163" w:type="dxa"/>
                  <w:vAlign w:val="center"/>
                </w:tcPr>
                <w:p w14:paraId="0E04865A">
                  <w:pPr>
                    <w:widowControl w:val="0"/>
                    <w:jc w:val="center"/>
                    <w:rPr>
                      <w:color w:val="auto"/>
                      <w:szCs w:val="21"/>
                    </w:rPr>
                  </w:pPr>
                  <w:r>
                    <w:rPr>
                      <w:bCs/>
                      <w:color w:val="auto"/>
                      <w:szCs w:val="21"/>
                    </w:rPr>
                    <w:t>不变</w:t>
                  </w:r>
                </w:p>
              </w:tc>
            </w:tr>
            <w:tr w14:paraId="077C0F8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2A2C2468">
                  <w:pPr>
                    <w:pStyle w:val="194"/>
                    <w:widowControl w:val="0"/>
                    <w:snapToGrid w:val="0"/>
                    <w:spacing w:line="0" w:lineRule="atLeast"/>
                    <w:rPr>
                      <w:color w:val="auto"/>
                    </w:rPr>
                  </w:pPr>
                </w:p>
              </w:tc>
              <w:tc>
                <w:tcPr>
                  <w:tcW w:w="919" w:type="dxa"/>
                  <w:vMerge w:val="continue"/>
                  <w:tcBorders>
                    <w:bottom w:val="single" w:color="000000" w:sz="6" w:space="0"/>
                  </w:tcBorders>
                  <w:vAlign w:val="center"/>
                </w:tcPr>
                <w:p w14:paraId="7A7D75E8">
                  <w:pPr>
                    <w:widowControl w:val="0"/>
                    <w:jc w:val="center"/>
                    <w:rPr>
                      <w:rFonts w:hint="eastAsia"/>
                      <w:bCs/>
                      <w:color w:val="auto"/>
                      <w:szCs w:val="21"/>
                    </w:rPr>
                  </w:pPr>
                </w:p>
              </w:tc>
              <w:tc>
                <w:tcPr>
                  <w:tcW w:w="2631" w:type="dxa"/>
                  <w:tcBorders>
                    <w:bottom w:val="single" w:color="auto" w:sz="4" w:space="0"/>
                    <w:right w:val="single" w:color="000000" w:sz="6" w:space="0"/>
                  </w:tcBorders>
                  <w:vAlign w:val="center"/>
                </w:tcPr>
                <w:p w14:paraId="3A21341A">
                  <w:pPr>
                    <w:widowControl w:val="0"/>
                    <w:jc w:val="center"/>
                    <w:rPr>
                      <w:color w:val="auto"/>
                      <w:szCs w:val="21"/>
                    </w:rPr>
                  </w:pPr>
                  <w:r>
                    <w:rPr>
                      <w:rFonts w:hint="eastAsia"/>
                      <w:color w:val="auto"/>
                      <w:szCs w:val="21"/>
                    </w:rPr>
                    <w:t>第二层</w:t>
                  </w:r>
                  <w:r>
                    <w:rPr>
                      <w:bCs/>
                      <w:color w:val="auto"/>
                      <w:szCs w:val="21"/>
                    </w:rPr>
                    <w:t>，建筑面积约</w:t>
                  </w:r>
                  <w:r>
                    <w:rPr>
                      <w:rFonts w:hint="eastAsia"/>
                      <w:bCs/>
                      <w:color w:val="auto"/>
                      <w:szCs w:val="21"/>
                    </w:rPr>
                    <w:t>4272.1</w:t>
                  </w:r>
                  <w:r>
                    <w:rPr>
                      <w:bCs/>
                      <w:color w:val="auto"/>
                      <w:szCs w:val="21"/>
                    </w:rPr>
                    <w:t>m</w:t>
                  </w:r>
                  <w:r>
                    <w:rPr>
                      <w:bCs/>
                      <w:color w:val="auto"/>
                      <w:szCs w:val="21"/>
                      <w:vertAlign w:val="superscript"/>
                    </w:rPr>
                    <w:t>2</w:t>
                  </w:r>
                  <w:r>
                    <w:rPr>
                      <w:bCs/>
                      <w:color w:val="auto"/>
                      <w:szCs w:val="21"/>
                    </w:rPr>
                    <w:t>，</w:t>
                  </w:r>
                  <w:r>
                    <w:rPr>
                      <w:rFonts w:hint="eastAsia"/>
                      <w:color w:val="auto"/>
                      <w:szCs w:val="21"/>
                    </w:rPr>
                    <w:t>注塑车间</w:t>
                  </w:r>
                </w:p>
              </w:tc>
              <w:tc>
                <w:tcPr>
                  <w:tcW w:w="1736" w:type="dxa"/>
                  <w:tcBorders>
                    <w:left w:val="single" w:color="000000" w:sz="6" w:space="0"/>
                    <w:bottom w:val="single" w:color="auto" w:sz="4" w:space="0"/>
                  </w:tcBorders>
                  <w:vAlign w:val="center"/>
                </w:tcPr>
                <w:p w14:paraId="26D895CD">
                  <w:pPr>
                    <w:widowControl w:val="0"/>
                    <w:jc w:val="center"/>
                    <w:rPr>
                      <w:bCs/>
                      <w:color w:val="auto"/>
                      <w:szCs w:val="21"/>
                    </w:rPr>
                  </w:pPr>
                  <w:r>
                    <w:rPr>
                      <w:rFonts w:hint="eastAsia"/>
                      <w:bCs/>
                      <w:color w:val="auto"/>
                      <w:szCs w:val="21"/>
                    </w:rPr>
                    <w:t>/</w:t>
                  </w:r>
                </w:p>
              </w:tc>
              <w:tc>
                <w:tcPr>
                  <w:tcW w:w="2478" w:type="dxa"/>
                  <w:tcBorders>
                    <w:bottom w:val="single" w:color="auto" w:sz="4" w:space="0"/>
                  </w:tcBorders>
                  <w:vAlign w:val="center"/>
                </w:tcPr>
                <w:p w14:paraId="5DF79078">
                  <w:pPr>
                    <w:widowControl w:val="0"/>
                    <w:jc w:val="center"/>
                    <w:rPr>
                      <w:color w:val="auto"/>
                      <w:szCs w:val="21"/>
                    </w:rPr>
                  </w:pPr>
                  <w:r>
                    <w:rPr>
                      <w:rFonts w:hint="eastAsia"/>
                      <w:color w:val="auto"/>
                      <w:szCs w:val="21"/>
                    </w:rPr>
                    <w:t>第二层</w:t>
                  </w:r>
                  <w:r>
                    <w:rPr>
                      <w:bCs/>
                      <w:color w:val="auto"/>
                      <w:szCs w:val="21"/>
                    </w:rPr>
                    <w:t>，建筑面积约</w:t>
                  </w:r>
                  <w:r>
                    <w:rPr>
                      <w:rFonts w:hint="eastAsia"/>
                      <w:bCs/>
                      <w:color w:val="auto"/>
                      <w:szCs w:val="21"/>
                    </w:rPr>
                    <w:t>4272.1</w:t>
                  </w:r>
                  <w:r>
                    <w:rPr>
                      <w:bCs/>
                      <w:color w:val="auto"/>
                      <w:szCs w:val="21"/>
                    </w:rPr>
                    <w:t>m</w:t>
                  </w:r>
                  <w:r>
                    <w:rPr>
                      <w:bCs/>
                      <w:color w:val="auto"/>
                      <w:szCs w:val="21"/>
                      <w:vertAlign w:val="superscript"/>
                    </w:rPr>
                    <w:t>2</w:t>
                  </w:r>
                  <w:r>
                    <w:rPr>
                      <w:bCs/>
                      <w:color w:val="auto"/>
                      <w:szCs w:val="21"/>
                    </w:rPr>
                    <w:t>，</w:t>
                  </w:r>
                  <w:r>
                    <w:rPr>
                      <w:rFonts w:hint="eastAsia"/>
                      <w:color w:val="auto"/>
                      <w:szCs w:val="21"/>
                    </w:rPr>
                    <w:t>注塑车间</w:t>
                  </w:r>
                </w:p>
              </w:tc>
              <w:tc>
                <w:tcPr>
                  <w:tcW w:w="1163" w:type="dxa"/>
                  <w:vAlign w:val="center"/>
                </w:tcPr>
                <w:p w14:paraId="7D6E31DE">
                  <w:pPr>
                    <w:widowControl w:val="0"/>
                    <w:jc w:val="center"/>
                    <w:rPr>
                      <w:bCs/>
                      <w:color w:val="auto"/>
                      <w:szCs w:val="21"/>
                    </w:rPr>
                  </w:pPr>
                  <w:r>
                    <w:rPr>
                      <w:bCs/>
                      <w:color w:val="auto"/>
                      <w:szCs w:val="21"/>
                    </w:rPr>
                    <w:t>不变</w:t>
                  </w:r>
                </w:p>
              </w:tc>
            </w:tr>
            <w:tr w14:paraId="00BCD98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3D6C8DE0">
                  <w:pPr>
                    <w:pStyle w:val="194"/>
                    <w:widowControl w:val="0"/>
                    <w:snapToGrid w:val="0"/>
                    <w:spacing w:line="0" w:lineRule="atLeast"/>
                    <w:rPr>
                      <w:color w:val="auto"/>
                    </w:rPr>
                  </w:pPr>
                </w:p>
              </w:tc>
              <w:tc>
                <w:tcPr>
                  <w:tcW w:w="919" w:type="dxa"/>
                  <w:vMerge w:val="continue"/>
                  <w:tcBorders>
                    <w:bottom w:val="single" w:color="000000" w:sz="6" w:space="0"/>
                  </w:tcBorders>
                  <w:vAlign w:val="center"/>
                </w:tcPr>
                <w:p w14:paraId="088BB06E">
                  <w:pPr>
                    <w:widowControl w:val="0"/>
                    <w:jc w:val="center"/>
                    <w:rPr>
                      <w:rFonts w:hint="eastAsia"/>
                      <w:bCs/>
                      <w:color w:val="auto"/>
                      <w:szCs w:val="21"/>
                    </w:rPr>
                  </w:pPr>
                </w:p>
              </w:tc>
              <w:tc>
                <w:tcPr>
                  <w:tcW w:w="2631" w:type="dxa"/>
                  <w:tcBorders>
                    <w:bottom w:val="single" w:color="auto" w:sz="4" w:space="0"/>
                    <w:right w:val="single" w:color="000000" w:sz="6" w:space="0"/>
                  </w:tcBorders>
                  <w:vAlign w:val="center"/>
                </w:tcPr>
                <w:p w14:paraId="71FC2E92">
                  <w:pPr>
                    <w:widowControl w:val="0"/>
                    <w:jc w:val="center"/>
                    <w:rPr>
                      <w:color w:val="auto"/>
                      <w:szCs w:val="21"/>
                    </w:rPr>
                  </w:pPr>
                  <w:r>
                    <w:rPr>
                      <w:rFonts w:hint="eastAsia"/>
                      <w:color w:val="auto"/>
                      <w:szCs w:val="21"/>
                    </w:rPr>
                    <w:t>第三层</w:t>
                  </w:r>
                  <w:r>
                    <w:rPr>
                      <w:bCs/>
                      <w:color w:val="auto"/>
                      <w:szCs w:val="21"/>
                    </w:rPr>
                    <w:t>，建筑面积约</w:t>
                  </w:r>
                  <w:r>
                    <w:rPr>
                      <w:rFonts w:hint="eastAsia"/>
                      <w:bCs/>
                      <w:color w:val="auto"/>
                      <w:szCs w:val="21"/>
                    </w:rPr>
                    <w:t>4272.1</w:t>
                  </w:r>
                  <w:r>
                    <w:rPr>
                      <w:bCs/>
                      <w:color w:val="auto"/>
                      <w:szCs w:val="21"/>
                    </w:rPr>
                    <w:t>m</w:t>
                  </w:r>
                  <w:r>
                    <w:rPr>
                      <w:bCs/>
                      <w:color w:val="auto"/>
                      <w:szCs w:val="21"/>
                      <w:vertAlign w:val="superscript"/>
                    </w:rPr>
                    <w:t>2</w:t>
                  </w:r>
                  <w:r>
                    <w:rPr>
                      <w:bCs/>
                      <w:color w:val="auto"/>
                      <w:szCs w:val="21"/>
                    </w:rPr>
                    <w:t>，</w:t>
                  </w:r>
                  <w:r>
                    <w:rPr>
                      <w:rFonts w:hint="eastAsia"/>
                      <w:color w:val="auto"/>
                      <w:szCs w:val="21"/>
                    </w:rPr>
                    <w:t>组装车间</w:t>
                  </w:r>
                </w:p>
              </w:tc>
              <w:tc>
                <w:tcPr>
                  <w:tcW w:w="1736" w:type="dxa"/>
                  <w:tcBorders>
                    <w:left w:val="single" w:color="000000" w:sz="6" w:space="0"/>
                    <w:bottom w:val="single" w:color="auto" w:sz="4" w:space="0"/>
                  </w:tcBorders>
                  <w:vAlign w:val="center"/>
                </w:tcPr>
                <w:p w14:paraId="7293833C">
                  <w:pPr>
                    <w:widowControl w:val="0"/>
                    <w:jc w:val="center"/>
                    <w:rPr>
                      <w:bCs/>
                      <w:color w:val="auto"/>
                      <w:szCs w:val="21"/>
                    </w:rPr>
                  </w:pPr>
                  <w:r>
                    <w:rPr>
                      <w:rFonts w:hint="eastAsia"/>
                      <w:bCs/>
                      <w:color w:val="auto"/>
                      <w:szCs w:val="21"/>
                    </w:rPr>
                    <w:t>/</w:t>
                  </w:r>
                </w:p>
              </w:tc>
              <w:tc>
                <w:tcPr>
                  <w:tcW w:w="2478" w:type="dxa"/>
                  <w:tcBorders>
                    <w:bottom w:val="single" w:color="auto" w:sz="4" w:space="0"/>
                  </w:tcBorders>
                  <w:vAlign w:val="center"/>
                </w:tcPr>
                <w:p w14:paraId="201E79BA">
                  <w:pPr>
                    <w:widowControl w:val="0"/>
                    <w:jc w:val="center"/>
                    <w:rPr>
                      <w:color w:val="auto"/>
                      <w:szCs w:val="21"/>
                    </w:rPr>
                  </w:pPr>
                  <w:r>
                    <w:rPr>
                      <w:rFonts w:hint="eastAsia"/>
                      <w:color w:val="auto"/>
                      <w:szCs w:val="21"/>
                    </w:rPr>
                    <w:t>首层</w:t>
                  </w:r>
                  <w:r>
                    <w:rPr>
                      <w:bCs/>
                      <w:color w:val="auto"/>
                      <w:szCs w:val="21"/>
                    </w:rPr>
                    <w:t>，建筑面积约</w:t>
                  </w:r>
                  <w:r>
                    <w:rPr>
                      <w:rFonts w:hint="eastAsia"/>
                      <w:bCs/>
                      <w:color w:val="auto"/>
                      <w:szCs w:val="21"/>
                    </w:rPr>
                    <w:t>4272.1</w:t>
                  </w:r>
                  <w:r>
                    <w:rPr>
                      <w:bCs/>
                      <w:color w:val="auto"/>
                      <w:szCs w:val="21"/>
                    </w:rPr>
                    <w:t>m</w:t>
                  </w:r>
                  <w:r>
                    <w:rPr>
                      <w:bCs/>
                      <w:color w:val="auto"/>
                      <w:szCs w:val="21"/>
                      <w:vertAlign w:val="superscript"/>
                    </w:rPr>
                    <w:t>2</w:t>
                  </w:r>
                  <w:r>
                    <w:rPr>
                      <w:bCs/>
                      <w:color w:val="auto"/>
                      <w:szCs w:val="21"/>
                    </w:rPr>
                    <w:t>，</w:t>
                  </w:r>
                  <w:r>
                    <w:rPr>
                      <w:rFonts w:hint="eastAsia"/>
                      <w:color w:val="auto"/>
                      <w:szCs w:val="21"/>
                    </w:rPr>
                    <w:t>组装车间</w:t>
                  </w:r>
                </w:p>
              </w:tc>
              <w:tc>
                <w:tcPr>
                  <w:tcW w:w="1163" w:type="dxa"/>
                  <w:vAlign w:val="center"/>
                </w:tcPr>
                <w:p w14:paraId="4C30A1D2">
                  <w:pPr>
                    <w:widowControl w:val="0"/>
                    <w:jc w:val="center"/>
                    <w:rPr>
                      <w:bCs/>
                      <w:color w:val="auto"/>
                      <w:szCs w:val="21"/>
                    </w:rPr>
                  </w:pPr>
                  <w:r>
                    <w:rPr>
                      <w:bCs/>
                      <w:color w:val="auto"/>
                      <w:szCs w:val="21"/>
                    </w:rPr>
                    <w:t>不变</w:t>
                  </w:r>
                </w:p>
              </w:tc>
            </w:tr>
            <w:tr w14:paraId="3E7BF5E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67F284AF">
                  <w:pPr>
                    <w:pStyle w:val="194"/>
                    <w:widowControl w:val="0"/>
                    <w:snapToGrid w:val="0"/>
                    <w:spacing w:line="0" w:lineRule="atLeast"/>
                    <w:rPr>
                      <w:color w:val="auto"/>
                    </w:rPr>
                  </w:pPr>
                </w:p>
              </w:tc>
              <w:tc>
                <w:tcPr>
                  <w:tcW w:w="919" w:type="dxa"/>
                  <w:vMerge w:val="restart"/>
                  <w:tcBorders>
                    <w:top w:val="single" w:color="000000" w:sz="6" w:space="0"/>
                  </w:tcBorders>
                  <w:vAlign w:val="center"/>
                </w:tcPr>
                <w:p w14:paraId="5DD90996">
                  <w:pPr>
                    <w:widowControl w:val="0"/>
                    <w:jc w:val="center"/>
                    <w:rPr>
                      <w:bCs/>
                      <w:color w:val="auto"/>
                      <w:szCs w:val="21"/>
                    </w:rPr>
                  </w:pPr>
                  <w:r>
                    <w:rPr>
                      <w:rFonts w:hint="eastAsia"/>
                      <w:bCs/>
                      <w:color w:val="auto"/>
                      <w:szCs w:val="21"/>
                    </w:rPr>
                    <w:t>综合楼2</w:t>
                  </w:r>
                </w:p>
              </w:tc>
              <w:tc>
                <w:tcPr>
                  <w:tcW w:w="2631" w:type="dxa"/>
                  <w:tcBorders>
                    <w:top w:val="single" w:color="auto" w:sz="4" w:space="0"/>
                    <w:bottom w:val="single" w:color="auto" w:sz="4" w:space="0"/>
                    <w:right w:val="single" w:color="000000" w:sz="6" w:space="0"/>
                  </w:tcBorders>
                  <w:vAlign w:val="center"/>
                </w:tcPr>
                <w:p w14:paraId="6A51A6E4">
                  <w:pPr>
                    <w:widowControl w:val="0"/>
                    <w:jc w:val="center"/>
                    <w:rPr>
                      <w:color w:val="auto"/>
                      <w:szCs w:val="21"/>
                    </w:rPr>
                  </w:pPr>
                  <w:r>
                    <w:rPr>
                      <w:rFonts w:hint="eastAsia"/>
                      <w:color w:val="auto"/>
                      <w:szCs w:val="21"/>
                    </w:rPr>
                    <w:t>首层</w:t>
                  </w:r>
                  <w:r>
                    <w:rPr>
                      <w:bCs/>
                      <w:color w:val="auto"/>
                      <w:szCs w:val="21"/>
                    </w:rPr>
                    <w:t>，建筑面积约</w:t>
                  </w:r>
                  <w:r>
                    <w:rPr>
                      <w:rFonts w:hint="eastAsia"/>
                      <w:bCs/>
                      <w:color w:val="auto"/>
                      <w:szCs w:val="21"/>
                    </w:rPr>
                    <w:t>1243.54</w:t>
                  </w:r>
                  <w:r>
                    <w:rPr>
                      <w:bCs/>
                      <w:color w:val="auto"/>
                      <w:szCs w:val="21"/>
                    </w:rPr>
                    <w:t>m</w:t>
                  </w:r>
                  <w:r>
                    <w:rPr>
                      <w:bCs/>
                      <w:color w:val="auto"/>
                      <w:szCs w:val="21"/>
                      <w:vertAlign w:val="superscript"/>
                    </w:rPr>
                    <w:t>2</w:t>
                  </w:r>
                  <w:r>
                    <w:rPr>
                      <w:bCs/>
                      <w:color w:val="auto"/>
                      <w:szCs w:val="21"/>
                    </w:rPr>
                    <w:t>，</w:t>
                  </w:r>
                  <w:r>
                    <w:rPr>
                      <w:rFonts w:hint="eastAsia"/>
                      <w:color w:val="auto"/>
                      <w:szCs w:val="21"/>
                    </w:rPr>
                    <w:t>压铸车间</w:t>
                  </w:r>
                </w:p>
              </w:tc>
              <w:tc>
                <w:tcPr>
                  <w:tcW w:w="1736" w:type="dxa"/>
                  <w:tcBorders>
                    <w:top w:val="single" w:color="auto" w:sz="4" w:space="0"/>
                    <w:left w:val="single" w:color="000000" w:sz="6" w:space="0"/>
                    <w:bottom w:val="single" w:color="auto" w:sz="4" w:space="0"/>
                  </w:tcBorders>
                  <w:vAlign w:val="center"/>
                </w:tcPr>
                <w:p w14:paraId="597C6C24">
                  <w:pPr>
                    <w:widowControl w:val="0"/>
                    <w:jc w:val="center"/>
                    <w:rPr>
                      <w:color w:val="auto"/>
                      <w:szCs w:val="21"/>
                    </w:rPr>
                  </w:pPr>
                  <w:r>
                    <w:rPr>
                      <w:rFonts w:hint="eastAsia"/>
                      <w:color w:val="auto"/>
                      <w:szCs w:val="21"/>
                    </w:rPr>
                    <w:t>/</w:t>
                  </w:r>
                </w:p>
              </w:tc>
              <w:tc>
                <w:tcPr>
                  <w:tcW w:w="2478" w:type="dxa"/>
                  <w:tcBorders>
                    <w:top w:val="single" w:color="auto" w:sz="4" w:space="0"/>
                    <w:bottom w:val="single" w:color="auto" w:sz="4" w:space="0"/>
                  </w:tcBorders>
                  <w:vAlign w:val="center"/>
                </w:tcPr>
                <w:p w14:paraId="154D8FD3">
                  <w:pPr>
                    <w:widowControl w:val="0"/>
                    <w:jc w:val="center"/>
                    <w:rPr>
                      <w:color w:val="auto"/>
                      <w:szCs w:val="21"/>
                    </w:rPr>
                  </w:pPr>
                  <w:r>
                    <w:rPr>
                      <w:rFonts w:hint="eastAsia"/>
                      <w:color w:val="auto"/>
                      <w:szCs w:val="21"/>
                    </w:rPr>
                    <w:t>首层</w:t>
                  </w:r>
                  <w:r>
                    <w:rPr>
                      <w:bCs/>
                      <w:color w:val="auto"/>
                      <w:szCs w:val="21"/>
                    </w:rPr>
                    <w:t>，建筑面积约</w:t>
                  </w:r>
                  <w:r>
                    <w:rPr>
                      <w:rFonts w:hint="eastAsia"/>
                      <w:bCs/>
                      <w:color w:val="auto"/>
                      <w:szCs w:val="21"/>
                    </w:rPr>
                    <w:t>1243.54</w:t>
                  </w:r>
                  <w:r>
                    <w:rPr>
                      <w:bCs/>
                      <w:color w:val="auto"/>
                      <w:szCs w:val="21"/>
                    </w:rPr>
                    <w:t>m</w:t>
                  </w:r>
                  <w:r>
                    <w:rPr>
                      <w:bCs/>
                      <w:color w:val="auto"/>
                      <w:szCs w:val="21"/>
                      <w:vertAlign w:val="superscript"/>
                    </w:rPr>
                    <w:t>2</w:t>
                  </w:r>
                  <w:r>
                    <w:rPr>
                      <w:bCs/>
                      <w:color w:val="auto"/>
                      <w:szCs w:val="21"/>
                    </w:rPr>
                    <w:t>，</w:t>
                  </w:r>
                  <w:r>
                    <w:rPr>
                      <w:rFonts w:hint="eastAsia"/>
                      <w:color w:val="auto"/>
                      <w:szCs w:val="21"/>
                    </w:rPr>
                    <w:t>压铸车间</w:t>
                  </w:r>
                </w:p>
              </w:tc>
              <w:tc>
                <w:tcPr>
                  <w:tcW w:w="1163" w:type="dxa"/>
                  <w:tcBorders>
                    <w:top w:val="single" w:color="auto" w:sz="4" w:space="0"/>
                  </w:tcBorders>
                  <w:vAlign w:val="center"/>
                </w:tcPr>
                <w:p w14:paraId="5B9356F6">
                  <w:pPr>
                    <w:widowControl w:val="0"/>
                    <w:jc w:val="center"/>
                    <w:rPr>
                      <w:bCs/>
                      <w:color w:val="auto"/>
                      <w:szCs w:val="21"/>
                    </w:rPr>
                  </w:pPr>
                  <w:r>
                    <w:rPr>
                      <w:rFonts w:hint="eastAsia"/>
                      <w:bCs/>
                      <w:color w:val="auto"/>
                      <w:szCs w:val="21"/>
                    </w:rPr>
                    <w:t>不变</w:t>
                  </w:r>
                </w:p>
              </w:tc>
            </w:tr>
            <w:tr w14:paraId="75D699E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3494A2C3">
                  <w:pPr>
                    <w:pStyle w:val="194"/>
                    <w:widowControl w:val="0"/>
                    <w:snapToGrid w:val="0"/>
                    <w:spacing w:line="0" w:lineRule="atLeast"/>
                    <w:rPr>
                      <w:color w:val="auto"/>
                    </w:rPr>
                  </w:pPr>
                </w:p>
              </w:tc>
              <w:tc>
                <w:tcPr>
                  <w:tcW w:w="919" w:type="dxa"/>
                  <w:vMerge w:val="continue"/>
                  <w:tcBorders>
                    <w:bottom w:val="single" w:color="000000" w:sz="6" w:space="0"/>
                  </w:tcBorders>
                  <w:vAlign w:val="center"/>
                </w:tcPr>
                <w:p w14:paraId="4534ED81">
                  <w:pPr>
                    <w:widowControl w:val="0"/>
                    <w:jc w:val="center"/>
                    <w:rPr>
                      <w:rFonts w:hint="eastAsia"/>
                      <w:bCs/>
                      <w:color w:val="auto"/>
                      <w:szCs w:val="21"/>
                    </w:rPr>
                  </w:pPr>
                </w:p>
              </w:tc>
              <w:tc>
                <w:tcPr>
                  <w:tcW w:w="2631" w:type="dxa"/>
                  <w:tcBorders>
                    <w:top w:val="single" w:color="auto" w:sz="4" w:space="0"/>
                    <w:bottom w:val="single" w:color="000000" w:sz="6" w:space="0"/>
                    <w:right w:val="single" w:color="000000" w:sz="6" w:space="0"/>
                  </w:tcBorders>
                  <w:vAlign w:val="center"/>
                </w:tcPr>
                <w:p w14:paraId="1A883F76">
                  <w:pPr>
                    <w:widowControl w:val="0"/>
                    <w:jc w:val="center"/>
                    <w:rPr>
                      <w:color w:val="auto"/>
                      <w:szCs w:val="21"/>
                    </w:rPr>
                  </w:pPr>
                  <w:r>
                    <w:rPr>
                      <w:rFonts w:hint="eastAsia"/>
                      <w:color w:val="auto"/>
                      <w:szCs w:val="21"/>
                    </w:rPr>
                    <w:t>第二层</w:t>
                  </w:r>
                  <w:r>
                    <w:rPr>
                      <w:bCs/>
                      <w:color w:val="auto"/>
                      <w:szCs w:val="21"/>
                    </w:rPr>
                    <w:t>，建筑面积约</w:t>
                  </w:r>
                  <w:r>
                    <w:rPr>
                      <w:rFonts w:hint="eastAsia"/>
                      <w:bCs/>
                      <w:color w:val="auto"/>
                      <w:szCs w:val="21"/>
                    </w:rPr>
                    <w:t>1095.15</w:t>
                  </w:r>
                  <w:r>
                    <w:rPr>
                      <w:bCs/>
                      <w:color w:val="auto"/>
                      <w:szCs w:val="21"/>
                    </w:rPr>
                    <w:t>m</w:t>
                  </w:r>
                  <w:r>
                    <w:rPr>
                      <w:bCs/>
                      <w:color w:val="auto"/>
                      <w:szCs w:val="21"/>
                      <w:vertAlign w:val="superscript"/>
                    </w:rPr>
                    <w:t>2</w:t>
                  </w:r>
                  <w:r>
                    <w:rPr>
                      <w:bCs/>
                      <w:color w:val="auto"/>
                      <w:szCs w:val="21"/>
                    </w:rPr>
                    <w:t>，</w:t>
                  </w:r>
                  <w:r>
                    <w:rPr>
                      <w:rFonts w:hint="eastAsia"/>
                      <w:bCs/>
                      <w:color w:val="auto"/>
                      <w:szCs w:val="21"/>
                    </w:rPr>
                    <w:t>目前</w:t>
                  </w:r>
                  <w:r>
                    <w:rPr>
                      <w:rFonts w:hint="eastAsia"/>
                      <w:color w:val="auto"/>
                      <w:szCs w:val="21"/>
                    </w:rPr>
                    <w:t>闲置</w:t>
                  </w:r>
                </w:p>
              </w:tc>
              <w:tc>
                <w:tcPr>
                  <w:tcW w:w="1736" w:type="dxa"/>
                  <w:tcBorders>
                    <w:top w:val="single" w:color="auto" w:sz="4" w:space="0"/>
                    <w:left w:val="single" w:color="000000" w:sz="6" w:space="0"/>
                    <w:bottom w:val="single" w:color="000000" w:sz="6" w:space="0"/>
                  </w:tcBorders>
                  <w:vAlign w:val="center"/>
                </w:tcPr>
                <w:p w14:paraId="77F76449">
                  <w:pPr>
                    <w:widowControl w:val="0"/>
                    <w:jc w:val="center"/>
                    <w:rPr>
                      <w:color w:val="auto"/>
                      <w:szCs w:val="21"/>
                    </w:rPr>
                  </w:pPr>
                  <w:r>
                    <w:rPr>
                      <w:rFonts w:hint="eastAsia"/>
                      <w:color w:val="auto"/>
                      <w:szCs w:val="21"/>
                    </w:rPr>
                    <w:t>/</w:t>
                  </w:r>
                </w:p>
              </w:tc>
              <w:tc>
                <w:tcPr>
                  <w:tcW w:w="2478" w:type="dxa"/>
                  <w:tcBorders>
                    <w:top w:val="single" w:color="auto" w:sz="4" w:space="0"/>
                    <w:bottom w:val="single" w:color="000000" w:sz="6" w:space="0"/>
                  </w:tcBorders>
                  <w:vAlign w:val="center"/>
                </w:tcPr>
                <w:p w14:paraId="68CF3D3A">
                  <w:pPr>
                    <w:widowControl w:val="0"/>
                    <w:jc w:val="center"/>
                    <w:rPr>
                      <w:color w:val="auto"/>
                      <w:szCs w:val="21"/>
                    </w:rPr>
                  </w:pPr>
                  <w:r>
                    <w:rPr>
                      <w:rFonts w:hint="eastAsia"/>
                      <w:color w:val="auto"/>
                      <w:szCs w:val="21"/>
                    </w:rPr>
                    <w:t>第二层</w:t>
                  </w:r>
                  <w:r>
                    <w:rPr>
                      <w:bCs/>
                      <w:color w:val="auto"/>
                      <w:szCs w:val="21"/>
                    </w:rPr>
                    <w:t>，建筑面积约</w:t>
                  </w:r>
                  <w:r>
                    <w:rPr>
                      <w:rFonts w:hint="eastAsia"/>
                      <w:bCs/>
                      <w:color w:val="auto"/>
                      <w:szCs w:val="21"/>
                    </w:rPr>
                    <w:t>1095.15</w:t>
                  </w:r>
                  <w:r>
                    <w:rPr>
                      <w:bCs/>
                      <w:color w:val="auto"/>
                      <w:szCs w:val="21"/>
                    </w:rPr>
                    <w:t>m</w:t>
                  </w:r>
                  <w:r>
                    <w:rPr>
                      <w:bCs/>
                      <w:color w:val="auto"/>
                      <w:szCs w:val="21"/>
                      <w:vertAlign w:val="superscript"/>
                    </w:rPr>
                    <w:t>2</w:t>
                  </w:r>
                  <w:r>
                    <w:rPr>
                      <w:bCs/>
                      <w:color w:val="auto"/>
                      <w:szCs w:val="21"/>
                    </w:rPr>
                    <w:t>，</w:t>
                  </w:r>
                  <w:r>
                    <w:rPr>
                      <w:rFonts w:hint="eastAsia"/>
                      <w:bCs/>
                      <w:color w:val="auto"/>
                      <w:szCs w:val="21"/>
                    </w:rPr>
                    <w:t>目前</w:t>
                  </w:r>
                  <w:r>
                    <w:rPr>
                      <w:rFonts w:hint="eastAsia"/>
                      <w:color w:val="auto"/>
                      <w:szCs w:val="21"/>
                    </w:rPr>
                    <w:t>闲置</w:t>
                  </w:r>
                </w:p>
              </w:tc>
              <w:tc>
                <w:tcPr>
                  <w:tcW w:w="1163" w:type="dxa"/>
                  <w:tcBorders>
                    <w:bottom w:val="single" w:color="000000" w:sz="6" w:space="0"/>
                  </w:tcBorders>
                  <w:vAlign w:val="center"/>
                </w:tcPr>
                <w:p w14:paraId="716CCBE2">
                  <w:pPr>
                    <w:widowControl w:val="0"/>
                    <w:jc w:val="center"/>
                    <w:rPr>
                      <w:rFonts w:hint="eastAsia"/>
                      <w:bCs/>
                      <w:color w:val="auto"/>
                      <w:szCs w:val="21"/>
                    </w:rPr>
                  </w:pPr>
                  <w:r>
                    <w:rPr>
                      <w:rFonts w:hint="eastAsia"/>
                      <w:bCs/>
                      <w:color w:val="auto"/>
                      <w:szCs w:val="21"/>
                    </w:rPr>
                    <w:t>不变</w:t>
                  </w:r>
                </w:p>
              </w:tc>
            </w:tr>
            <w:tr w14:paraId="70E4847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44DC30FA">
                  <w:pPr>
                    <w:pStyle w:val="194"/>
                    <w:widowControl w:val="0"/>
                    <w:snapToGrid w:val="0"/>
                    <w:spacing w:line="0" w:lineRule="atLeast"/>
                    <w:rPr>
                      <w:color w:val="auto"/>
                    </w:rPr>
                  </w:pPr>
                </w:p>
              </w:tc>
              <w:tc>
                <w:tcPr>
                  <w:tcW w:w="919" w:type="dxa"/>
                  <w:vMerge w:val="restart"/>
                  <w:tcBorders>
                    <w:top w:val="single" w:color="000000" w:sz="6" w:space="0"/>
                  </w:tcBorders>
                  <w:vAlign w:val="center"/>
                </w:tcPr>
                <w:p w14:paraId="4E4FC7DA">
                  <w:pPr>
                    <w:widowControl w:val="0"/>
                    <w:jc w:val="center"/>
                    <w:rPr>
                      <w:bCs/>
                      <w:color w:val="auto"/>
                      <w:szCs w:val="21"/>
                    </w:rPr>
                  </w:pPr>
                  <w:r>
                    <w:rPr>
                      <w:rFonts w:hint="eastAsia"/>
                      <w:bCs/>
                      <w:color w:val="auto"/>
                      <w:szCs w:val="21"/>
                    </w:rPr>
                    <w:t>综合楼4</w:t>
                  </w:r>
                </w:p>
              </w:tc>
              <w:tc>
                <w:tcPr>
                  <w:tcW w:w="2631" w:type="dxa"/>
                  <w:tcBorders>
                    <w:top w:val="single" w:color="000000" w:sz="6" w:space="0"/>
                    <w:bottom w:val="single" w:color="auto" w:sz="4" w:space="0"/>
                    <w:right w:val="single" w:color="000000" w:sz="6" w:space="0"/>
                  </w:tcBorders>
                  <w:vAlign w:val="center"/>
                </w:tcPr>
                <w:p w14:paraId="65B2D8A6">
                  <w:pPr>
                    <w:widowControl w:val="0"/>
                    <w:jc w:val="center"/>
                    <w:rPr>
                      <w:color w:val="auto"/>
                      <w:szCs w:val="21"/>
                    </w:rPr>
                  </w:pPr>
                  <w:r>
                    <w:rPr>
                      <w:rFonts w:hint="eastAsia"/>
                      <w:color w:val="auto"/>
                      <w:szCs w:val="21"/>
                    </w:rPr>
                    <w:t>首层</w:t>
                  </w:r>
                  <w:r>
                    <w:rPr>
                      <w:bCs/>
                      <w:color w:val="auto"/>
                      <w:szCs w:val="21"/>
                    </w:rPr>
                    <w:t>，建筑面积约</w:t>
                  </w:r>
                  <w:r>
                    <w:rPr>
                      <w:rFonts w:hint="eastAsia"/>
                      <w:bCs/>
                      <w:color w:val="auto"/>
                      <w:szCs w:val="21"/>
                    </w:rPr>
                    <w:t>2745.16</w:t>
                  </w:r>
                  <w:r>
                    <w:rPr>
                      <w:bCs/>
                      <w:color w:val="auto"/>
                      <w:szCs w:val="21"/>
                    </w:rPr>
                    <w:t>m</w:t>
                  </w:r>
                  <w:r>
                    <w:rPr>
                      <w:bCs/>
                      <w:color w:val="auto"/>
                      <w:szCs w:val="21"/>
                      <w:vertAlign w:val="superscript"/>
                    </w:rPr>
                    <w:t>2</w:t>
                  </w:r>
                  <w:r>
                    <w:rPr>
                      <w:bCs/>
                      <w:color w:val="auto"/>
                      <w:szCs w:val="21"/>
                    </w:rPr>
                    <w:t>，</w:t>
                  </w:r>
                  <w:r>
                    <w:rPr>
                      <w:rFonts w:hint="eastAsia"/>
                      <w:color w:val="auto"/>
                      <w:szCs w:val="21"/>
                    </w:rPr>
                    <w:t>包装车间</w:t>
                  </w:r>
                </w:p>
              </w:tc>
              <w:tc>
                <w:tcPr>
                  <w:tcW w:w="1736" w:type="dxa"/>
                  <w:tcBorders>
                    <w:top w:val="single" w:color="000000" w:sz="6" w:space="0"/>
                    <w:left w:val="single" w:color="000000" w:sz="6" w:space="0"/>
                    <w:bottom w:val="single" w:color="auto" w:sz="4" w:space="0"/>
                  </w:tcBorders>
                  <w:vAlign w:val="center"/>
                </w:tcPr>
                <w:p w14:paraId="192E4C12">
                  <w:pPr>
                    <w:widowControl w:val="0"/>
                    <w:jc w:val="center"/>
                    <w:rPr>
                      <w:color w:val="auto"/>
                      <w:szCs w:val="21"/>
                    </w:rPr>
                  </w:pPr>
                  <w:r>
                    <w:rPr>
                      <w:rFonts w:hint="eastAsia"/>
                      <w:color w:val="auto"/>
                      <w:szCs w:val="21"/>
                    </w:rPr>
                    <w:t>/</w:t>
                  </w:r>
                </w:p>
              </w:tc>
              <w:tc>
                <w:tcPr>
                  <w:tcW w:w="2478" w:type="dxa"/>
                  <w:tcBorders>
                    <w:top w:val="single" w:color="000000" w:sz="6" w:space="0"/>
                    <w:bottom w:val="single" w:color="auto" w:sz="4" w:space="0"/>
                  </w:tcBorders>
                  <w:vAlign w:val="center"/>
                </w:tcPr>
                <w:p w14:paraId="20291A5E">
                  <w:pPr>
                    <w:widowControl w:val="0"/>
                    <w:jc w:val="center"/>
                    <w:rPr>
                      <w:color w:val="auto"/>
                      <w:szCs w:val="21"/>
                    </w:rPr>
                  </w:pPr>
                  <w:r>
                    <w:rPr>
                      <w:rFonts w:hint="eastAsia"/>
                      <w:color w:val="auto"/>
                      <w:szCs w:val="21"/>
                    </w:rPr>
                    <w:t>首层</w:t>
                  </w:r>
                  <w:r>
                    <w:rPr>
                      <w:bCs/>
                      <w:color w:val="auto"/>
                      <w:szCs w:val="21"/>
                    </w:rPr>
                    <w:t>，建筑面积约</w:t>
                  </w:r>
                  <w:r>
                    <w:rPr>
                      <w:rFonts w:hint="eastAsia"/>
                      <w:bCs/>
                      <w:color w:val="auto"/>
                      <w:szCs w:val="21"/>
                    </w:rPr>
                    <w:t>2745.16</w:t>
                  </w:r>
                  <w:r>
                    <w:rPr>
                      <w:bCs/>
                      <w:color w:val="auto"/>
                      <w:szCs w:val="21"/>
                    </w:rPr>
                    <w:t>m</w:t>
                  </w:r>
                  <w:r>
                    <w:rPr>
                      <w:bCs/>
                      <w:color w:val="auto"/>
                      <w:szCs w:val="21"/>
                      <w:vertAlign w:val="superscript"/>
                    </w:rPr>
                    <w:t>2</w:t>
                  </w:r>
                  <w:r>
                    <w:rPr>
                      <w:bCs/>
                      <w:color w:val="auto"/>
                      <w:szCs w:val="21"/>
                    </w:rPr>
                    <w:t>，</w:t>
                  </w:r>
                  <w:r>
                    <w:rPr>
                      <w:rFonts w:hint="eastAsia"/>
                      <w:color w:val="auto"/>
                      <w:szCs w:val="21"/>
                    </w:rPr>
                    <w:t>包装车间</w:t>
                  </w:r>
                </w:p>
              </w:tc>
              <w:tc>
                <w:tcPr>
                  <w:tcW w:w="1163" w:type="dxa"/>
                  <w:tcBorders>
                    <w:top w:val="single" w:color="000000" w:sz="6" w:space="0"/>
                  </w:tcBorders>
                  <w:vAlign w:val="center"/>
                </w:tcPr>
                <w:p w14:paraId="63E55B18">
                  <w:pPr>
                    <w:widowControl w:val="0"/>
                    <w:jc w:val="center"/>
                    <w:rPr>
                      <w:bCs/>
                      <w:color w:val="auto"/>
                      <w:szCs w:val="21"/>
                    </w:rPr>
                  </w:pPr>
                  <w:r>
                    <w:rPr>
                      <w:rFonts w:hint="eastAsia"/>
                      <w:bCs/>
                      <w:color w:val="auto"/>
                      <w:szCs w:val="21"/>
                    </w:rPr>
                    <w:t>不变</w:t>
                  </w:r>
                </w:p>
              </w:tc>
            </w:tr>
            <w:tr w14:paraId="06F38A0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09BB3795">
                  <w:pPr>
                    <w:pStyle w:val="194"/>
                    <w:widowControl w:val="0"/>
                    <w:snapToGrid w:val="0"/>
                    <w:spacing w:line="0" w:lineRule="atLeast"/>
                    <w:rPr>
                      <w:color w:val="auto"/>
                    </w:rPr>
                  </w:pPr>
                </w:p>
              </w:tc>
              <w:tc>
                <w:tcPr>
                  <w:tcW w:w="919" w:type="dxa"/>
                  <w:vMerge w:val="continue"/>
                  <w:tcBorders>
                    <w:bottom w:val="single" w:color="auto" w:sz="4" w:space="0"/>
                  </w:tcBorders>
                  <w:vAlign w:val="center"/>
                </w:tcPr>
                <w:p w14:paraId="6E4FFAF6">
                  <w:pPr>
                    <w:widowControl w:val="0"/>
                    <w:jc w:val="center"/>
                    <w:rPr>
                      <w:rFonts w:hint="eastAsia"/>
                      <w:bCs/>
                      <w:color w:val="auto"/>
                      <w:szCs w:val="21"/>
                    </w:rPr>
                  </w:pPr>
                </w:p>
              </w:tc>
              <w:tc>
                <w:tcPr>
                  <w:tcW w:w="2631" w:type="dxa"/>
                  <w:tcBorders>
                    <w:top w:val="single" w:color="auto" w:sz="4" w:space="0"/>
                    <w:bottom w:val="single" w:color="auto" w:sz="4" w:space="0"/>
                    <w:right w:val="single" w:color="000000" w:sz="6" w:space="0"/>
                  </w:tcBorders>
                  <w:vAlign w:val="center"/>
                </w:tcPr>
                <w:p w14:paraId="0D5B932D">
                  <w:pPr>
                    <w:widowControl w:val="0"/>
                    <w:jc w:val="center"/>
                    <w:rPr>
                      <w:color w:val="auto"/>
                      <w:szCs w:val="21"/>
                    </w:rPr>
                  </w:pPr>
                  <w:r>
                    <w:rPr>
                      <w:rFonts w:hint="eastAsia"/>
                      <w:color w:val="auto"/>
                      <w:szCs w:val="21"/>
                    </w:rPr>
                    <w:t>第三层</w:t>
                  </w:r>
                  <w:r>
                    <w:rPr>
                      <w:bCs/>
                      <w:color w:val="auto"/>
                      <w:szCs w:val="21"/>
                    </w:rPr>
                    <w:t>，建筑面积约</w:t>
                  </w:r>
                  <w:r>
                    <w:rPr>
                      <w:rFonts w:hint="eastAsia"/>
                      <w:bCs/>
                      <w:color w:val="auto"/>
                      <w:szCs w:val="21"/>
                    </w:rPr>
                    <w:t>2526.6</w:t>
                  </w:r>
                  <w:r>
                    <w:rPr>
                      <w:bCs/>
                      <w:color w:val="auto"/>
                      <w:szCs w:val="21"/>
                    </w:rPr>
                    <w:t>m</w:t>
                  </w:r>
                  <w:r>
                    <w:rPr>
                      <w:bCs/>
                      <w:color w:val="auto"/>
                      <w:szCs w:val="21"/>
                      <w:vertAlign w:val="superscript"/>
                    </w:rPr>
                    <w:t>2</w:t>
                  </w:r>
                  <w:r>
                    <w:rPr>
                      <w:bCs/>
                      <w:color w:val="auto"/>
                      <w:szCs w:val="21"/>
                    </w:rPr>
                    <w:t>，</w:t>
                  </w:r>
                  <w:r>
                    <w:rPr>
                      <w:rFonts w:hint="eastAsia"/>
                      <w:color w:val="auto"/>
                      <w:szCs w:val="21"/>
                    </w:rPr>
                    <w:t>老化车间</w:t>
                  </w:r>
                </w:p>
              </w:tc>
              <w:tc>
                <w:tcPr>
                  <w:tcW w:w="1736" w:type="dxa"/>
                  <w:tcBorders>
                    <w:top w:val="single" w:color="auto" w:sz="4" w:space="0"/>
                    <w:left w:val="single" w:color="000000" w:sz="6" w:space="0"/>
                    <w:bottom w:val="single" w:color="auto" w:sz="4" w:space="0"/>
                  </w:tcBorders>
                  <w:vAlign w:val="center"/>
                </w:tcPr>
                <w:p w14:paraId="0D29D6BB">
                  <w:pPr>
                    <w:widowControl w:val="0"/>
                    <w:jc w:val="center"/>
                    <w:rPr>
                      <w:color w:val="auto"/>
                      <w:szCs w:val="21"/>
                    </w:rPr>
                  </w:pPr>
                  <w:r>
                    <w:rPr>
                      <w:rFonts w:hint="eastAsia"/>
                      <w:color w:val="auto"/>
                      <w:szCs w:val="21"/>
                    </w:rPr>
                    <w:t>/</w:t>
                  </w:r>
                </w:p>
              </w:tc>
              <w:tc>
                <w:tcPr>
                  <w:tcW w:w="2478" w:type="dxa"/>
                  <w:tcBorders>
                    <w:top w:val="single" w:color="auto" w:sz="4" w:space="0"/>
                    <w:bottom w:val="single" w:color="auto" w:sz="4" w:space="0"/>
                  </w:tcBorders>
                  <w:vAlign w:val="center"/>
                </w:tcPr>
                <w:p w14:paraId="191F6BF3">
                  <w:pPr>
                    <w:widowControl w:val="0"/>
                    <w:jc w:val="center"/>
                    <w:rPr>
                      <w:color w:val="auto"/>
                      <w:szCs w:val="21"/>
                    </w:rPr>
                  </w:pPr>
                  <w:r>
                    <w:rPr>
                      <w:rFonts w:hint="eastAsia"/>
                      <w:color w:val="auto"/>
                      <w:szCs w:val="21"/>
                    </w:rPr>
                    <w:t>第三层</w:t>
                  </w:r>
                  <w:r>
                    <w:rPr>
                      <w:bCs/>
                      <w:color w:val="auto"/>
                      <w:szCs w:val="21"/>
                    </w:rPr>
                    <w:t>，建筑面积约</w:t>
                  </w:r>
                  <w:r>
                    <w:rPr>
                      <w:rFonts w:hint="eastAsia"/>
                      <w:bCs/>
                      <w:color w:val="auto"/>
                      <w:szCs w:val="21"/>
                    </w:rPr>
                    <w:t>2526.6</w:t>
                  </w:r>
                  <w:r>
                    <w:rPr>
                      <w:bCs/>
                      <w:color w:val="auto"/>
                      <w:szCs w:val="21"/>
                    </w:rPr>
                    <w:t>m</w:t>
                  </w:r>
                  <w:r>
                    <w:rPr>
                      <w:bCs/>
                      <w:color w:val="auto"/>
                      <w:szCs w:val="21"/>
                      <w:vertAlign w:val="superscript"/>
                    </w:rPr>
                    <w:t>2</w:t>
                  </w:r>
                  <w:r>
                    <w:rPr>
                      <w:bCs/>
                      <w:color w:val="auto"/>
                      <w:szCs w:val="21"/>
                    </w:rPr>
                    <w:t>，</w:t>
                  </w:r>
                  <w:r>
                    <w:rPr>
                      <w:rFonts w:hint="eastAsia"/>
                      <w:color w:val="auto"/>
                      <w:szCs w:val="21"/>
                    </w:rPr>
                    <w:t>老化车间</w:t>
                  </w:r>
                </w:p>
              </w:tc>
              <w:tc>
                <w:tcPr>
                  <w:tcW w:w="1163" w:type="dxa"/>
                  <w:tcBorders>
                    <w:bottom w:val="single" w:color="auto" w:sz="4" w:space="0"/>
                  </w:tcBorders>
                  <w:vAlign w:val="center"/>
                </w:tcPr>
                <w:p w14:paraId="657CFC9A">
                  <w:pPr>
                    <w:widowControl w:val="0"/>
                    <w:jc w:val="center"/>
                    <w:rPr>
                      <w:bCs/>
                      <w:color w:val="auto"/>
                      <w:szCs w:val="21"/>
                    </w:rPr>
                  </w:pPr>
                  <w:r>
                    <w:rPr>
                      <w:rFonts w:hint="eastAsia"/>
                      <w:bCs/>
                      <w:color w:val="auto"/>
                      <w:szCs w:val="21"/>
                    </w:rPr>
                    <w:t>不变</w:t>
                  </w:r>
                </w:p>
              </w:tc>
            </w:tr>
            <w:tr w14:paraId="4447C63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4803A9A1">
                  <w:pPr>
                    <w:pStyle w:val="194"/>
                    <w:widowControl w:val="0"/>
                    <w:snapToGrid w:val="0"/>
                    <w:spacing w:line="0" w:lineRule="atLeast"/>
                    <w:rPr>
                      <w:color w:val="auto"/>
                    </w:rPr>
                  </w:pPr>
                </w:p>
              </w:tc>
              <w:tc>
                <w:tcPr>
                  <w:tcW w:w="919" w:type="dxa"/>
                  <w:vAlign w:val="center"/>
                </w:tcPr>
                <w:p w14:paraId="4F8F52F7">
                  <w:pPr>
                    <w:widowControl w:val="0"/>
                    <w:jc w:val="center"/>
                    <w:rPr>
                      <w:bCs/>
                      <w:color w:val="auto"/>
                      <w:szCs w:val="21"/>
                    </w:rPr>
                  </w:pPr>
                  <w:r>
                    <w:rPr>
                      <w:rFonts w:hint="eastAsia"/>
                      <w:bCs/>
                      <w:color w:val="auto"/>
                      <w:szCs w:val="21"/>
                    </w:rPr>
                    <w:t>生产车间</w:t>
                  </w:r>
                </w:p>
              </w:tc>
              <w:tc>
                <w:tcPr>
                  <w:tcW w:w="2631" w:type="dxa"/>
                  <w:tcBorders>
                    <w:top w:val="single" w:color="auto" w:sz="4" w:space="0"/>
                    <w:bottom w:val="single" w:color="auto" w:sz="4" w:space="0"/>
                    <w:right w:val="single" w:color="000000" w:sz="6" w:space="0"/>
                  </w:tcBorders>
                  <w:vAlign w:val="center"/>
                </w:tcPr>
                <w:p w14:paraId="486EA087">
                  <w:pPr>
                    <w:widowControl w:val="0"/>
                    <w:jc w:val="center"/>
                    <w:rPr>
                      <w:color w:val="auto"/>
                      <w:szCs w:val="21"/>
                    </w:rPr>
                  </w:pPr>
                  <w:r>
                    <w:rPr>
                      <w:rFonts w:hint="eastAsia"/>
                      <w:color w:val="auto"/>
                      <w:szCs w:val="21"/>
                    </w:rPr>
                    <w:t>1层，</w:t>
                  </w:r>
                  <w:r>
                    <w:rPr>
                      <w:bCs/>
                      <w:color w:val="auto"/>
                      <w:szCs w:val="21"/>
                    </w:rPr>
                    <w:t>建筑面积约</w:t>
                  </w:r>
                  <w:r>
                    <w:rPr>
                      <w:rFonts w:hint="eastAsia"/>
                      <w:bCs/>
                      <w:color w:val="auto"/>
                      <w:szCs w:val="21"/>
                    </w:rPr>
                    <w:t>310</w:t>
                  </w:r>
                  <w:r>
                    <w:rPr>
                      <w:bCs/>
                      <w:color w:val="auto"/>
                      <w:szCs w:val="21"/>
                    </w:rPr>
                    <w:t>m</w:t>
                  </w:r>
                  <w:r>
                    <w:rPr>
                      <w:bCs/>
                      <w:color w:val="auto"/>
                      <w:szCs w:val="21"/>
                      <w:vertAlign w:val="superscript"/>
                    </w:rPr>
                    <w:t>2</w:t>
                  </w:r>
                  <w:r>
                    <w:rPr>
                      <w:bCs/>
                      <w:color w:val="auto"/>
                      <w:szCs w:val="21"/>
                    </w:rPr>
                    <w:t>，</w:t>
                  </w:r>
                  <w:r>
                    <w:rPr>
                      <w:rFonts w:hint="eastAsia"/>
                      <w:color w:val="auto"/>
                      <w:szCs w:val="21"/>
                    </w:rPr>
                    <w:t>氧化车间</w:t>
                  </w:r>
                </w:p>
              </w:tc>
              <w:tc>
                <w:tcPr>
                  <w:tcW w:w="1736" w:type="dxa"/>
                  <w:tcBorders>
                    <w:top w:val="single" w:color="auto" w:sz="4" w:space="0"/>
                    <w:left w:val="single" w:color="000000" w:sz="6" w:space="0"/>
                    <w:bottom w:val="single" w:color="auto" w:sz="4" w:space="0"/>
                  </w:tcBorders>
                  <w:vAlign w:val="center"/>
                </w:tcPr>
                <w:p w14:paraId="571129DE">
                  <w:pPr>
                    <w:widowControl w:val="0"/>
                    <w:jc w:val="center"/>
                    <w:rPr>
                      <w:color w:val="auto"/>
                      <w:szCs w:val="21"/>
                    </w:rPr>
                  </w:pPr>
                  <w:r>
                    <w:rPr>
                      <w:rFonts w:hint="eastAsia"/>
                      <w:color w:val="auto"/>
                      <w:szCs w:val="21"/>
                      <w:lang w:val="en-US" w:eastAsia="zh-CN"/>
                    </w:rPr>
                    <w:t>1</w:t>
                  </w:r>
                  <w:r>
                    <w:rPr>
                      <w:rFonts w:hint="eastAsia"/>
                      <w:color w:val="auto"/>
                      <w:szCs w:val="21"/>
                    </w:rPr>
                    <w:t>层，</w:t>
                  </w:r>
                  <w:r>
                    <w:rPr>
                      <w:bCs/>
                      <w:color w:val="auto"/>
                      <w:szCs w:val="21"/>
                    </w:rPr>
                    <w:t>建筑面积约</w:t>
                  </w:r>
                  <w:r>
                    <w:rPr>
                      <w:rFonts w:hint="eastAsia"/>
                      <w:bCs/>
                      <w:color w:val="auto"/>
                      <w:szCs w:val="21"/>
                    </w:rPr>
                    <w:t>310</w:t>
                  </w:r>
                  <w:r>
                    <w:rPr>
                      <w:bCs/>
                      <w:color w:val="auto"/>
                      <w:szCs w:val="21"/>
                    </w:rPr>
                    <w:t>m</w:t>
                  </w:r>
                  <w:r>
                    <w:rPr>
                      <w:bCs/>
                      <w:color w:val="auto"/>
                      <w:szCs w:val="21"/>
                      <w:vertAlign w:val="superscript"/>
                    </w:rPr>
                    <w:t>2</w:t>
                  </w:r>
                  <w:r>
                    <w:rPr>
                      <w:bCs/>
                      <w:color w:val="auto"/>
                      <w:szCs w:val="21"/>
                    </w:rPr>
                    <w:t>，</w:t>
                  </w:r>
                  <w:r>
                    <w:rPr>
                      <w:rFonts w:hint="eastAsia"/>
                      <w:color w:val="auto"/>
                      <w:szCs w:val="21"/>
                    </w:rPr>
                    <w:t>电泳漆表面加工车间</w:t>
                  </w:r>
                </w:p>
              </w:tc>
              <w:tc>
                <w:tcPr>
                  <w:tcW w:w="2478" w:type="dxa"/>
                  <w:tcBorders>
                    <w:top w:val="single" w:color="auto" w:sz="4" w:space="0"/>
                    <w:bottom w:val="single" w:color="auto" w:sz="4" w:space="0"/>
                  </w:tcBorders>
                  <w:vAlign w:val="center"/>
                </w:tcPr>
                <w:p w14:paraId="488006C9">
                  <w:pPr>
                    <w:widowControl w:val="0"/>
                    <w:jc w:val="center"/>
                    <w:rPr>
                      <w:color w:val="auto"/>
                      <w:szCs w:val="21"/>
                    </w:rPr>
                  </w:pPr>
                  <w:r>
                    <w:rPr>
                      <w:rFonts w:hint="eastAsia"/>
                      <w:color w:val="auto"/>
                      <w:szCs w:val="21"/>
                      <w:lang w:val="en-US" w:eastAsia="zh-CN"/>
                    </w:rPr>
                    <w:t>1</w:t>
                  </w:r>
                  <w:r>
                    <w:rPr>
                      <w:rFonts w:hint="eastAsia"/>
                      <w:color w:val="auto"/>
                      <w:szCs w:val="21"/>
                    </w:rPr>
                    <w:t>层，</w:t>
                  </w:r>
                  <w:r>
                    <w:rPr>
                      <w:bCs/>
                      <w:color w:val="auto"/>
                      <w:szCs w:val="21"/>
                    </w:rPr>
                    <w:t>建筑面积约</w:t>
                  </w:r>
                  <w:r>
                    <w:rPr>
                      <w:rFonts w:hint="eastAsia"/>
                      <w:bCs/>
                      <w:color w:val="auto"/>
                      <w:szCs w:val="21"/>
                    </w:rPr>
                    <w:t>310</w:t>
                  </w:r>
                  <w:r>
                    <w:rPr>
                      <w:bCs/>
                      <w:color w:val="auto"/>
                      <w:szCs w:val="21"/>
                    </w:rPr>
                    <w:t>m</w:t>
                  </w:r>
                  <w:r>
                    <w:rPr>
                      <w:bCs/>
                      <w:color w:val="auto"/>
                      <w:szCs w:val="21"/>
                      <w:vertAlign w:val="superscript"/>
                    </w:rPr>
                    <w:t>2</w:t>
                  </w:r>
                  <w:r>
                    <w:rPr>
                      <w:bCs/>
                      <w:color w:val="auto"/>
                      <w:szCs w:val="21"/>
                    </w:rPr>
                    <w:t>，</w:t>
                  </w:r>
                  <w:r>
                    <w:rPr>
                      <w:rFonts w:hint="eastAsia"/>
                      <w:color w:val="auto"/>
                      <w:szCs w:val="21"/>
                    </w:rPr>
                    <w:t>电泳漆表面加工车间</w:t>
                  </w:r>
                </w:p>
              </w:tc>
              <w:tc>
                <w:tcPr>
                  <w:tcW w:w="1163" w:type="dxa"/>
                  <w:vAlign w:val="center"/>
                </w:tcPr>
                <w:p w14:paraId="72911E64">
                  <w:pPr>
                    <w:widowControl w:val="0"/>
                    <w:jc w:val="center"/>
                    <w:rPr>
                      <w:bCs/>
                      <w:color w:val="auto"/>
                      <w:szCs w:val="21"/>
                    </w:rPr>
                  </w:pPr>
                  <w:r>
                    <w:rPr>
                      <w:rFonts w:hint="eastAsia"/>
                      <w:bCs/>
                      <w:color w:val="auto"/>
                      <w:szCs w:val="21"/>
                    </w:rPr>
                    <w:t>拆除原阳极氧化线，新增电泳漆表面加工线</w:t>
                  </w:r>
                </w:p>
              </w:tc>
            </w:tr>
            <w:tr w14:paraId="3139F9B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restart"/>
                  <w:vAlign w:val="center"/>
                </w:tcPr>
                <w:p w14:paraId="108BBE0B">
                  <w:pPr>
                    <w:pStyle w:val="194"/>
                    <w:widowControl w:val="0"/>
                    <w:snapToGrid w:val="0"/>
                    <w:spacing w:line="0" w:lineRule="atLeast"/>
                    <w:rPr>
                      <w:color w:val="auto"/>
                    </w:rPr>
                  </w:pPr>
                  <w:r>
                    <w:rPr>
                      <w:color w:val="auto"/>
                    </w:rPr>
                    <w:t>储运工程</w:t>
                  </w:r>
                </w:p>
              </w:tc>
              <w:tc>
                <w:tcPr>
                  <w:tcW w:w="919" w:type="dxa"/>
                  <w:vMerge w:val="restart"/>
                  <w:vAlign w:val="center"/>
                </w:tcPr>
                <w:p w14:paraId="5C0656DB">
                  <w:pPr>
                    <w:widowControl w:val="0"/>
                    <w:jc w:val="center"/>
                    <w:rPr>
                      <w:bCs/>
                      <w:color w:val="auto"/>
                      <w:szCs w:val="21"/>
                    </w:rPr>
                  </w:pPr>
                  <w:r>
                    <w:rPr>
                      <w:rFonts w:hint="eastAsia"/>
                      <w:bCs/>
                      <w:color w:val="auto"/>
                      <w:szCs w:val="21"/>
                    </w:rPr>
                    <w:t>综合楼3</w:t>
                  </w:r>
                </w:p>
              </w:tc>
              <w:tc>
                <w:tcPr>
                  <w:tcW w:w="2631" w:type="dxa"/>
                  <w:tcBorders>
                    <w:right w:val="single" w:color="000000" w:sz="6" w:space="0"/>
                  </w:tcBorders>
                  <w:vAlign w:val="center"/>
                </w:tcPr>
                <w:p w14:paraId="7A3EE580">
                  <w:pPr>
                    <w:widowControl w:val="0"/>
                    <w:jc w:val="center"/>
                    <w:rPr>
                      <w:color w:val="auto"/>
                      <w:szCs w:val="21"/>
                    </w:rPr>
                  </w:pPr>
                  <w:r>
                    <w:rPr>
                      <w:rFonts w:hint="eastAsia"/>
                      <w:color w:val="auto"/>
                      <w:szCs w:val="21"/>
                    </w:rPr>
                    <w:t>首层~第三层</w:t>
                  </w:r>
                  <w:r>
                    <w:rPr>
                      <w:color w:val="auto"/>
                      <w:szCs w:val="21"/>
                    </w:rPr>
                    <w:t>，建筑面积</w:t>
                  </w:r>
                  <w:r>
                    <w:rPr>
                      <w:rFonts w:hint="eastAsia"/>
                      <w:color w:val="auto"/>
                      <w:szCs w:val="21"/>
                    </w:rPr>
                    <w:t>约7798.36</w:t>
                  </w:r>
                  <w:r>
                    <w:rPr>
                      <w:color w:val="auto"/>
                      <w:szCs w:val="21"/>
                    </w:rPr>
                    <w:t>m</w:t>
                  </w:r>
                  <w:r>
                    <w:rPr>
                      <w:color w:val="auto"/>
                      <w:szCs w:val="21"/>
                      <w:vertAlign w:val="superscript"/>
                    </w:rPr>
                    <w:t>2</w:t>
                  </w:r>
                  <w:r>
                    <w:rPr>
                      <w:bCs/>
                      <w:color w:val="auto"/>
                      <w:szCs w:val="21"/>
                    </w:rPr>
                    <w:t>，</w:t>
                  </w:r>
                  <w:r>
                    <w:rPr>
                      <w:rFonts w:hint="eastAsia"/>
                      <w:bCs/>
                      <w:color w:val="auto"/>
                      <w:szCs w:val="21"/>
                    </w:rPr>
                    <w:t>原料</w:t>
                  </w:r>
                  <w:r>
                    <w:rPr>
                      <w:rFonts w:hint="eastAsia"/>
                      <w:color w:val="auto"/>
                      <w:szCs w:val="21"/>
                    </w:rPr>
                    <w:t>仓库</w:t>
                  </w:r>
                </w:p>
              </w:tc>
              <w:tc>
                <w:tcPr>
                  <w:tcW w:w="1736" w:type="dxa"/>
                  <w:tcBorders>
                    <w:left w:val="single" w:color="000000" w:sz="6" w:space="0"/>
                  </w:tcBorders>
                  <w:vAlign w:val="center"/>
                </w:tcPr>
                <w:p w14:paraId="59F74673">
                  <w:pPr>
                    <w:widowControl w:val="0"/>
                    <w:jc w:val="center"/>
                    <w:rPr>
                      <w:rFonts w:hint="default" w:eastAsia="宋体"/>
                      <w:color w:val="auto"/>
                      <w:szCs w:val="21"/>
                      <w:lang w:val="en-US" w:eastAsia="zh-CN"/>
                    </w:rPr>
                  </w:pPr>
                  <w:r>
                    <w:rPr>
                      <w:rFonts w:hint="eastAsia"/>
                      <w:color w:val="auto"/>
                      <w:szCs w:val="21"/>
                      <w:lang w:val="en-US" w:eastAsia="zh-CN"/>
                    </w:rPr>
                    <w:t>依托现有项目</w:t>
                  </w:r>
                </w:p>
              </w:tc>
              <w:tc>
                <w:tcPr>
                  <w:tcW w:w="2478" w:type="dxa"/>
                  <w:vAlign w:val="center"/>
                </w:tcPr>
                <w:p w14:paraId="7E5699CB">
                  <w:pPr>
                    <w:widowControl w:val="0"/>
                    <w:jc w:val="center"/>
                    <w:rPr>
                      <w:color w:val="auto"/>
                      <w:szCs w:val="21"/>
                    </w:rPr>
                  </w:pPr>
                  <w:r>
                    <w:rPr>
                      <w:rFonts w:hint="eastAsia"/>
                      <w:color w:val="auto"/>
                      <w:szCs w:val="21"/>
                    </w:rPr>
                    <w:t>首层~第三层</w:t>
                  </w:r>
                  <w:r>
                    <w:rPr>
                      <w:color w:val="auto"/>
                      <w:szCs w:val="21"/>
                    </w:rPr>
                    <w:t>，建筑面积</w:t>
                  </w:r>
                  <w:r>
                    <w:rPr>
                      <w:rFonts w:hint="eastAsia"/>
                      <w:color w:val="auto"/>
                      <w:szCs w:val="21"/>
                    </w:rPr>
                    <w:t>约7798.36</w:t>
                  </w:r>
                  <w:r>
                    <w:rPr>
                      <w:color w:val="auto"/>
                      <w:szCs w:val="21"/>
                    </w:rPr>
                    <w:t>m</w:t>
                  </w:r>
                  <w:r>
                    <w:rPr>
                      <w:color w:val="auto"/>
                      <w:szCs w:val="21"/>
                      <w:vertAlign w:val="superscript"/>
                    </w:rPr>
                    <w:t>2</w:t>
                  </w:r>
                  <w:r>
                    <w:rPr>
                      <w:bCs/>
                      <w:color w:val="auto"/>
                      <w:szCs w:val="21"/>
                    </w:rPr>
                    <w:t>，</w:t>
                  </w:r>
                  <w:r>
                    <w:rPr>
                      <w:rFonts w:hint="eastAsia"/>
                      <w:bCs/>
                      <w:color w:val="auto"/>
                      <w:szCs w:val="21"/>
                    </w:rPr>
                    <w:t>原料</w:t>
                  </w:r>
                  <w:r>
                    <w:rPr>
                      <w:rFonts w:hint="eastAsia"/>
                      <w:color w:val="auto"/>
                      <w:szCs w:val="21"/>
                    </w:rPr>
                    <w:t>仓库</w:t>
                  </w:r>
                </w:p>
              </w:tc>
              <w:tc>
                <w:tcPr>
                  <w:tcW w:w="1163" w:type="dxa"/>
                  <w:vAlign w:val="center"/>
                </w:tcPr>
                <w:p w14:paraId="5B56EFCA">
                  <w:pPr>
                    <w:widowControl w:val="0"/>
                    <w:jc w:val="center"/>
                    <w:rPr>
                      <w:color w:val="auto"/>
                      <w:szCs w:val="21"/>
                    </w:rPr>
                  </w:pPr>
                  <w:r>
                    <w:rPr>
                      <w:color w:val="auto"/>
                      <w:szCs w:val="21"/>
                    </w:rPr>
                    <w:t>不变</w:t>
                  </w:r>
                </w:p>
              </w:tc>
            </w:tr>
            <w:tr w14:paraId="5515EF2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182DB973">
                  <w:pPr>
                    <w:pStyle w:val="194"/>
                    <w:widowControl w:val="0"/>
                    <w:snapToGrid w:val="0"/>
                    <w:spacing w:line="0" w:lineRule="atLeast"/>
                    <w:rPr>
                      <w:b/>
                      <w:bCs w:val="0"/>
                      <w:color w:val="auto"/>
                    </w:rPr>
                  </w:pPr>
                </w:p>
              </w:tc>
              <w:tc>
                <w:tcPr>
                  <w:tcW w:w="919" w:type="dxa"/>
                  <w:vMerge w:val="continue"/>
                  <w:vAlign w:val="center"/>
                </w:tcPr>
                <w:p w14:paraId="2D302DB2">
                  <w:pPr>
                    <w:widowControl w:val="0"/>
                    <w:jc w:val="center"/>
                    <w:rPr>
                      <w:bCs/>
                      <w:color w:val="auto"/>
                      <w:szCs w:val="21"/>
                    </w:rPr>
                  </w:pPr>
                </w:p>
              </w:tc>
              <w:tc>
                <w:tcPr>
                  <w:tcW w:w="2631" w:type="dxa"/>
                  <w:tcBorders>
                    <w:right w:val="single" w:color="000000" w:sz="6" w:space="0"/>
                  </w:tcBorders>
                  <w:vAlign w:val="center"/>
                </w:tcPr>
                <w:p w14:paraId="2C55D2FE">
                  <w:pPr>
                    <w:widowControl w:val="0"/>
                    <w:jc w:val="center"/>
                    <w:rPr>
                      <w:color w:val="auto"/>
                      <w:szCs w:val="21"/>
                    </w:rPr>
                  </w:pPr>
                  <w:r>
                    <w:rPr>
                      <w:rFonts w:hint="eastAsia"/>
                      <w:color w:val="auto"/>
                      <w:szCs w:val="21"/>
                    </w:rPr>
                    <w:t>第四层，</w:t>
                  </w:r>
                  <w:r>
                    <w:rPr>
                      <w:color w:val="auto"/>
                      <w:szCs w:val="21"/>
                    </w:rPr>
                    <w:t>建筑面积</w:t>
                  </w:r>
                  <w:r>
                    <w:rPr>
                      <w:rFonts w:hint="eastAsia"/>
                      <w:color w:val="auto"/>
                      <w:szCs w:val="21"/>
                    </w:rPr>
                    <w:t>约2526.59</w:t>
                  </w:r>
                  <w:r>
                    <w:rPr>
                      <w:color w:val="auto"/>
                      <w:szCs w:val="21"/>
                    </w:rPr>
                    <w:t>m</w:t>
                  </w:r>
                  <w:r>
                    <w:rPr>
                      <w:color w:val="auto"/>
                      <w:szCs w:val="21"/>
                      <w:vertAlign w:val="superscript"/>
                    </w:rPr>
                    <w:t>2</w:t>
                  </w:r>
                  <w:r>
                    <w:rPr>
                      <w:bCs/>
                      <w:color w:val="auto"/>
                      <w:szCs w:val="21"/>
                    </w:rPr>
                    <w:t>，</w:t>
                  </w:r>
                  <w:r>
                    <w:rPr>
                      <w:rFonts w:hint="eastAsia"/>
                      <w:color w:val="auto"/>
                      <w:szCs w:val="21"/>
                    </w:rPr>
                    <w:t>目前闲置</w:t>
                  </w:r>
                </w:p>
              </w:tc>
              <w:tc>
                <w:tcPr>
                  <w:tcW w:w="1736" w:type="dxa"/>
                  <w:tcBorders>
                    <w:left w:val="single" w:color="000000" w:sz="6" w:space="0"/>
                  </w:tcBorders>
                  <w:vAlign w:val="center"/>
                </w:tcPr>
                <w:p w14:paraId="738C1F21">
                  <w:pPr>
                    <w:widowControl w:val="0"/>
                    <w:jc w:val="center"/>
                    <w:rPr>
                      <w:color w:val="auto"/>
                      <w:szCs w:val="21"/>
                    </w:rPr>
                  </w:pPr>
                  <w:r>
                    <w:rPr>
                      <w:rFonts w:hint="eastAsia"/>
                      <w:color w:val="auto"/>
                      <w:szCs w:val="21"/>
                    </w:rPr>
                    <w:t>/</w:t>
                  </w:r>
                </w:p>
              </w:tc>
              <w:tc>
                <w:tcPr>
                  <w:tcW w:w="2478" w:type="dxa"/>
                  <w:vAlign w:val="center"/>
                </w:tcPr>
                <w:p w14:paraId="6193326B">
                  <w:pPr>
                    <w:widowControl w:val="0"/>
                    <w:jc w:val="center"/>
                    <w:rPr>
                      <w:color w:val="auto"/>
                      <w:szCs w:val="21"/>
                    </w:rPr>
                  </w:pPr>
                  <w:r>
                    <w:rPr>
                      <w:rFonts w:hint="eastAsia"/>
                      <w:color w:val="auto"/>
                      <w:szCs w:val="21"/>
                    </w:rPr>
                    <w:t>第四层，</w:t>
                  </w:r>
                  <w:r>
                    <w:rPr>
                      <w:color w:val="auto"/>
                      <w:szCs w:val="21"/>
                    </w:rPr>
                    <w:t>建筑面积</w:t>
                  </w:r>
                  <w:r>
                    <w:rPr>
                      <w:rFonts w:hint="eastAsia"/>
                      <w:color w:val="auto"/>
                      <w:szCs w:val="21"/>
                    </w:rPr>
                    <w:t>约2526.59</w:t>
                  </w:r>
                  <w:r>
                    <w:rPr>
                      <w:color w:val="auto"/>
                      <w:szCs w:val="21"/>
                    </w:rPr>
                    <w:t>m</w:t>
                  </w:r>
                  <w:r>
                    <w:rPr>
                      <w:color w:val="auto"/>
                      <w:szCs w:val="21"/>
                      <w:vertAlign w:val="superscript"/>
                    </w:rPr>
                    <w:t>2</w:t>
                  </w:r>
                  <w:r>
                    <w:rPr>
                      <w:bCs/>
                      <w:color w:val="auto"/>
                      <w:szCs w:val="21"/>
                    </w:rPr>
                    <w:t>，</w:t>
                  </w:r>
                  <w:r>
                    <w:rPr>
                      <w:rFonts w:hint="eastAsia"/>
                      <w:color w:val="auto"/>
                      <w:szCs w:val="21"/>
                    </w:rPr>
                    <w:t>目前闲置</w:t>
                  </w:r>
                </w:p>
              </w:tc>
              <w:tc>
                <w:tcPr>
                  <w:tcW w:w="1163" w:type="dxa"/>
                  <w:vAlign w:val="center"/>
                </w:tcPr>
                <w:p w14:paraId="67020F68">
                  <w:pPr>
                    <w:widowControl w:val="0"/>
                    <w:jc w:val="center"/>
                    <w:rPr>
                      <w:color w:val="auto"/>
                      <w:szCs w:val="21"/>
                    </w:rPr>
                  </w:pPr>
                  <w:r>
                    <w:rPr>
                      <w:rFonts w:hint="eastAsia"/>
                      <w:color w:val="auto"/>
                      <w:szCs w:val="21"/>
                    </w:rPr>
                    <w:t>不变</w:t>
                  </w:r>
                </w:p>
              </w:tc>
            </w:tr>
            <w:tr w14:paraId="44F75DB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4583C9D6">
                  <w:pPr>
                    <w:pStyle w:val="194"/>
                    <w:widowControl w:val="0"/>
                    <w:snapToGrid w:val="0"/>
                    <w:spacing w:line="0" w:lineRule="atLeast"/>
                    <w:rPr>
                      <w:b/>
                      <w:bCs w:val="0"/>
                      <w:color w:val="auto"/>
                    </w:rPr>
                  </w:pPr>
                </w:p>
              </w:tc>
              <w:tc>
                <w:tcPr>
                  <w:tcW w:w="919" w:type="dxa"/>
                  <w:vAlign w:val="center"/>
                </w:tcPr>
                <w:p w14:paraId="6BE2F274">
                  <w:pPr>
                    <w:widowControl w:val="0"/>
                    <w:jc w:val="center"/>
                    <w:rPr>
                      <w:bCs/>
                      <w:color w:val="auto"/>
                      <w:szCs w:val="21"/>
                    </w:rPr>
                  </w:pPr>
                  <w:r>
                    <w:rPr>
                      <w:rFonts w:hint="eastAsia"/>
                      <w:bCs/>
                      <w:color w:val="auto"/>
                      <w:szCs w:val="21"/>
                    </w:rPr>
                    <w:t>综合楼4</w:t>
                  </w:r>
                </w:p>
              </w:tc>
              <w:tc>
                <w:tcPr>
                  <w:tcW w:w="2631" w:type="dxa"/>
                  <w:tcBorders>
                    <w:right w:val="single" w:color="000000" w:sz="6" w:space="0"/>
                  </w:tcBorders>
                  <w:vAlign w:val="center"/>
                </w:tcPr>
                <w:p w14:paraId="7C7C3290">
                  <w:pPr>
                    <w:widowControl w:val="0"/>
                    <w:jc w:val="center"/>
                    <w:rPr>
                      <w:rFonts w:hint="eastAsia"/>
                      <w:color w:val="auto"/>
                      <w:szCs w:val="21"/>
                    </w:rPr>
                  </w:pPr>
                  <w:r>
                    <w:rPr>
                      <w:rFonts w:hint="eastAsia"/>
                      <w:color w:val="auto"/>
                      <w:szCs w:val="21"/>
                    </w:rPr>
                    <w:t>第二层，</w:t>
                  </w:r>
                  <w:r>
                    <w:rPr>
                      <w:color w:val="auto"/>
                      <w:szCs w:val="21"/>
                    </w:rPr>
                    <w:t>建筑面积</w:t>
                  </w:r>
                  <w:r>
                    <w:rPr>
                      <w:rFonts w:hint="eastAsia"/>
                      <w:color w:val="auto"/>
                      <w:szCs w:val="21"/>
                    </w:rPr>
                    <w:t>约2526.6</w:t>
                  </w:r>
                  <w:r>
                    <w:rPr>
                      <w:color w:val="auto"/>
                      <w:szCs w:val="21"/>
                    </w:rPr>
                    <w:t>m</w:t>
                  </w:r>
                  <w:r>
                    <w:rPr>
                      <w:color w:val="auto"/>
                      <w:szCs w:val="21"/>
                      <w:vertAlign w:val="superscript"/>
                    </w:rPr>
                    <w:t>2</w:t>
                  </w:r>
                  <w:r>
                    <w:rPr>
                      <w:bCs/>
                      <w:color w:val="auto"/>
                      <w:szCs w:val="21"/>
                    </w:rPr>
                    <w:t>，</w:t>
                  </w:r>
                  <w:r>
                    <w:rPr>
                      <w:rFonts w:hint="eastAsia"/>
                      <w:bCs/>
                      <w:color w:val="auto"/>
                      <w:szCs w:val="21"/>
                    </w:rPr>
                    <w:t>产品</w:t>
                  </w:r>
                  <w:r>
                    <w:rPr>
                      <w:rFonts w:hint="eastAsia"/>
                      <w:color w:val="auto"/>
                      <w:szCs w:val="21"/>
                    </w:rPr>
                    <w:t>仓库</w:t>
                  </w:r>
                </w:p>
              </w:tc>
              <w:tc>
                <w:tcPr>
                  <w:tcW w:w="1736" w:type="dxa"/>
                  <w:tcBorders>
                    <w:left w:val="single" w:color="000000" w:sz="6" w:space="0"/>
                  </w:tcBorders>
                  <w:vAlign w:val="center"/>
                </w:tcPr>
                <w:p w14:paraId="43ACCA34">
                  <w:pPr>
                    <w:widowControl w:val="0"/>
                    <w:jc w:val="center"/>
                    <w:rPr>
                      <w:color w:val="auto"/>
                      <w:szCs w:val="21"/>
                    </w:rPr>
                  </w:pPr>
                  <w:r>
                    <w:rPr>
                      <w:rFonts w:hint="eastAsia"/>
                      <w:color w:val="auto"/>
                      <w:szCs w:val="21"/>
                    </w:rPr>
                    <w:t>/</w:t>
                  </w:r>
                </w:p>
              </w:tc>
              <w:tc>
                <w:tcPr>
                  <w:tcW w:w="2478" w:type="dxa"/>
                  <w:vAlign w:val="center"/>
                </w:tcPr>
                <w:p w14:paraId="56D60B86">
                  <w:pPr>
                    <w:widowControl w:val="0"/>
                    <w:jc w:val="center"/>
                    <w:rPr>
                      <w:rFonts w:hint="eastAsia"/>
                      <w:color w:val="auto"/>
                      <w:szCs w:val="21"/>
                    </w:rPr>
                  </w:pPr>
                  <w:r>
                    <w:rPr>
                      <w:rFonts w:hint="eastAsia"/>
                      <w:color w:val="auto"/>
                      <w:szCs w:val="21"/>
                    </w:rPr>
                    <w:t>第二层，</w:t>
                  </w:r>
                  <w:r>
                    <w:rPr>
                      <w:color w:val="auto"/>
                      <w:szCs w:val="21"/>
                    </w:rPr>
                    <w:t>建筑面积</w:t>
                  </w:r>
                  <w:r>
                    <w:rPr>
                      <w:rFonts w:hint="eastAsia"/>
                      <w:color w:val="auto"/>
                      <w:szCs w:val="21"/>
                    </w:rPr>
                    <w:t>约2526.6</w:t>
                  </w:r>
                  <w:r>
                    <w:rPr>
                      <w:color w:val="auto"/>
                      <w:szCs w:val="21"/>
                    </w:rPr>
                    <w:t>m</w:t>
                  </w:r>
                  <w:r>
                    <w:rPr>
                      <w:color w:val="auto"/>
                      <w:szCs w:val="21"/>
                      <w:vertAlign w:val="superscript"/>
                    </w:rPr>
                    <w:t>2</w:t>
                  </w:r>
                  <w:r>
                    <w:rPr>
                      <w:bCs/>
                      <w:color w:val="auto"/>
                      <w:szCs w:val="21"/>
                    </w:rPr>
                    <w:t>，</w:t>
                  </w:r>
                  <w:r>
                    <w:rPr>
                      <w:rFonts w:hint="eastAsia"/>
                      <w:bCs/>
                      <w:color w:val="auto"/>
                      <w:szCs w:val="21"/>
                    </w:rPr>
                    <w:t>产品</w:t>
                  </w:r>
                  <w:r>
                    <w:rPr>
                      <w:rFonts w:hint="eastAsia"/>
                      <w:color w:val="auto"/>
                      <w:szCs w:val="21"/>
                    </w:rPr>
                    <w:t>仓库</w:t>
                  </w:r>
                </w:p>
              </w:tc>
              <w:tc>
                <w:tcPr>
                  <w:tcW w:w="1163" w:type="dxa"/>
                  <w:vAlign w:val="center"/>
                </w:tcPr>
                <w:p w14:paraId="6C84FD54">
                  <w:pPr>
                    <w:widowControl w:val="0"/>
                    <w:jc w:val="center"/>
                    <w:rPr>
                      <w:rFonts w:hint="eastAsia"/>
                      <w:color w:val="auto"/>
                      <w:szCs w:val="21"/>
                    </w:rPr>
                  </w:pPr>
                  <w:r>
                    <w:rPr>
                      <w:rFonts w:hint="eastAsia"/>
                      <w:color w:val="auto"/>
                      <w:szCs w:val="21"/>
                    </w:rPr>
                    <w:t>不变</w:t>
                  </w:r>
                </w:p>
              </w:tc>
            </w:tr>
            <w:tr w14:paraId="13EF849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restart"/>
                  <w:vAlign w:val="center"/>
                </w:tcPr>
                <w:p w14:paraId="60D2824E">
                  <w:pPr>
                    <w:widowControl w:val="0"/>
                    <w:jc w:val="center"/>
                    <w:rPr>
                      <w:color w:val="auto"/>
                      <w:szCs w:val="21"/>
                    </w:rPr>
                  </w:pPr>
                  <w:r>
                    <w:rPr>
                      <w:color w:val="auto"/>
                      <w:szCs w:val="21"/>
                    </w:rPr>
                    <w:t>辅助工程</w:t>
                  </w:r>
                </w:p>
              </w:tc>
              <w:tc>
                <w:tcPr>
                  <w:tcW w:w="919" w:type="dxa"/>
                  <w:vAlign w:val="center"/>
                </w:tcPr>
                <w:p w14:paraId="06DDC1DB">
                  <w:pPr>
                    <w:widowControl w:val="0"/>
                    <w:jc w:val="center"/>
                    <w:rPr>
                      <w:color w:val="auto"/>
                      <w:szCs w:val="21"/>
                    </w:rPr>
                  </w:pPr>
                  <w:r>
                    <w:rPr>
                      <w:color w:val="auto"/>
                      <w:szCs w:val="21"/>
                    </w:rPr>
                    <w:t>办公</w:t>
                  </w:r>
                  <w:r>
                    <w:rPr>
                      <w:rFonts w:hint="eastAsia"/>
                      <w:color w:val="auto"/>
                      <w:szCs w:val="21"/>
                    </w:rPr>
                    <w:t>楼</w:t>
                  </w:r>
                </w:p>
              </w:tc>
              <w:tc>
                <w:tcPr>
                  <w:tcW w:w="2631" w:type="dxa"/>
                  <w:tcBorders>
                    <w:right w:val="single" w:color="000000" w:sz="6" w:space="0"/>
                  </w:tcBorders>
                  <w:vAlign w:val="center"/>
                </w:tcPr>
                <w:p w14:paraId="0462A808">
                  <w:pPr>
                    <w:widowControl w:val="0"/>
                    <w:jc w:val="center"/>
                    <w:rPr>
                      <w:color w:val="auto"/>
                      <w:szCs w:val="21"/>
                    </w:rPr>
                  </w:pPr>
                  <w:r>
                    <w:rPr>
                      <w:rFonts w:hint="eastAsia"/>
                      <w:color w:val="auto"/>
                      <w:szCs w:val="21"/>
                    </w:rPr>
                    <w:t>首层~第四层</w:t>
                  </w:r>
                  <w:r>
                    <w:rPr>
                      <w:color w:val="auto"/>
                      <w:szCs w:val="21"/>
                    </w:rPr>
                    <w:t>，建筑面积</w:t>
                  </w:r>
                  <w:r>
                    <w:rPr>
                      <w:rFonts w:hint="eastAsia"/>
                      <w:color w:val="auto"/>
                      <w:szCs w:val="21"/>
                    </w:rPr>
                    <w:t>约6716.66</w:t>
                  </w:r>
                  <w:r>
                    <w:rPr>
                      <w:color w:val="auto"/>
                      <w:szCs w:val="21"/>
                    </w:rPr>
                    <w:t>m</w:t>
                  </w:r>
                  <w:r>
                    <w:rPr>
                      <w:color w:val="auto"/>
                      <w:szCs w:val="21"/>
                      <w:vertAlign w:val="superscript"/>
                    </w:rPr>
                    <w:t>2</w:t>
                  </w:r>
                  <w:r>
                    <w:rPr>
                      <w:bCs/>
                      <w:color w:val="auto"/>
                      <w:szCs w:val="21"/>
                    </w:rPr>
                    <w:t>，</w:t>
                  </w:r>
                  <w:r>
                    <w:rPr>
                      <w:rFonts w:hint="eastAsia"/>
                      <w:color w:val="auto"/>
                      <w:szCs w:val="21"/>
                    </w:rPr>
                    <w:t>办公</w:t>
                  </w:r>
                </w:p>
              </w:tc>
              <w:tc>
                <w:tcPr>
                  <w:tcW w:w="1736" w:type="dxa"/>
                  <w:tcBorders>
                    <w:left w:val="single" w:color="000000" w:sz="6" w:space="0"/>
                  </w:tcBorders>
                  <w:vAlign w:val="center"/>
                </w:tcPr>
                <w:p w14:paraId="57D4FA98">
                  <w:pPr>
                    <w:widowControl w:val="0"/>
                    <w:jc w:val="center"/>
                    <w:rPr>
                      <w:color w:val="auto"/>
                      <w:szCs w:val="21"/>
                    </w:rPr>
                  </w:pPr>
                  <w:r>
                    <w:rPr>
                      <w:color w:val="auto"/>
                      <w:szCs w:val="21"/>
                    </w:rPr>
                    <w:t>依托现有项目</w:t>
                  </w:r>
                </w:p>
              </w:tc>
              <w:tc>
                <w:tcPr>
                  <w:tcW w:w="2478" w:type="dxa"/>
                  <w:vAlign w:val="center"/>
                </w:tcPr>
                <w:p w14:paraId="209E8232">
                  <w:pPr>
                    <w:widowControl w:val="0"/>
                    <w:jc w:val="center"/>
                    <w:rPr>
                      <w:color w:val="auto"/>
                      <w:szCs w:val="21"/>
                    </w:rPr>
                  </w:pPr>
                  <w:r>
                    <w:rPr>
                      <w:rFonts w:hint="eastAsia"/>
                      <w:color w:val="auto"/>
                      <w:szCs w:val="21"/>
                    </w:rPr>
                    <w:t>首层~第四层</w:t>
                  </w:r>
                  <w:r>
                    <w:rPr>
                      <w:color w:val="auto"/>
                      <w:szCs w:val="21"/>
                    </w:rPr>
                    <w:t>，建筑面积</w:t>
                  </w:r>
                  <w:r>
                    <w:rPr>
                      <w:rFonts w:hint="eastAsia"/>
                      <w:color w:val="auto"/>
                      <w:szCs w:val="21"/>
                    </w:rPr>
                    <w:t>约6716.66</w:t>
                  </w:r>
                  <w:r>
                    <w:rPr>
                      <w:color w:val="auto"/>
                      <w:szCs w:val="21"/>
                    </w:rPr>
                    <w:t>m</w:t>
                  </w:r>
                  <w:r>
                    <w:rPr>
                      <w:color w:val="auto"/>
                      <w:szCs w:val="21"/>
                      <w:vertAlign w:val="superscript"/>
                    </w:rPr>
                    <w:t>2</w:t>
                  </w:r>
                  <w:r>
                    <w:rPr>
                      <w:bCs/>
                      <w:color w:val="auto"/>
                      <w:szCs w:val="21"/>
                    </w:rPr>
                    <w:t>，</w:t>
                  </w:r>
                  <w:r>
                    <w:rPr>
                      <w:rFonts w:hint="eastAsia"/>
                      <w:color w:val="auto"/>
                      <w:szCs w:val="21"/>
                    </w:rPr>
                    <w:t>办公</w:t>
                  </w:r>
                </w:p>
              </w:tc>
              <w:tc>
                <w:tcPr>
                  <w:tcW w:w="1163" w:type="dxa"/>
                  <w:vAlign w:val="center"/>
                </w:tcPr>
                <w:p w14:paraId="7BF57DFE">
                  <w:pPr>
                    <w:widowControl w:val="0"/>
                    <w:jc w:val="center"/>
                    <w:rPr>
                      <w:color w:val="auto"/>
                      <w:szCs w:val="21"/>
                    </w:rPr>
                  </w:pPr>
                  <w:r>
                    <w:rPr>
                      <w:rFonts w:hint="eastAsia"/>
                      <w:color w:val="auto"/>
                      <w:szCs w:val="21"/>
                    </w:rPr>
                    <w:t>不变</w:t>
                  </w:r>
                </w:p>
              </w:tc>
            </w:tr>
            <w:tr w14:paraId="0A39631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66BD7BED">
                  <w:pPr>
                    <w:widowControl w:val="0"/>
                    <w:jc w:val="center"/>
                    <w:rPr>
                      <w:color w:val="auto"/>
                      <w:szCs w:val="21"/>
                    </w:rPr>
                  </w:pPr>
                </w:p>
              </w:tc>
              <w:tc>
                <w:tcPr>
                  <w:tcW w:w="919" w:type="dxa"/>
                  <w:vAlign w:val="center"/>
                </w:tcPr>
                <w:p w14:paraId="0E48175B">
                  <w:pPr>
                    <w:widowControl w:val="0"/>
                    <w:jc w:val="center"/>
                    <w:rPr>
                      <w:color w:val="auto"/>
                      <w:szCs w:val="21"/>
                    </w:rPr>
                  </w:pPr>
                  <w:r>
                    <w:rPr>
                      <w:rFonts w:hint="eastAsia"/>
                      <w:color w:val="auto"/>
                      <w:szCs w:val="21"/>
                    </w:rPr>
                    <w:t>综合楼6</w:t>
                  </w:r>
                </w:p>
              </w:tc>
              <w:tc>
                <w:tcPr>
                  <w:tcW w:w="2631" w:type="dxa"/>
                  <w:tcBorders>
                    <w:right w:val="single" w:color="000000" w:sz="6" w:space="0"/>
                  </w:tcBorders>
                  <w:vAlign w:val="center"/>
                </w:tcPr>
                <w:p w14:paraId="7EB4B2E1">
                  <w:pPr>
                    <w:widowControl w:val="0"/>
                    <w:jc w:val="center"/>
                    <w:rPr>
                      <w:color w:val="auto"/>
                      <w:szCs w:val="21"/>
                    </w:rPr>
                  </w:pPr>
                  <w:r>
                    <w:rPr>
                      <w:rFonts w:hint="eastAsia"/>
                      <w:color w:val="auto"/>
                      <w:szCs w:val="21"/>
                    </w:rPr>
                    <w:t>一层</w:t>
                  </w:r>
                  <w:r>
                    <w:rPr>
                      <w:color w:val="auto"/>
                      <w:szCs w:val="21"/>
                    </w:rPr>
                    <w:t>，建筑面积</w:t>
                  </w:r>
                  <w:r>
                    <w:rPr>
                      <w:rFonts w:hint="eastAsia"/>
                      <w:color w:val="auto"/>
                      <w:szCs w:val="21"/>
                    </w:rPr>
                    <w:t>约860</w:t>
                  </w:r>
                  <w:r>
                    <w:rPr>
                      <w:color w:val="auto"/>
                      <w:szCs w:val="21"/>
                    </w:rPr>
                    <w:t>m</w:t>
                  </w:r>
                  <w:r>
                    <w:rPr>
                      <w:color w:val="auto"/>
                      <w:szCs w:val="21"/>
                      <w:vertAlign w:val="superscript"/>
                    </w:rPr>
                    <w:t>2</w:t>
                  </w:r>
                  <w:r>
                    <w:rPr>
                      <w:bCs/>
                      <w:color w:val="auto"/>
                      <w:szCs w:val="21"/>
                    </w:rPr>
                    <w:t>，</w:t>
                  </w:r>
                  <w:r>
                    <w:rPr>
                      <w:color w:val="auto"/>
                      <w:szCs w:val="21"/>
                    </w:rPr>
                    <w:t>员工</w:t>
                  </w:r>
                  <w:r>
                    <w:rPr>
                      <w:rFonts w:hint="eastAsia"/>
                      <w:color w:val="auto"/>
                      <w:szCs w:val="21"/>
                    </w:rPr>
                    <w:t>食堂（配有厨房）</w:t>
                  </w:r>
                </w:p>
              </w:tc>
              <w:tc>
                <w:tcPr>
                  <w:tcW w:w="1736" w:type="dxa"/>
                  <w:tcBorders>
                    <w:left w:val="single" w:color="000000" w:sz="6" w:space="0"/>
                  </w:tcBorders>
                  <w:vAlign w:val="center"/>
                </w:tcPr>
                <w:p w14:paraId="753F641C">
                  <w:pPr>
                    <w:widowControl w:val="0"/>
                    <w:jc w:val="center"/>
                    <w:rPr>
                      <w:color w:val="auto"/>
                      <w:szCs w:val="21"/>
                    </w:rPr>
                  </w:pPr>
                  <w:r>
                    <w:rPr>
                      <w:rFonts w:hint="eastAsia"/>
                      <w:color w:val="auto"/>
                      <w:szCs w:val="21"/>
                    </w:rPr>
                    <w:t>依托现有项目</w:t>
                  </w:r>
                </w:p>
              </w:tc>
              <w:tc>
                <w:tcPr>
                  <w:tcW w:w="2478" w:type="dxa"/>
                  <w:vAlign w:val="center"/>
                </w:tcPr>
                <w:p w14:paraId="1BF0887A">
                  <w:pPr>
                    <w:widowControl w:val="0"/>
                    <w:jc w:val="center"/>
                    <w:rPr>
                      <w:color w:val="auto"/>
                      <w:szCs w:val="21"/>
                    </w:rPr>
                  </w:pPr>
                  <w:r>
                    <w:rPr>
                      <w:rFonts w:hint="eastAsia"/>
                      <w:color w:val="auto"/>
                      <w:szCs w:val="21"/>
                    </w:rPr>
                    <w:t>一层</w:t>
                  </w:r>
                  <w:r>
                    <w:rPr>
                      <w:color w:val="auto"/>
                      <w:szCs w:val="21"/>
                    </w:rPr>
                    <w:t>，建筑面积</w:t>
                  </w:r>
                  <w:r>
                    <w:rPr>
                      <w:rFonts w:hint="eastAsia"/>
                      <w:color w:val="auto"/>
                      <w:szCs w:val="21"/>
                    </w:rPr>
                    <w:t>约860</w:t>
                  </w:r>
                  <w:r>
                    <w:rPr>
                      <w:color w:val="auto"/>
                      <w:szCs w:val="21"/>
                    </w:rPr>
                    <w:t>m</w:t>
                  </w:r>
                  <w:r>
                    <w:rPr>
                      <w:color w:val="auto"/>
                      <w:szCs w:val="21"/>
                      <w:vertAlign w:val="superscript"/>
                    </w:rPr>
                    <w:t>2</w:t>
                  </w:r>
                  <w:r>
                    <w:rPr>
                      <w:bCs/>
                      <w:color w:val="auto"/>
                      <w:szCs w:val="21"/>
                    </w:rPr>
                    <w:t>，</w:t>
                  </w:r>
                  <w:r>
                    <w:rPr>
                      <w:color w:val="auto"/>
                      <w:szCs w:val="21"/>
                    </w:rPr>
                    <w:t>员工</w:t>
                  </w:r>
                  <w:r>
                    <w:rPr>
                      <w:rFonts w:hint="eastAsia"/>
                      <w:color w:val="auto"/>
                      <w:szCs w:val="21"/>
                    </w:rPr>
                    <w:t>食堂（配有厨房）</w:t>
                  </w:r>
                </w:p>
              </w:tc>
              <w:tc>
                <w:tcPr>
                  <w:tcW w:w="1163" w:type="dxa"/>
                  <w:vAlign w:val="center"/>
                </w:tcPr>
                <w:p w14:paraId="75B05EFF">
                  <w:pPr>
                    <w:widowControl w:val="0"/>
                    <w:jc w:val="center"/>
                    <w:rPr>
                      <w:bCs/>
                      <w:color w:val="auto"/>
                      <w:szCs w:val="21"/>
                    </w:rPr>
                  </w:pPr>
                  <w:r>
                    <w:rPr>
                      <w:rFonts w:hint="eastAsia"/>
                      <w:color w:val="auto"/>
                      <w:szCs w:val="21"/>
                    </w:rPr>
                    <w:t>不变</w:t>
                  </w:r>
                </w:p>
              </w:tc>
            </w:tr>
            <w:tr w14:paraId="0E56052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569A0B31">
                  <w:pPr>
                    <w:widowControl w:val="0"/>
                    <w:jc w:val="center"/>
                    <w:rPr>
                      <w:color w:val="auto"/>
                      <w:szCs w:val="21"/>
                    </w:rPr>
                  </w:pPr>
                </w:p>
              </w:tc>
              <w:tc>
                <w:tcPr>
                  <w:tcW w:w="919" w:type="dxa"/>
                  <w:vAlign w:val="center"/>
                </w:tcPr>
                <w:p w14:paraId="6EAC4159">
                  <w:pPr>
                    <w:widowControl w:val="0"/>
                    <w:jc w:val="center"/>
                    <w:rPr>
                      <w:color w:val="auto"/>
                      <w:szCs w:val="21"/>
                    </w:rPr>
                  </w:pPr>
                  <w:r>
                    <w:rPr>
                      <w:rFonts w:hint="eastAsia"/>
                      <w:color w:val="auto"/>
                      <w:szCs w:val="21"/>
                    </w:rPr>
                    <w:t>综合楼1</w:t>
                  </w:r>
                </w:p>
              </w:tc>
              <w:tc>
                <w:tcPr>
                  <w:tcW w:w="2631" w:type="dxa"/>
                  <w:tcBorders>
                    <w:right w:val="single" w:color="000000" w:sz="6" w:space="0"/>
                  </w:tcBorders>
                  <w:vAlign w:val="center"/>
                </w:tcPr>
                <w:p w14:paraId="6153D869">
                  <w:pPr>
                    <w:widowControl w:val="0"/>
                    <w:jc w:val="center"/>
                    <w:rPr>
                      <w:color w:val="auto"/>
                      <w:szCs w:val="21"/>
                    </w:rPr>
                  </w:pPr>
                  <w:r>
                    <w:rPr>
                      <w:rFonts w:hint="eastAsia"/>
                      <w:color w:val="auto"/>
                      <w:szCs w:val="21"/>
                    </w:rPr>
                    <w:t>第四层</w:t>
                  </w:r>
                  <w:r>
                    <w:rPr>
                      <w:color w:val="auto"/>
                      <w:szCs w:val="21"/>
                    </w:rPr>
                    <w:t>，建筑面积</w:t>
                  </w:r>
                  <w:r>
                    <w:rPr>
                      <w:rFonts w:hint="eastAsia"/>
                      <w:color w:val="auto"/>
                      <w:szCs w:val="21"/>
                    </w:rPr>
                    <w:t>约4272.1</w:t>
                  </w:r>
                  <w:r>
                    <w:rPr>
                      <w:color w:val="auto"/>
                      <w:szCs w:val="21"/>
                    </w:rPr>
                    <w:t>m</w:t>
                  </w:r>
                  <w:r>
                    <w:rPr>
                      <w:color w:val="auto"/>
                      <w:szCs w:val="21"/>
                      <w:vertAlign w:val="superscript"/>
                    </w:rPr>
                    <w:t>2</w:t>
                  </w:r>
                  <w:r>
                    <w:rPr>
                      <w:bCs/>
                      <w:color w:val="auto"/>
                      <w:szCs w:val="21"/>
                    </w:rPr>
                    <w:t>，</w:t>
                  </w:r>
                  <w:r>
                    <w:rPr>
                      <w:rFonts w:hint="eastAsia"/>
                      <w:color w:val="auto"/>
                      <w:szCs w:val="21"/>
                    </w:rPr>
                    <w:t>办公</w:t>
                  </w:r>
                </w:p>
              </w:tc>
              <w:tc>
                <w:tcPr>
                  <w:tcW w:w="1736" w:type="dxa"/>
                  <w:tcBorders>
                    <w:left w:val="single" w:color="000000" w:sz="6" w:space="0"/>
                  </w:tcBorders>
                  <w:vAlign w:val="center"/>
                </w:tcPr>
                <w:p w14:paraId="68A20F55">
                  <w:pPr>
                    <w:widowControl w:val="0"/>
                    <w:jc w:val="center"/>
                    <w:rPr>
                      <w:color w:val="auto"/>
                      <w:szCs w:val="21"/>
                    </w:rPr>
                  </w:pPr>
                  <w:r>
                    <w:rPr>
                      <w:rFonts w:hint="eastAsia"/>
                      <w:color w:val="auto"/>
                      <w:szCs w:val="21"/>
                    </w:rPr>
                    <w:t>/</w:t>
                  </w:r>
                </w:p>
              </w:tc>
              <w:tc>
                <w:tcPr>
                  <w:tcW w:w="2478" w:type="dxa"/>
                  <w:vAlign w:val="center"/>
                </w:tcPr>
                <w:p w14:paraId="2C330BE4">
                  <w:pPr>
                    <w:widowControl w:val="0"/>
                    <w:jc w:val="center"/>
                    <w:rPr>
                      <w:color w:val="auto"/>
                      <w:szCs w:val="21"/>
                    </w:rPr>
                  </w:pPr>
                  <w:r>
                    <w:rPr>
                      <w:rFonts w:hint="eastAsia"/>
                      <w:color w:val="auto"/>
                      <w:szCs w:val="21"/>
                    </w:rPr>
                    <w:t>第四层</w:t>
                  </w:r>
                  <w:r>
                    <w:rPr>
                      <w:color w:val="auto"/>
                      <w:szCs w:val="21"/>
                    </w:rPr>
                    <w:t>，建筑面积</w:t>
                  </w:r>
                  <w:r>
                    <w:rPr>
                      <w:rFonts w:hint="eastAsia"/>
                      <w:color w:val="auto"/>
                      <w:szCs w:val="21"/>
                    </w:rPr>
                    <w:t>约4272.1</w:t>
                  </w:r>
                  <w:r>
                    <w:rPr>
                      <w:color w:val="auto"/>
                      <w:szCs w:val="21"/>
                    </w:rPr>
                    <w:t>m</w:t>
                  </w:r>
                  <w:r>
                    <w:rPr>
                      <w:color w:val="auto"/>
                      <w:szCs w:val="21"/>
                      <w:vertAlign w:val="superscript"/>
                    </w:rPr>
                    <w:t>2</w:t>
                  </w:r>
                  <w:r>
                    <w:rPr>
                      <w:bCs/>
                      <w:color w:val="auto"/>
                      <w:szCs w:val="21"/>
                    </w:rPr>
                    <w:t>，</w:t>
                  </w:r>
                  <w:r>
                    <w:rPr>
                      <w:rFonts w:hint="eastAsia"/>
                      <w:color w:val="auto"/>
                      <w:szCs w:val="21"/>
                    </w:rPr>
                    <w:t>办公</w:t>
                  </w:r>
                </w:p>
              </w:tc>
              <w:tc>
                <w:tcPr>
                  <w:tcW w:w="1163" w:type="dxa"/>
                  <w:vAlign w:val="center"/>
                </w:tcPr>
                <w:p w14:paraId="3D5C05C4">
                  <w:pPr>
                    <w:widowControl w:val="0"/>
                    <w:jc w:val="center"/>
                    <w:rPr>
                      <w:color w:val="auto"/>
                      <w:szCs w:val="21"/>
                    </w:rPr>
                  </w:pPr>
                  <w:r>
                    <w:rPr>
                      <w:rFonts w:hint="eastAsia"/>
                      <w:color w:val="auto"/>
                      <w:szCs w:val="21"/>
                    </w:rPr>
                    <w:t>不变</w:t>
                  </w:r>
                </w:p>
              </w:tc>
            </w:tr>
            <w:tr w14:paraId="4D9D7D4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15114214">
                  <w:pPr>
                    <w:widowControl w:val="0"/>
                    <w:jc w:val="center"/>
                    <w:rPr>
                      <w:color w:val="auto"/>
                      <w:szCs w:val="21"/>
                    </w:rPr>
                  </w:pPr>
                </w:p>
              </w:tc>
              <w:tc>
                <w:tcPr>
                  <w:tcW w:w="919" w:type="dxa"/>
                  <w:vAlign w:val="center"/>
                </w:tcPr>
                <w:p w14:paraId="5220AB9E">
                  <w:pPr>
                    <w:widowControl w:val="0"/>
                    <w:jc w:val="center"/>
                    <w:rPr>
                      <w:color w:val="auto"/>
                      <w:szCs w:val="21"/>
                    </w:rPr>
                  </w:pPr>
                  <w:r>
                    <w:rPr>
                      <w:rFonts w:hint="eastAsia"/>
                      <w:color w:val="auto"/>
                      <w:szCs w:val="21"/>
                    </w:rPr>
                    <w:t>综合楼4</w:t>
                  </w:r>
                </w:p>
              </w:tc>
              <w:tc>
                <w:tcPr>
                  <w:tcW w:w="2631" w:type="dxa"/>
                  <w:tcBorders>
                    <w:right w:val="single" w:color="000000" w:sz="6" w:space="0"/>
                  </w:tcBorders>
                  <w:vAlign w:val="center"/>
                </w:tcPr>
                <w:p w14:paraId="4A64A8A3">
                  <w:pPr>
                    <w:widowControl w:val="0"/>
                    <w:jc w:val="center"/>
                    <w:rPr>
                      <w:color w:val="auto"/>
                      <w:szCs w:val="21"/>
                    </w:rPr>
                  </w:pPr>
                  <w:r>
                    <w:rPr>
                      <w:rFonts w:hint="eastAsia"/>
                      <w:color w:val="auto"/>
                      <w:szCs w:val="21"/>
                    </w:rPr>
                    <w:t>第四层</w:t>
                  </w:r>
                  <w:r>
                    <w:rPr>
                      <w:color w:val="auto"/>
                      <w:szCs w:val="21"/>
                    </w:rPr>
                    <w:t>，建筑面积</w:t>
                  </w:r>
                  <w:r>
                    <w:rPr>
                      <w:rFonts w:hint="eastAsia"/>
                      <w:color w:val="auto"/>
                      <w:szCs w:val="21"/>
                    </w:rPr>
                    <w:t>约2526.59</w:t>
                  </w:r>
                  <w:r>
                    <w:rPr>
                      <w:color w:val="auto"/>
                      <w:szCs w:val="21"/>
                    </w:rPr>
                    <w:t>m</w:t>
                  </w:r>
                  <w:r>
                    <w:rPr>
                      <w:color w:val="auto"/>
                      <w:szCs w:val="21"/>
                      <w:vertAlign w:val="superscript"/>
                    </w:rPr>
                    <w:t>2</w:t>
                  </w:r>
                  <w:r>
                    <w:rPr>
                      <w:bCs/>
                      <w:color w:val="auto"/>
                      <w:szCs w:val="21"/>
                    </w:rPr>
                    <w:t>，</w:t>
                  </w:r>
                  <w:r>
                    <w:rPr>
                      <w:rFonts w:hint="eastAsia"/>
                      <w:color w:val="auto"/>
                      <w:szCs w:val="21"/>
                    </w:rPr>
                    <w:t>员工运动中心</w:t>
                  </w:r>
                </w:p>
              </w:tc>
              <w:tc>
                <w:tcPr>
                  <w:tcW w:w="1736" w:type="dxa"/>
                  <w:tcBorders>
                    <w:left w:val="single" w:color="000000" w:sz="6" w:space="0"/>
                  </w:tcBorders>
                  <w:vAlign w:val="center"/>
                </w:tcPr>
                <w:p w14:paraId="12A63FB2">
                  <w:pPr>
                    <w:widowControl w:val="0"/>
                    <w:jc w:val="center"/>
                    <w:rPr>
                      <w:color w:val="auto"/>
                      <w:szCs w:val="21"/>
                    </w:rPr>
                  </w:pPr>
                  <w:r>
                    <w:rPr>
                      <w:rFonts w:hint="eastAsia"/>
                      <w:color w:val="auto"/>
                      <w:szCs w:val="21"/>
                    </w:rPr>
                    <w:t>/</w:t>
                  </w:r>
                </w:p>
              </w:tc>
              <w:tc>
                <w:tcPr>
                  <w:tcW w:w="2478" w:type="dxa"/>
                  <w:vAlign w:val="center"/>
                </w:tcPr>
                <w:p w14:paraId="0EE65846">
                  <w:pPr>
                    <w:widowControl w:val="0"/>
                    <w:jc w:val="center"/>
                    <w:rPr>
                      <w:color w:val="auto"/>
                      <w:szCs w:val="21"/>
                    </w:rPr>
                  </w:pPr>
                  <w:r>
                    <w:rPr>
                      <w:rFonts w:hint="eastAsia"/>
                      <w:color w:val="auto"/>
                      <w:szCs w:val="21"/>
                    </w:rPr>
                    <w:t>第四层</w:t>
                  </w:r>
                  <w:r>
                    <w:rPr>
                      <w:color w:val="auto"/>
                      <w:szCs w:val="21"/>
                    </w:rPr>
                    <w:t>，建筑面积</w:t>
                  </w:r>
                  <w:r>
                    <w:rPr>
                      <w:rFonts w:hint="eastAsia"/>
                      <w:color w:val="auto"/>
                      <w:szCs w:val="21"/>
                    </w:rPr>
                    <w:t>约2526.59</w:t>
                  </w:r>
                  <w:r>
                    <w:rPr>
                      <w:color w:val="auto"/>
                      <w:szCs w:val="21"/>
                    </w:rPr>
                    <w:t>m</w:t>
                  </w:r>
                  <w:r>
                    <w:rPr>
                      <w:color w:val="auto"/>
                      <w:szCs w:val="21"/>
                      <w:vertAlign w:val="superscript"/>
                    </w:rPr>
                    <w:t>2</w:t>
                  </w:r>
                  <w:r>
                    <w:rPr>
                      <w:bCs/>
                      <w:color w:val="auto"/>
                      <w:szCs w:val="21"/>
                    </w:rPr>
                    <w:t>，</w:t>
                  </w:r>
                  <w:r>
                    <w:rPr>
                      <w:rFonts w:hint="eastAsia"/>
                      <w:color w:val="auto"/>
                      <w:szCs w:val="21"/>
                    </w:rPr>
                    <w:t>员工运动中心</w:t>
                  </w:r>
                </w:p>
              </w:tc>
              <w:tc>
                <w:tcPr>
                  <w:tcW w:w="1163" w:type="dxa"/>
                  <w:vAlign w:val="center"/>
                </w:tcPr>
                <w:p w14:paraId="35D52948">
                  <w:pPr>
                    <w:widowControl w:val="0"/>
                    <w:jc w:val="center"/>
                    <w:rPr>
                      <w:color w:val="auto"/>
                      <w:szCs w:val="21"/>
                    </w:rPr>
                  </w:pPr>
                  <w:r>
                    <w:rPr>
                      <w:rFonts w:hint="eastAsia"/>
                      <w:color w:val="auto"/>
                      <w:szCs w:val="21"/>
                    </w:rPr>
                    <w:t>不变</w:t>
                  </w:r>
                </w:p>
              </w:tc>
            </w:tr>
            <w:tr w14:paraId="6E15BB5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2DDD047C">
                  <w:pPr>
                    <w:widowControl w:val="0"/>
                    <w:jc w:val="center"/>
                    <w:rPr>
                      <w:color w:val="auto"/>
                      <w:szCs w:val="21"/>
                    </w:rPr>
                  </w:pPr>
                </w:p>
              </w:tc>
              <w:tc>
                <w:tcPr>
                  <w:tcW w:w="919" w:type="dxa"/>
                  <w:tcBorders>
                    <w:top w:val="single" w:color="000000" w:sz="6" w:space="0"/>
                    <w:bottom w:val="single" w:color="auto" w:sz="4" w:space="0"/>
                  </w:tcBorders>
                  <w:vAlign w:val="center"/>
                </w:tcPr>
                <w:p w14:paraId="1301D926">
                  <w:pPr>
                    <w:widowControl w:val="0"/>
                    <w:jc w:val="center"/>
                    <w:rPr>
                      <w:color w:val="auto"/>
                      <w:szCs w:val="21"/>
                    </w:rPr>
                  </w:pPr>
                  <w:r>
                    <w:rPr>
                      <w:rFonts w:hint="eastAsia"/>
                      <w:color w:val="auto"/>
                      <w:szCs w:val="21"/>
                    </w:rPr>
                    <w:t>发电机房</w:t>
                  </w:r>
                </w:p>
              </w:tc>
              <w:tc>
                <w:tcPr>
                  <w:tcW w:w="2631" w:type="dxa"/>
                  <w:tcBorders>
                    <w:top w:val="single" w:color="000000" w:sz="6" w:space="0"/>
                    <w:bottom w:val="single" w:color="auto" w:sz="4" w:space="0"/>
                    <w:right w:val="single" w:color="000000" w:sz="6" w:space="0"/>
                  </w:tcBorders>
                  <w:vAlign w:val="center"/>
                </w:tcPr>
                <w:p w14:paraId="48F440F3">
                  <w:pPr>
                    <w:widowControl w:val="0"/>
                    <w:jc w:val="center"/>
                    <w:rPr>
                      <w:color w:val="auto"/>
                      <w:szCs w:val="21"/>
                    </w:rPr>
                  </w:pPr>
                  <w:r>
                    <w:rPr>
                      <w:rFonts w:hint="eastAsia"/>
                      <w:color w:val="auto"/>
                      <w:szCs w:val="21"/>
                    </w:rPr>
                    <w:t>一层</w:t>
                  </w:r>
                  <w:r>
                    <w:rPr>
                      <w:color w:val="auto"/>
                      <w:szCs w:val="21"/>
                    </w:rPr>
                    <w:t>，建筑面积</w:t>
                  </w:r>
                  <w:r>
                    <w:rPr>
                      <w:rFonts w:hint="eastAsia"/>
                      <w:color w:val="auto"/>
                      <w:szCs w:val="21"/>
                    </w:rPr>
                    <w:t>约200</w:t>
                  </w:r>
                  <w:r>
                    <w:rPr>
                      <w:color w:val="auto"/>
                      <w:szCs w:val="21"/>
                    </w:rPr>
                    <w:t>m</w:t>
                  </w:r>
                  <w:r>
                    <w:rPr>
                      <w:color w:val="auto"/>
                      <w:szCs w:val="21"/>
                      <w:vertAlign w:val="superscript"/>
                    </w:rPr>
                    <w:t>2</w:t>
                  </w:r>
                  <w:r>
                    <w:rPr>
                      <w:bCs/>
                      <w:color w:val="auto"/>
                      <w:szCs w:val="21"/>
                    </w:rPr>
                    <w:t>，</w:t>
                  </w:r>
                  <w:r>
                    <w:rPr>
                      <w:rFonts w:hint="eastAsia"/>
                      <w:bCs/>
                      <w:color w:val="auto"/>
                      <w:szCs w:val="21"/>
                    </w:rPr>
                    <w:t>放置备用发电机</w:t>
                  </w:r>
                </w:p>
              </w:tc>
              <w:tc>
                <w:tcPr>
                  <w:tcW w:w="1736" w:type="dxa"/>
                  <w:tcBorders>
                    <w:top w:val="single" w:color="000000" w:sz="6" w:space="0"/>
                    <w:left w:val="single" w:color="000000" w:sz="6" w:space="0"/>
                    <w:bottom w:val="single" w:color="000000" w:sz="6" w:space="0"/>
                  </w:tcBorders>
                  <w:vAlign w:val="center"/>
                </w:tcPr>
                <w:p w14:paraId="5D6C8251">
                  <w:pPr>
                    <w:widowControl w:val="0"/>
                    <w:jc w:val="center"/>
                    <w:rPr>
                      <w:rFonts w:hint="eastAsia" w:eastAsia="宋体"/>
                      <w:color w:val="auto"/>
                      <w:szCs w:val="21"/>
                      <w:lang w:eastAsia="zh-CN"/>
                    </w:rPr>
                  </w:pPr>
                  <w:r>
                    <w:rPr>
                      <w:rFonts w:hint="eastAsia"/>
                      <w:color w:val="auto"/>
                      <w:szCs w:val="21"/>
                      <w:lang w:val="en-US" w:eastAsia="zh-CN"/>
                    </w:rPr>
                    <w:t>/</w:t>
                  </w:r>
                </w:p>
              </w:tc>
              <w:tc>
                <w:tcPr>
                  <w:tcW w:w="2478" w:type="dxa"/>
                  <w:tcBorders>
                    <w:top w:val="single" w:color="000000" w:sz="6" w:space="0"/>
                    <w:bottom w:val="single" w:color="000000" w:sz="6" w:space="0"/>
                  </w:tcBorders>
                  <w:vAlign w:val="center"/>
                </w:tcPr>
                <w:p w14:paraId="26D047AD">
                  <w:pPr>
                    <w:widowControl w:val="0"/>
                    <w:jc w:val="center"/>
                    <w:rPr>
                      <w:color w:val="auto"/>
                      <w:szCs w:val="21"/>
                    </w:rPr>
                  </w:pPr>
                  <w:r>
                    <w:rPr>
                      <w:rFonts w:hint="eastAsia"/>
                      <w:color w:val="auto"/>
                      <w:szCs w:val="21"/>
                    </w:rPr>
                    <w:t>一层</w:t>
                  </w:r>
                  <w:r>
                    <w:rPr>
                      <w:color w:val="auto"/>
                      <w:szCs w:val="21"/>
                    </w:rPr>
                    <w:t>，建筑面积</w:t>
                  </w:r>
                  <w:r>
                    <w:rPr>
                      <w:rFonts w:hint="eastAsia"/>
                      <w:color w:val="auto"/>
                      <w:szCs w:val="21"/>
                    </w:rPr>
                    <w:t>约200</w:t>
                  </w:r>
                  <w:r>
                    <w:rPr>
                      <w:color w:val="auto"/>
                      <w:szCs w:val="21"/>
                    </w:rPr>
                    <w:t>m</w:t>
                  </w:r>
                  <w:r>
                    <w:rPr>
                      <w:color w:val="auto"/>
                      <w:szCs w:val="21"/>
                      <w:vertAlign w:val="superscript"/>
                    </w:rPr>
                    <w:t>2</w:t>
                  </w:r>
                  <w:r>
                    <w:rPr>
                      <w:bCs/>
                      <w:color w:val="auto"/>
                      <w:szCs w:val="21"/>
                    </w:rPr>
                    <w:t>，</w:t>
                  </w:r>
                  <w:r>
                    <w:rPr>
                      <w:rFonts w:hint="eastAsia"/>
                      <w:bCs/>
                      <w:color w:val="auto"/>
                      <w:szCs w:val="21"/>
                    </w:rPr>
                    <w:t>放置备用发电机</w:t>
                  </w:r>
                </w:p>
              </w:tc>
              <w:tc>
                <w:tcPr>
                  <w:tcW w:w="1163" w:type="dxa"/>
                  <w:tcBorders>
                    <w:top w:val="single" w:color="000000" w:sz="6" w:space="0"/>
                    <w:bottom w:val="single" w:color="000000" w:sz="6" w:space="0"/>
                  </w:tcBorders>
                  <w:vAlign w:val="center"/>
                </w:tcPr>
                <w:p w14:paraId="1F5A810E">
                  <w:pPr>
                    <w:widowControl w:val="0"/>
                    <w:jc w:val="center"/>
                    <w:rPr>
                      <w:color w:val="auto"/>
                      <w:szCs w:val="21"/>
                    </w:rPr>
                  </w:pPr>
                  <w:r>
                    <w:rPr>
                      <w:rFonts w:hint="eastAsia"/>
                      <w:color w:val="auto"/>
                      <w:szCs w:val="21"/>
                    </w:rPr>
                    <w:t>不变</w:t>
                  </w:r>
                </w:p>
              </w:tc>
            </w:tr>
            <w:tr w14:paraId="1D3A49C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52C00C55">
                  <w:pPr>
                    <w:widowControl w:val="0"/>
                    <w:jc w:val="center"/>
                    <w:rPr>
                      <w:color w:val="auto"/>
                      <w:szCs w:val="21"/>
                    </w:rPr>
                  </w:pPr>
                </w:p>
              </w:tc>
              <w:tc>
                <w:tcPr>
                  <w:tcW w:w="919" w:type="dxa"/>
                  <w:vAlign w:val="center"/>
                </w:tcPr>
                <w:p w14:paraId="2CA6071A">
                  <w:pPr>
                    <w:widowControl w:val="0"/>
                    <w:jc w:val="center"/>
                    <w:rPr>
                      <w:color w:val="auto"/>
                      <w:szCs w:val="21"/>
                    </w:rPr>
                  </w:pPr>
                  <w:r>
                    <w:rPr>
                      <w:rFonts w:hint="eastAsia"/>
                      <w:color w:val="auto"/>
                      <w:szCs w:val="21"/>
                    </w:rPr>
                    <w:t>配电房</w:t>
                  </w:r>
                </w:p>
              </w:tc>
              <w:tc>
                <w:tcPr>
                  <w:tcW w:w="2631" w:type="dxa"/>
                  <w:tcBorders>
                    <w:top w:val="single" w:color="auto" w:sz="4" w:space="0"/>
                    <w:right w:val="single" w:color="000000" w:sz="6" w:space="0"/>
                  </w:tcBorders>
                  <w:vAlign w:val="center"/>
                </w:tcPr>
                <w:p w14:paraId="786B2B56">
                  <w:pPr>
                    <w:widowControl w:val="0"/>
                    <w:jc w:val="center"/>
                    <w:rPr>
                      <w:color w:val="auto"/>
                      <w:szCs w:val="21"/>
                    </w:rPr>
                  </w:pPr>
                  <w:r>
                    <w:rPr>
                      <w:rFonts w:hint="eastAsia"/>
                      <w:color w:val="auto"/>
                      <w:szCs w:val="21"/>
                    </w:rPr>
                    <w:t>一层</w:t>
                  </w:r>
                  <w:r>
                    <w:rPr>
                      <w:color w:val="auto"/>
                      <w:szCs w:val="21"/>
                    </w:rPr>
                    <w:t>，建筑面积</w:t>
                  </w:r>
                  <w:r>
                    <w:rPr>
                      <w:rFonts w:hint="eastAsia"/>
                      <w:color w:val="auto"/>
                      <w:szCs w:val="21"/>
                    </w:rPr>
                    <w:t>约300</w:t>
                  </w:r>
                  <w:r>
                    <w:rPr>
                      <w:color w:val="auto"/>
                      <w:szCs w:val="21"/>
                    </w:rPr>
                    <w:t>m</w:t>
                  </w:r>
                  <w:r>
                    <w:rPr>
                      <w:color w:val="auto"/>
                      <w:szCs w:val="21"/>
                      <w:vertAlign w:val="superscript"/>
                    </w:rPr>
                    <w:t>2</w:t>
                  </w:r>
                  <w:r>
                    <w:rPr>
                      <w:bCs/>
                      <w:color w:val="auto"/>
                      <w:szCs w:val="21"/>
                    </w:rPr>
                    <w:t>，</w:t>
                  </w:r>
                  <w:r>
                    <w:rPr>
                      <w:rFonts w:hint="eastAsia"/>
                      <w:color w:val="auto"/>
                      <w:szCs w:val="21"/>
                    </w:rPr>
                    <w:t>厂区内中转用电</w:t>
                  </w:r>
                </w:p>
              </w:tc>
              <w:tc>
                <w:tcPr>
                  <w:tcW w:w="1736" w:type="dxa"/>
                  <w:tcBorders>
                    <w:top w:val="single" w:color="auto" w:sz="4" w:space="0"/>
                    <w:left w:val="single" w:color="000000" w:sz="6" w:space="0"/>
                  </w:tcBorders>
                  <w:vAlign w:val="center"/>
                </w:tcPr>
                <w:p w14:paraId="426A799A">
                  <w:pPr>
                    <w:widowControl w:val="0"/>
                    <w:jc w:val="center"/>
                    <w:rPr>
                      <w:color w:val="auto"/>
                      <w:szCs w:val="21"/>
                    </w:rPr>
                  </w:pPr>
                  <w:r>
                    <w:rPr>
                      <w:rFonts w:hint="eastAsia"/>
                      <w:color w:val="auto"/>
                      <w:szCs w:val="21"/>
                    </w:rPr>
                    <w:t>依托现有项目</w:t>
                  </w:r>
                </w:p>
              </w:tc>
              <w:tc>
                <w:tcPr>
                  <w:tcW w:w="2478" w:type="dxa"/>
                  <w:tcBorders>
                    <w:top w:val="single" w:color="auto" w:sz="4" w:space="0"/>
                  </w:tcBorders>
                  <w:vAlign w:val="center"/>
                </w:tcPr>
                <w:p w14:paraId="09C7F06D">
                  <w:pPr>
                    <w:widowControl w:val="0"/>
                    <w:jc w:val="center"/>
                    <w:rPr>
                      <w:color w:val="auto"/>
                      <w:szCs w:val="21"/>
                    </w:rPr>
                  </w:pPr>
                  <w:r>
                    <w:rPr>
                      <w:rFonts w:hint="eastAsia"/>
                      <w:color w:val="auto"/>
                      <w:szCs w:val="21"/>
                    </w:rPr>
                    <w:t>一层</w:t>
                  </w:r>
                  <w:r>
                    <w:rPr>
                      <w:color w:val="auto"/>
                      <w:szCs w:val="21"/>
                    </w:rPr>
                    <w:t>，建筑面积</w:t>
                  </w:r>
                  <w:r>
                    <w:rPr>
                      <w:rFonts w:hint="eastAsia"/>
                      <w:color w:val="auto"/>
                      <w:szCs w:val="21"/>
                    </w:rPr>
                    <w:t>约300</w:t>
                  </w:r>
                  <w:r>
                    <w:rPr>
                      <w:color w:val="auto"/>
                      <w:szCs w:val="21"/>
                    </w:rPr>
                    <w:t>m</w:t>
                  </w:r>
                  <w:r>
                    <w:rPr>
                      <w:color w:val="auto"/>
                      <w:szCs w:val="21"/>
                      <w:vertAlign w:val="superscript"/>
                    </w:rPr>
                    <w:t>2</w:t>
                  </w:r>
                  <w:r>
                    <w:rPr>
                      <w:bCs/>
                      <w:color w:val="auto"/>
                      <w:szCs w:val="21"/>
                    </w:rPr>
                    <w:t>，</w:t>
                  </w:r>
                  <w:r>
                    <w:rPr>
                      <w:rFonts w:hint="eastAsia"/>
                      <w:color w:val="auto"/>
                      <w:szCs w:val="21"/>
                    </w:rPr>
                    <w:t>厂区内中转用电</w:t>
                  </w:r>
                </w:p>
              </w:tc>
              <w:tc>
                <w:tcPr>
                  <w:tcW w:w="1163" w:type="dxa"/>
                  <w:tcBorders>
                    <w:top w:val="single" w:color="auto" w:sz="4" w:space="0"/>
                  </w:tcBorders>
                  <w:vAlign w:val="center"/>
                </w:tcPr>
                <w:p w14:paraId="565F3327">
                  <w:pPr>
                    <w:widowControl w:val="0"/>
                    <w:jc w:val="center"/>
                    <w:rPr>
                      <w:color w:val="auto"/>
                      <w:szCs w:val="21"/>
                    </w:rPr>
                  </w:pPr>
                  <w:r>
                    <w:rPr>
                      <w:rFonts w:hint="eastAsia"/>
                      <w:color w:val="auto"/>
                      <w:szCs w:val="21"/>
                    </w:rPr>
                    <w:t>不变</w:t>
                  </w:r>
                </w:p>
              </w:tc>
            </w:tr>
            <w:tr w14:paraId="3805C75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restart"/>
                  <w:vAlign w:val="center"/>
                </w:tcPr>
                <w:p w14:paraId="602DB66E">
                  <w:pPr>
                    <w:widowControl w:val="0"/>
                    <w:jc w:val="center"/>
                    <w:rPr>
                      <w:color w:val="auto"/>
                      <w:szCs w:val="21"/>
                    </w:rPr>
                  </w:pPr>
                  <w:r>
                    <w:rPr>
                      <w:color w:val="auto"/>
                      <w:szCs w:val="21"/>
                    </w:rPr>
                    <w:t>公用工程</w:t>
                  </w:r>
                </w:p>
              </w:tc>
              <w:tc>
                <w:tcPr>
                  <w:tcW w:w="919" w:type="dxa"/>
                  <w:vAlign w:val="center"/>
                </w:tcPr>
                <w:p w14:paraId="54BC70F4">
                  <w:pPr>
                    <w:widowControl w:val="0"/>
                    <w:jc w:val="center"/>
                    <w:rPr>
                      <w:color w:val="auto"/>
                      <w:szCs w:val="21"/>
                    </w:rPr>
                  </w:pPr>
                  <w:r>
                    <w:rPr>
                      <w:color w:val="auto"/>
                      <w:szCs w:val="21"/>
                    </w:rPr>
                    <w:t>供水</w:t>
                  </w:r>
                </w:p>
              </w:tc>
              <w:tc>
                <w:tcPr>
                  <w:tcW w:w="2631" w:type="dxa"/>
                  <w:tcBorders>
                    <w:right w:val="single" w:color="000000" w:sz="6" w:space="0"/>
                  </w:tcBorders>
                  <w:vAlign w:val="center"/>
                </w:tcPr>
                <w:p w14:paraId="5C46160F">
                  <w:pPr>
                    <w:widowControl w:val="0"/>
                    <w:jc w:val="center"/>
                    <w:rPr>
                      <w:color w:val="auto"/>
                      <w:szCs w:val="21"/>
                    </w:rPr>
                  </w:pPr>
                  <w:r>
                    <w:rPr>
                      <w:color w:val="auto"/>
                      <w:szCs w:val="21"/>
                    </w:rPr>
                    <w:t>市政自来水供给</w:t>
                  </w:r>
                </w:p>
              </w:tc>
              <w:tc>
                <w:tcPr>
                  <w:tcW w:w="1736" w:type="dxa"/>
                  <w:tcBorders>
                    <w:left w:val="single" w:color="000000" w:sz="6" w:space="0"/>
                  </w:tcBorders>
                  <w:vAlign w:val="center"/>
                </w:tcPr>
                <w:p w14:paraId="07C919FD">
                  <w:pPr>
                    <w:widowControl w:val="0"/>
                    <w:jc w:val="center"/>
                    <w:rPr>
                      <w:color w:val="auto"/>
                      <w:szCs w:val="21"/>
                    </w:rPr>
                  </w:pPr>
                  <w:r>
                    <w:rPr>
                      <w:color w:val="auto"/>
                      <w:szCs w:val="21"/>
                    </w:rPr>
                    <w:t>市政自来水供给</w:t>
                  </w:r>
                </w:p>
              </w:tc>
              <w:tc>
                <w:tcPr>
                  <w:tcW w:w="2478" w:type="dxa"/>
                  <w:vAlign w:val="center"/>
                </w:tcPr>
                <w:p w14:paraId="48F6BEE6">
                  <w:pPr>
                    <w:widowControl w:val="0"/>
                    <w:jc w:val="center"/>
                    <w:rPr>
                      <w:color w:val="auto"/>
                      <w:szCs w:val="21"/>
                    </w:rPr>
                  </w:pPr>
                  <w:r>
                    <w:rPr>
                      <w:color w:val="auto"/>
                      <w:szCs w:val="21"/>
                    </w:rPr>
                    <w:t>市政自来水供给</w:t>
                  </w:r>
                </w:p>
              </w:tc>
              <w:tc>
                <w:tcPr>
                  <w:tcW w:w="1163" w:type="dxa"/>
                  <w:vAlign w:val="center"/>
                </w:tcPr>
                <w:p w14:paraId="3D065C0A">
                  <w:pPr>
                    <w:widowControl w:val="0"/>
                    <w:jc w:val="center"/>
                    <w:rPr>
                      <w:color w:val="auto"/>
                      <w:szCs w:val="21"/>
                    </w:rPr>
                  </w:pPr>
                  <w:r>
                    <w:rPr>
                      <w:rFonts w:hint="eastAsia"/>
                      <w:color w:val="auto"/>
                      <w:szCs w:val="21"/>
                    </w:rPr>
                    <w:t>减少阳极氧化生产线用水，增加电泳漆表面加工生产线用水，用水量有所减少</w:t>
                  </w:r>
                </w:p>
              </w:tc>
            </w:tr>
            <w:tr w14:paraId="2C619A9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50BD6165">
                  <w:pPr>
                    <w:widowControl w:val="0"/>
                    <w:jc w:val="center"/>
                    <w:rPr>
                      <w:color w:val="auto"/>
                      <w:szCs w:val="21"/>
                    </w:rPr>
                  </w:pPr>
                </w:p>
              </w:tc>
              <w:tc>
                <w:tcPr>
                  <w:tcW w:w="919" w:type="dxa"/>
                  <w:vAlign w:val="center"/>
                </w:tcPr>
                <w:p w14:paraId="0C4E4526">
                  <w:pPr>
                    <w:widowControl w:val="0"/>
                    <w:jc w:val="center"/>
                    <w:rPr>
                      <w:color w:val="auto"/>
                      <w:szCs w:val="21"/>
                    </w:rPr>
                  </w:pPr>
                  <w:r>
                    <w:rPr>
                      <w:color w:val="auto"/>
                      <w:szCs w:val="21"/>
                    </w:rPr>
                    <w:t>排水</w:t>
                  </w:r>
                </w:p>
              </w:tc>
              <w:tc>
                <w:tcPr>
                  <w:tcW w:w="2631" w:type="dxa"/>
                  <w:tcBorders>
                    <w:right w:val="single" w:color="000000" w:sz="6" w:space="0"/>
                  </w:tcBorders>
                  <w:vAlign w:val="center"/>
                </w:tcPr>
                <w:p w14:paraId="31BF7409">
                  <w:pPr>
                    <w:widowControl w:val="0"/>
                    <w:jc w:val="center"/>
                    <w:rPr>
                      <w:rFonts w:hint="default" w:eastAsia="宋体"/>
                      <w:color w:val="auto"/>
                      <w:szCs w:val="21"/>
                      <w:lang w:val="en-US" w:eastAsia="zh-CN"/>
                    </w:rPr>
                  </w:pPr>
                  <w:r>
                    <w:rPr>
                      <w:rFonts w:hint="eastAsia"/>
                      <w:color w:val="auto"/>
                      <w:szCs w:val="21"/>
                    </w:rPr>
                    <w:t>厂区排水采用雨污分流制</w:t>
                  </w:r>
                  <w:r>
                    <w:rPr>
                      <w:color w:val="auto"/>
                      <w:szCs w:val="21"/>
                    </w:rPr>
                    <w:t>；</w:t>
                  </w:r>
                  <w:r>
                    <w:rPr>
                      <w:rFonts w:hint="eastAsia"/>
                      <w:color w:val="auto"/>
                      <w:szCs w:val="21"/>
                    </w:rPr>
                    <w:t>厨房含油废水经隔油隔渣池预处理，其他</w:t>
                  </w:r>
                  <w:r>
                    <w:rPr>
                      <w:color w:val="auto"/>
                      <w:szCs w:val="21"/>
                    </w:rPr>
                    <w:t>生活污水经三级化粪池预处理后排放至市政污水管网，纳入广东阳东经济开发区污水处理厂处理</w:t>
                  </w:r>
                  <w:r>
                    <w:rPr>
                      <w:rFonts w:hint="eastAsia"/>
                      <w:color w:val="auto"/>
                      <w:szCs w:val="21"/>
                    </w:rPr>
                    <w:t>；生产废水（包括脱脂后清洗废水，酸蚀、碱蚀和化学抛光后清洗废水，氧化后清洗废水，着色后清洗废水）经厂内自建的综合废水处理站处理后，大部分回用，少部分</w:t>
                  </w:r>
                  <w:r>
                    <w:rPr>
                      <w:color w:val="auto"/>
                      <w:szCs w:val="21"/>
                    </w:rPr>
                    <w:t>排放至市政污水管网，纳入广东阳东经济开发区污水处理厂处理</w:t>
                  </w:r>
                  <w:r>
                    <w:rPr>
                      <w:rFonts w:hint="eastAsia"/>
                      <w:color w:val="auto"/>
                      <w:sz w:val="21"/>
                      <w:szCs w:val="21"/>
                      <w:lang w:eastAsia="zh-CN"/>
                    </w:rPr>
                    <w:t>；</w:t>
                  </w:r>
                  <w:r>
                    <w:rPr>
                      <w:rFonts w:hint="eastAsia"/>
                      <w:bCs/>
                      <w:color w:val="auto"/>
                      <w:sz w:val="21"/>
                      <w:szCs w:val="21"/>
                    </w:rPr>
                    <w:t>封孔后清洗废水采用</w:t>
                  </w:r>
                  <w:r>
                    <w:rPr>
                      <w:rFonts w:hint="eastAsia"/>
                      <w:bCs/>
                      <w:color w:val="auto"/>
                      <w:sz w:val="21"/>
                      <w:szCs w:val="21"/>
                      <w:lang w:eastAsia="zh-CN"/>
                    </w:rPr>
                    <w:t>单独自建一套废水回用处理设施</w:t>
                  </w:r>
                  <w:r>
                    <w:rPr>
                      <w:rFonts w:hint="eastAsia"/>
                      <w:bCs/>
                      <w:color w:val="auto"/>
                      <w:sz w:val="21"/>
                      <w:szCs w:val="21"/>
                      <w:lang w:val="en-US" w:eastAsia="zh-CN"/>
                    </w:rPr>
                    <w:t>处理</w:t>
                  </w:r>
                  <w:r>
                    <w:rPr>
                      <w:rFonts w:hint="eastAsia"/>
                      <w:bCs/>
                      <w:color w:val="auto"/>
                      <w:sz w:val="21"/>
                      <w:szCs w:val="21"/>
                    </w:rPr>
                    <w:t>后回用至封孔</w:t>
                  </w:r>
                  <w:r>
                    <w:rPr>
                      <w:rFonts w:hint="eastAsia"/>
                      <w:bCs/>
                      <w:color w:val="auto"/>
                      <w:sz w:val="21"/>
                      <w:szCs w:val="21"/>
                      <w:lang w:val="en-US" w:eastAsia="zh-CN"/>
                    </w:rPr>
                    <w:t>清洗</w:t>
                  </w:r>
                  <w:r>
                    <w:rPr>
                      <w:rFonts w:hint="eastAsia"/>
                      <w:bCs/>
                      <w:color w:val="auto"/>
                      <w:sz w:val="21"/>
                      <w:szCs w:val="21"/>
                    </w:rPr>
                    <w:t>槽</w:t>
                  </w:r>
                  <w:r>
                    <w:rPr>
                      <w:rFonts w:hint="eastAsia"/>
                      <w:bCs/>
                      <w:color w:val="auto"/>
                      <w:sz w:val="21"/>
                      <w:szCs w:val="21"/>
                      <w:lang w:eastAsia="zh-CN"/>
                    </w:rPr>
                    <w:t>，</w:t>
                  </w:r>
                  <w:r>
                    <w:rPr>
                      <w:rFonts w:hint="eastAsia"/>
                      <w:bCs/>
                      <w:color w:val="auto"/>
                      <w:sz w:val="21"/>
                      <w:szCs w:val="21"/>
                      <w:lang w:val="en-US" w:eastAsia="zh-CN"/>
                    </w:rPr>
                    <w:t>不外排</w:t>
                  </w:r>
                </w:p>
              </w:tc>
              <w:tc>
                <w:tcPr>
                  <w:tcW w:w="1736" w:type="dxa"/>
                  <w:tcBorders>
                    <w:left w:val="single" w:color="000000" w:sz="6" w:space="0"/>
                  </w:tcBorders>
                  <w:vAlign w:val="center"/>
                </w:tcPr>
                <w:p w14:paraId="18D33DB6">
                  <w:pPr>
                    <w:widowControl w:val="0"/>
                    <w:jc w:val="center"/>
                    <w:rPr>
                      <w:rFonts w:hint="default" w:eastAsia="宋体"/>
                      <w:color w:val="auto"/>
                      <w:szCs w:val="21"/>
                      <w:highlight w:val="yellow"/>
                      <w:lang w:val="en-US" w:eastAsia="zh-CN"/>
                    </w:rPr>
                  </w:pPr>
                  <w:r>
                    <w:rPr>
                      <w:color w:val="auto"/>
                      <w:szCs w:val="21"/>
                    </w:rPr>
                    <w:t>依托现有项目</w:t>
                  </w:r>
                  <w:r>
                    <w:rPr>
                      <w:rFonts w:hint="eastAsia"/>
                      <w:color w:val="auto"/>
                      <w:szCs w:val="21"/>
                      <w:lang w:eastAsia="zh-CN"/>
                    </w:rPr>
                    <w:t>的</w:t>
                  </w:r>
                  <w:r>
                    <w:rPr>
                      <w:rFonts w:hint="eastAsia"/>
                      <w:color w:val="auto"/>
                      <w:szCs w:val="21"/>
                      <w:lang w:val="en-US" w:eastAsia="zh-CN"/>
                    </w:rPr>
                    <w:t>综合废水处理站</w:t>
                  </w:r>
                </w:p>
              </w:tc>
              <w:tc>
                <w:tcPr>
                  <w:tcW w:w="2478" w:type="dxa"/>
                  <w:vAlign w:val="center"/>
                </w:tcPr>
                <w:p w14:paraId="7AF32AAF">
                  <w:pPr>
                    <w:widowControl w:val="0"/>
                    <w:jc w:val="center"/>
                    <w:rPr>
                      <w:color w:val="auto"/>
                      <w:szCs w:val="21"/>
                    </w:rPr>
                  </w:pPr>
                  <w:r>
                    <w:rPr>
                      <w:rFonts w:hint="eastAsia"/>
                      <w:color w:val="auto"/>
                      <w:szCs w:val="21"/>
                    </w:rPr>
                    <w:t>厂区排水采用雨污分流制</w:t>
                  </w:r>
                  <w:r>
                    <w:rPr>
                      <w:color w:val="auto"/>
                      <w:szCs w:val="21"/>
                    </w:rPr>
                    <w:t>；</w:t>
                  </w:r>
                  <w:r>
                    <w:rPr>
                      <w:rFonts w:hint="eastAsia"/>
                      <w:color w:val="auto"/>
                      <w:szCs w:val="21"/>
                    </w:rPr>
                    <w:t>厨房含油废水经隔油隔渣池预处理，其他</w:t>
                  </w:r>
                  <w:r>
                    <w:rPr>
                      <w:color w:val="auto"/>
                      <w:szCs w:val="21"/>
                    </w:rPr>
                    <w:t>生活污水经三级化粪池预处理后排放至市政污水管网，纳入广东阳东经济开发区污水处理厂处理</w:t>
                  </w:r>
                  <w:r>
                    <w:rPr>
                      <w:rFonts w:hint="eastAsia"/>
                      <w:color w:val="auto"/>
                      <w:szCs w:val="21"/>
                    </w:rPr>
                    <w:t>；生产废水（包括脱脂后清洗废水，酸蚀、碱蚀和化学抛光后清洗废水，氧化后清洗废水，着色后清洗废水，电泳漆涂装前后清洗废水）经厂内自建的废水处理站处理后，大部分回用，少部分</w:t>
                  </w:r>
                  <w:r>
                    <w:rPr>
                      <w:color w:val="auto"/>
                      <w:szCs w:val="21"/>
                    </w:rPr>
                    <w:t>排放至市政污水管网，纳入广东阳东经济开发区污水处理厂处理</w:t>
                  </w:r>
                  <w:r>
                    <w:rPr>
                      <w:rFonts w:hint="eastAsia"/>
                      <w:color w:val="auto"/>
                      <w:sz w:val="21"/>
                      <w:szCs w:val="21"/>
                      <w:lang w:eastAsia="zh-CN"/>
                    </w:rPr>
                    <w:t>；</w:t>
                  </w:r>
                  <w:r>
                    <w:rPr>
                      <w:rFonts w:hint="eastAsia"/>
                      <w:bCs/>
                      <w:color w:val="auto"/>
                      <w:sz w:val="21"/>
                      <w:szCs w:val="21"/>
                    </w:rPr>
                    <w:t>封孔后清洗废水采用</w:t>
                  </w:r>
                  <w:r>
                    <w:rPr>
                      <w:rFonts w:hint="eastAsia"/>
                      <w:bCs/>
                      <w:color w:val="auto"/>
                      <w:sz w:val="21"/>
                      <w:szCs w:val="21"/>
                      <w:lang w:eastAsia="zh-CN"/>
                    </w:rPr>
                    <w:t>单独自建一套废水回用处理设施</w:t>
                  </w:r>
                  <w:r>
                    <w:rPr>
                      <w:rFonts w:hint="eastAsia"/>
                      <w:bCs/>
                      <w:color w:val="auto"/>
                      <w:sz w:val="21"/>
                      <w:szCs w:val="21"/>
                      <w:lang w:val="en-US" w:eastAsia="zh-CN"/>
                    </w:rPr>
                    <w:t>处理</w:t>
                  </w:r>
                  <w:r>
                    <w:rPr>
                      <w:rFonts w:hint="eastAsia"/>
                      <w:bCs/>
                      <w:color w:val="auto"/>
                      <w:sz w:val="21"/>
                      <w:szCs w:val="21"/>
                    </w:rPr>
                    <w:t>后回用至封孔</w:t>
                  </w:r>
                  <w:r>
                    <w:rPr>
                      <w:rFonts w:hint="eastAsia"/>
                      <w:bCs/>
                      <w:color w:val="auto"/>
                      <w:sz w:val="21"/>
                      <w:szCs w:val="21"/>
                      <w:lang w:val="en-US" w:eastAsia="zh-CN"/>
                    </w:rPr>
                    <w:t>清洗</w:t>
                  </w:r>
                  <w:r>
                    <w:rPr>
                      <w:rFonts w:hint="eastAsia"/>
                      <w:bCs/>
                      <w:color w:val="auto"/>
                      <w:sz w:val="21"/>
                      <w:szCs w:val="21"/>
                    </w:rPr>
                    <w:t>槽</w:t>
                  </w:r>
                  <w:r>
                    <w:rPr>
                      <w:rFonts w:hint="eastAsia"/>
                      <w:bCs/>
                      <w:color w:val="auto"/>
                      <w:sz w:val="21"/>
                      <w:szCs w:val="21"/>
                      <w:lang w:eastAsia="zh-CN"/>
                    </w:rPr>
                    <w:t>，</w:t>
                  </w:r>
                  <w:r>
                    <w:rPr>
                      <w:rFonts w:hint="eastAsia"/>
                      <w:bCs/>
                      <w:color w:val="auto"/>
                      <w:sz w:val="21"/>
                      <w:szCs w:val="21"/>
                      <w:lang w:val="en-US" w:eastAsia="zh-CN"/>
                    </w:rPr>
                    <w:t>不外排</w:t>
                  </w:r>
                </w:p>
              </w:tc>
              <w:tc>
                <w:tcPr>
                  <w:tcW w:w="1163" w:type="dxa"/>
                  <w:vAlign w:val="center"/>
                </w:tcPr>
                <w:p w14:paraId="5DB964EC">
                  <w:pPr>
                    <w:widowControl w:val="0"/>
                    <w:jc w:val="center"/>
                    <w:rPr>
                      <w:color w:val="auto"/>
                      <w:szCs w:val="21"/>
                    </w:rPr>
                  </w:pPr>
                  <w:r>
                    <w:rPr>
                      <w:rFonts w:hint="eastAsia"/>
                      <w:color w:val="auto"/>
                      <w:szCs w:val="21"/>
                    </w:rPr>
                    <w:t>减少阳极氧化生产线产生废水量，增加电泳漆涂装前后清洗废水量，不增加排放</w:t>
                  </w:r>
                </w:p>
              </w:tc>
            </w:tr>
            <w:tr w14:paraId="7F087FF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37733E36">
                  <w:pPr>
                    <w:widowControl w:val="0"/>
                    <w:jc w:val="center"/>
                    <w:rPr>
                      <w:color w:val="auto"/>
                      <w:szCs w:val="21"/>
                    </w:rPr>
                  </w:pPr>
                </w:p>
              </w:tc>
              <w:tc>
                <w:tcPr>
                  <w:tcW w:w="919" w:type="dxa"/>
                  <w:vAlign w:val="center"/>
                </w:tcPr>
                <w:p w14:paraId="5B26646C">
                  <w:pPr>
                    <w:widowControl w:val="0"/>
                    <w:jc w:val="center"/>
                    <w:rPr>
                      <w:color w:val="auto"/>
                      <w:szCs w:val="21"/>
                    </w:rPr>
                  </w:pPr>
                  <w:r>
                    <w:rPr>
                      <w:color w:val="auto"/>
                      <w:szCs w:val="21"/>
                    </w:rPr>
                    <w:t>供电</w:t>
                  </w:r>
                </w:p>
              </w:tc>
              <w:tc>
                <w:tcPr>
                  <w:tcW w:w="2631" w:type="dxa"/>
                  <w:tcBorders>
                    <w:right w:val="single" w:color="000000" w:sz="6" w:space="0"/>
                  </w:tcBorders>
                  <w:shd w:val="clear" w:color="auto" w:fill="auto"/>
                  <w:vAlign w:val="center"/>
                </w:tcPr>
                <w:p w14:paraId="6AE77606">
                  <w:pPr>
                    <w:widowControl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由市政电网供给</w:t>
                  </w:r>
                </w:p>
              </w:tc>
              <w:tc>
                <w:tcPr>
                  <w:tcW w:w="1736" w:type="dxa"/>
                  <w:tcBorders>
                    <w:left w:val="single" w:color="000000" w:sz="6" w:space="0"/>
                  </w:tcBorders>
                  <w:shd w:val="clear" w:color="auto" w:fill="auto"/>
                  <w:vAlign w:val="center"/>
                </w:tcPr>
                <w:p w14:paraId="4CA7A882">
                  <w:pPr>
                    <w:widowControl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依托现有项目</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增加用电量</w:t>
                  </w:r>
                </w:p>
              </w:tc>
              <w:tc>
                <w:tcPr>
                  <w:tcW w:w="2478" w:type="dxa"/>
                  <w:shd w:val="clear" w:color="auto" w:fill="auto"/>
                  <w:vAlign w:val="center"/>
                </w:tcPr>
                <w:p w14:paraId="56F86575">
                  <w:pPr>
                    <w:widowControl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由市政电网供给</w:t>
                  </w:r>
                </w:p>
              </w:tc>
              <w:tc>
                <w:tcPr>
                  <w:tcW w:w="1163" w:type="dxa"/>
                  <w:shd w:val="clear" w:color="auto" w:fill="auto"/>
                  <w:vAlign w:val="center"/>
                </w:tcPr>
                <w:p w14:paraId="1259185E">
                  <w:pPr>
                    <w:widowControl w:val="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增加用电量</w:t>
                  </w:r>
                </w:p>
              </w:tc>
            </w:tr>
            <w:tr w14:paraId="624A533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restart"/>
                  <w:vAlign w:val="center"/>
                </w:tcPr>
                <w:p w14:paraId="04226BA5">
                  <w:pPr>
                    <w:widowControl w:val="0"/>
                    <w:jc w:val="center"/>
                    <w:rPr>
                      <w:color w:val="auto"/>
                      <w:szCs w:val="21"/>
                    </w:rPr>
                  </w:pPr>
                  <w:r>
                    <w:rPr>
                      <w:color w:val="auto"/>
                      <w:szCs w:val="21"/>
                    </w:rPr>
                    <w:t>环保工程</w:t>
                  </w:r>
                </w:p>
              </w:tc>
              <w:tc>
                <w:tcPr>
                  <w:tcW w:w="919" w:type="dxa"/>
                  <w:vMerge w:val="restart"/>
                  <w:vAlign w:val="center"/>
                </w:tcPr>
                <w:p w14:paraId="378859E8">
                  <w:pPr>
                    <w:widowControl w:val="0"/>
                    <w:jc w:val="center"/>
                    <w:rPr>
                      <w:color w:val="auto"/>
                      <w:szCs w:val="21"/>
                    </w:rPr>
                  </w:pPr>
                  <w:r>
                    <w:rPr>
                      <w:color w:val="auto"/>
                      <w:szCs w:val="21"/>
                    </w:rPr>
                    <w:t>废气治理</w:t>
                  </w:r>
                </w:p>
              </w:tc>
              <w:tc>
                <w:tcPr>
                  <w:tcW w:w="2631" w:type="dxa"/>
                  <w:tcBorders>
                    <w:bottom w:val="single" w:color="000000" w:sz="6" w:space="0"/>
                    <w:right w:val="single" w:color="000000" w:sz="6" w:space="0"/>
                  </w:tcBorders>
                  <w:vAlign w:val="center"/>
                </w:tcPr>
                <w:p w14:paraId="04EDDF45">
                  <w:pPr>
                    <w:widowControl w:val="0"/>
                    <w:jc w:val="center"/>
                    <w:rPr>
                      <w:color w:val="auto"/>
                      <w:szCs w:val="21"/>
                    </w:rPr>
                  </w:pPr>
                  <w:r>
                    <w:rPr>
                      <w:rFonts w:hint="eastAsia"/>
                      <w:color w:val="auto"/>
                      <w:szCs w:val="21"/>
                    </w:rPr>
                    <w:t>油气两用锅炉燃轻质柴油产生的废气（</w:t>
                  </w:r>
                  <w:r>
                    <w:rPr>
                      <w:rFonts w:hint="eastAsia"/>
                      <w:color w:val="auto"/>
                      <w:spacing w:val="15"/>
                      <w:kern w:val="0"/>
                      <w:szCs w:val="21"/>
                    </w:rPr>
                    <w:t>SO</w:t>
                  </w:r>
                  <w:r>
                    <w:rPr>
                      <w:rFonts w:hint="eastAsia"/>
                      <w:color w:val="auto"/>
                      <w:spacing w:val="15"/>
                      <w:kern w:val="0"/>
                      <w:szCs w:val="21"/>
                      <w:vertAlign w:val="subscript"/>
                    </w:rPr>
                    <w:t>2</w:t>
                  </w:r>
                  <w:r>
                    <w:rPr>
                      <w:rFonts w:hint="eastAsia"/>
                      <w:color w:val="auto"/>
                      <w:spacing w:val="15"/>
                      <w:kern w:val="0"/>
                      <w:szCs w:val="21"/>
                    </w:rPr>
                    <w:t>、NOx、烟尘</w:t>
                  </w:r>
                  <w:r>
                    <w:rPr>
                      <w:rFonts w:hint="eastAsia"/>
                      <w:color w:val="auto"/>
                      <w:szCs w:val="21"/>
                    </w:rPr>
                    <w:t>）通过管道收集后进入</w:t>
                  </w:r>
                  <w:r>
                    <w:rPr>
                      <w:color w:val="auto"/>
                      <w:szCs w:val="21"/>
                    </w:rPr>
                    <w:t>“</w:t>
                  </w:r>
                  <w:r>
                    <w:rPr>
                      <w:rFonts w:hint="eastAsia"/>
                      <w:color w:val="auto"/>
                      <w:szCs w:val="21"/>
                    </w:rPr>
                    <w:t>水喷淋塔</w:t>
                  </w:r>
                  <w:r>
                    <w:rPr>
                      <w:color w:val="auto"/>
                      <w:szCs w:val="21"/>
                    </w:rPr>
                    <w:t>”处理后，经</w:t>
                  </w:r>
                  <w:r>
                    <w:rPr>
                      <w:rFonts w:hint="eastAsia"/>
                      <w:color w:val="auto"/>
                      <w:szCs w:val="21"/>
                    </w:rPr>
                    <w:t>30</w:t>
                  </w:r>
                  <w:r>
                    <w:rPr>
                      <w:color w:val="auto"/>
                      <w:szCs w:val="21"/>
                    </w:rPr>
                    <w:t>m高</w:t>
                  </w:r>
                  <w:r>
                    <w:rPr>
                      <w:rFonts w:hint="eastAsia"/>
                      <w:color w:val="auto"/>
                      <w:szCs w:val="21"/>
                    </w:rPr>
                    <w:t>的</w:t>
                  </w:r>
                  <w:r>
                    <w:rPr>
                      <w:color w:val="auto"/>
                      <w:szCs w:val="21"/>
                    </w:rPr>
                    <w:t>排气筒（DA00</w:t>
                  </w:r>
                  <w:r>
                    <w:rPr>
                      <w:rFonts w:hint="eastAsia"/>
                      <w:color w:val="auto"/>
                      <w:szCs w:val="21"/>
                    </w:rPr>
                    <w:t>1</w:t>
                  </w:r>
                  <w:r>
                    <w:rPr>
                      <w:color w:val="auto"/>
                      <w:szCs w:val="21"/>
                    </w:rPr>
                    <w:t>）高空排放</w:t>
                  </w:r>
                  <w:r>
                    <w:rPr>
                      <w:rFonts w:hint="eastAsia"/>
                      <w:color w:val="auto"/>
                      <w:szCs w:val="21"/>
                    </w:rPr>
                    <w:t>，</w:t>
                  </w:r>
                  <w:r>
                    <w:rPr>
                      <w:rFonts w:hint="eastAsia"/>
                      <w:color w:val="auto"/>
                      <w:szCs w:val="21"/>
                      <w:lang w:val="en-US" w:eastAsia="zh-CN"/>
                    </w:rPr>
                    <w:t>锅炉产生的蒸汽主要用于阳极氧化线的着色和封孔等工序加热，</w:t>
                  </w:r>
                  <w:r>
                    <w:rPr>
                      <w:rFonts w:hint="eastAsia"/>
                      <w:color w:val="auto"/>
                      <w:szCs w:val="21"/>
                    </w:rPr>
                    <w:t>目前锅炉已拆除</w:t>
                  </w:r>
                </w:p>
              </w:tc>
              <w:tc>
                <w:tcPr>
                  <w:tcW w:w="1736" w:type="dxa"/>
                  <w:tcBorders>
                    <w:left w:val="single" w:color="000000" w:sz="6" w:space="0"/>
                    <w:bottom w:val="single" w:color="000000" w:sz="6" w:space="0"/>
                  </w:tcBorders>
                  <w:vAlign w:val="center"/>
                </w:tcPr>
                <w:p w14:paraId="349B0035">
                  <w:pPr>
                    <w:widowControl w:val="0"/>
                    <w:wordWrap w:val="0"/>
                    <w:jc w:val="center"/>
                    <w:rPr>
                      <w:rFonts w:hint="eastAsia" w:eastAsia="宋体"/>
                      <w:color w:val="auto"/>
                      <w:szCs w:val="21"/>
                      <w:lang w:val="en-US" w:eastAsia="zh-CN"/>
                    </w:rPr>
                  </w:pPr>
                  <w:r>
                    <w:rPr>
                      <w:rFonts w:hint="eastAsia"/>
                      <w:color w:val="auto"/>
                      <w:szCs w:val="21"/>
                      <w:lang w:val="en-US" w:eastAsia="zh-CN"/>
                    </w:rPr>
                    <w:t>/</w:t>
                  </w:r>
                </w:p>
              </w:tc>
              <w:tc>
                <w:tcPr>
                  <w:tcW w:w="2478" w:type="dxa"/>
                  <w:tcBorders>
                    <w:bottom w:val="single" w:color="000000" w:sz="6" w:space="0"/>
                  </w:tcBorders>
                  <w:vAlign w:val="center"/>
                </w:tcPr>
                <w:p w14:paraId="3963B630">
                  <w:pPr>
                    <w:widowControl w:val="0"/>
                    <w:wordWrap w:val="0"/>
                    <w:jc w:val="center"/>
                    <w:rPr>
                      <w:rFonts w:hint="eastAsia" w:eastAsia="宋体"/>
                      <w:color w:val="auto"/>
                      <w:szCs w:val="21"/>
                      <w:lang w:val="en-US" w:eastAsia="zh-CN"/>
                    </w:rPr>
                  </w:pPr>
                  <w:r>
                    <w:rPr>
                      <w:rFonts w:hint="eastAsia"/>
                      <w:color w:val="auto"/>
                      <w:szCs w:val="21"/>
                      <w:lang w:val="en-US" w:eastAsia="zh-CN"/>
                    </w:rPr>
                    <w:t>/</w:t>
                  </w:r>
                </w:p>
              </w:tc>
              <w:tc>
                <w:tcPr>
                  <w:tcW w:w="1163" w:type="dxa"/>
                  <w:tcBorders>
                    <w:bottom w:val="single" w:color="000000" w:sz="6" w:space="0"/>
                  </w:tcBorders>
                  <w:vAlign w:val="center"/>
                </w:tcPr>
                <w:p w14:paraId="41512D79">
                  <w:pPr>
                    <w:widowControl w:val="0"/>
                    <w:wordWrap w:val="0"/>
                    <w:jc w:val="center"/>
                    <w:rPr>
                      <w:rFonts w:hint="default" w:eastAsia="宋体"/>
                      <w:color w:val="auto"/>
                      <w:szCs w:val="21"/>
                      <w:lang w:val="en-US" w:eastAsia="zh-CN"/>
                    </w:rPr>
                  </w:pPr>
                  <w:r>
                    <w:rPr>
                      <w:rFonts w:hint="eastAsia"/>
                      <w:color w:val="auto"/>
                      <w:szCs w:val="21"/>
                      <w:lang w:val="en-US" w:eastAsia="zh-CN"/>
                    </w:rPr>
                    <w:t>目前锅炉已拆除（已改用电加热）</w:t>
                  </w:r>
                </w:p>
              </w:tc>
            </w:tr>
            <w:tr w14:paraId="475D5F2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58678A7F">
                  <w:pPr>
                    <w:widowControl w:val="0"/>
                    <w:jc w:val="center"/>
                    <w:rPr>
                      <w:color w:val="auto"/>
                      <w:szCs w:val="21"/>
                    </w:rPr>
                  </w:pPr>
                </w:p>
              </w:tc>
              <w:tc>
                <w:tcPr>
                  <w:tcW w:w="919" w:type="dxa"/>
                  <w:vMerge w:val="continue"/>
                  <w:vAlign w:val="center"/>
                </w:tcPr>
                <w:p w14:paraId="17390D58">
                  <w:pPr>
                    <w:widowControl w:val="0"/>
                    <w:jc w:val="center"/>
                    <w:rPr>
                      <w:color w:val="auto"/>
                      <w:szCs w:val="21"/>
                    </w:rPr>
                  </w:pPr>
                </w:p>
              </w:tc>
              <w:tc>
                <w:tcPr>
                  <w:tcW w:w="2631" w:type="dxa"/>
                  <w:tcBorders>
                    <w:top w:val="single" w:color="000000" w:sz="6" w:space="0"/>
                    <w:right w:val="single" w:color="000000" w:sz="6" w:space="0"/>
                  </w:tcBorders>
                  <w:vAlign w:val="center"/>
                </w:tcPr>
                <w:p w14:paraId="02C1AF55">
                  <w:pPr>
                    <w:widowControl w:val="0"/>
                    <w:jc w:val="center"/>
                    <w:rPr>
                      <w:color w:val="auto"/>
                      <w:szCs w:val="21"/>
                    </w:rPr>
                  </w:pPr>
                  <w:r>
                    <w:rPr>
                      <w:rFonts w:hint="eastAsia"/>
                      <w:color w:val="auto"/>
                      <w:szCs w:val="21"/>
                    </w:rPr>
                    <w:t>切割、抛光粉尘通过集气罩收集后进入</w:t>
                  </w:r>
                  <w:r>
                    <w:rPr>
                      <w:color w:val="auto"/>
                      <w:szCs w:val="21"/>
                    </w:rPr>
                    <w:t>“</w:t>
                  </w:r>
                  <w:r>
                    <w:rPr>
                      <w:rFonts w:hint="eastAsia"/>
                      <w:color w:val="auto"/>
                      <w:szCs w:val="21"/>
                    </w:rPr>
                    <w:t>水喷淋塔</w:t>
                  </w:r>
                  <w:r>
                    <w:rPr>
                      <w:color w:val="auto"/>
                      <w:szCs w:val="21"/>
                    </w:rPr>
                    <w:t>”处理后，经15m高排气筒（DA002）高空排放</w:t>
                  </w:r>
                </w:p>
              </w:tc>
              <w:tc>
                <w:tcPr>
                  <w:tcW w:w="1736" w:type="dxa"/>
                  <w:tcBorders>
                    <w:top w:val="single" w:color="000000" w:sz="6" w:space="0"/>
                    <w:left w:val="single" w:color="000000" w:sz="6" w:space="0"/>
                  </w:tcBorders>
                  <w:vAlign w:val="center"/>
                </w:tcPr>
                <w:p w14:paraId="5B6FF27F">
                  <w:pPr>
                    <w:widowControl w:val="0"/>
                    <w:jc w:val="center"/>
                    <w:rPr>
                      <w:color w:val="auto"/>
                      <w:szCs w:val="21"/>
                    </w:rPr>
                  </w:pPr>
                  <w:r>
                    <w:rPr>
                      <w:rFonts w:hint="eastAsia"/>
                      <w:color w:val="auto"/>
                      <w:szCs w:val="21"/>
                    </w:rPr>
                    <w:t>/</w:t>
                  </w:r>
                </w:p>
              </w:tc>
              <w:tc>
                <w:tcPr>
                  <w:tcW w:w="2478" w:type="dxa"/>
                  <w:tcBorders>
                    <w:top w:val="single" w:color="000000" w:sz="6" w:space="0"/>
                  </w:tcBorders>
                  <w:vAlign w:val="center"/>
                </w:tcPr>
                <w:p w14:paraId="70B6C8D4">
                  <w:pPr>
                    <w:widowControl w:val="0"/>
                    <w:jc w:val="center"/>
                    <w:rPr>
                      <w:color w:val="auto"/>
                      <w:szCs w:val="21"/>
                    </w:rPr>
                  </w:pPr>
                  <w:r>
                    <w:rPr>
                      <w:rFonts w:hint="eastAsia"/>
                      <w:color w:val="auto"/>
                      <w:szCs w:val="21"/>
                    </w:rPr>
                    <w:t>切割、抛光粉尘通过集气罩收集后进入</w:t>
                  </w:r>
                  <w:r>
                    <w:rPr>
                      <w:color w:val="auto"/>
                      <w:szCs w:val="21"/>
                    </w:rPr>
                    <w:t>“</w:t>
                  </w:r>
                  <w:r>
                    <w:rPr>
                      <w:rFonts w:hint="eastAsia"/>
                      <w:color w:val="auto"/>
                      <w:szCs w:val="21"/>
                    </w:rPr>
                    <w:t>水喷淋塔</w:t>
                  </w:r>
                  <w:r>
                    <w:rPr>
                      <w:color w:val="auto"/>
                      <w:szCs w:val="21"/>
                    </w:rPr>
                    <w:t>”处理后，经15m高排气筒（DA002）高空排放</w:t>
                  </w:r>
                </w:p>
              </w:tc>
              <w:tc>
                <w:tcPr>
                  <w:tcW w:w="1163" w:type="dxa"/>
                  <w:tcBorders>
                    <w:top w:val="single" w:color="000000" w:sz="6" w:space="0"/>
                  </w:tcBorders>
                  <w:vAlign w:val="center"/>
                </w:tcPr>
                <w:p w14:paraId="2F4363EE">
                  <w:pPr>
                    <w:widowControl w:val="0"/>
                    <w:jc w:val="center"/>
                    <w:rPr>
                      <w:color w:val="auto"/>
                      <w:szCs w:val="21"/>
                    </w:rPr>
                  </w:pPr>
                  <w:r>
                    <w:rPr>
                      <w:color w:val="auto"/>
                      <w:szCs w:val="21"/>
                    </w:rPr>
                    <w:t>不变</w:t>
                  </w:r>
                </w:p>
              </w:tc>
            </w:tr>
            <w:tr w14:paraId="4A2212A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64173B45">
                  <w:pPr>
                    <w:widowControl w:val="0"/>
                    <w:jc w:val="center"/>
                    <w:rPr>
                      <w:color w:val="auto"/>
                      <w:szCs w:val="21"/>
                    </w:rPr>
                  </w:pPr>
                </w:p>
              </w:tc>
              <w:tc>
                <w:tcPr>
                  <w:tcW w:w="919" w:type="dxa"/>
                  <w:vMerge w:val="continue"/>
                  <w:vAlign w:val="center"/>
                </w:tcPr>
                <w:p w14:paraId="6A49AE70">
                  <w:pPr>
                    <w:widowControl w:val="0"/>
                    <w:jc w:val="center"/>
                    <w:rPr>
                      <w:color w:val="auto"/>
                      <w:szCs w:val="21"/>
                    </w:rPr>
                  </w:pPr>
                </w:p>
              </w:tc>
              <w:tc>
                <w:tcPr>
                  <w:tcW w:w="2631" w:type="dxa"/>
                  <w:tcBorders>
                    <w:right w:val="single" w:color="000000" w:sz="6" w:space="0"/>
                  </w:tcBorders>
                  <w:vAlign w:val="center"/>
                </w:tcPr>
                <w:p w14:paraId="27B5FFDE">
                  <w:pPr>
                    <w:widowControl w:val="0"/>
                    <w:wordWrap w:val="0"/>
                    <w:jc w:val="center"/>
                    <w:rPr>
                      <w:color w:val="auto"/>
                      <w:szCs w:val="21"/>
                    </w:rPr>
                  </w:pPr>
                  <w:r>
                    <w:rPr>
                      <w:rFonts w:hint="eastAsia"/>
                      <w:color w:val="auto"/>
                      <w:szCs w:val="21"/>
                    </w:rPr>
                    <w:t>碱蚀产生的碱雾通过两侧集气罩后收集进入</w:t>
                  </w:r>
                  <w:r>
                    <w:rPr>
                      <w:color w:val="auto"/>
                      <w:szCs w:val="21"/>
                    </w:rPr>
                    <w:t>“</w:t>
                  </w:r>
                  <w:r>
                    <w:rPr>
                      <w:rFonts w:hint="eastAsia"/>
                      <w:color w:val="auto"/>
                      <w:szCs w:val="21"/>
                    </w:rPr>
                    <w:t>水喷淋塔</w:t>
                  </w:r>
                  <w:r>
                    <w:rPr>
                      <w:color w:val="auto"/>
                      <w:szCs w:val="21"/>
                    </w:rPr>
                    <w:t>”处理后，经</w:t>
                  </w:r>
                  <w:r>
                    <w:rPr>
                      <w:rFonts w:hint="eastAsia"/>
                      <w:color w:val="auto"/>
                      <w:szCs w:val="21"/>
                    </w:rPr>
                    <w:t>30</w:t>
                  </w:r>
                  <w:r>
                    <w:rPr>
                      <w:color w:val="auto"/>
                      <w:szCs w:val="21"/>
                    </w:rPr>
                    <w:t>m高排气筒（DA00</w:t>
                  </w:r>
                  <w:r>
                    <w:rPr>
                      <w:rFonts w:hint="eastAsia"/>
                      <w:color w:val="auto"/>
                      <w:szCs w:val="21"/>
                    </w:rPr>
                    <w:t>3</w:t>
                  </w:r>
                  <w:r>
                    <w:rPr>
                      <w:color w:val="auto"/>
                      <w:szCs w:val="21"/>
                    </w:rPr>
                    <w:t>）高空排放</w:t>
                  </w:r>
                </w:p>
              </w:tc>
              <w:tc>
                <w:tcPr>
                  <w:tcW w:w="1736" w:type="dxa"/>
                  <w:tcBorders>
                    <w:left w:val="single" w:color="000000" w:sz="6" w:space="0"/>
                  </w:tcBorders>
                  <w:vAlign w:val="center"/>
                </w:tcPr>
                <w:p w14:paraId="0C25A0D2">
                  <w:pPr>
                    <w:widowControl w:val="0"/>
                    <w:wordWrap w:val="0"/>
                    <w:jc w:val="center"/>
                    <w:rPr>
                      <w:color w:val="auto"/>
                      <w:szCs w:val="21"/>
                    </w:rPr>
                  </w:pPr>
                  <w:r>
                    <w:rPr>
                      <w:rFonts w:hint="eastAsia"/>
                      <w:color w:val="auto"/>
                      <w:szCs w:val="21"/>
                    </w:rPr>
                    <w:t>/</w:t>
                  </w:r>
                </w:p>
              </w:tc>
              <w:tc>
                <w:tcPr>
                  <w:tcW w:w="2478" w:type="dxa"/>
                  <w:vAlign w:val="center"/>
                </w:tcPr>
                <w:p w14:paraId="1A976278">
                  <w:pPr>
                    <w:widowControl w:val="0"/>
                    <w:wordWrap w:val="0"/>
                    <w:jc w:val="center"/>
                    <w:rPr>
                      <w:color w:val="auto"/>
                      <w:szCs w:val="21"/>
                    </w:rPr>
                  </w:pPr>
                  <w:r>
                    <w:rPr>
                      <w:rFonts w:hint="eastAsia"/>
                      <w:color w:val="auto"/>
                      <w:szCs w:val="21"/>
                    </w:rPr>
                    <w:t>碱蚀产生的碱雾通过两侧集气罩后收集进入</w:t>
                  </w:r>
                  <w:r>
                    <w:rPr>
                      <w:color w:val="auto"/>
                      <w:szCs w:val="21"/>
                    </w:rPr>
                    <w:t>“</w:t>
                  </w:r>
                  <w:r>
                    <w:rPr>
                      <w:rFonts w:hint="eastAsia"/>
                      <w:color w:val="auto"/>
                      <w:szCs w:val="21"/>
                    </w:rPr>
                    <w:t>水喷淋塔</w:t>
                  </w:r>
                  <w:r>
                    <w:rPr>
                      <w:color w:val="auto"/>
                      <w:szCs w:val="21"/>
                    </w:rPr>
                    <w:t>”处理后，经</w:t>
                  </w:r>
                  <w:r>
                    <w:rPr>
                      <w:rFonts w:hint="eastAsia"/>
                      <w:color w:val="auto"/>
                      <w:szCs w:val="21"/>
                    </w:rPr>
                    <w:t>30</w:t>
                  </w:r>
                  <w:r>
                    <w:rPr>
                      <w:color w:val="auto"/>
                      <w:szCs w:val="21"/>
                    </w:rPr>
                    <w:t>m高排气筒（DA00</w:t>
                  </w:r>
                  <w:r>
                    <w:rPr>
                      <w:rFonts w:hint="eastAsia"/>
                      <w:color w:val="auto"/>
                      <w:szCs w:val="21"/>
                    </w:rPr>
                    <w:t>3</w:t>
                  </w:r>
                  <w:r>
                    <w:rPr>
                      <w:color w:val="auto"/>
                      <w:szCs w:val="21"/>
                    </w:rPr>
                    <w:t>）高空排放</w:t>
                  </w:r>
                </w:p>
              </w:tc>
              <w:tc>
                <w:tcPr>
                  <w:tcW w:w="1163" w:type="dxa"/>
                  <w:vAlign w:val="center"/>
                </w:tcPr>
                <w:p w14:paraId="3CA968B1">
                  <w:pPr>
                    <w:widowControl w:val="0"/>
                    <w:wordWrap w:val="0"/>
                    <w:jc w:val="center"/>
                    <w:rPr>
                      <w:color w:val="auto"/>
                      <w:szCs w:val="21"/>
                    </w:rPr>
                  </w:pPr>
                  <w:r>
                    <w:rPr>
                      <w:color w:val="auto"/>
                      <w:szCs w:val="21"/>
                    </w:rPr>
                    <w:t>不变</w:t>
                  </w:r>
                </w:p>
              </w:tc>
            </w:tr>
            <w:tr w14:paraId="2890974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1831C3DF">
                  <w:pPr>
                    <w:widowControl w:val="0"/>
                    <w:jc w:val="center"/>
                    <w:rPr>
                      <w:color w:val="auto"/>
                      <w:szCs w:val="21"/>
                    </w:rPr>
                  </w:pPr>
                </w:p>
              </w:tc>
              <w:tc>
                <w:tcPr>
                  <w:tcW w:w="919" w:type="dxa"/>
                  <w:vMerge w:val="continue"/>
                  <w:vAlign w:val="center"/>
                </w:tcPr>
                <w:p w14:paraId="4833EE85">
                  <w:pPr>
                    <w:widowControl w:val="0"/>
                    <w:jc w:val="center"/>
                    <w:rPr>
                      <w:color w:val="auto"/>
                      <w:szCs w:val="21"/>
                    </w:rPr>
                  </w:pPr>
                </w:p>
              </w:tc>
              <w:tc>
                <w:tcPr>
                  <w:tcW w:w="2631" w:type="dxa"/>
                  <w:tcBorders>
                    <w:right w:val="single" w:color="000000" w:sz="6" w:space="0"/>
                  </w:tcBorders>
                  <w:vAlign w:val="center"/>
                </w:tcPr>
                <w:p w14:paraId="0B523A1D">
                  <w:pPr>
                    <w:widowControl w:val="0"/>
                    <w:jc w:val="center"/>
                    <w:rPr>
                      <w:color w:val="auto"/>
                      <w:szCs w:val="21"/>
                    </w:rPr>
                  </w:pPr>
                  <w:r>
                    <w:rPr>
                      <w:rFonts w:hint="eastAsia"/>
                      <w:color w:val="auto"/>
                      <w:szCs w:val="21"/>
                    </w:rPr>
                    <w:t>酸蚀产生的硝酸雾、化学抛光和阳极氧化产生的硫酸雾通过两侧集气罩收集后进入</w:t>
                  </w:r>
                  <w:r>
                    <w:rPr>
                      <w:color w:val="auto"/>
                      <w:szCs w:val="21"/>
                    </w:rPr>
                    <w:t>“</w:t>
                  </w:r>
                  <w:r>
                    <w:rPr>
                      <w:rFonts w:hint="eastAsia"/>
                      <w:color w:val="auto"/>
                      <w:szCs w:val="21"/>
                    </w:rPr>
                    <w:t>碱液喷淋塔</w:t>
                  </w:r>
                  <w:r>
                    <w:rPr>
                      <w:color w:val="auto"/>
                      <w:szCs w:val="21"/>
                    </w:rPr>
                    <w:t>”处理后，经</w:t>
                  </w:r>
                  <w:r>
                    <w:rPr>
                      <w:rFonts w:hint="eastAsia"/>
                      <w:color w:val="auto"/>
                      <w:szCs w:val="21"/>
                    </w:rPr>
                    <w:t>30</w:t>
                  </w:r>
                  <w:r>
                    <w:rPr>
                      <w:color w:val="auto"/>
                      <w:szCs w:val="21"/>
                    </w:rPr>
                    <w:t>m高排气筒（DA00</w:t>
                  </w:r>
                  <w:r>
                    <w:rPr>
                      <w:rFonts w:hint="eastAsia"/>
                      <w:color w:val="auto"/>
                      <w:szCs w:val="21"/>
                    </w:rPr>
                    <w:t>4</w:t>
                  </w:r>
                  <w:r>
                    <w:rPr>
                      <w:color w:val="auto"/>
                      <w:szCs w:val="21"/>
                    </w:rPr>
                    <w:t>）高空排放</w:t>
                  </w:r>
                </w:p>
              </w:tc>
              <w:tc>
                <w:tcPr>
                  <w:tcW w:w="1736" w:type="dxa"/>
                  <w:tcBorders>
                    <w:left w:val="single" w:color="000000" w:sz="6" w:space="0"/>
                  </w:tcBorders>
                  <w:vAlign w:val="center"/>
                </w:tcPr>
                <w:p w14:paraId="6C8C1D2F">
                  <w:pPr>
                    <w:widowControl w:val="0"/>
                    <w:jc w:val="center"/>
                    <w:rPr>
                      <w:color w:val="auto"/>
                      <w:szCs w:val="21"/>
                    </w:rPr>
                  </w:pPr>
                  <w:r>
                    <w:rPr>
                      <w:rFonts w:hint="eastAsia"/>
                      <w:color w:val="auto"/>
                      <w:szCs w:val="21"/>
                    </w:rPr>
                    <w:t>/</w:t>
                  </w:r>
                </w:p>
              </w:tc>
              <w:tc>
                <w:tcPr>
                  <w:tcW w:w="2478" w:type="dxa"/>
                  <w:vAlign w:val="center"/>
                </w:tcPr>
                <w:p w14:paraId="56488C2F">
                  <w:pPr>
                    <w:widowControl w:val="0"/>
                    <w:jc w:val="center"/>
                    <w:rPr>
                      <w:color w:val="auto"/>
                      <w:szCs w:val="21"/>
                    </w:rPr>
                  </w:pPr>
                  <w:r>
                    <w:rPr>
                      <w:rFonts w:hint="eastAsia"/>
                      <w:color w:val="auto"/>
                      <w:szCs w:val="21"/>
                    </w:rPr>
                    <w:t>酸蚀产生的硝酸雾、化学抛光和阳极氧化产生的硫酸雾通过两侧集气罩收集后进入</w:t>
                  </w:r>
                  <w:r>
                    <w:rPr>
                      <w:color w:val="auto"/>
                      <w:szCs w:val="21"/>
                    </w:rPr>
                    <w:t>“</w:t>
                  </w:r>
                  <w:r>
                    <w:rPr>
                      <w:rFonts w:hint="eastAsia"/>
                      <w:color w:val="auto"/>
                      <w:szCs w:val="21"/>
                    </w:rPr>
                    <w:t>碱液喷淋塔</w:t>
                  </w:r>
                  <w:r>
                    <w:rPr>
                      <w:color w:val="auto"/>
                      <w:szCs w:val="21"/>
                    </w:rPr>
                    <w:t>”处理后，经</w:t>
                  </w:r>
                  <w:r>
                    <w:rPr>
                      <w:rFonts w:hint="eastAsia"/>
                      <w:color w:val="auto"/>
                      <w:szCs w:val="21"/>
                    </w:rPr>
                    <w:t>30</w:t>
                  </w:r>
                  <w:r>
                    <w:rPr>
                      <w:color w:val="auto"/>
                      <w:szCs w:val="21"/>
                    </w:rPr>
                    <w:t>m高排气筒（DA00</w:t>
                  </w:r>
                  <w:r>
                    <w:rPr>
                      <w:rFonts w:hint="eastAsia"/>
                      <w:color w:val="auto"/>
                      <w:szCs w:val="21"/>
                    </w:rPr>
                    <w:t>4</w:t>
                  </w:r>
                  <w:r>
                    <w:rPr>
                      <w:color w:val="auto"/>
                      <w:szCs w:val="21"/>
                    </w:rPr>
                    <w:t>）高空排放</w:t>
                  </w:r>
                </w:p>
              </w:tc>
              <w:tc>
                <w:tcPr>
                  <w:tcW w:w="1163" w:type="dxa"/>
                  <w:vAlign w:val="center"/>
                </w:tcPr>
                <w:p w14:paraId="3836C782">
                  <w:pPr>
                    <w:widowControl w:val="0"/>
                    <w:jc w:val="center"/>
                    <w:rPr>
                      <w:color w:val="auto"/>
                      <w:szCs w:val="21"/>
                    </w:rPr>
                  </w:pPr>
                  <w:r>
                    <w:rPr>
                      <w:color w:val="auto"/>
                      <w:szCs w:val="21"/>
                    </w:rPr>
                    <w:t>不变</w:t>
                  </w:r>
                </w:p>
              </w:tc>
            </w:tr>
            <w:tr w14:paraId="428885C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4E092CFA">
                  <w:pPr>
                    <w:widowControl w:val="0"/>
                    <w:jc w:val="center"/>
                    <w:rPr>
                      <w:color w:val="auto"/>
                      <w:szCs w:val="21"/>
                    </w:rPr>
                  </w:pPr>
                </w:p>
              </w:tc>
              <w:tc>
                <w:tcPr>
                  <w:tcW w:w="919" w:type="dxa"/>
                  <w:vMerge w:val="continue"/>
                  <w:vAlign w:val="center"/>
                </w:tcPr>
                <w:p w14:paraId="510F6203">
                  <w:pPr>
                    <w:widowControl w:val="0"/>
                    <w:jc w:val="center"/>
                    <w:rPr>
                      <w:color w:val="auto"/>
                      <w:szCs w:val="21"/>
                    </w:rPr>
                  </w:pPr>
                </w:p>
              </w:tc>
              <w:tc>
                <w:tcPr>
                  <w:tcW w:w="2631" w:type="dxa"/>
                  <w:tcBorders>
                    <w:right w:val="single" w:color="000000" w:sz="6" w:space="0"/>
                  </w:tcBorders>
                  <w:vAlign w:val="center"/>
                </w:tcPr>
                <w:p w14:paraId="562FFC35">
                  <w:pPr>
                    <w:widowControl w:val="0"/>
                    <w:wordWrap w:val="0"/>
                    <w:jc w:val="center"/>
                    <w:rPr>
                      <w:color w:val="auto"/>
                      <w:szCs w:val="21"/>
                    </w:rPr>
                  </w:pPr>
                  <w:r>
                    <w:rPr>
                      <w:rFonts w:hint="eastAsia"/>
                      <w:color w:val="auto"/>
                      <w:szCs w:val="21"/>
                    </w:rPr>
                    <w:t>注塑成型产生的非甲烷总烃通过密闭间设置集气罩收集后，着色产生的非甲烷总烃通过两侧集气罩收集后，烘干产生的非甲烷总烃通过管道收集后进入</w:t>
                  </w:r>
                  <w:r>
                    <w:rPr>
                      <w:color w:val="auto"/>
                      <w:szCs w:val="21"/>
                    </w:rPr>
                    <w:t>“水喷淋塔+</w:t>
                  </w:r>
                  <w:r>
                    <w:rPr>
                      <w:rFonts w:hint="eastAsia"/>
                      <w:color w:val="auto"/>
                      <w:szCs w:val="21"/>
                      <w:lang w:eastAsia="zh-CN"/>
                    </w:rPr>
                    <w:t>除雾器</w:t>
                  </w:r>
                  <w:r>
                    <w:rPr>
                      <w:color w:val="auto"/>
                      <w:szCs w:val="21"/>
                    </w:rPr>
                    <w:t>+</w:t>
                  </w:r>
                  <w:r>
                    <w:rPr>
                      <w:rFonts w:hint="eastAsia"/>
                      <w:color w:val="auto"/>
                      <w:szCs w:val="21"/>
                    </w:rPr>
                    <w:t>两</w:t>
                  </w:r>
                  <w:r>
                    <w:rPr>
                      <w:color w:val="auto"/>
                      <w:szCs w:val="21"/>
                    </w:rPr>
                    <w:t>级</w:t>
                  </w:r>
                  <w:r>
                    <w:rPr>
                      <w:rFonts w:hint="eastAsia"/>
                      <w:color w:val="auto"/>
                      <w:szCs w:val="21"/>
                    </w:rPr>
                    <w:t>活性炭吸附装置</w:t>
                  </w:r>
                  <w:r>
                    <w:rPr>
                      <w:color w:val="auto"/>
                      <w:szCs w:val="21"/>
                    </w:rPr>
                    <w:t>”处理后，经</w:t>
                  </w:r>
                  <w:r>
                    <w:rPr>
                      <w:rFonts w:hint="eastAsia"/>
                      <w:color w:val="auto"/>
                      <w:szCs w:val="21"/>
                      <w:lang w:val="en-US" w:eastAsia="zh-CN"/>
                    </w:rPr>
                    <w:t>20</w:t>
                  </w:r>
                  <w:r>
                    <w:rPr>
                      <w:color w:val="auto"/>
                      <w:szCs w:val="21"/>
                    </w:rPr>
                    <w:t>m高排气筒（DA00</w:t>
                  </w:r>
                  <w:r>
                    <w:rPr>
                      <w:rFonts w:hint="eastAsia"/>
                      <w:color w:val="auto"/>
                      <w:szCs w:val="21"/>
                    </w:rPr>
                    <w:t>5</w:t>
                  </w:r>
                  <w:r>
                    <w:rPr>
                      <w:color w:val="auto"/>
                      <w:szCs w:val="21"/>
                    </w:rPr>
                    <w:t>）高空排放</w:t>
                  </w:r>
                </w:p>
              </w:tc>
              <w:tc>
                <w:tcPr>
                  <w:tcW w:w="1736" w:type="dxa"/>
                  <w:tcBorders>
                    <w:left w:val="single" w:color="000000" w:sz="6" w:space="0"/>
                  </w:tcBorders>
                  <w:vAlign w:val="center"/>
                </w:tcPr>
                <w:p w14:paraId="09EB6568">
                  <w:pPr>
                    <w:widowControl w:val="0"/>
                    <w:wordWrap w:val="0"/>
                    <w:jc w:val="center"/>
                    <w:rPr>
                      <w:color w:val="auto"/>
                      <w:szCs w:val="21"/>
                    </w:rPr>
                  </w:pPr>
                  <w:r>
                    <w:rPr>
                      <w:color w:val="auto"/>
                      <w:szCs w:val="21"/>
                    </w:rPr>
                    <w:t>电泳</w:t>
                  </w:r>
                  <w:r>
                    <w:rPr>
                      <w:rFonts w:hint="eastAsia"/>
                      <w:color w:val="auto"/>
                      <w:szCs w:val="21"/>
                    </w:rPr>
                    <w:t>漆</w:t>
                  </w:r>
                  <w:r>
                    <w:rPr>
                      <w:color w:val="auto"/>
                      <w:szCs w:val="21"/>
                    </w:rPr>
                    <w:t>涂装及烘干固化产生的有机废气、臭气浓度</w:t>
                  </w:r>
                  <w:r>
                    <w:rPr>
                      <w:rFonts w:hint="eastAsia"/>
                      <w:color w:val="auto"/>
                      <w:szCs w:val="21"/>
                    </w:rPr>
                    <w:t>通过密闭收集后</w:t>
                  </w:r>
                  <w:r>
                    <w:rPr>
                      <w:rFonts w:hint="eastAsia"/>
                      <w:color w:val="auto"/>
                      <w:szCs w:val="21"/>
                      <w:lang w:val="en-US" w:eastAsia="zh-CN"/>
                    </w:rPr>
                    <w:t>依托现有项目的</w:t>
                  </w:r>
                  <w:r>
                    <w:rPr>
                      <w:color w:val="auto"/>
                      <w:szCs w:val="21"/>
                    </w:rPr>
                    <w:t>“水喷淋塔+</w:t>
                  </w:r>
                  <w:r>
                    <w:rPr>
                      <w:rFonts w:hint="eastAsia"/>
                      <w:color w:val="auto"/>
                      <w:szCs w:val="21"/>
                      <w:lang w:eastAsia="zh-CN"/>
                    </w:rPr>
                    <w:t>除雾器</w:t>
                  </w:r>
                  <w:r>
                    <w:rPr>
                      <w:color w:val="auto"/>
                      <w:szCs w:val="21"/>
                    </w:rPr>
                    <w:t>+</w:t>
                  </w:r>
                  <w:r>
                    <w:rPr>
                      <w:rFonts w:hint="eastAsia"/>
                      <w:color w:val="auto"/>
                      <w:szCs w:val="21"/>
                    </w:rPr>
                    <w:t>两</w:t>
                  </w:r>
                  <w:r>
                    <w:rPr>
                      <w:color w:val="auto"/>
                      <w:szCs w:val="21"/>
                    </w:rPr>
                    <w:t>级</w:t>
                  </w:r>
                  <w:r>
                    <w:rPr>
                      <w:rFonts w:hint="eastAsia"/>
                      <w:color w:val="auto"/>
                      <w:szCs w:val="21"/>
                    </w:rPr>
                    <w:t>活性炭吸附装置</w:t>
                  </w:r>
                  <w:r>
                    <w:rPr>
                      <w:color w:val="auto"/>
                      <w:szCs w:val="21"/>
                    </w:rPr>
                    <w:t>”处理后，经20m高</w:t>
                  </w:r>
                  <w:r>
                    <w:rPr>
                      <w:rFonts w:hint="eastAsia"/>
                      <w:color w:val="auto"/>
                      <w:szCs w:val="21"/>
                    </w:rPr>
                    <w:t>的</w:t>
                  </w:r>
                  <w:r>
                    <w:rPr>
                      <w:color w:val="auto"/>
                      <w:szCs w:val="21"/>
                    </w:rPr>
                    <w:t>排气筒（DA00</w:t>
                  </w:r>
                  <w:r>
                    <w:rPr>
                      <w:rFonts w:hint="eastAsia"/>
                      <w:color w:val="auto"/>
                      <w:szCs w:val="21"/>
                      <w:lang w:val="en-US" w:eastAsia="zh-CN"/>
                    </w:rPr>
                    <w:t>5</w:t>
                  </w:r>
                  <w:r>
                    <w:rPr>
                      <w:color w:val="auto"/>
                      <w:szCs w:val="21"/>
                    </w:rPr>
                    <w:t>）高空排放</w:t>
                  </w:r>
                </w:p>
              </w:tc>
              <w:tc>
                <w:tcPr>
                  <w:tcW w:w="2478" w:type="dxa"/>
                  <w:vAlign w:val="center"/>
                </w:tcPr>
                <w:p w14:paraId="3C5DC1E0">
                  <w:pPr>
                    <w:widowControl w:val="0"/>
                    <w:wordWrap w:val="0"/>
                    <w:jc w:val="center"/>
                    <w:rPr>
                      <w:color w:val="auto"/>
                      <w:szCs w:val="21"/>
                    </w:rPr>
                  </w:pPr>
                  <w:r>
                    <w:rPr>
                      <w:rFonts w:hint="eastAsia"/>
                      <w:color w:val="auto"/>
                      <w:szCs w:val="21"/>
                    </w:rPr>
                    <w:t>注塑成型产生的非甲烷总烃通过密闭间设置集气罩收集后，着色产生的非甲烷总烃通过两侧集气罩收集后，烘干产生的非甲烷总烃通过管道收集后</w:t>
                  </w:r>
                  <w:r>
                    <w:rPr>
                      <w:rFonts w:hint="eastAsia"/>
                      <w:color w:val="auto"/>
                      <w:szCs w:val="21"/>
                      <w:lang w:eastAsia="zh-CN"/>
                    </w:rPr>
                    <w:t>，</w:t>
                  </w:r>
                  <w:r>
                    <w:rPr>
                      <w:color w:val="auto"/>
                      <w:szCs w:val="21"/>
                    </w:rPr>
                    <w:t>电泳</w:t>
                  </w:r>
                  <w:r>
                    <w:rPr>
                      <w:rFonts w:hint="eastAsia"/>
                      <w:color w:val="auto"/>
                      <w:szCs w:val="21"/>
                    </w:rPr>
                    <w:t>漆</w:t>
                  </w:r>
                  <w:r>
                    <w:rPr>
                      <w:color w:val="auto"/>
                      <w:szCs w:val="21"/>
                    </w:rPr>
                    <w:t>涂装</w:t>
                  </w:r>
                  <w:r>
                    <w:rPr>
                      <w:rFonts w:hint="eastAsia"/>
                      <w:color w:val="auto"/>
                      <w:szCs w:val="21"/>
                    </w:rPr>
                    <w:t>、</w:t>
                  </w:r>
                  <w:r>
                    <w:rPr>
                      <w:color w:val="auto"/>
                      <w:szCs w:val="21"/>
                    </w:rPr>
                    <w:t>烘干固化产生的有机废气、臭气</w:t>
                  </w:r>
                  <w:r>
                    <w:rPr>
                      <w:rFonts w:hint="eastAsia"/>
                      <w:color w:val="auto"/>
                      <w:szCs w:val="21"/>
                    </w:rPr>
                    <w:t>通过密闭收集后</w:t>
                  </w:r>
                  <w:r>
                    <w:rPr>
                      <w:rFonts w:hint="eastAsia"/>
                      <w:color w:val="auto"/>
                      <w:szCs w:val="21"/>
                      <w:lang w:eastAsia="zh-CN"/>
                    </w:rPr>
                    <w:t>，</w:t>
                  </w:r>
                  <w:r>
                    <w:rPr>
                      <w:rFonts w:hint="eastAsia"/>
                      <w:color w:val="auto"/>
                      <w:szCs w:val="21"/>
                    </w:rPr>
                    <w:t>进入</w:t>
                  </w:r>
                  <w:r>
                    <w:rPr>
                      <w:color w:val="auto"/>
                      <w:szCs w:val="21"/>
                    </w:rPr>
                    <w:t>“水喷淋塔+</w:t>
                  </w:r>
                  <w:r>
                    <w:rPr>
                      <w:rFonts w:hint="eastAsia"/>
                      <w:color w:val="auto"/>
                      <w:szCs w:val="21"/>
                      <w:lang w:eastAsia="zh-CN"/>
                    </w:rPr>
                    <w:t>除雾器</w:t>
                  </w:r>
                  <w:r>
                    <w:rPr>
                      <w:color w:val="auto"/>
                      <w:szCs w:val="21"/>
                    </w:rPr>
                    <w:t>+</w:t>
                  </w:r>
                  <w:r>
                    <w:rPr>
                      <w:rFonts w:hint="eastAsia"/>
                      <w:color w:val="auto"/>
                      <w:szCs w:val="21"/>
                    </w:rPr>
                    <w:t>两</w:t>
                  </w:r>
                  <w:r>
                    <w:rPr>
                      <w:color w:val="auto"/>
                      <w:szCs w:val="21"/>
                    </w:rPr>
                    <w:t>级</w:t>
                  </w:r>
                  <w:r>
                    <w:rPr>
                      <w:rFonts w:hint="eastAsia"/>
                      <w:color w:val="auto"/>
                      <w:szCs w:val="21"/>
                    </w:rPr>
                    <w:t>活性炭吸附装置</w:t>
                  </w:r>
                  <w:r>
                    <w:rPr>
                      <w:color w:val="auto"/>
                      <w:szCs w:val="21"/>
                    </w:rPr>
                    <w:t>”处理后，经</w:t>
                  </w:r>
                  <w:r>
                    <w:rPr>
                      <w:rFonts w:hint="eastAsia"/>
                      <w:color w:val="auto"/>
                      <w:szCs w:val="21"/>
                      <w:lang w:val="en-US" w:eastAsia="zh-CN"/>
                    </w:rPr>
                    <w:t>2</w:t>
                  </w:r>
                  <w:r>
                    <w:rPr>
                      <w:rFonts w:hint="eastAsia"/>
                      <w:color w:val="auto"/>
                      <w:szCs w:val="21"/>
                    </w:rPr>
                    <w:t>0</w:t>
                  </w:r>
                  <w:r>
                    <w:rPr>
                      <w:color w:val="auto"/>
                      <w:szCs w:val="21"/>
                    </w:rPr>
                    <w:t>m高排气筒（DA00</w:t>
                  </w:r>
                  <w:r>
                    <w:rPr>
                      <w:rFonts w:hint="eastAsia"/>
                      <w:color w:val="auto"/>
                      <w:szCs w:val="21"/>
                    </w:rPr>
                    <w:t>5</w:t>
                  </w:r>
                  <w:r>
                    <w:rPr>
                      <w:color w:val="auto"/>
                      <w:szCs w:val="21"/>
                    </w:rPr>
                    <w:t>）高空排放</w:t>
                  </w:r>
                </w:p>
              </w:tc>
              <w:tc>
                <w:tcPr>
                  <w:tcW w:w="1163" w:type="dxa"/>
                  <w:vAlign w:val="center"/>
                </w:tcPr>
                <w:p w14:paraId="1859A7D6">
                  <w:pPr>
                    <w:widowControl w:val="0"/>
                    <w:wordWrap w:val="0"/>
                    <w:jc w:val="center"/>
                    <w:rPr>
                      <w:rFonts w:hint="eastAsia" w:eastAsia="宋体"/>
                      <w:color w:val="auto"/>
                      <w:szCs w:val="21"/>
                      <w:lang w:val="en-US" w:eastAsia="zh-CN"/>
                    </w:rPr>
                  </w:pPr>
                  <w:r>
                    <w:rPr>
                      <w:rFonts w:hint="eastAsia"/>
                      <w:color w:val="auto"/>
                      <w:szCs w:val="21"/>
                      <w:lang w:val="en-US" w:eastAsia="zh-CN"/>
                    </w:rPr>
                    <w:t>增加本次改建项目</w:t>
                  </w:r>
                  <w:r>
                    <w:rPr>
                      <w:color w:val="auto"/>
                      <w:szCs w:val="21"/>
                    </w:rPr>
                    <w:t>电泳</w:t>
                  </w:r>
                  <w:r>
                    <w:rPr>
                      <w:rFonts w:hint="eastAsia"/>
                      <w:color w:val="auto"/>
                      <w:szCs w:val="21"/>
                    </w:rPr>
                    <w:t>漆</w:t>
                  </w:r>
                  <w:r>
                    <w:rPr>
                      <w:color w:val="auto"/>
                      <w:szCs w:val="21"/>
                    </w:rPr>
                    <w:t>涂装及烘干固化产生的</w:t>
                  </w:r>
                  <w:r>
                    <w:rPr>
                      <w:rFonts w:hint="eastAsia"/>
                      <w:color w:val="auto"/>
                      <w:szCs w:val="21"/>
                      <w:lang w:val="en-US" w:eastAsia="zh-CN"/>
                    </w:rPr>
                    <w:t>废气</w:t>
                  </w:r>
                </w:p>
              </w:tc>
            </w:tr>
            <w:tr w14:paraId="6F6533D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0A81C0C6">
                  <w:pPr>
                    <w:widowControl w:val="0"/>
                    <w:jc w:val="center"/>
                    <w:rPr>
                      <w:color w:val="auto"/>
                      <w:szCs w:val="21"/>
                    </w:rPr>
                  </w:pPr>
                </w:p>
              </w:tc>
              <w:tc>
                <w:tcPr>
                  <w:tcW w:w="919" w:type="dxa"/>
                  <w:vMerge w:val="continue"/>
                  <w:vAlign w:val="center"/>
                </w:tcPr>
                <w:p w14:paraId="2ECD215B">
                  <w:pPr>
                    <w:widowControl w:val="0"/>
                    <w:jc w:val="center"/>
                    <w:rPr>
                      <w:color w:val="auto"/>
                      <w:szCs w:val="21"/>
                    </w:rPr>
                  </w:pPr>
                </w:p>
              </w:tc>
              <w:tc>
                <w:tcPr>
                  <w:tcW w:w="2631" w:type="dxa"/>
                  <w:tcBorders>
                    <w:right w:val="single" w:color="000000" w:sz="6" w:space="0"/>
                  </w:tcBorders>
                  <w:vAlign w:val="center"/>
                </w:tcPr>
                <w:p w14:paraId="0E856718">
                  <w:pPr>
                    <w:widowControl w:val="0"/>
                    <w:wordWrap w:val="0"/>
                    <w:jc w:val="center"/>
                    <w:rPr>
                      <w:color w:val="auto"/>
                      <w:szCs w:val="21"/>
                    </w:rPr>
                  </w:pPr>
                  <w:r>
                    <w:rPr>
                      <w:rFonts w:hint="eastAsia"/>
                      <w:color w:val="auto"/>
                      <w:szCs w:val="21"/>
                    </w:rPr>
                    <w:t>备用发电机燃轻质柴油废气（</w:t>
                  </w:r>
                  <w:r>
                    <w:rPr>
                      <w:rFonts w:hint="eastAsia"/>
                      <w:color w:val="auto"/>
                      <w:spacing w:val="15"/>
                      <w:kern w:val="0"/>
                      <w:szCs w:val="21"/>
                    </w:rPr>
                    <w:t>SO</w:t>
                  </w:r>
                  <w:r>
                    <w:rPr>
                      <w:rFonts w:hint="eastAsia"/>
                      <w:color w:val="auto"/>
                      <w:spacing w:val="15"/>
                      <w:kern w:val="0"/>
                      <w:szCs w:val="21"/>
                      <w:vertAlign w:val="subscript"/>
                    </w:rPr>
                    <w:t>2</w:t>
                  </w:r>
                  <w:r>
                    <w:rPr>
                      <w:rFonts w:hint="eastAsia"/>
                      <w:color w:val="auto"/>
                      <w:spacing w:val="15"/>
                      <w:kern w:val="0"/>
                      <w:szCs w:val="21"/>
                    </w:rPr>
                    <w:t>、NOx、烟尘</w:t>
                  </w:r>
                  <w:r>
                    <w:rPr>
                      <w:rFonts w:hint="eastAsia"/>
                      <w:color w:val="auto"/>
                      <w:szCs w:val="21"/>
                    </w:rPr>
                    <w:t>）通过管道收集后进入</w:t>
                  </w:r>
                  <w:r>
                    <w:rPr>
                      <w:color w:val="auto"/>
                      <w:szCs w:val="21"/>
                    </w:rPr>
                    <w:t>“</w:t>
                  </w:r>
                  <w:r>
                    <w:rPr>
                      <w:rFonts w:hint="eastAsia"/>
                      <w:color w:val="auto"/>
                      <w:szCs w:val="21"/>
                    </w:rPr>
                    <w:t>水喷淋塔</w:t>
                  </w:r>
                  <w:r>
                    <w:rPr>
                      <w:color w:val="auto"/>
                      <w:szCs w:val="21"/>
                    </w:rPr>
                    <w:t>”处理后，经</w:t>
                  </w:r>
                  <w:r>
                    <w:rPr>
                      <w:rFonts w:hint="eastAsia"/>
                      <w:color w:val="auto"/>
                      <w:szCs w:val="21"/>
                    </w:rPr>
                    <w:t>15</w:t>
                  </w:r>
                  <w:r>
                    <w:rPr>
                      <w:color w:val="auto"/>
                      <w:szCs w:val="21"/>
                    </w:rPr>
                    <w:t>m高排气筒（DA00</w:t>
                  </w:r>
                  <w:r>
                    <w:rPr>
                      <w:rFonts w:hint="eastAsia"/>
                      <w:color w:val="auto"/>
                      <w:szCs w:val="21"/>
                    </w:rPr>
                    <w:t>6</w:t>
                  </w:r>
                  <w:r>
                    <w:rPr>
                      <w:color w:val="auto"/>
                      <w:szCs w:val="21"/>
                    </w:rPr>
                    <w:t>）高空排放</w:t>
                  </w:r>
                </w:p>
              </w:tc>
              <w:tc>
                <w:tcPr>
                  <w:tcW w:w="1736" w:type="dxa"/>
                  <w:tcBorders>
                    <w:left w:val="single" w:color="000000" w:sz="6" w:space="0"/>
                  </w:tcBorders>
                  <w:vAlign w:val="center"/>
                </w:tcPr>
                <w:p w14:paraId="2ED0BEB0">
                  <w:pPr>
                    <w:widowControl w:val="0"/>
                    <w:wordWrap w:val="0"/>
                    <w:jc w:val="center"/>
                    <w:rPr>
                      <w:color w:val="auto"/>
                      <w:szCs w:val="21"/>
                    </w:rPr>
                  </w:pPr>
                  <w:r>
                    <w:rPr>
                      <w:rFonts w:hint="eastAsia"/>
                      <w:color w:val="auto"/>
                      <w:szCs w:val="21"/>
                    </w:rPr>
                    <w:t>/</w:t>
                  </w:r>
                </w:p>
              </w:tc>
              <w:tc>
                <w:tcPr>
                  <w:tcW w:w="2478" w:type="dxa"/>
                  <w:vAlign w:val="center"/>
                </w:tcPr>
                <w:p w14:paraId="19303DE8">
                  <w:pPr>
                    <w:widowControl w:val="0"/>
                    <w:wordWrap w:val="0"/>
                    <w:jc w:val="center"/>
                    <w:rPr>
                      <w:color w:val="auto"/>
                      <w:szCs w:val="21"/>
                    </w:rPr>
                  </w:pPr>
                  <w:r>
                    <w:rPr>
                      <w:rFonts w:hint="eastAsia"/>
                      <w:color w:val="auto"/>
                      <w:szCs w:val="21"/>
                    </w:rPr>
                    <w:t>备用发电机燃轻质柴油废气（</w:t>
                  </w:r>
                  <w:r>
                    <w:rPr>
                      <w:rFonts w:hint="eastAsia"/>
                      <w:color w:val="auto"/>
                      <w:spacing w:val="15"/>
                      <w:kern w:val="0"/>
                      <w:szCs w:val="21"/>
                    </w:rPr>
                    <w:t>SO</w:t>
                  </w:r>
                  <w:r>
                    <w:rPr>
                      <w:rFonts w:hint="eastAsia"/>
                      <w:color w:val="auto"/>
                      <w:spacing w:val="15"/>
                      <w:kern w:val="0"/>
                      <w:szCs w:val="21"/>
                      <w:vertAlign w:val="subscript"/>
                    </w:rPr>
                    <w:t>2</w:t>
                  </w:r>
                  <w:r>
                    <w:rPr>
                      <w:rFonts w:hint="eastAsia"/>
                      <w:color w:val="auto"/>
                      <w:spacing w:val="15"/>
                      <w:kern w:val="0"/>
                      <w:szCs w:val="21"/>
                    </w:rPr>
                    <w:t>、NOx、烟尘</w:t>
                  </w:r>
                  <w:r>
                    <w:rPr>
                      <w:rFonts w:hint="eastAsia"/>
                      <w:color w:val="auto"/>
                      <w:szCs w:val="21"/>
                    </w:rPr>
                    <w:t>）通过管道收集后进入</w:t>
                  </w:r>
                  <w:r>
                    <w:rPr>
                      <w:color w:val="auto"/>
                      <w:szCs w:val="21"/>
                    </w:rPr>
                    <w:t>“</w:t>
                  </w:r>
                  <w:r>
                    <w:rPr>
                      <w:rFonts w:hint="eastAsia"/>
                      <w:color w:val="auto"/>
                      <w:szCs w:val="21"/>
                    </w:rPr>
                    <w:t>水喷淋塔</w:t>
                  </w:r>
                  <w:r>
                    <w:rPr>
                      <w:color w:val="auto"/>
                      <w:szCs w:val="21"/>
                    </w:rPr>
                    <w:t>”处理后，经</w:t>
                  </w:r>
                  <w:r>
                    <w:rPr>
                      <w:rFonts w:hint="eastAsia"/>
                      <w:color w:val="auto"/>
                      <w:szCs w:val="21"/>
                    </w:rPr>
                    <w:t>15</w:t>
                  </w:r>
                  <w:r>
                    <w:rPr>
                      <w:color w:val="auto"/>
                      <w:szCs w:val="21"/>
                    </w:rPr>
                    <w:t>m高排气筒（DA00</w:t>
                  </w:r>
                  <w:r>
                    <w:rPr>
                      <w:rFonts w:hint="eastAsia"/>
                      <w:color w:val="auto"/>
                      <w:szCs w:val="21"/>
                    </w:rPr>
                    <w:t>6</w:t>
                  </w:r>
                  <w:r>
                    <w:rPr>
                      <w:color w:val="auto"/>
                      <w:szCs w:val="21"/>
                    </w:rPr>
                    <w:t>）高空排放</w:t>
                  </w:r>
                </w:p>
              </w:tc>
              <w:tc>
                <w:tcPr>
                  <w:tcW w:w="1163" w:type="dxa"/>
                  <w:vAlign w:val="center"/>
                </w:tcPr>
                <w:p w14:paraId="6AC3AA32">
                  <w:pPr>
                    <w:widowControl w:val="0"/>
                    <w:wordWrap w:val="0"/>
                    <w:jc w:val="center"/>
                    <w:rPr>
                      <w:color w:val="auto"/>
                      <w:szCs w:val="21"/>
                    </w:rPr>
                  </w:pPr>
                  <w:r>
                    <w:rPr>
                      <w:rFonts w:hint="eastAsia"/>
                      <w:color w:val="auto"/>
                      <w:szCs w:val="21"/>
                    </w:rPr>
                    <w:t>不变</w:t>
                  </w:r>
                </w:p>
              </w:tc>
            </w:tr>
            <w:tr w14:paraId="3F29D60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18831D6C">
                  <w:pPr>
                    <w:widowControl w:val="0"/>
                    <w:jc w:val="center"/>
                    <w:rPr>
                      <w:color w:val="auto"/>
                      <w:szCs w:val="21"/>
                    </w:rPr>
                  </w:pPr>
                </w:p>
              </w:tc>
              <w:tc>
                <w:tcPr>
                  <w:tcW w:w="919" w:type="dxa"/>
                  <w:vMerge w:val="continue"/>
                  <w:vAlign w:val="center"/>
                </w:tcPr>
                <w:p w14:paraId="790C6902">
                  <w:pPr>
                    <w:widowControl w:val="0"/>
                    <w:jc w:val="center"/>
                    <w:rPr>
                      <w:color w:val="auto"/>
                      <w:szCs w:val="21"/>
                    </w:rPr>
                  </w:pPr>
                </w:p>
              </w:tc>
              <w:tc>
                <w:tcPr>
                  <w:tcW w:w="2631" w:type="dxa"/>
                  <w:tcBorders>
                    <w:right w:val="single" w:color="000000" w:sz="6" w:space="0"/>
                  </w:tcBorders>
                  <w:vAlign w:val="center"/>
                </w:tcPr>
                <w:p w14:paraId="6C257B71">
                  <w:pPr>
                    <w:widowControl w:val="0"/>
                    <w:wordWrap w:val="0"/>
                    <w:jc w:val="center"/>
                    <w:rPr>
                      <w:color w:val="auto"/>
                      <w:szCs w:val="21"/>
                    </w:rPr>
                  </w:pPr>
                  <w:r>
                    <w:rPr>
                      <w:color w:val="auto"/>
                      <w:szCs w:val="21"/>
                    </w:rPr>
                    <w:t>厨房油烟通过集气罩收集后进入“</w:t>
                  </w:r>
                  <w:r>
                    <w:rPr>
                      <w:rFonts w:hint="eastAsia"/>
                      <w:color w:val="auto"/>
                      <w:szCs w:val="21"/>
                    </w:rPr>
                    <w:t>油烟净化器</w:t>
                  </w:r>
                  <w:r>
                    <w:rPr>
                      <w:color w:val="auto"/>
                      <w:szCs w:val="21"/>
                    </w:rPr>
                    <w:t>”处理后，通过专用烟道（DA00</w:t>
                  </w:r>
                  <w:r>
                    <w:rPr>
                      <w:rFonts w:hint="eastAsia"/>
                      <w:color w:val="auto"/>
                      <w:szCs w:val="21"/>
                    </w:rPr>
                    <w:t>7</w:t>
                  </w:r>
                  <w:r>
                    <w:rPr>
                      <w:color w:val="auto"/>
                      <w:szCs w:val="21"/>
                    </w:rPr>
                    <w:t>）引至楼顶排放</w:t>
                  </w:r>
                </w:p>
              </w:tc>
              <w:tc>
                <w:tcPr>
                  <w:tcW w:w="1736" w:type="dxa"/>
                  <w:tcBorders>
                    <w:left w:val="single" w:color="000000" w:sz="6" w:space="0"/>
                  </w:tcBorders>
                  <w:vAlign w:val="center"/>
                </w:tcPr>
                <w:p w14:paraId="74FD98DB">
                  <w:pPr>
                    <w:widowControl w:val="0"/>
                    <w:wordWrap w:val="0"/>
                    <w:jc w:val="center"/>
                    <w:rPr>
                      <w:color w:val="auto"/>
                      <w:szCs w:val="21"/>
                    </w:rPr>
                  </w:pPr>
                  <w:r>
                    <w:rPr>
                      <w:color w:val="auto"/>
                      <w:szCs w:val="21"/>
                    </w:rPr>
                    <w:t>依托现有项目</w:t>
                  </w:r>
                </w:p>
              </w:tc>
              <w:tc>
                <w:tcPr>
                  <w:tcW w:w="2478" w:type="dxa"/>
                  <w:vAlign w:val="center"/>
                </w:tcPr>
                <w:p w14:paraId="3FDDFEAC">
                  <w:pPr>
                    <w:widowControl w:val="0"/>
                    <w:wordWrap w:val="0"/>
                    <w:jc w:val="center"/>
                    <w:rPr>
                      <w:color w:val="auto"/>
                      <w:szCs w:val="21"/>
                    </w:rPr>
                  </w:pPr>
                  <w:r>
                    <w:rPr>
                      <w:color w:val="auto"/>
                      <w:szCs w:val="21"/>
                    </w:rPr>
                    <w:t>厨房油烟通过集气罩收集后进入“</w:t>
                  </w:r>
                  <w:r>
                    <w:rPr>
                      <w:rFonts w:hint="eastAsia"/>
                      <w:color w:val="auto"/>
                      <w:szCs w:val="21"/>
                    </w:rPr>
                    <w:t>油烟净化器</w:t>
                  </w:r>
                  <w:r>
                    <w:rPr>
                      <w:color w:val="auto"/>
                      <w:szCs w:val="21"/>
                    </w:rPr>
                    <w:t>”处理后，通过专用烟道（DA00</w:t>
                  </w:r>
                  <w:r>
                    <w:rPr>
                      <w:rFonts w:hint="eastAsia"/>
                      <w:color w:val="auto"/>
                      <w:szCs w:val="21"/>
                    </w:rPr>
                    <w:t>7</w:t>
                  </w:r>
                  <w:r>
                    <w:rPr>
                      <w:color w:val="auto"/>
                      <w:szCs w:val="21"/>
                    </w:rPr>
                    <w:t>）引至楼顶排放</w:t>
                  </w:r>
                </w:p>
              </w:tc>
              <w:tc>
                <w:tcPr>
                  <w:tcW w:w="1163" w:type="dxa"/>
                  <w:vAlign w:val="center"/>
                </w:tcPr>
                <w:p w14:paraId="427FE2BA">
                  <w:pPr>
                    <w:widowControl w:val="0"/>
                    <w:wordWrap w:val="0"/>
                    <w:jc w:val="center"/>
                    <w:rPr>
                      <w:color w:val="auto"/>
                      <w:szCs w:val="21"/>
                    </w:rPr>
                  </w:pPr>
                  <w:r>
                    <w:rPr>
                      <w:color w:val="auto"/>
                      <w:szCs w:val="21"/>
                    </w:rPr>
                    <w:t>不变</w:t>
                  </w:r>
                </w:p>
              </w:tc>
            </w:tr>
            <w:tr w14:paraId="3940905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4304D04A">
                  <w:pPr>
                    <w:widowControl w:val="0"/>
                    <w:jc w:val="center"/>
                    <w:rPr>
                      <w:color w:val="auto"/>
                      <w:szCs w:val="21"/>
                    </w:rPr>
                  </w:pPr>
                </w:p>
              </w:tc>
              <w:tc>
                <w:tcPr>
                  <w:tcW w:w="919" w:type="dxa"/>
                  <w:vMerge w:val="continue"/>
                  <w:vAlign w:val="center"/>
                </w:tcPr>
                <w:p w14:paraId="2AB7897D">
                  <w:pPr>
                    <w:widowControl w:val="0"/>
                    <w:jc w:val="center"/>
                    <w:rPr>
                      <w:color w:val="auto"/>
                      <w:szCs w:val="21"/>
                    </w:rPr>
                  </w:pPr>
                </w:p>
              </w:tc>
              <w:tc>
                <w:tcPr>
                  <w:tcW w:w="2631" w:type="dxa"/>
                  <w:tcBorders>
                    <w:right w:val="single" w:color="000000" w:sz="6" w:space="0"/>
                  </w:tcBorders>
                  <w:vAlign w:val="center"/>
                </w:tcPr>
                <w:p w14:paraId="5E225BBF">
                  <w:pPr>
                    <w:widowControl w:val="0"/>
                    <w:wordWrap w:val="0"/>
                    <w:jc w:val="center"/>
                    <w:rPr>
                      <w:color w:val="auto"/>
                      <w:szCs w:val="21"/>
                    </w:rPr>
                  </w:pPr>
                  <w:r>
                    <w:rPr>
                      <w:rFonts w:hint="eastAsia"/>
                      <w:color w:val="auto"/>
                      <w:szCs w:val="21"/>
                    </w:rPr>
                    <w:t>喷砂产生的粉尘通过设备自带过滤回收设备处理后无组织排放</w:t>
                  </w:r>
                </w:p>
              </w:tc>
              <w:tc>
                <w:tcPr>
                  <w:tcW w:w="1736" w:type="dxa"/>
                  <w:tcBorders>
                    <w:left w:val="single" w:color="000000" w:sz="6" w:space="0"/>
                  </w:tcBorders>
                  <w:vAlign w:val="center"/>
                </w:tcPr>
                <w:p w14:paraId="67269855">
                  <w:pPr>
                    <w:widowControl w:val="0"/>
                    <w:wordWrap w:val="0"/>
                    <w:jc w:val="center"/>
                    <w:rPr>
                      <w:color w:val="auto"/>
                      <w:szCs w:val="21"/>
                    </w:rPr>
                  </w:pPr>
                  <w:r>
                    <w:rPr>
                      <w:rFonts w:hint="eastAsia"/>
                      <w:color w:val="auto"/>
                      <w:szCs w:val="21"/>
                    </w:rPr>
                    <w:t>/</w:t>
                  </w:r>
                </w:p>
              </w:tc>
              <w:tc>
                <w:tcPr>
                  <w:tcW w:w="2478" w:type="dxa"/>
                  <w:vAlign w:val="center"/>
                </w:tcPr>
                <w:p w14:paraId="4EAEEEF0">
                  <w:pPr>
                    <w:widowControl w:val="0"/>
                    <w:wordWrap w:val="0"/>
                    <w:jc w:val="center"/>
                    <w:rPr>
                      <w:color w:val="auto"/>
                      <w:szCs w:val="21"/>
                    </w:rPr>
                  </w:pPr>
                  <w:r>
                    <w:rPr>
                      <w:rFonts w:hint="eastAsia"/>
                      <w:color w:val="auto"/>
                      <w:szCs w:val="21"/>
                    </w:rPr>
                    <w:t>喷砂产生的粉尘通过设备自带过滤回收设备处理后无组织排放</w:t>
                  </w:r>
                </w:p>
              </w:tc>
              <w:tc>
                <w:tcPr>
                  <w:tcW w:w="1163" w:type="dxa"/>
                  <w:vAlign w:val="center"/>
                </w:tcPr>
                <w:p w14:paraId="281142E8">
                  <w:pPr>
                    <w:widowControl w:val="0"/>
                    <w:wordWrap w:val="0"/>
                    <w:jc w:val="center"/>
                    <w:rPr>
                      <w:color w:val="auto"/>
                      <w:szCs w:val="21"/>
                    </w:rPr>
                  </w:pPr>
                  <w:r>
                    <w:rPr>
                      <w:rFonts w:hint="eastAsia"/>
                      <w:color w:val="auto"/>
                      <w:szCs w:val="21"/>
                    </w:rPr>
                    <w:t>不变</w:t>
                  </w:r>
                </w:p>
              </w:tc>
            </w:tr>
            <w:tr w14:paraId="09F0D05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7CEDBC61">
                  <w:pPr>
                    <w:widowControl w:val="0"/>
                    <w:jc w:val="center"/>
                    <w:rPr>
                      <w:color w:val="auto"/>
                      <w:szCs w:val="21"/>
                    </w:rPr>
                  </w:pPr>
                </w:p>
              </w:tc>
              <w:tc>
                <w:tcPr>
                  <w:tcW w:w="919" w:type="dxa"/>
                  <w:vMerge w:val="restart"/>
                  <w:vAlign w:val="center"/>
                </w:tcPr>
                <w:p w14:paraId="4760DB96">
                  <w:pPr>
                    <w:widowControl w:val="0"/>
                    <w:jc w:val="center"/>
                    <w:rPr>
                      <w:color w:val="auto"/>
                      <w:szCs w:val="21"/>
                    </w:rPr>
                  </w:pPr>
                  <w:r>
                    <w:rPr>
                      <w:color w:val="auto"/>
                      <w:szCs w:val="21"/>
                    </w:rPr>
                    <w:t>废水治理</w:t>
                  </w:r>
                </w:p>
              </w:tc>
              <w:tc>
                <w:tcPr>
                  <w:tcW w:w="2631" w:type="dxa"/>
                  <w:tcBorders>
                    <w:bottom w:val="single" w:color="auto" w:sz="4" w:space="0"/>
                    <w:right w:val="single" w:color="000000" w:sz="6" w:space="0"/>
                  </w:tcBorders>
                  <w:vAlign w:val="center"/>
                </w:tcPr>
                <w:p w14:paraId="69D4D731">
                  <w:pPr>
                    <w:widowControl w:val="0"/>
                    <w:jc w:val="center"/>
                    <w:rPr>
                      <w:color w:val="auto"/>
                      <w:szCs w:val="21"/>
                    </w:rPr>
                  </w:pPr>
                  <w:r>
                    <w:rPr>
                      <w:color w:val="auto"/>
                      <w:szCs w:val="21"/>
                    </w:rPr>
                    <w:t>厨房含油废水经</w:t>
                  </w:r>
                  <w:r>
                    <w:rPr>
                      <w:rFonts w:hint="eastAsia"/>
                      <w:color w:val="auto"/>
                      <w:szCs w:val="21"/>
                    </w:rPr>
                    <w:t>隔油隔渣池</w:t>
                  </w:r>
                  <w:r>
                    <w:rPr>
                      <w:color w:val="auto"/>
                      <w:szCs w:val="21"/>
                    </w:rPr>
                    <w:t>预处理后，</w:t>
                  </w:r>
                  <w:r>
                    <w:rPr>
                      <w:rFonts w:hint="eastAsia"/>
                      <w:color w:val="auto"/>
                      <w:szCs w:val="21"/>
                    </w:rPr>
                    <w:t>其他</w:t>
                  </w:r>
                  <w:r>
                    <w:rPr>
                      <w:color w:val="auto"/>
                      <w:szCs w:val="21"/>
                    </w:rPr>
                    <w:t>生活污水经三级化粪池预处理</w:t>
                  </w:r>
                  <w:r>
                    <w:rPr>
                      <w:rFonts w:hint="eastAsia"/>
                      <w:color w:val="auto"/>
                      <w:szCs w:val="21"/>
                    </w:rPr>
                    <w:t>后，</w:t>
                  </w:r>
                  <w:r>
                    <w:rPr>
                      <w:color w:val="auto"/>
                      <w:szCs w:val="21"/>
                    </w:rPr>
                    <w:t>接入市政污水管网输送至广东阳东经济开发区污水处理厂集中处理</w:t>
                  </w:r>
                </w:p>
              </w:tc>
              <w:tc>
                <w:tcPr>
                  <w:tcW w:w="1736" w:type="dxa"/>
                  <w:tcBorders>
                    <w:left w:val="single" w:color="000000" w:sz="6" w:space="0"/>
                    <w:bottom w:val="single" w:color="auto" w:sz="4" w:space="0"/>
                  </w:tcBorders>
                  <w:vAlign w:val="center"/>
                </w:tcPr>
                <w:p w14:paraId="25505A81">
                  <w:pPr>
                    <w:widowControl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依托现有项目</w:t>
                  </w:r>
                </w:p>
              </w:tc>
              <w:tc>
                <w:tcPr>
                  <w:tcW w:w="2478" w:type="dxa"/>
                  <w:tcBorders>
                    <w:bottom w:val="single" w:color="auto" w:sz="4" w:space="0"/>
                  </w:tcBorders>
                  <w:vAlign w:val="center"/>
                </w:tcPr>
                <w:p w14:paraId="16ACC954">
                  <w:pPr>
                    <w:widowControl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厨房含油废水经</w:t>
                  </w:r>
                  <w:r>
                    <w:rPr>
                      <w:rFonts w:hint="eastAsia" w:ascii="Times New Roman" w:hAnsi="Times New Roman" w:eastAsia="宋体" w:cs="Times New Roman"/>
                      <w:color w:val="auto"/>
                      <w:szCs w:val="21"/>
                    </w:rPr>
                    <w:t>隔油隔渣池</w:t>
                  </w:r>
                  <w:r>
                    <w:rPr>
                      <w:rFonts w:ascii="Times New Roman" w:hAnsi="Times New Roman" w:eastAsia="宋体" w:cs="Times New Roman"/>
                      <w:color w:val="auto"/>
                      <w:szCs w:val="21"/>
                    </w:rPr>
                    <w:t>预处理后，</w:t>
                  </w:r>
                  <w:r>
                    <w:rPr>
                      <w:rFonts w:hint="eastAsia" w:ascii="Times New Roman" w:hAnsi="Times New Roman" w:eastAsia="宋体" w:cs="Times New Roman"/>
                      <w:color w:val="auto"/>
                      <w:szCs w:val="21"/>
                    </w:rPr>
                    <w:t>其他</w:t>
                  </w:r>
                  <w:r>
                    <w:rPr>
                      <w:rFonts w:ascii="Times New Roman" w:hAnsi="Times New Roman" w:eastAsia="宋体" w:cs="Times New Roman"/>
                      <w:color w:val="auto"/>
                      <w:szCs w:val="21"/>
                    </w:rPr>
                    <w:t>生活污水经三级化粪池预处理</w:t>
                  </w:r>
                  <w:r>
                    <w:rPr>
                      <w:rFonts w:hint="eastAsia" w:ascii="Times New Roman" w:hAnsi="Times New Roman" w:eastAsia="宋体" w:cs="Times New Roman"/>
                      <w:color w:val="auto"/>
                      <w:szCs w:val="21"/>
                    </w:rPr>
                    <w:t>后，</w:t>
                  </w:r>
                  <w:r>
                    <w:rPr>
                      <w:rFonts w:ascii="Times New Roman" w:hAnsi="Times New Roman" w:eastAsia="宋体" w:cs="Times New Roman"/>
                      <w:color w:val="auto"/>
                      <w:szCs w:val="21"/>
                    </w:rPr>
                    <w:t>接入市政污水管网输送至广东阳东经济开发区污水处理厂集中处理</w:t>
                  </w:r>
                </w:p>
              </w:tc>
              <w:tc>
                <w:tcPr>
                  <w:tcW w:w="1163" w:type="dxa"/>
                  <w:tcBorders>
                    <w:bottom w:val="single" w:color="auto" w:sz="4" w:space="0"/>
                  </w:tcBorders>
                  <w:vAlign w:val="center"/>
                </w:tcPr>
                <w:p w14:paraId="7DB45369">
                  <w:pPr>
                    <w:widowControl w:val="0"/>
                    <w:jc w:val="center"/>
                    <w:rPr>
                      <w:color w:val="auto"/>
                      <w:szCs w:val="21"/>
                    </w:rPr>
                  </w:pPr>
                  <w:r>
                    <w:rPr>
                      <w:rFonts w:hint="eastAsia"/>
                      <w:color w:val="auto"/>
                      <w:szCs w:val="21"/>
                    </w:rPr>
                    <w:t>不变</w:t>
                  </w:r>
                </w:p>
              </w:tc>
            </w:tr>
            <w:tr w14:paraId="6175327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76747FED">
                  <w:pPr>
                    <w:widowControl w:val="0"/>
                    <w:jc w:val="center"/>
                    <w:rPr>
                      <w:color w:val="auto"/>
                      <w:szCs w:val="21"/>
                    </w:rPr>
                  </w:pPr>
                </w:p>
              </w:tc>
              <w:tc>
                <w:tcPr>
                  <w:tcW w:w="919" w:type="dxa"/>
                  <w:vMerge w:val="continue"/>
                  <w:vAlign w:val="center"/>
                </w:tcPr>
                <w:p w14:paraId="6E5C9264">
                  <w:pPr>
                    <w:widowControl w:val="0"/>
                    <w:jc w:val="center"/>
                    <w:rPr>
                      <w:color w:val="auto"/>
                      <w:szCs w:val="21"/>
                    </w:rPr>
                  </w:pPr>
                </w:p>
              </w:tc>
              <w:tc>
                <w:tcPr>
                  <w:tcW w:w="2631" w:type="dxa"/>
                  <w:tcBorders>
                    <w:top w:val="single" w:color="000000" w:sz="6" w:space="0"/>
                    <w:bottom w:val="single" w:color="auto" w:sz="4" w:space="0"/>
                    <w:right w:val="single" w:color="000000" w:sz="6" w:space="0"/>
                  </w:tcBorders>
                  <w:vAlign w:val="center"/>
                </w:tcPr>
                <w:p w14:paraId="70690AB9">
                  <w:pPr>
                    <w:widowControl w:val="0"/>
                    <w:jc w:val="center"/>
                    <w:rPr>
                      <w:color w:val="auto"/>
                      <w:szCs w:val="21"/>
                    </w:rPr>
                  </w:pPr>
                  <w:r>
                    <w:rPr>
                      <w:rFonts w:hint="eastAsia"/>
                      <w:color w:val="auto"/>
                      <w:szCs w:val="21"/>
                    </w:rPr>
                    <w:t>生产废水（包括脱脂后清洗废水，酸蚀、碱蚀和化学抛光后清洗废水，氧化后清洗废水，着色后清洗废水）经厂内自建的综合废水处理站处理后，大部分回用，少部分</w:t>
                  </w:r>
                  <w:r>
                    <w:rPr>
                      <w:color w:val="auto"/>
                      <w:szCs w:val="21"/>
                    </w:rPr>
                    <w:t>排放至市政污水管网，纳入广东阳东经济开发区污水处理厂处理</w:t>
                  </w:r>
                </w:p>
              </w:tc>
              <w:tc>
                <w:tcPr>
                  <w:tcW w:w="1736" w:type="dxa"/>
                  <w:tcBorders>
                    <w:top w:val="single" w:color="000000" w:sz="6" w:space="0"/>
                    <w:left w:val="single" w:color="000000" w:sz="6" w:space="0"/>
                    <w:bottom w:val="single" w:color="auto" w:sz="4" w:space="0"/>
                  </w:tcBorders>
                  <w:vAlign w:val="center"/>
                </w:tcPr>
                <w:p w14:paraId="08CD59EA">
                  <w:pPr>
                    <w:widowControl w:val="0"/>
                    <w:jc w:val="center"/>
                    <w:rPr>
                      <w:rFonts w:hint="eastAsia" w:eastAsia="宋体"/>
                      <w:color w:val="auto"/>
                      <w:szCs w:val="21"/>
                      <w:lang w:eastAsia="zh-CN"/>
                    </w:rPr>
                  </w:pPr>
                  <w:r>
                    <w:rPr>
                      <w:color w:val="auto"/>
                      <w:szCs w:val="21"/>
                    </w:rPr>
                    <w:t>依托现有项目</w:t>
                  </w:r>
                  <w:r>
                    <w:rPr>
                      <w:rFonts w:hint="eastAsia"/>
                      <w:color w:val="auto"/>
                      <w:szCs w:val="21"/>
                      <w:lang w:eastAsia="zh-CN"/>
                    </w:rPr>
                    <w:t>的</w:t>
                  </w:r>
                  <w:r>
                    <w:rPr>
                      <w:rFonts w:hint="eastAsia"/>
                      <w:color w:val="auto"/>
                      <w:szCs w:val="21"/>
                      <w:lang w:val="en-US" w:eastAsia="zh-CN"/>
                    </w:rPr>
                    <w:t>综合废水处理站</w:t>
                  </w:r>
                </w:p>
              </w:tc>
              <w:tc>
                <w:tcPr>
                  <w:tcW w:w="2478" w:type="dxa"/>
                  <w:tcBorders>
                    <w:top w:val="single" w:color="000000" w:sz="6" w:space="0"/>
                    <w:bottom w:val="single" w:color="auto" w:sz="4" w:space="0"/>
                  </w:tcBorders>
                  <w:vAlign w:val="center"/>
                </w:tcPr>
                <w:p w14:paraId="48FF1F7A">
                  <w:pPr>
                    <w:widowControl w:val="0"/>
                    <w:jc w:val="center"/>
                    <w:rPr>
                      <w:color w:val="auto"/>
                      <w:szCs w:val="21"/>
                    </w:rPr>
                  </w:pPr>
                  <w:r>
                    <w:rPr>
                      <w:rFonts w:hint="eastAsia"/>
                      <w:color w:val="auto"/>
                      <w:szCs w:val="21"/>
                    </w:rPr>
                    <w:t>生产废水（包括脱脂后清洗废水，酸蚀、碱蚀和化学抛光后清洗废水，氧化后清洗废水，着色后清洗废水，电泳漆涂装前后清洗废水）经厂内自建的综合废水处理站处理后，大部分回用，少部分</w:t>
                  </w:r>
                  <w:r>
                    <w:rPr>
                      <w:color w:val="auto"/>
                      <w:szCs w:val="21"/>
                    </w:rPr>
                    <w:t>排放至市政污水管网，纳入广东阳东经济开发区污水处理厂处理</w:t>
                  </w:r>
                </w:p>
              </w:tc>
              <w:tc>
                <w:tcPr>
                  <w:tcW w:w="1163" w:type="dxa"/>
                  <w:tcBorders>
                    <w:top w:val="single" w:color="000000" w:sz="6" w:space="0"/>
                    <w:bottom w:val="single" w:color="auto" w:sz="4" w:space="0"/>
                  </w:tcBorders>
                  <w:vAlign w:val="center"/>
                </w:tcPr>
                <w:p w14:paraId="7E67715F">
                  <w:pPr>
                    <w:widowControl w:val="0"/>
                    <w:jc w:val="center"/>
                    <w:rPr>
                      <w:color w:val="auto"/>
                      <w:szCs w:val="21"/>
                    </w:rPr>
                  </w:pPr>
                  <w:r>
                    <w:rPr>
                      <w:color w:val="auto"/>
                      <w:szCs w:val="21"/>
                    </w:rPr>
                    <w:t>不变</w:t>
                  </w:r>
                </w:p>
              </w:tc>
            </w:tr>
            <w:tr w14:paraId="4E345C9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681EAB51">
                  <w:pPr>
                    <w:widowControl w:val="0"/>
                    <w:jc w:val="center"/>
                    <w:rPr>
                      <w:color w:val="auto"/>
                      <w:szCs w:val="21"/>
                    </w:rPr>
                  </w:pPr>
                </w:p>
              </w:tc>
              <w:tc>
                <w:tcPr>
                  <w:tcW w:w="919" w:type="dxa"/>
                  <w:vMerge w:val="continue"/>
                  <w:vAlign w:val="center"/>
                </w:tcPr>
                <w:p w14:paraId="7B9F2E52">
                  <w:pPr>
                    <w:widowControl w:val="0"/>
                    <w:jc w:val="center"/>
                    <w:rPr>
                      <w:color w:val="auto"/>
                      <w:szCs w:val="21"/>
                    </w:rPr>
                  </w:pPr>
                </w:p>
              </w:tc>
              <w:tc>
                <w:tcPr>
                  <w:tcW w:w="2631" w:type="dxa"/>
                  <w:tcBorders>
                    <w:right w:val="single" w:color="000000" w:sz="6" w:space="0"/>
                  </w:tcBorders>
                  <w:vAlign w:val="center"/>
                </w:tcPr>
                <w:p w14:paraId="24C0EF36">
                  <w:pPr>
                    <w:widowControl w:val="0"/>
                    <w:jc w:val="center"/>
                    <w:rPr>
                      <w:rFonts w:hint="default" w:eastAsia="宋体"/>
                      <w:color w:val="auto"/>
                      <w:szCs w:val="21"/>
                      <w:lang w:val="en-US" w:eastAsia="zh-CN"/>
                    </w:rPr>
                  </w:pPr>
                  <w:r>
                    <w:rPr>
                      <w:rFonts w:hint="eastAsia"/>
                      <w:color w:val="auto"/>
                      <w:szCs w:val="21"/>
                    </w:rPr>
                    <w:t>封孔后清洗废水经自建RO反渗透废水处理系统</w:t>
                  </w:r>
                  <w:r>
                    <w:rPr>
                      <w:rFonts w:hint="eastAsia"/>
                      <w:color w:val="auto"/>
                      <w:szCs w:val="21"/>
                      <w:lang w:val="en-US" w:eastAsia="zh-CN"/>
                    </w:rPr>
                    <w:t>处理</w:t>
                  </w:r>
                  <w:r>
                    <w:rPr>
                      <w:rFonts w:hint="eastAsia"/>
                      <w:bCs/>
                      <w:color w:val="auto"/>
                      <w:sz w:val="21"/>
                      <w:szCs w:val="21"/>
                    </w:rPr>
                    <w:t>后回用至封孔</w:t>
                  </w:r>
                  <w:r>
                    <w:rPr>
                      <w:rFonts w:hint="eastAsia"/>
                      <w:bCs/>
                      <w:color w:val="auto"/>
                      <w:sz w:val="21"/>
                      <w:szCs w:val="21"/>
                      <w:lang w:val="en-US" w:eastAsia="zh-CN"/>
                    </w:rPr>
                    <w:t>清洗</w:t>
                  </w:r>
                  <w:r>
                    <w:rPr>
                      <w:rFonts w:hint="eastAsia"/>
                      <w:bCs/>
                      <w:color w:val="auto"/>
                      <w:sz w:val="21"/>
                      <w:szCs w:val="21"/>
                    </w:rPr>
                    <w:t>槽</w:t>
                  </w:r>
                  <w:r>
                    <w:rPr>
                      <w:rFonts w:hint="eastAsia"/>
                      <w:bCs/>
                      <w:color w:val="auto"/>
                      <w:sz w:val="21"/>
                      <w:szCs w:val="21"/>
                      <w:lang w:eastAsia="zh-CN"/>
                    </w:rPr>
                    <w:t>，</w:t>
                  </w:r>
                  <w:r>
                    <w:rPr>
                      <w:rFonts w:hint="eastAsia"/>
                      <w:bCs/>
                      <w:color w:val="auto"/>
                      <w:sz w:val="21"/>
                      <w:szCs w:val="21"/>
                      <w:lang w:val="en-US" w:eastAsia="zh-CN"/>
                    </w:rPr>
                    <w:t>不外排</w:t>
                  </w:r>
                </w:p>
              </w:tc>
              <w:tc>
                <w:tcPr>
                  <w:tcW w:w="1736" w:type="dxa"/>
                  <w:tcBorders>
                    <w:left w:val="single" w:color="000000" w:sz="6" w:space="0"/>
                  </w:tcBorders>
                  <w:vAlign w:val="center"/>
                </w:tcPr>
                <w:p w14:paraId="18A5A1FE">
                  <w:pPr>
                    <w:widowControl w:val="0"/>
                    <w:jc w:val="center"/>
                    <w:rPr>
                      <w:color w:val="auto"/>
                      <w:szCs w:val="21"/>
                    </w:rPr>
                  </w:pPr>
                  <w:r>
                    <w:rPr>
                      <w:rFonts w:hint="eastAsia"/>
                      <w:color w:val="auto"/>
                      <w:szCs w:val="21"/>
                    </w:rPr>
                    <w:t>/</w:t>
                  </w:r>
                </w:p>
              </w:tc>
              <w:tc>
                <w:tcPr>
                  <w:tcW w:w="2478" w:type="dxa"/>
                  <w:vAlign w:val="center"/>
                </w:tcPr>
                <w:p w14:paraId="254449AB">
                  <w:pPr>
                    <w:widowControl w:val="0"/>
                    <w:jc w:val="center"/>
                    <w:rPr>
                      <w:color w:val="auto"/>
                      <w:szCs w:val="21"/>
                    </w:rPr>
                  </w:pPr>
                  <w:r>
                    <w:rPr>
                      <w:rFonts w:hint="eastAsia"/>
                      <w:color w:val="auto"/>
                      <w:szCs w:val="21"/>
                    </w:rPr>
                    <w:t>封孔后清洗废水经自建RO反渗透废水处理系统</w:t>
                  </w:r>
                  <w:r>
                    <w:rPr>
                      <w:rFonts w:hint="eastAsia"/>
                      <w:color w:val="auto"/>
                      <w:szCs w:val="21"/>
                      <w:lang w:val="en-US" w:eastAsia="zh-CN"/>
                    </w:rPr>
                    <w:t>处理</w:t>
                  </w:r>
                  <w:r>
                    <w:rPr>
                      <w:rFonts w:hint="eastAsia"/>
                      <w:bCs/>
                      <w:color w:val="auto"/>
                      <w:sz w:val="21"/>
                      <w:szCs w:val="21"/>
                    </w:rPr>
                    <w:t>后回用至封孔</w:t>
                  </w:r>
                  <w:r>
                    <w:rPr>
                      <w:rFonts w:hint="eastAsia"/>
                      <w:bCs/>
                      <w:color w:val="auto"/>
                      <w:sz w:val="21"/>
                      <w:szCs w:val="21"/>
                      <w:lang w:val="en-US" w:eastAsia="zh-CN"/>
                    </w:rPr>
                    <w:t>清洗</w:t>
                  </w:r>
                  <w:r>
                    <w:rPr>
                      <w:rFonts w:hint="eastAsia"/>
                      <w:bCs/>
                      <w:color w:val="auto"/>
                      <w:sz w:val="21"/>
                      <w:szCs w:val="21"/>
                    </w:rPr>
                    <w:t>槽</w:t>
                  </w:r>
                  <w:r>
                    <w:rPr>
                      <w:rFonts w:hint="eastAsia"/>
                      <w:bCs/>
                      <w:color w:val="auto"/>
                      <w:sz w:val="21"/>
                      <w:szCs w:val="21"/>
                      <w:lang w:eastAsia="zh-CN"/>
                    </w:rPr>
                    <w:t>，</w:t>
                  </w:r>
                  <w:r>
                    <w:rPr>
                      <w:rFonts w:hint="eastAsia"/>
                      <w:bCs/>
                      <w:color w:val="auto"/>
                      <w:sz w:val="21"/>
                      <w:szCs w:val="21"/>
                      <w:lang w:val="en-US" w:eastAsia="zh-CN"/>
                    </w:rPr>
                    <w:t>不外排</w:t>
                  </w:r>
                </w:p>
              </w:tc>
              <w:tc>
                <w:tcPr>
                  <w:tcW w:w="1163" w:type="dxa"/>
                  <w:vAlign w:val="center"/>
                </w:tcPr>
                <w:p w14:paraId="47CAE808">
                  <w:pPr>
                    <w:widowControl w:val="0"/>
                    <w:jc w:val="center"/>
                    <w:rPr>
                      <w:color w:val="auto"/>
                      <w:szCs w:val="21"/>
                    </w:rPr>
                  </w:pPr>
                  <w:r>
                    <w:rPr>
                      <w:color w:val="auto"/>
                      <w:szCs w:val="21"/>
                    </w:rPr>
                    <w:t>不变</w:t>
                  </w:r>
                </w:p>
              </w:tc>
            </w:tr>
            <w:tr w14:paraId="2A4FFF2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49D1C77B">
                  <w:pPr>
                    <w:widowControl w:val="0"/>
                    <w:jc w:val="center"/>
                    <w:rPr>
                      <w:color w:val="auto"/>
                      <w:szCs w:val="21"/>
                    </w:rPr>
                  </w:pPr>
                </w:p>
              </w:tc>
              <w:tc>
                <w:tcPr>
                  <w:tcW w:w="919" w:type="dxa"/>
                  <w:vMerge w:val="continue"/>
                  <w:vAlign w:val="center"/>
                </w:tcPr>
                <w:p w14:paraId="0FDE885D">
                  <w:pPr>
                    <w:widowControl w:val="0"/>
                    <w:jc w:val="center"/>
                    <w:rPr>
                      <w:color w:val="auto"/>
                      <w:szCs w:val="21"/>
                    </w:rPr>
                  </w:pPr>
                </w:p>
              </w:tc>
              <w:tc>
                <w:tcPr>
                  <w:tcW w:w="2631" w:type="dxa"/>
                  <w:tcBorders>
                    <w:bottom w:val="single" w:color="000000" w:sz="4" w:space="0"/>
                    <w:right w:val="single" w:color="000000" w:sz="6" w:space="0"/>
                  </w:tcBorders>
                  <w:vAlign w:val="center"/>
                </w:tcPr>
                <w:p w14:paraId="6722009E">
                  <w:pPr>
                    <w:widowControl w:val="0"/>
                    <w:jc w:val="center"/>
                    <w:rPr>
                      <w:color w:val="auto"/>
                      <w:szCs w:val="21"/>
                    </w:rPr>
                  </w:pPr>
                  <w:r>
                    <w:rPr>
                      <w:rFonts w:hint="eastAsia"/>
                      <w:color w:val="auto"/>
                      <w:szCs w:val="21"/>
                      <w:lang w:val="en-US" w:eastAsia="zh-CN"/>
                    </w:rPr>
                    <w:t>有机废气处理水喷淋塔、</w:t>
                  </w:r>
                  <w:r>
                    <w:rPr>
                      <w:rFonts w:hint="eastAsia"/>
                      <w:color w:val="auto"/>
                      <w:szCs w:val="21"/>
                    </w:rPr>
                    <w:t>除尘水喷淋塔、碱液喷淋塔</w:t>
                  </w:r>
                  <w:r>
                    <w:rPr>
                      <w:color w:val="auto"/>
                      <w:szCs w:val="21"/>
                    </w:rPr>
                    <w:t>的喷淋废水定期清理沉渣后循环使用，不外排</w:t>
                  </w:r>
                </w:p>
              </w:tc>
              <w:tc>
                <w:tcPr>
                  <w:tcW w:w="1736" w:type="dxa"/>
                  <w:tcBorders>
                    <w:left w:val="single" w:color="000000" w:sz="6" w:space="0"/>
                    <w:bottom w:val="single" w:color="000000" w:sz="4" w:space="0"/>
                  </w:tcBorders>
                  <w:vAlign w:val="center"/>
                </w:tcPr>
                <w:p w14:paraId="1E7EAD61">
                  <w:pPr>
                    <w:widowControl w:val="0"/>
                    <w:jc w:val="center"/>
                    <w:rPr>
                      <w:rFonts w:hint="default" w:eastAsia="宋体"/>
                      <w:color w:val="auto"/>
                      <w:szCs w:val="21"/>
                      <w:lang w:val="en-US" w:eastAsia="zh-CN"/>
                    </w:rPr>
                  </w:pPr>
                  <w:r>
                    <w:rPr>
                      <w:rFonts w:hint="eastAsia"/>
                      <w:color w:val="auto"/>
                      <w:szCs w:val="21"/>
                      <w:lang w:val="en-US" w:eastAsia="zh-CN"/>
                    </w:rPr>
                    <w:t>依托现有项目</w:t>
                  </w:r>
                </w:p>
              </w:tc>
              <w:tc>
                <w:tcPr>
                  <w:tcW w:w="2478" w:type="dxa"/>
                  <w:tcBorders>
                    <w:bottom w:val="single" w:color="000000" w:sz="4" w:space="0"/>
                  </w:tcBorders>
                  <w:vAlign w:val="center"/>
                </w:tcPr>
                <w:p w14:paraId="7CCE1F00">
                  <w:pPr>
                    <w:widowControl w:val="0"/>
                    <w:jc w:val="center"/>
                    <w:rPr>
                      <w:color w:val="auto"/>
                      <w:szCs w:val="21"/>
                    </w:rPr>
                  </w:pPr>
                  <w:r>
                    <w:rPr>
                      <w:rFonts w:hint="eastAsia"/>
                      <w:color w:val="auto"/>
                      <w:szCs w:val="21"/>
                      <w:lang w:val="en-US" w:eastAsia="zh-CN"/>
                    </w:rPr>
                    <w:t>有机废气处理水喷淋塔、</w:t>
                  </w:r>
                  <w:r>
                    <w:rPr>
                      <w:rFonts w:hint="eastAsia"/>
                      <w:color w:val="auto"/>
                      <w:szCs w:val="21"/>
                    </w:rPr>
                    <w:t>除尘水喷淋塔、碱液喷淋塔</w:t>
                  </w:r>
                  <w:r>
                    <w:rPr>
                      <w:color w:val="auto"/>
                      <w:szCs w:val="21"/>
                    </w:rPr>
                    <w:t>的喷淋废水定期清理沉渣后循环使用，不外排</w:t>
                  </w:r>
                </w:p>
              </w:tc>
              <w:tc>
                <w:tcPr>
                  <w:tcW w:w="1163" w:type="dxa"/>
                  <w:tcBorders>
                    <w:bottom w:val="single" w:color="000000" w:sz="4" w:space="0"/>
                  </w:tcBorders>
                  <w:vAlign w:val="center"/>
                </w:tcPr>
                <w:p w14:paraId="0A884F1F">
                  <w:pPr>
                    <w:widowControl w:val="0"/>
                    <w:jc w:val="center"/>
                    <w:rPr>
                      <w:rFonts w:hint="eastAsia" w:eastAsia="宋体"/>
                      <w:color w:val="auto"/>
                      <w:szCs w:val="21"/>
                      <w:lang w:eastAsia="zh-CN"/>
                    </w:rPr>
                  </w:pPr>
                  <w:r>
                    <w:rPr>
                      <w:rFonts w:hint="eastAsia"/>
                      <w:color w:val="auto"/>
                      <w:szCs w:val="21"/>
                      <w:lang w:val="en-US" w:eastAsia="zh-CN"/>
                    </w:rPr>
                    <w:t>不变</w:t>
                  </w:r>
                </w:p>
              </w:tc>
            </w:tr>
            <w:tr w14:paraId="6756FBD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59FC390F">
                  <w:pPr>
                    <w:widowControl w:val="0"/>
                    <w:jc w:val="center"/>
                    <w:rPr>
                      <w:color w:val="auto"/>
                      <w:szCs w:val="21"/>
                    </w:rPr>
                  </w:pPr>
                </w:p>
              </w:tc>
              <w:tc>
                <w:tcPr>
                  <w:tcW w:w="919" w:type="dxa"/>
                  <w:vMerge w:val="continue"/>
                  <w:vAlign w:val="center"/>
                </w:tcPr>
                <w:p w14:paraId="3C25CFA3">
                  <w:pPr>
                    <w:widowControl w:val="0"/>
                    <w:jc w:val="center"/>
                    <w:rPr>
                      <w:color w:val="auto"/>
                      <w:szCs w:val="21"/>
                    </w:rPr>
                  </w:pPr>
                </w:p>
              </w:tc>
              <w:tc>
                <w:tcPr>
                  <w:tcW w:w="2631" w:type="dxa"/>
                  <w:tcBorders>
                    <w:top w:val="single" w:color="000000" w:sz="4" w:space="0"/>
                    <w:right w:val="single" w:color="000000" w:sz="6" w:space="0"/>
                  </w:tcBorders>
                  <w:vAlign w:val="center"/>
                </w:tcPr>
                <w:p w14:paraId="119B7C3B">
                  <w:pPr>
                    <w:widowControl w:val="0"/>
                    <w:jc w:val="center"/>
                    <w:rPr>
                      <w:color w:val="auto"/>
                      <w:szCs w:val="21"/>
                    </w:rPr>
                  </w:pPr>
                  <w:r>
                    <w:rPr>
                      <w:rFonts w:hint="eastAsia"/>
                      <w:color w:val="auto"/>
                      <w:szCs w:val="21"/>
                    </w:rPr>
                    <w:t>注塑设备冷却水循环再用，不外排</w:t>
                  </w:r>
                </w:p>
              </w:tc>
              <w:tc>
                <w:tcPr>
                  <w:tcW w:w="1736" w:type="dxa"/>
                  <w:tcBorders>
                    <w:top w:val="single" w:color="000000" w:sz="4" w:space="0"/>
                    <w:left w:val="single" w:color="000000" w:sz="6" w:space="0"/>
                  </w:tcBorders>
                  <w:vAlign w:val="center"/>
                </w:tcPr>
                <w:p w14:paraId="14F99903">
                  <w:pPr>
                    <w:widowControl w:val="0"/>
                    <w:jc w:val="center"/>
                    <w:rPr>
                      <w:color w:val="auto"/>
                      <w:szCs w:val="21"/>
                    </w:rPr>
                  </w:pPr>
                  <w:r>
                    <w:rPr>
                      <w:rFonts w:hint="eastAsia"/>
                      <w:color w:val="auto"/>
                      <w:szCs w:val="21"/>
                    </w:rPr>
                    <w:t>/</w:t>
                  </w:r>
                </w:p>
              </w:tc>
              <w:tc>
                <w:tcPr>
                  <w:tcW w:w="2478" w:type="dxa"/>
                  <w:tcBorders>
                    <w:top w:val="single" w:color="000000" w:sz="4" w:space="0"/>
                  </w:tcBorders>
                  <w:vAlign w:val="center"/>
                </w:tcPr>
                <w:p w14:paraId="466FB6B2">
                  <w:pPr>
                    <w:widowControl w:val="0"/>
                    <w:jc w:val="center"/>
                    <w:rPr>
                      <w:rFonts w:hint="eastAsia"/>
                      <w:color w:val="auto"/>
                      <w:szCs w:val="21"/>
                    </w:rPr>
                  </w:pPr>
                  <w:r>
                    <w:rPr>
                      <w:rFonts w:hint="eastAsia"/>
                      <w:color w:val="auto"/>
                      <w:szCs w:val="21"/>
                    </w:rPr>
                    <w:t>注塑设备冷却水循环再用，不外排</w:t>
                  </w:r>
                </w:p>
              </w:tc>
              <w:tc>
                <w:tcPr>
                  <w:tcW w:w="1163" w:type="dxa"/>
                  <w:tcBorders>
                    <w:top w:val="single" w:color="000000" w:sz="4" w:space="0"/>
                  </w:tcBorders>
                  <w:vAlign w:val="center"/>
                </w:tcPr>
                <w:p w14:paraId="46C0A3C1">
                  <w:pPr>
                    <w:widowControl w:val="0"/>
                    <w:jc w:val="center"/>
                    <w:rPr>
                      <w:color w:val="auto"/>
                      <w:szCs w:val="21"/>
                    </w:rPr>
                  </w:pPr>
                  <w:r>
                    <w:rPr>
                      <w:rFonts w:hint="eastAsia"/>
                      <w:color w:val="auto"/>
                      <w:szCs w:val="21"/>
                    </w:rPr>
                    <w:t>不变</w:t>
                  </w:r>
                </w:p>
              </w:tc>
            </w:tr>
            <w:tr w14:paraId="5437179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0F07D041">
                  <w:pPr>
                    <w:widowControl w:val="0"/>
                    <w:jc w:val="center"/>
                    <w:rPr>
                      <w:color w:val="auto"/>
                      <w:szCs w:val="21"/>
                    </w:rPr>
                  </w:pPr>
                </w:p>
              </w:tc>
              <w:tc>
                <w:tcPr>
                  <w:tcW w:w="919" w:type="dxa"/>
                  <w:vAlign w:val="center"/>
                </w:tcPr>
                <w:p w14:paraId="39CD1818">
                  <w:pPr>
                    <w:widowControl w:val="0"/>
                    <w:jc w:val="center"/>
                    <w:rPr>
                      <w:color w:val="auto"/>
                      <w:szCs w:val="21"/>
                    </w:rPr>
                  </w:pPr>
                  <w:r>
                    <w:rPr>
                      <w:color w:val="auto"/>
                      <w:szCs w:val="21"/>
                    </w:rPr>
                    <w:t>噪声治理</w:t>
                  </w:r>
                </w:p>
              </w:tc>
              <w:tc>
                <w:tcPr>
                  <w:tcW w:w="2631" w:type="dxa"/>
                  <w:tcBorders>
                    <w:right w:val="single" w:color="000000" w:sz="6" w:space="0"/>
                  </w:tcBorders>
                  <w:vAlign w:val="center"/>
                </w:tcPr>
                <w:p w14:paraId="0C221954">
                  <w:pPr>
                    <w:widowControl w:val="0"/>
                    <w:tabs>
                      <w:tab w:val="right" w:pos="9069"/>
                    </w:tabs>
                    <w:autoSpaceDE w:val="0"/>
                    <w:autoSpaceDN w:val="0"/>
                    <w:adjustRightInd w:val="0"/>
                    <w:snapToGrid w:val="0"/>
                    <w:jc w:val="center"/>
                    <w:rPr>
                      <w:color w:val="auto"/>
                      <w:szCs w:val="21"/>
                    </w:rPr>
                  </w:pPr>
                  <w:r>
                    <w:rPr>
                      <w:color w:val="auto"/>
                      <w:szCs w:val="21"/>
                    </w:rPr>
                    <w:t>选用低噪声设备，并采取隔声、减震等降噪措施</w:t>
                  </w:r>
                </w:p>
              </w:tc>
              <w:tc>
                <w:tcPr>
                  <w:tcW w:w="1736" w:type="dxa"/>
                  <w:tcBorders>
                    <w:left w:val="single" w:color="000000" w:sz="6" w:space="0"/>
                  </w:tcBorders>
                  <w:vAlign w:val="center"/>
                </w:tcPr>
                <w:p w14:paraId="13325F5E">
                  <w:pPr>
                    <w:widowControl w:val="0"/>
                    <w:tabs>
                      <w:tab w:val="right" w:pos="9069"/>
                    </w:tabs>
                    <w:autoSpaceDE w:val="0"/>
                    <w:autoSpaceDN w:val="0"/>
                    <w:adjustRightInd w:val="0"/>
                    <w:snapToGrid w:val="0"/>
                    <w:jc w:val="center"/>
                    <w:rPr>
                      <w:rFonts w:hint="eastAsia"/>
                      <w:color w:val="auto"/>
                      <w:szCs w:val="21"/>
                    </w:rPr>
                  </w:pPr>
                  <w:r>
                    <w:rPr>
                      <w:color w:val="auto"/>
                      <w:szCs w:val="21"/>
                    </w:rPr>
                    <w:t>新增的生产设备选用低噪声设备，并采取隔声、减震等降噪措施</w:t>
                  </w:r>
                </w:p>
              </w:tc>
              <w:tc>
                <w:tcPr>
                  <w:tcW w:w="2478" w:type="dxa"/>
                  <w:vAlign w:val="center"/>
                </w:tcPr>
                <w:p w14:paraId="0E81674D">
                  <w:pPr>
                    <w:widowControl w:val="0"/>
                    <w:autoSpaceDE w:val="0"/>
                    <w:autoSpaceDN w:val="0"/>
                    <w:jc w:val="center"/>
                    <w:rPr>
                      <w:rFonts w:hint="eastAsia"/>
                      <w:color w:val="auto"/>
                      <w:szCs w:val="21"/>
                    </w:rPr>
                  </w:pPr>
                  <w:r>
                    <w:rPr>
                      <w:color w:val="auto"/>
                      <w:szCs w:val="21"/>
                    </w:rPr>
                    <w:t>选用低噪声设备，并采取隔声、减震等降噪措施</w:t>
                  </w:r>
                </w:p>
              </w:tc>
              <w:tc>
                <w:tcPr>
                  <w:tcW w:w="1163" w:type="dxa"/>
                  <w:vAlign w:val="center"/>
                </w:tcPr>
                <w:p w14:paraId="1564B9C2">
                  <w:pPr>
                    <w:widowControl w:val="0"/>
                    <w:jc w:val="center"/>
                    <w:rPr>
                      <w:color w:val="auto"/>
                      <w:szCs w:val="21"/>
                    </w:rPr>
                  </w:pPr>
                  <w:r>
                    <w:rPr>
                      <w:color w:val="auto"/>
                      <w:szCs w:val="21"/>
                    </w:rPr>
                    <w:t>不变</w:t>
                  </w:r>
                </w:p>
              </w:tc>
            </w:tr>
            <w:tr w14:paraId="4948180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609042E9">
                  <w:pPr>
                    <w:widowControl w:val="0"/>
                    <w:jc w:val="center"/>
                    <w:rPr>
                      <w:color w:val="auto"/>
                      <w:szCs w:val="21"/>
                    </w:rPr>
                  </w:pPr>
                </w:p>
              </w:tc>
              <w:tc>
                <w:tcPr>
                  <w:tcW w:w="919" w:type="dxa"/>
                  <w:vAlign w:val="center"/>
                </w:tcPr>
                <w:p w14:paraId="1963BCB0">
                  <w:pPr>
                    <w:widowControl w:val="0"/>
                    <w:jc w:val="center"/>
                    <w:rPr>
                      <w:color w:val="auto"/>
                      <w:szCs w:val="21"/>
                    </w:rPr>
                  </w:pPr>
                  <w:r>
                    <w:rPr>
                      <w:color w:val="auto"/>
                      <w:szCs w:val="21"/>
                    </w:rPr>
                    <w:t>危险废物处置</w:t>
                  </w:r>
                </w:p>
              </w:tc>
              <w:tc>
                <w:tcPr>
                  <w:tcW w:w="2631" w:type="dxa"/>
                  <w:tcBorders>
                    <w:right w:val="single" w:color="000000" w:sz="6" w:space="0"/>
                  </w:tcBorders>
                  <w:vAlign w:val="center"/>
                </w:tcPr>
                <w:p w14:paraId="224A6FD3">
                  <w:pPr>
                    <w:widowControl w:val="0"/>
                    <w:jc w:val="center"/>
                    <w:rPr>
                      <w:color w:val="auto"/>
                      <w:szCs w:val="21"/>
                    </w:rPr>
                  </w:pPr>
                  <w:r>
                    <w:rPr>
                      <w:rFonts w:hint="eastAsia"/>
                      <w:color w:val="auto"/>
                      <w:szCs w:val="21"/>
                    </w:rPr>
                    <w:t>设有</w:t>
                  </w:r>
                  <w:r>
                    <w:rPr>
                      <w:color w:val="auto"/>
                      <w:szCs w:val="21"/>
                    </w:rPr>
                    <w:t>危废暂存间1间，位于厂房南侧，占地面积</w:t>
                  </w:r>
                  <w:r>
                    <w:rPr>
                      <w:rFonts w:hint="eastAsia"/>
                      <w:color w:val="auto"/>
                      <w:szCs w:val="21"/>
                    </w:rPr>
                    <w:t>150</w:t>
                  </w:r>
                  <w:r>
                    <w:rPr>
                      <w:color w:val="auto"/>
                      <w:szCs w:val="21"/>
                    </w:rPr>
                    <w:t>m</w:t>
                  </w:r>
                  <w:r>
                    <w:rPr>
                      <w:color w:val="auto"/>
                      <w:szCs w:val="21"/>
                      <w:vertAlign w:val="superscript"/>
                    </w:rPr>
                    <w:t>2</w:t>
                  </w:r>
                  <w:r>
                    <w:rPr>
                      <w:color w:val="auto"/>
                      <w:szCs w:val="21"/>
                    </w:rPr>
                    <w:t>，用于</w:t>
                  </w:r>
                  <w:r>
                    <w:rPr>
                      <w:rFonts w:hint="eastAsia"/>
                      <w:color w:val="auto"/>
                      <w:szCs w:val="21"/>
                    </w:rPr>
                    <w:t>危废暂存，定期委托有危废资质的单位收集处置</w:t>
                  </w:r>
                </w:p>
              </w:tc>
              <w:tc>
                <w:tcPr>
                  <w:tcW w:w="1736" w:type="dxa"/>
                  <w:tcBorders>
                    <w:left w:val="single" w:color="000000" w:sz="6" w:space="0"/>
                  </w:tcBorders>
                  <w:vAlign w:val="center"/>
                </w:tcPr>
                <w:p w14:paraId="1CB0BADC">
                  <w:pPr>
                    <w:widowControl w:val="0"/>
                    <w:jc w:val="center"/>
                    <w:rPr>
                      <w:color w:val="auto"/>
                      <w:szCs w:val="21"/>
                    </w:rPr>
                  </w:pPr>
                  <w:r>
                    <w:rPr>
                      <w:color w:val="auto"/>
                      <w:szCs w:val="21"/>
                    </w:rPr>
                    <w:t>依托现有项目，新增危废</w:t>
                  </w:r>
                  <w:r>
                    <w:rPr>
                      <w:rFonts w:hint="eastAsia"/>
                      <w:color w:val="auto"/>
                      <w:szCs w:val="21"/>
                    </w:rPr>
                    <w:t>种类</w:t>
                  </w:r>
                </w:p>
              </w:tc>
              <w:tc>
                <w:tcPr>
                  <w:tcW w:w="2478" w:type="dxa"/>
                  <w:vAlign w:val="center"/>
                </w:tcPr>
                <w:p w14:paraId="42FD4F28">
                  <w:pPr>
                    <w:widowControl w:val="0"/>
                    <w:jc w:val="center"/>
                    <w:rPr>
                      <w:color w:val="auto"/>
                      <w:szCs w:val="21"/>
                    </w:rPr>
                  </w:pPr>
                  <w:r>
                    <w:rPr>
                      <w:rFonts w:hint="eastAsia"/>
                      <w:color w:val="auto"/>
                      <w:szCs w:val="21"/>
                    </w:rPr>
                    <w:t>设有</w:t>
                  </w:r>
                  <w:r>
                    <w:rPr>
                      <w:color w:val="auto"/>
                      <w:szCs w:val="21"/>
                    </w:rPr>
                    <w:t>危废暂存间1间，位于厂房南侧，占地面积</w:t>
                  </w:r>
                  <w:r>
                    <w:rPr>
                      <w:rFonts w:hint="eastAsia"/>
                      <w:color w:val="auto"/>
                      <w:szCs w:val="21"/>
                    </w:rPr>
                    <w:t>150</w:t>
                  </w:r>
                  <w:r>
                    <w:rPr>
                      <w:color w:val="auto"/>
                      <w:szCs w:val="21"/>
                    </w:rPr>
                    <w:t>m</w:t>
                  </w:r>
                  <w:r>
                    <w:rPr>
                      <w:color w:val="auto"/>
                      <w:szCs w:val="21"/>
                      <w:vertAlign w:val="superscript"/>
                    </w:rPr>
                    <w:t>2</w:t>
                  </w:r>
                  <w:r>
                    <w:rPr>
                      <w:color w:val="auto"/>
                      <w:szCs w:val="21"/>
                    </w:rPr>
                    <w:t>，用于</w:t>
                  </w:r>
                  <w:r>
                    <w:rPr>
                      <w:rFonts w:hint="eastAsia"/>
                      <w:color w:val="auto"/>
                      <w:szCs w:val="21"/>
                    </w:rPr>
                    <w:t>危废暂存，定期委托有危废资质的单位收集处置</w:t>
                  </w:r>
                </w:p>
              </w:tc>
              <w:tc>
                <w:tcPr>
                  <w:tcW w:w="1163" w:type="dxa"/>
                  <w:vAlign w:val="center"/>
                </w:tcPr>
                <w:p w14:paraId="0AD28514">
                  <w:pPr>
                    <w:widowControl w:val="0"/>
                    <w:jc w:val="center"/>
                    <w:rPr>
                      <w:color w:val="auto"/>
                      <w:szCs w:val="21"/>
                    </w:rPr>
                  </w:pPr>
                  <w:r>
                    <w:rPr>
                      <w:color w:val="auto"/>
                      <w:szCs w:val="21"/>
                    </w:rPr>
                    <w:t>新增危废种类及产生量</w:t>
                  </w:r>
                </w:p>
              </w:tc>
            </w:tr>
            <w:tr w14:paraId="5C0AA47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6" w:type="dxa"/>
                  <w:vMerge w:val="continue"/>
                  <w:vAlign w:val="center"/>
                </w:tcPr>
                <w:p w14:paraId="6DCF5EA5">
                  <w:pPr>
                    <w:widowControl w:val="0"/>
                    <w:jc w:val="center"/>
                    <w:rPr>
                      <w:color w:val="auto"/>
                      <w:szCs w:val="21"/>
                    </w:rPr>
                  </w:pPr>
                </w:p>
              </w:tc>
              <w:tc>
                <w:tcPr>
                  <w:tcW w:w="919" w:type="dxa"/>
                  <w:vAlign w:val="center"/>
                </w:tcPr>
                <w:p w14:paraId="476EDB6C">
                  <w:pPr>
                    <w:widowControl w:val="0"/>
                    <w:jc w:val="center"/>
                    <w:rPr>
                      <w:color w:val="auto"/>
                      <w:szCs w:val="21"/>
                    </w:rPr>
                  </w:pPr>
                  <w:r>
                    <w:rPr>
                      <w:color w:val="auto"/>
                      <w:szCs w:val="21"/>
                    </w:rPr>
                    <w:t>一般固废处置</w:t>
                  </w:r>
                </w:p>
              </w:tc>
              <w:tc>
                <w:tcPr>
                  <w:tcW w:w="2631" w:type="dxa"/>
                  <w:tcBorders>
                    <w:right w:val="single" w:color="000000" w:sz="6" w:space="0"/>
                  </w:tcBorders>
                  <w:vAlign w:val="center"/>
                </w:tcPr>
                <w:p w14:paraId="02E4A544">
                  <w:pPr>
                    <w:widowControl w:val="0"/>
                    <w:jc w:val="center"/>
                    <w:rPr>
                      <w:color w:val="auto"/>
                      <w:szCs w:val="21"/>
                    </w:rPr>
                  </w:pPr>
                  <w:r>
                    <w:rPr>
                      <w:rFonts w:hint="eastAsia"/>
                      <w:color w:val="auto"/>
                      <w:szCs w:val="21"/>
                    </w:rPr>
                    <w:t>设</w:t>
                  </w:r>
                  <w:r>
                    <w:rPr>
                      <w:color w:val="auto"/>
                      <w:szCs w:val="21"/>
                    </w:rPr>
                    <w:t>有一般固废暂存间1间，位于厂房北侧，占地面积</w:t>
                  </w:r>
                  <w:r>
                    <w:rPr>
                      <w:rFonts w:hint="eastAsia"/>
                      <w:color w:val="auto"/>
                      <w:szCs w:val="21"/>
                    </w:rPr>
                    <w:t>6</w:t>
                  </w:r>
                  <w:r>
                    <w:rPr>
                      <w:color w:val="auto"/>
                      <w:szCs w:val="21"/>
                    </w:rPr>
                    <w:t>0m</w:t>
                  </w:r>
                  <w:r>
                    <w:rPr>
                      <w:color w:val="auto"/>
                      <w:szCs w:val="21"/>
                      <w:vertAlign w:val="superscript"/>
                    </w:rPr>
                    <w:t>2</w:t>
                  </w:r>
                  <w:r>
                    <w:rPr>
                      <w:color w:val="auto"/>
                      <w:szCs w:val="21"/>
                    </w:rPr>
                    <w:t>，</w:t>
                  </w:r>
                  <w:r>
                    <w:rPr>
                      <w:rFonts w:hint="eastAsia"/>
                      <w:color w:val="auto"/>
                      <w:szCs w:val="21"/>
                    </w:rPr>
                    <w:t>用于暂存一般工业固废，定期委托相关回收单位收集处置</w:t>
                  </w:r>
                </w:p>
              </w:tc>
              <w:tc>
                <w:tcPr>
                  <w:tcW w:w="1736" w:type="dxa"/>
                  <w:tcBorders>
                    <w:left w:val="single" w:color="000000" w:sz="6" w:space="0"/>
                  </w:tcBorders>
                  <w:vAlign w:val="center"/>
                </w:tcPr>
                <w:p w14:paraId="18A4CBD1">
                  <w:pPr>
                    <w:widowControl w:val="0"/>
                    <w:jc w:val="center"/>
                    <w:rPr>
                      <w:color w:val="auto"/>
                      <w:szCs w:val="21"/>
                    </w:rPr>
                  </w:pPr>
                  <w:r>
                    <w:rPr>
                      <w:color w:val="auto"/>
                      <w:szCs w:val="21"/>
                    </w:rPr>
                    <w:t>依托现有项目，新增一般工业固废量</w:t>
                  </w:r>
                </w:p>
              </w:tc>
              <w:tc>
                <w:tcPr>
                  <w:tcW w:w="2478" w:type="dxa"/>
                  <w:vAlign w:val="center"/>
                </w:tcPr>
                <w:p w14:paraId="052BC78E">
                  <w:pPr>
                    <w:widowControl w:val="0"/>
                    <w:jc w:val="center"/>
                    <w:rPr>
                      <w:color w:val="auto"/>
                      <w:szCs w:val="21"/>
                    </w:rPr>
                  </w:pPr>
                  <w:r>
                    <w:rPr>
                      <w:rFonts w:hint="eastAsia"/>
                      <w:color w:val="auto"/>
                      <w:szCs w:val="21"/>
                    </w:rPr>
                    <w:t>设</w:t>
                  </w:r>
                  <w:r>
                    <w:rPr>
                      <w:color w:val="auto"/>
                      <w:szCs w:val="21"/>
                    </w:rPr>
                    <w:t>有一般固废暂存间1间，位于厂房北侧，占地面积</w:t>
                  </w:r>
                  <w:r>
                    <w:rPr>
                      <w:rFonts w:hint="eastAsia"/>
                      <w:color w:val="auto"/>
                      <w:szCs w:val="21"/>
                    </w:rPr>
                    <w:t>6</w:t>
                  </w:r>
                  <w:r>
                    <w:rPr>
                      <w:color w:val="auto"/>
                      <w:szCs w:val="21"/>
                    </w:rPr>
                    <w:t>0m</w:t>
                  </w:r>
                  <w:r>
                    <w:rPr>
                      <w:color w:val="auto"/>
                      <w:szCs w:val="21"/>
                      <w:vertAlign w:val="superscript"/>
                    </w:rPr>
                    <w:t>2</w:t>
                  </w:r>
                  <w:r>
                    <w:rPr>
                      <w:color w:val="auto"/>
                      <w:szCs w:val="21"/>
                    </w:rPr>
                    <w:t>，</w:t>
                  </w:r>
                  <w:r>
                    <w:rPr>
                      <w:rFonts w:hint="eastAsia"/>
                      <w:color w:val="auto"/>
                      <w:szCs w:val="21"/>
                    </w:rPr>
                    <w:t>用于暂存一般工业固废，定期委托相关回收单位收集处置</w:t>
                  </w:r>
                </w:p>
              </w:tc>
              <w:tc>
                <w:tcPr>
                  <w:tcW w:w="1163" w:type="dxa"/>
                  <w:vAlign w:val="center"/>
                </w:tcPr>
                <w:p w14:paraId="7B9346A8">
                  <w:pPr>
                    <w:widowControl w:val="0"/>
                    <w:jc w:val="center"/>
                    <w:rPr>
                      <w:color w:val="auto"/>
                      <w:szCs w:val="21"/>
                    </w:rPr>
                  </w:pPr>
                  <w:r>
                    <w:rPr>
                      <w:color w:val="auto"/>
                      <w:szCs w:val="21"/>
                    </w:rPr>
                    <w:t>新增产生量</w:t>
                  </w:r>
                </w:p>
              </w:tc>
            </w:tr>
            <w:tr w14:paraId="6D68035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56" w:type="dxa"/>
                  <w:vMerge w:val="continue"/>
                  <w:vAlign w:val="center"/>
                </w:tcPr>
                <w:p w14:paraId="1F53AEB7">
                  <w:pPr>
                    <w:widowControl w:val="0"/>
                    <w:jc w:val="center"/>
                    <w:rPr>
                      <w:color w:val="auto"/>
                      <w:szCs w:val="21"/>
                    </w:rPr>
                  </w:pPr>
                </w:p>
              </w:tc>
              <w:tc>
                <w:tcPr>
                  <w:tcW w:w="919" w:type="dxa"/>
                  <w:vAlign w:val="center"/>
                </w:tcPr>
                <w:p w14:paraId="68625B46">
                  <w:pPr>
                    <w:widowControl w:val="0"/>
                    <w:jc w:val="center"/>
                    <w:rPr>
                      <w:color w:val="auto"/>
                      <w:szCs w:val="21"/>
                    </w:rPr>
                  </w:pPr>
                  <w:r>
                    <w:rPr>
                      <w:color w:val="auto"/>
                      <w:szCs w:val="21"/>
                    </w:rPr>
                    <w:t>生活垃圾处置</w:t>
                  </w:r>
                </w:p>
              </w:tc>
              <w:tc>
                <w:tcPr>
                  <w:tcW w:w="2631" w:type="dxa"/>
                  <w:tcBorders>
                    <w:right w:val="single" w:color="000000" w:sz="6" w:space="0"/>
                  </w:tcBorders>
                  <w:vAlign w:val="center"/>
                </w:tcPr>
                <w:p w14:paraId="2054807F">
                  <w:pPr>
                    <w:widowControl w:val="0"/>
                    <w:jc w:val="center"/>
                    <w:rPr>
                      <w:color w:val="auto"/>
                      <w:szCs w:val="21"/>
                    </w:rPr>
                  </w:pPr>
                  <w:r>
                    <w:rPr>
                      <w:color w:val="auto"/>
                      <w:szCs w:val="21"/>
                    </w:rPr>
                    <w:t>经垃圾桶收集后统一委托环卫部门收集处置</w:t>
                  </w:r>
                </w:p>
              </w:tc>
              <w:tc>
                <w:tcPr>
                  <w:tcW w:w="1736" w:type="dxa"/>
                  <w:tcBorders>
                    <w:left w:val="single" w:color="000000" w:sz="6" w:space="0"/>
                  </w:tcBorders>
                  <w:vAlign w:val="center"/>
                </w:tcPr>
                <w:p w14:paraId="64D24979">
                  <w:pPr>
                    <w:widowControl w:val="0"/>
                    <w:jc w:val="center"/>
                    <w:rPr>
                      <w:color w:val="auto"/>
                      <w:szCs w:val="21"/>
                    </w:rPr>
                  </w:pPr>
                  <w:r>
                    <w:rPr>
                      <w:color w:val="auto"/>
                      <w:szCs w:val="21"/>
                    </w:rPr>
                    <w:t>依托现有项目</w:t>
                  </w:r>
                </w:p>
              </w:tc>
              <w:tc>
                <w:tcPr>
                  <w:tcW w:w="2478" w:type="dxa"/>
                  <w:vAlign w:val="center"/>
                </w:tcPr>
                <w:p w14:paraId="72598FC7">
                  <w:pPr>
                    <w:widowControl w:val="0"/>
                    <w:jc w:val="center"/>
                    <w:rPr>
                      <w:color w:val="auto"/>
                      <w:szCs w:val="21"/>
                    </w:rPr>
                  </w:pPr>
                  <w:r>
                    <w:rPr>
                      <w:color w:val="auto"/>
                      <w:szCs w:val="21"/>
                    </w:rPr>
                    <w:t>经垃圾桶收集后统一委托环卫部门收集处置</w:t>
                  </w:r>
                </w:p>
              </w:tc>
              <w:tc>
                <w:tcPr>
                  <w:tcW w:w="1163" w:type="dxa"/>
                  <w:vAlign w:val="center"/>
                </w:tcPr>
                <w:p w14:paraId="70EDC9EA">
                  <w:pPr>
                    <w:widowControl w:val="0"/>
                    <w:jc w:val="center"/>
                    <w:rPr>
                      <w:color w:val="auto"/>
                      <w:szCs w:val="21"/>
                    </w:rPr>
                  </w:pPr>
                  <w:r>
                    <w:rPr>
                      <w:color w:val="auto"/>
                      <w:szCs w:val="21"/>
                    </w:rPr>
                    <w:t>不变</w:t>
                  </w:r>
                </w:p>
              </w:tc>
            </w:tr>
            <w:tr w14:paraId="7102152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9583" w:type="dxa"/>
                  <w:gridSpan w:val="6"/>
                  <w:vAlign w:val="center"/>
                </w:tcPr>
                <w:p w14:paraId="45BE340C">
                  <w:pPr>
                    <w:widowControl w:val="0"/>
                    <w:jc w:val="left"/>
                    <w:rPr>
                      <w:rFonts w:hint="default" w:eastAsia="宋体"/>
                      <w:color w:val="auto"/>
                      <w:szCs w:val="21"/>
                      <w:lang w:val="en-US" w:eastAsia="zh-CN"/>
                    </w:rPr>
                  </w:pPr>
                  <w:r>
                    <w:rPr>
                      <w:rFonts w:hint="eastAsia"/>
                      <w:b/>
                      <w:bCs/>
                      <w:color w:val="auto"/>
                      <w:szCs w:val="21"/>
                      <w:lang w:val="en-US" w:eastAsia="zh-CN"/>
                    </w:rPr>
                    <w:t>备注：</w:t>
                  </w:r>
                  <w:r>
                    <w:rPr>
                      <w:rFonts w:hint="eastAsia" w:eastAsia="宋体"/>
                      <w:color w:val="auto"/>
                      <w:szCs w:val="21"/>
                      <w:lang w:val="en-US" w:eastAsia="zh-CN"/>
                    </w:rPr>
                    <w:t>①项目厂区周围200m半径范围内最高建筑为北侧的阳光天地小区住宅楼，高度约40m。</w:t>
                  </w:r>
                </w:p>
                <w:p w14:paraId="78823F86">
                  <w:pPr>
                    <w:widowControl w:val="0"/>
                    <w:ind w:firstLine="630" w:firstLineChars="300"/>
                    <w:jc w:val="left"/>
                    <w:rPr>
                      <w:rFonts w:hint="default" w:eastAsia="宋体"/>
                      <w:color w:val="auto"/>
                      <w:szCs w:val="21"/>
                      <w:lang w:val="en-US" w:eastAsia="zh-CN"/>
                    </w:rPr>
                  </w:pPr>
                  <w:r>
                    <w:rPr>
                      <w:rFonts w:hint="eastAsia" w:eastAsia="宋体"/>
                      <w:color w:val="auto"/>
                      <w:szCs w:val="21"/>
                      <w:lang w:val="en-US" w:eastAsia="zh-CN"/>
                    </w:rPr>
                    <w:t>②编号DA001排气筒目前已废止。</w:t>
                  </w:r>
                </w:p>
                <w:p w14:paraId="5CD4AF8C">
                  <w:pPr>
                    <w:widowControl w:val="0"/>
                    <w:ind w:firstLine="630" w:firstLineChars="300"/>
                    <w:jc w:val="left"/>
                    <w:rPr>
                      <w:rFonts w:hint="default" w:eastAsia="宋体"/>
                      <w:color w:val="auto"/>
                      <w:szCs w:val="21"/>
                      <w:lang w:val="en-US" w:eastAsia="zh-CN"/>
                    </w:rPr>
                  </w:pPr>
                  <w:r>
                    <w:rPr>
                      <w:rFonts w:hint="eastAsia" w:eastAsia="宋体"/>
                      <w:color w:val="auto"/>
                      <w:szCs w:val="21"/>
                      <w:lang w:val="en-US" w:eastAsia="zh-CN"/>
                    </w:rPr>
                    <w:t>③编号DA002主要排放切割、抛光产生的粉尘，废气排放执行</w:t>
                  </w:r>
                  <w:r>
                    <w:rPr>
                      <w:rFonts w:hint="default" w:eastAsia="宋体"/>
                      <w:color w:val="auto"/>
                      <w:szCs w:val="21"/>
                      <w:lang w:val="en-US" w:eastAsia="zh-CN"/>
                    </w:rPr>
                    <w:t>广东省地方标准《大气污染物排放限值》（DB44/27-2001）第二时段</w:t>
                  </w:r>
                  <w:r>
                    <w:rPr>
                      <w:rFonts w:hint="eastAsia" w:eastAsia="宋体"/>
                      <w:color w:val="auto"/>
                      <w:szCs w:val="21"/>
                      <w:lang w:val="en-US" w:eastAsia="zh-CN"/>
                    </w:rPr>
                    <w:t>二级排放标准，4.3.2.3排气筒高度除应遵守表列排放速率限值外，还应高出周围200m半径范围的建筑5m以上，不能达到该要求的排气筒，应按其高度对应的排放速率限值的50%执行。由于排气筒所在的厂房高度为8.55m，现有项目已设置15m高排气筒，未高于周围半径200m范围内的最高建筑5m以上，因此对应的排放速率需按50%执行。</w:t>
                  </w:r>
                </w:p>
                <w:p w14:paraId="6F7AEC6F">
                  <w:pPr>
                    <w:widowControl w:val="0"/>
                    <w:ind w:firstLine="630" w:firstLineChars="300"/>
                    <w:jc w:val="left"/>
                    <w:rPr>
                      <w:rFonts w:hint="default" w:eastAsia="宋体"/>
                      <w:color w:val="auto"/>
                      <w:szCs w:val="21"/>
                      <w:lang w:val="en-US" w:eastAsia="zh-CN"/>
                    </w:rPr>
                  </w:pPr>
                  <w:r>
                    <w:rPr>
                      <w:rFonts w:hint="eastAsia" w:eastAsia="宋体"/>
                      <w:color w:val="auto"/>
                      <w:szCs w:val="21"/>
                      <w:lang w:val="en-US" w:eastAsia="zh-CN"/>
                    </w:rPr>
                    <w:t>④编号DA003主要排放</w:t>
                  </w:r>
                  <w:r>
                    <w:rPr>
                      <w:rFonts w:hint="eastAsia" w:ascii="Times New Roman" w:hAnsi="Times New Roman" w:eastAsia="宋体" w:cs="Times New Roman"/>
                      <w:color w:val="auto"/>
                      <w:szCs w:val="21"/>
                      <w:lang w:val="en-US" w:eastAsia="zh-CN"/>
                    </w:rPr>
                    <w:t>碱蚀产生的碱雾，由于目前未有行业或综合排放标准规定碱雾的排放限值，因此碱雾排放限值参照执行</w:t>
                  </w:r>
                  <w:r>
                    <w:rPr>
                      <w:rFonts w:hint="default" w:ascii="Times New Roman" w:hAnsi="Times New Roman" w:eastAsia="宋体" w:cs="Times New Roman"/>
                      <w:color w:val="auto"/>
                      <w:szCs w:val="21"/>
                      <w:lang w:val="en-US" w:eastAsia="zh-CN"/>
                    </w:rPr>
                    <w:t>《轧钢工业大气污染物排放标准》</w:t>
                  </w:r>
                  <w:r>
                    <w:rPr>
                      <w:rFonts w:hint="eastAsia" w:ascii="Times New Roman" w:hAnsi="Times New Roman" w:eastAsia="宋体" w:cs="Times New Roman"/>
                      <w:color w:val="auto"/>
                      <w:szCs w:val="21"/>
                      <w:lang w:val="en-US" w:eastAsia="zh-CN"/>
                    </w:rPr>
                    <w:t>（GB28665-2012及其修改单）表2新建企业大气污染物排放限值，4.8所有排气筒高度应不低于15m。排气筒周围半径200m范围内有建筑物时，排气筒高度还应高出最高建筑物3m以上。</w:t>
                  </w:r>
                  <w:r>
                    <w:rPr>
                      <w:rFonts w:hint="eastAsia" w:eastAsia="宋体"/>
                      <w:color w:val="auto"/>
                      <w:szCs w:val="21"/>
                      <w:lang w:val="en-US" w:eastAsia="zh-CN"/>
                    </w:rPr>
                    <w:t>由于排气筒所在的厂房高度为20.3m，现有项目已设置30m高排气筒，虽未高于周围半径200m范围内的最高建筑3m以上，但由于现有项目的碱雾是参照执行其排放限值，因此无需严格执行高于周围半径200m范围内的最高建筑3m以上。</w:t>
                  </w:r>
                </w:p>
                <w:p w14:paraId="0670D566">
                  <w:pPr>
                    <w:widowControl w:val="0"/>
                    <w:ind w:firstLine="630" w:firstLineChars="300"/>
                    <w:jc w:val="left"/>
                    <w:rPr>
                      <w:rFonts w:hint="default" w:eastAsia="宋体"/>
                      <w:color w:val="auto"/>
                      <w:szCs w:val="21"/>
                      <w:lang w:val="en-US" w:eastAsia="zh-CN"/>
                    </w:rPr>
                  </w:pPr>
                  <w:r>
                    <w:rPr>
                      <w:rFonts w:hint="eastAsia" w:eastAsia="宋体"/>
                      <w:color w:val="auto"/>
                      <w:szCs w:val="21"/>
                      <w:lang w:val="en-US" w:eastAsia="zh-CN"/>
                    </w:rPr>
                    <w:t>⑤编号DA004主要排放酸蚀、化学抛光、阳极氧化</w:t>
                  </w:r>
                  <w:r>
                    <w:rPr>
                      <w:rFonts w:hint="eastAsia"/>
                      <w:color w:val="auto"/>
                      <w:szCs w:val="21"/>
                      <w:lang w:val="en-US" w:eastAsia="zh-CN"/>
                    </w:rPr>
                    <w:t>产生</w:t>
                  </w:r>
                  <w:r>
                    <w:rPr>
                      <w:rFonts w:hint="eastAsia" w:eastAsia="宋体"/>
                      <w:color w:val="auto"/>
                      <w:szCs w:val="21"/>
                      <w:lang w:val="en-US" w:eastAsia="zh-CN"/>
                    </w:rPr>
                    <w:t>的硫酸雾、硝酸雾</w:t>
                  </w:r>
                  <w:r>
                    <w:rPr>
                      <w:rFonts w:hint="eastAsia"/>
                      <w:color w:val="auto"/>
                      <w:szCs w:val="21"/>
                      <w:lang w:val="en-US" w:eastAsia="zh-CN"/>
                    </w:rPr>
                    <w:t>，</w:t>
                  </w:r>
                  <w:r>
                    <w:rPr>
                      <w:rFonts w:hint="eastAsia" w:eastAsia="宋体"/>
                      <w:color w:val="auto"/>
                      <w:szCs w:val="21"/>
                      <w:lang w:val="en-US" w:eastAsia="zh-CN"/>
                    </w:rPr>
                    <w:t>废气排放参照执行《电镀污染物排放标准》（GB21900-2008）表5新建企业大气污染物排放浓度限值，4.2.5产生空气污染物的生产工艺装置必须设立局部气体收集系统和集中净化处理装置，净化后的气体由排气筒排放。排气筒高度不低于15m，排放含氰化氢气体的排气筒高度不低于25m。排气筒高度应高出周围200m半径范围的建筑5m以上；不能达到该要求高度的排气筒，应按排放限值的50%执行。由于排气筒所在的厂房高度为20.3m，现有项目已设置30m高排气筒，未高于周围半径200m范围内的最高建筑5m以上，因此对应的排放限值需按50%执行。</w:t>
                  </w:r>
                </w:p>
                <w:p w14:paraId="24EC4E4D">
                  <w:pPr>
                    <w:widowControl w:val="0"/>
                    <w:ind w:firstLine="630" w:firstLineChars="300"/>
                    <w:jc w:val="left"/>
                    <w:rPr>
                      <w:rFonts w:hint="default"/>
                      <w:color w:val="auto"/>
                      <w:szCs w:val="21"/>
                      <w:lang w:val="en-US" w:eastAsia="zh-CN"/>
                    </w:rPr>
                  </w:pPr>
                  <w:r>
                    <w:rPr>
                      <w:rFonts w:hint="eastAsia" w:eastAsia="宋体"/>
                      <w:color w:val="auto"/>
                      <w:szCs w:val="21"/>
                      <w:lang w:val="en-US" w:eastAsia="zh-CN"/>
                    </w:rPr>
                    <w:t>⑥编号DA005主要排放注塑、着色、烘干产生的非甲烷总烃，废气排放执行</w:t>
                  </w:r>
                  <w:r>
                    <w:rPr>
                      <w:rFonts w:hint="default" w:eastAsia="宋体"/>
                      <w:color w:val="auto"/>
                      <w:szCs w:val="21"/>
                      <w:lang w:val="en-US" w:eastAsia="zh-CN"/>
                    </w:rPr>
                    <w:t>《合成树脂工业污染物排放标准》（GB31572-2015，含2024年修改单）表4大气污染物排放限值</w:t>
                  </w:r>
                  <w:r>
                    <w:rPr>
                      <w:rFonts w:hint="eastAsia" w:eastAsia="宋体"/>
                      <w:color w:val="auto"/>
                      <w:szCs w:val="21"/>
                      <w:lang w:val="en-US" w:eastAsia="zh-CN"/>
                    </w:rPr>
                    <w:t>，5.4.2废气收集系统与处理装置应符合相关安全技术要求。排气筒高度不低于</w:t>
                  </w:r>
                  <w:r>
                    <w:rPr>
                      <w:rFonts w:hint="default" w:eastAsia="宋体"/>
                      <w:color w:val="auto"/>
                      <w:szCs w:val="21"/>
                      <w:lang w:val="en-US" w:eastAsia="zh-CN"/>
                    </w:rPr>
                    <w:t>15m</w:t>
                  </w:r>
                  <w:r>
                    <w:rPr>
                      <w:rFonts w:hint="eastAsia" w:eastAsia="宋体"/>
                      <w:color w:val="auto"/>
                      <w:szCs w:val="21"/>
                      <w:lang w:val="en-US" w:eastAsia="zh-CN"/>
                    </w:rPr>
                    <w:t>（因安全考虑或有特殊工艺要求的，以及装置区污水池处理设施除外），具体高度以及与周围建筑物的相对高度关系应根据环境影响评价文件确定。本改建项目电泳漆加工过程产生的VOCs依托编号DA005排气筒一同排放，废气排放执行</w:t>
                  </w:r>
                  <w:r>
                    <w:rPr>
                      <w:rFonts w:hint="default" w:eastAsia="宋体"/>
                      <w:color w:val="auto"/>
                      <w:szCs w:val="21"/>
                      <w:lang w:val="en-US" w:eastAsia="zh-CN"/>
                    </w:rPr>
                    <w:t>广东省地方标准《固定污染源挥发性有机物综合排放标准》（DB44/2367-2022）</w:t>
                  </w:r>
                  <w:r>
                    <w:rPr>
                      <w:rFonts w:hint="eastAsia" w:eastAsia="宋体"/>
                      <w:color w:val="auto"/>
                      <w:szCs w:val="21"/>
                      <w:lang w:val="en-US" w:eastAsia="zh-CN"/>
                    </w:rPr>
                    <w:t>表1挥发性有机物排放限值，4.5排气筒高度不低于15m(因安全考虑或者有特殊工艺要求的除外)，具体高度以及与周围建筑物的相对高度关系应当根据环境影响评价文件确定。均要求排气筒高度不低于15m即可，由于排气筒所在的厂房高度为20.3m，排气筒实际设置高度为22m，但是排污许可证等相关环保资料则四舍五入取整为20m，满足标准要求。</w:t>
                  </w:r>
                </w:p>
              </w:tc>
            </w:tr>
          </w:tbl>
          <w:p w14:paraId="4A5487F4">
            <w:pPr>
              <w:spacing w:line="360" w:lineRule="auto"/>
              <w:ind w:firstLine="482" w:firstLineChars="200"/>
              <w:rPr>
                <w:b/>
                <w:color w:val="auto"/>
                <w:sz w:val="24"/>
              </w:rPr>
            </w:pPr>
            <w:r>
              <w:rPr>
                <w:b/>
                <w:color w:val="auto"/>
                <w:sz w:val="24"/>
              </w:rPr>
              <w:t>（</w:t>
            </w:r>
            <w:r>
              <w:rPr>
                <w:rFonts w:hint="eastAsia"/>
                <w:b/>
                <w:color w:val="auto"/>
                <w:sz w:val="24"/>
              </w:rPr>
              <w:t>五</w:t>
            </w:r>
            <w:r>
              <w:rPr>
                <w:b/>
                <w:color w:val="auto"/>
                <w:sz w:val="24"/>
              </w:rPr>
              <w:t>）产品产能</w:t>
            </w:r>
          </w:p>
          <w:p w14:paraId="27F07EC6">
            <w:pPr>
              <w:spacing w:line="360" w:lineRule="auto"/>
              <w:ind w:firstLine="480" w:firstLineChars="200"/>
              <w:rPr>
                <w:bCs/>
                <w:color w:val="auto"/>
                <w:sz w:val="24"/>
              </w:rPr>
            </w:pPr>
            <w:r>
              <w:rPr>
                <w:rFonts w:hint="eastAsia"/>
                <w:bCs/>
                <w:color w:val="auto"/>
                <w:sz w:val="24"/>
              </w:rPr>
              <w:t>本</w:t>
            </w:r>
            <w:r>
              <w:rPr>
                <w:bCs/>
                <w:color w:val="auto"/>
                <w:sz w:val="24"/>
              </w:rPr>
              <w:t>项目</w:t>
            </w:r>
            <w:r>
              <w:rPr>
                <w:rFonts w:hint="eastAsia"/>
                <w:bCs/>
                <w:color w:val="auto"/>
                <w:sz w:val="24"/>
                <w:lang w:eastAsia="zh-CN"/>
              </w:rPr>
              <w:t>改建</w:t>
            </w:r>
            <w:r>
              <w:rPr>
                <w:bCs/>
                <w:color w:val="auto"/>
                <w:sz w:val="24"/>
              </w:rPr>
              <w:t>前后产品及产量详见表2-</w:t>
            </w:r>
            <w:r>
              <w:rPr>
                <w:rFonts w:hint="eastAsia"/>
                <w:bCs/>
                <w:color w:val="auto"/>
                <w:sz w:val="24"/>
                <w:lang w:val="en-US" w:eastAsia="zh-CN"/>
              </w:rPr>
              <w:t>6</w:t>
            </w:r>
            <w:r>
              <w:rPr>
                <w:bCs/>
                <w:color w:val="auto"/>
                <w:sz w:val="24"/>
              </w:rPr>
              <w:t>。</w:t>
            </w:r>
          </w:p>
          <w:p w14:paraId="503C3152">
            <w:pPr>
              <w:widowControl w:val="0"/>
              <w:tabs>
                <w:tab w:val="right" w:pos="9069"/>
              </w:tabs>
              <w:adjustRightInd w:val="0"/>
              <w:snapToGrid w:val="0"/>
              <w:jc w:val="center"/>
              <w:rPr>
                <w:b/>
                <w:color w:val="auto"/>
                <w:szCs w:val="21"/>
              </w:rPr>
            </w:pPr>
            <w:r>
              <w:rPr>
                <w:b/>
                <w:color w:val="auto"/>
                <w:szCs w:val="21"/>
              </w:rPr>
              <w:t>表2-</w:t>
            </w:r>
            <w:r>
              <w:rPr>
                <w:rFonts w:hint="eastAsia"/>
                <w:b/>
                <w:color w:val="auto"/>
                <w:szCs w:val="21"/>
                <w:lang w:val="en-US" w:eastAsia="zh-CN"/>
              </w:rPr>
              <w:t>6</w:t>
            </w:r>
            <w:r>
              <w:rPr>
                <w:b/>
                <w:color w:val="auto"/>
                <w:szCs w:val="21"/>
              </w:rPr>
              <w:t>项目</w:t>
            </w:r>
            <w:r>
              <w:rPr>
                <w:rFonts w:hint="eastAsia"/>
                <w:b/>
                <w:color w:val="auto"/>
                <w:szCs w:val="21"/>
                <w:lang w:eastAsia="zh-CN"/>
              </w:rPr>
              <w:t>改建</w:t>
            </w:r>
            <w:r>
              <w:rPr>
                <w:b/>
                <w:color w:val="auto"/>
                <w:szCs w:val="21"/>
              </w:rPr>
              <w:t>前后产品及产量一览表</w:t>
            </w:r>
          </w:p>
          <w:tbl>
            <w:tblPr>
              <w:tblStyle w:val="43"/>
              <w:tblW w:w="9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405"/>
              <w:gridCol w:w="1965"/>
              <w:gridCol w:w="1380"/>
              <w:gridCol w:w="1305"/>
              <w:gridCol w:w="1455"/>
              <w:gridCol w:w="1125"/>
              <w:gridCol w:w="1550"/>
            </w:tblGrid>
            <w:tr w14:paraId="5E48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dxa"/>
                  <w:vAlign w:val="center"/>
                </w:tcPr>
                <w:p w14:paraId="303CE3E4">
                  <w:pPr>
                    <w:widowControl w:val="0"/>
                    <w:tabs>
                      <w:tab w:val="right" w:pos="9069"/>
                    </w:tabs>
                    <w:adjustRightInd w:val="0"/>
                    <w:snapToGrid w:val="0"/>
                    <w:jc w:val="center"/>
                    <w:rPr>
                      <w:b/>
                      <w:color w:val="auto"/>
                      <w:szCs w:val="21"/>
                    </w:rPr>
                  </w:pPr>
                  <w:r>
                    <w:rPr>
                      <w:b/>
                      <w:color w:val="auto"/>
                      <w:szCs w:val="21"/>
                    </w:rPr>
                    <w:t>序号</w:t>
                  </w:r>
                </w:p>
              </w:tc>
              <w:tc>
                <w:tcPr>
                  <w:tcW w:w="2370" w:type="dxa"/>
                  <w:gridSpan w:val="2"/>
                  <w:vAlign w:val="center"/>
                </w:tcPr>
                <w:p w14:paraId="2AFF7826">
                  <w:pPr>
                    <w:widowControl w:val="0"/>
                    <w:tabs>
                      <w:tab w:val="right" w:pos="9069"/>
                    </w:tabs>
                    <w:adjustRightInd w:val="0"/>
                    <w:snapToGrid w:val="0"/>
                    <w:jc w:val="center"/>
                    <w:rPr>
                      <w:b/>
                      <w:color w:val="auto"/>
                      <w:szCs w:val="21"/>
                    </w:rPr>
                  </w:pPr>
                  <w:r>
                    <w:rPr>
                      <w:b/>
                      <w:color w:val="auto"/>
                      <w:szCs w:val="21"/>
                    </w:rPr>
                    <w:t>产品</w:t>
                  </w:r>
                </w:p>
              </w:tc>
              <w:tc>
                <w:tcPr>
                  <w:tcW w:w="1380" w:type="dxa"/>
                  <w:tcBorders>
                    <w:right w:val="single" w:color="000000" w:sz="6" w:space="0"/>
                  </w:tcBorders>
                  <w:vAlign w:val="center"/>
                </w:tcPr>
                <w:p w14:paraId="25B106E0">
                  <w:pPr>
                    <w:widowControl w:val="0"/>
                    <w:tabs>
                      <w:tab w:val="right" w:pos="9069"/>
                    </w:tabs>
                    <w:adjustRightInd w:val="0"/>
                    <w:snapToGrid w:val="0"/>
                    <w:jc w:val="center"/>
                    <w:rPr>
                      <w:b/>
                      <w:color w:val="auto"/>
                      <w:szCs w:val="21"/>
                    </w:rPr>
                  </w:pPr>
                  <w:r>
                    <w:rPr>
                      <w:rFonts w:hint="eastAsia"/>
                      <w:b/>
                      <w:color w:val="auto"/>
                      <w:szCs w:val="21"/>
                    </w:rPr>
                    <w:t>现有项目</w:t>
                  </w:r>
                  <w:r>
                    <w:rPr>
                      <w:b/>
                      <w:color w:val="auto"/>
                      <w:szCs w:val="21"/>
                    </w:rPr>
                    <w:t>产量</w:t>
                  </w:r>
                  <w:r>
                    <w:rPr>
                      <w:rFonts w:hint="eastAsia"/>
                      <w:b/>
                      <w:color w:val="auto"/>
                      <w:szCs w:val="21"/>
                    </w:rPr>
                    <w:t>（t/a）</w:t>
                  </w:r>
                </w:p>
              </w:tc>
              <w:tc>
                <w:tcPr>
                  <w:tcW w:w="1305" w:type="dxa"/>
                  <w:tcBorders>
                    <w:left w:val="single" w:color="000000" w:sz="6" w:space="0"/>
                  </w:tcBorders>
                  <w:vAlign w:val="center"/>
                </w:tcPr>
                <w:p w14:paraId="13617447">
                  <w:pPr>
                    <w:widowControl w:val="0"/>
                    <w:tabs>
                      <w:tab w:val="right" w:pos="9069"/>
                    </w:tabs>
                    <w:adjustRightInd w:val="0"/>
                    <w:snapToGrid w:val="0"/>
                    <w:jc w:val="center"/>
                    <w:rPr>
                      <w:b/>
                      <w:color w:val="auto"/>
                      <w:szCs w:val="21"/>
                    </w:rPr>
                  </w:pPr>
                  <w:r>
                    <w:rPr>
                      <w:rFonts w:hint="eastAsia"/>
                      <w:b/>
                      <w:color w:val="auto"/>
                      <w:szCs w:val="21"/>
                      <w:lang w:eastAsia="zh-CN"/>
                    </w:rPr>
                    <w:t>改建</w:t>
                  </w:r>
                  <w:r>
                    <w:rPr>
                      <w:b/>
                      <w:color w:val="auto"/>
                      <w:szCs w:val="21"/>
                    </w:rPr>
                    <w:t>项目</w:t>
                  </w:r>
                  <w:r>
                    <w:rPr>
                      <w:rFonts w:hint="eastAsia"/>
                      <w:b/>
                      <w:color w:val="auto"/>
                      <w:szCs w:val="21"/>
                    </w:rPr>
                    <w:t>（t/a）</w:t>
                  </w:r>
                </w:p>
              </w:tc>
              <w:tc>
                <w:tcPr>
                  <w:tcW w:w="1455" w:type="dxa"/>
                  <w:vAlign w:val="center"/>
                </w:tcPr>
                <w:p w14:paraId="1CB6846A">
                  <w:pPr>
                    <w:widowControl w:val="0"/>
                    <w:tabs>
                      <w:tab w:val="right" w:pos="9069"/>
                    </w:tabs>
                    <w:adjustRightInd w:val="0"/>
                    <w:snapToGrid w:val="0"/>
                    <w:jc w:val="center"/>
                    <w:rPr>
                      <w:b/>
                      <w:color w:val="auto"/>
                      <w:szCs w:val="21"/>
                    </w:rPr>
                  </w:pPr>
                  <w:r>
                    <w:rPr>
                      <w:rFonts w:hint="eastAsia"/>
                      <w:b/>
                      <w:color w:val="auto"/>
                      <w:szCs w:val="21"/>
                      <w:lang w:eastAsia="zh-CN"/>
                    </w:rPr>
                    <w:t>改建</w:t>
                  </w:r>
                  <w:r>
                    <w:rPr>
                      <w:b/>
                      <w:color w:val="auto"/>
                      <w:szCs w:val="21"/>
                    </w:rPr>
                    <w:t>后全厂产量</w:t>
                  </w:r>
                  <w:r>
                    <w:rPr>
                      <w:rFonts w:hint="eastAsia"/>
                      <w:b/>
                      <w:color w:val="auto"/>
                      <w:szCs w:val="21"/>
                    </w:rPr>
                    <w:t>（t/a）</w:t>
                  </w:r>
                </w:p>
              </w:tc>
              <w:tc>
                <w:tcPr>
                  <w:tcW w:w="1125" w:type="dxa"/>
                  <w:vAlign w:val="center"/>
                </w:tcPr>
                <w:p w14:paraId="210287F6">
                  <w:pPr>
                    <w:widowControl w:val="0"/>
                    <w:tabs>
                      <w:tab w:val="right" w:pos="9069"/>
                    </w:tabs>
                    <w:adjustRightInd w:val="0"/>
                    <w:snapToGrid w:val="0"/>
                    <w:jc w:val="center"/>
                    <w:rPr>
                      <w:b/>
                      <w:color w:val="auto"/>
                      <w:szCs w:val="21"/>
                    </w:rPr>
                  </w:pPr>
                  <w:r>
                    <w:rPr>
                      <w:b/>
                      <w:color w:val="auto"/>
                      <w:szCs w:val="21"/>
                    </w:rPr>
                    <w:t>增减量</w:t>
                  </w:r>
                  <w:r>
                    <w:rPr>
                      <w:rFonts w:hint="eastAsia"/>
                      <w:b/>
                      <w:color w:val="auto"/>
                      <w:szCs w:val="21"/>
                    </w:rPr>
                    <w:t>（t/a）</w:t>
                  </w:r>
                </w:p>
              </w:tc>
              <w:tc>
                <w:tcPr>
                  <w:tcW w:w="1550" w:type="dxa"/>
                  <w:vAlign w:val="center"/>
                </w:tcPr>
                <w:p w14:paraId="7926BDB5">
                  <w:pPr>
                    <w:widowControl w:val="0"/>
                    <w:tabs>
                      <w:tab w:val="right" w:pos="9069"/>
                    </w:tabs>
                    <w:adjustRightInd w:val="0"/>
                    <w:snapToGrid w:val="0"/>
                    <w:jc w:val="center"/>
                    <w:rPr>
                      <w:b/>
                      <w:color w:val="auto"/>
                      <w:szCs w:val="21"/>
                    </w:rPr>
                  </w:pPr>
                  <w:r>
                    <w:rPr>
                      <w:rFonts w:hint="eastAsia"/>
                      <w:b/>
                      <w:color w:val="auto"/>
                      <w:szCs w:val="21"/>
                    </w:rPr>
                    <w:t>备注</w:t>
                  </w:r>
                </w:p>
              </w:tc>
            </w:tr>
            <w:tr w14:paraId="56B4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dxa"/>
                  <w:vAlign w:val="center"/>
                </w:tcPr>
                <w:p w14:paraId="28AE5833">
                  <w:pPr>
                    <w:widowControl w:val="0"/>
                    <w:tabs>
                      <w:tab w:val="right" w:pos="9069"/>
                    </w:tabs>
                    <w:adjustRightInd w:val="0"/>
                    <w:snapToGrid w:val="0"/>
                    <w:jc w:val="center"/>
                    <w:rPr>
                      <w:bCs/>
                      <w:color w:val="auto"/>
                      <w:szCs w:val="21"/>
                    </w:rPr>
                  </w:pPr>
                  <w:r>
                    <w:rPr>
                      <w:bCs/>
                      <w:color w:val="auto"/>
                      <w:szCs w:val="21"/>
                    </w:rPr>
                    <w:t>1</w:t>
                  </w:r>
                </w:p>
              </w:tc>
              <w:tc>
                <w:tcPr>
                  <w:tcW w:w="2370" w:type="dxa"/>
                  <w:gridSpan w:val="2"/>
                  <w:vAlign w:val="center"/>
                </w:tcPr>
                <w:p w14:paraId="437A6236">
                  <w:pPr>
                    <w:widowControl w:val="0"/>
                    <w:jc w:val="center"/>
                    <w:rPr>
                      <w:bCs/>
                      <w:color w:val="auto"/>
                      <w:szCs w:val="21"/>
                    </w:rPr>
                  </w:pPr>
                  <w:r>
                    <w:rPr>
                      <w:rFonts w:hint="eastAsia"/>
                      <w:color w:val="auto"/>
                      <w:szCs w:val="21"/>
                    </w:rPr>
                    <w:t>铝制品</w:t>
                  </w:r>
                </w:p>
              </w:tc>
              <w:tc>
                <w:tcPr>
                  <w:tcW w:w="1380" w:type="dxa"/>
                  <w:tcBorders>
                    <w:right w:val="single" w:color="000000" w:sz="6" w:space="0"/>
                  </w:tcBorders>
                  <w:vAlign w:val="center"/>
                </w:tcPr>
                <w:p w14:paraId="4916889C">
                  <w:pPr>
                    <w:widowControl w:val="0"/>
                    <w:tabs>
                      <w:tab w:val="left" w:pos="0"/>
                    </w:tabs>
                    <w:jc w:val="center"/>
                    <w:rPr>
                      <w:bCs/>
                      <w:color w:val="auto"/>
                      <w:szCs w:val="21"/>
                    </w:rPr>
                  </w:pPr>
                  <w:r>
                    <w:rPr>
                      <w:rFonts w:hint="eastAsia"/>
                      <w:bCs/>
                      <w:color w:val="auto"/>
                      <w:szCs w:val="21"/>
                    </w:rPr>
                    <w:t>450</w:t>
                  </w:r>
                </w:p>
              </w:tc>
              <w:tc>
                <w:tcPr>
                  <w:tcW w:w="1305" w:type="dxa"/>
                  <w:tcBorders>
                    <w:left w:val="single" w:color="000000" w:sz="6" w:space="0"/>
                  </w:tcBorders>
                  <w:vAlign w:val="center"/>
                </w:tcPr>
                <w:p w14:paraId="00839E18">
                  <w:pPr>
                    <w:widowControl w:val="0"/>
                    <w:tabs>
                      <w:tab w:val="left" w:pos="0"/>
                    </w:tabs>
                    <w:jc w:val="center"/>
                    <w:rPr>
                      <w:bCs/>
                      <w:color w:val="auto"/>
                      <w:szCs w:val="21"/>
                    </w:rPr>
                  </w:pPr>
                  <w:r>
                    <w:rPr>
                      <w:bCs/>
                      <w:color w:val="auto"/>
                      <w:szCs w:val="21"/>
                    </w:rPr>
                    <w:t>0</w:t>
                  </w:r>
                </w:p>
              </w:tc>
              <w:tc>
                <w:tcPr>
                  <w:tcW w:w="1455" w:type="dxa"/>
                  <w:vAlign w:val="center"/>
                </w:tcPr>
                <w:p w14:paraId="5454B4E4">
                  <w:pPr>
                    <w:widowControl w:val="0"/>
                    <w:tabs>
                      <w:tab w:val="left" w:pos="0"/>
                    </w:tabs>
                    <w:jc w:val="center"/>
                    <w:rPr>
                      <w:bCs/>
                      <w:color w:val="auto"/>
                      <w:szCs w:val="21"/>
                    </w:rPr>
                  </w:pPr>
                  <w:r>
                    <w:rPr>
                      <w:rFonts w:hint="eastAsia"/>
                      <w:bCs/>
                      <w:color w:val="auto"/>
                      <w:szCs w:val="21"/>
                    </w:rPr>
                    <w:t>450</w:t>
                  </w:r>
                </w:p>
              </w:tc>
              <w:tc>
                <w:tcPr>
                  <w:tcW w:w="1125" w:type="dxa"/>
                  <w:vAlign w:val="center"/>
                </w:tcPr>
                <w:p w14:paraId="50AC752E">
                  <w:pPr>
                    <w:widowControl w:val="0"/>
                    <w:tabs>
                      <w:tab w:val="left" w:pos="0"/>
                    </w:tabs>
                    <w:jc w:val="center"/>
                    <w:rPr>
                      <w:bCs/>
                      <w:color w:val="auto"/>
                      <w:szCs w:val="21"/>
                    </w:rPr>
                  </w:pPr>
                  <w:r>
                    <w:rPr>
                      <w:bCs/>
                      <w:color w:val="auto"/>
                      <w:szCs w:val="21"/>
                    </w:rPr>
                    <w:t>0</w:t>
                  </w:r>
                </w:p>
              </w:tc>
              <w:tc>
                <w:tcPr>
                  <w:tcW w:w="1550" w:type="dxa"/>
                  <w:vMerge w:val="restart"/>
                  <w:vAlign w:val="center"/>
                </w:tcPr>
                <w:p w14:paraId="03184FAA">
                  <w:pPr>
                    <w:widowControl w:val="0"/>
                    <w:adjustRightInd w:val="0"/>
                    <w:snapToGrid w:val="0"/>
                    <w:jc w:val="center"/>
                    <w:rPr>
                      <w:bCs/>
                      <w:color w:val="auto"/>
                      <w:szCs w:val="21"/>
                    </w:rPr>
                  </w:pPr>
                  <w:r>
                    <w:rPr>
                      <w:rFonts w:hint="eastAsia"/>
                      <w:color w:val="auto"/>
                      <w:szCs w:val="21"/>
                    </w:rPr>
                    <w:t>环保节能灯具和LED手电筒等</w:t>
                  </w:r>
                </w:p>
              </w:tc>
            </w:tr>
            <w:tr w14:paraId="1FFA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dxa"/>
                  <w:tcBorders>
                    <w:top w:val="single" w:color="000000" w:sz="6" w:space="0"/>
                    <w:bottom w:val="single" w:color="000000" w:sz="6" w:space="0"/>
                  </w:tcBorders>
                  <w:vAlign w:val="center"/>
                </w:tcPr>
                <w:p w14:paraId="731F7A13">
                  <w:pPr>
                    <w:widowControl w:val="0"/>
                    <w:tabs>
                      <w:tab w:val="right" w:pos="9069"/>
                    </w:tabs>
                    <w:adjustRightInd w:val="0"/>
                    <w:snapToGrid w:val="0"/>
                    <w:jc w:val="center"/>
                    <w:rPr>
                      <w:rFonts w:hint="eastAsia" w:eastAsia="宋体"/>
                      <w:bCs/>
                      <w:color w:val="auto"/>
                      <w:szCs w:val="21"/>
                      <w:lang w:val="en-US" w:eastAsia="zh-CN"/>
                    </w:rPr>
                  </w:pPr>
                  <w:r>
                    <w:rPr>
                      <w:rFonts w:hint="eastAsia"/>
                      <w:bCs/>
                      <w:color w:val="auto"/>
                      <w:szCs w:val="21"/>
                      <w:lang w:val="en-US" w:eastAsia="zh-CN"/>
                    </w:rPr>
                    <w:t>2</w:t>
                  </w:r>
                </w:p>
              </w:tc>
              <w:tc>
                <w:tcPr>
                  <w:tcW w:w="405" w:type="dxa"/>
                  <w:vMerge w:val="restart"/>
                  <w:tcBorders>
                    <w:top w:val="single" w:color="000000" w:sz="6" w:space="0"/>
                  </w:tcBorders>
                  <w:vAlign w:val="center"/>
                </w:tcPr>
                <w:p w14:paraId="199B13F4">
                  <w:pPr>
                    <w:widowControl w:val="0"/>
                    <w:jc w:val="center"/>
                    <w:rPr>
                      <w:color w:val="auto"/>
                      <w:szCs w:val="21"/>
                    </w:rPr>
                  </w:pPr>
                  <w:r>
                    <w:rPr>
                      <w:rFonts w:hint="eastAsia"/>
                      <w:color w:val="auto"/>
                      <w:szCs w:val="21"/>
                    </w:rPr>
                    <w:t>其中</w:t>
                  </w:r>
                </w:p>
              </w:tc>
              <w:tc>
                <w:tcPr>
                  <w:tcW w:w="1965" w:type="dxa"/>
                  <w:tcBorders>
                    <w:bottom w:val="single" w:color="000000" w:sz="6" w:space="0"/>
                  </w:tcBorders>
                  <w:vAlign w:val="center"/>
                </w:tcPr>
                <w:p w14:paraId="6D594497">
                  <w:pPr>
                    <w:widowControl w:val="0"/>
                    <w:jc w:val="center"/>
                    <w:rPr>
                      <w:rFonts w:hint="default" w:eastAsia="宋体"/>
                      <w:color w:val="auto"/>
                      <w:szCs w:val="21"/>
                      <w:lang w:val="en-US" w:eastAsia="zh-CN"/>
                    </w:rPr>
                  </w:pPr>
                  <w:r>
                    <w:rPr>
                      <w:rFonts w:hint="eastAsia"/>
                      <w:color w:val="auto"/>
                      <w:szCs w:val="21"/>
                    </w:rPr>
                    <w:t>阳极氧化</w:t>
                  </w:r>
                  <w:r>
                    <w:rPr>
                      <w:rFonts w:hint="eastAsia"/>
                      <w:color w:val="auto"/>
                      <w:szCs w:val="21"/>
                      <w:lang w:val="en-US" w:eastAsia="zh-CN"/>
                    </w:rPr>
                    <w:t>表面加工</w:t>
                  </w:r>
                </w:p>
              </w:tc>
              <w:tc>
                <w:tcPr>
                  <w:tcW w:w="1380" w:type="dxa"/>
                  <w:tcBorders>
                    <w:right w:val="single" w:color="000000" w:sz="6" w:space="0"/>
                  </w:tcBorders>
                  <w:vAlign w:val="center"/>
                </w:tcPr>
                <w:p w14:paraId="14A9439A">
                  <w:pPr>
                    <w:widowControl w:val="0"/>
                    <w:tabs>
                      <w:tab w:val="left" w:pos="0"/>
                    </w:tabs>
                    <w:jc w:val="center"/>
                    <w:rPr>
                      <w:bCs/>
                      <w:color w:val="auto"/>
                      <w:szCs w:val="21"/>
                    </w:rPr>
                  </w:pPr>
                  <w:r>
                    <w:rPr>
                      <w:rFonts w:hint="eastAsia"/>
                      <w:bCs/>
                      <w:color w:val="auto"/>
                      <w:szCs w:val="21"/>
                    </w:rPr>
                    <w:t>330</w:t>
                  </w:r>
                </w:p>
              </w:tc>
              <w:tc>
                <w:tcPr>
                  <w:tcW w:w="1305" w:type="dxa"/>
                  <w:tcBorders>
                    <w:left w:val="single" w:color="000000" w:sz="6" w:space="0"/>
                  </w:tcBorders>
                  <w:vAlign w:val="center"/>
                </w:tcPr>
                <w:p w14:paraId="3C933068">
                  <w:pPr>
                    <w:widowControl w:val="0"/>
                    <w:tabs>
                      <w:tab w:val="left" w:pos="0"/>
                    </w:tabs>
                    <w:jc w:val="center"/>
                    <w:rPr>
                      <w:rFonts w:hint="default" w:eastAsia="宋体"/>
                      <w:bCs/>
                      <w:color w:val="auto"/>
                      <w:szCs w:val="21"/>
                      <w:lang w:val="en-US" w:eastAsia="zh-CN"/>
                    </w:rPr>
                  </w:pPr>
                  <w:r>
                    <w:rPr>
                      <w:rFonts w:hint="eastAsia"/>
                      <w:bCs/>
                      <w:color w:val="auto"/>
                      <w:szCs w:val="21"/>
                      <w:lang w:val="en-US" w:eastAsia="zh-CN"/>
                    </w:rPr>
                    <w:t>-30</w:t>
                  </w:r>
                </w:p>
              </w:tc>
              <w:tc>
                <w:tcPr>
                  <w:tcW w:w="1455" w:type="dxa"/>
                  <w:vAlign w:val="center"/>
                </w:tcPr>
                <w:p w14:paraId="75B4C7DD">
                  <w:pPr>
                    <w:widowControl w:val="0"/>
                    <w:tabs>
                      <w:tab w:val="left" w:pos="0"/>
                    </w:tabs>
                    <w:jc w:val="center"/>
                    <w:rPr>
                      <w:bCs/>
                      <w:color w:val="auto"/>
                      <w:szCs w:val="21"/>
                    </w:rPr>
                  </w:pPr>
                  <w:r>
                    <w:rPr>
                      <w:rFonts w:hint="eastAsia"/>
                      <w:bCs/>
                      <w:color w:val="auto"/>
                      <w:szCs w:val="21"/>
                    </w:rPr>
                    <w:t>300</w:t>
                  </w:r>
                </w:p>
              </w:tc>
              <w:tc>
                <w:tcPr>
                  <w:tcW w:w="1125" w:type="dxa"/>
                  <w:vAlign w:val="center"/>
                </w:tcPr>
                <w:p w14:paraId="3364716E">
                  <w:pPr>
                    <w:widowControl w:val="0"/>
                    <w:tabs>
                      <w:tab w:val="left" w:pos="0"/>
                    </w:tabs>
                    <w:jc w:val="center"/>
                    <w:rPr>
                      <w:bCs/>
                      <w:color w:val="auto"/>
                      <w:szCs w:val="21"/>
                    </w:rPr>
                  </w:pPr>
                  <w:r>
                    <w:rPr>
                      <w:rFonts w:hint="eastAsia"/>
                      <w:bCs/>
                      <w:color w:val="auto"/>
                      <w:szCs w:val="21"/>
                    </w:rPr>
                    <w:t>-30</w:t>
                  </w:r>
                </w:p>
              </w:tc>
              <w:tc>
                <w:tcPr>
                  <w:tcW w:w="1550" w:type="dxa"/>
                  <w:vMerge w:val="continue"/>
                  <w:vAlign w:val="center"/>
                </w:tcPr>
                <w:p w14:paraId="2F606473">
                  <w:pPr>
                    <w:widowControl w:val="0"/>
                    <w:adjustRightInd w:val="0"/>
                    <w:snapToGrid w:val="0"/>
                    <w:jc w:val="center"/>
                    <w:rPr>
                      <w:rFonts w:hint="eastAsia"/>
                      <w:color w:val="auto"/>
                      <w:szCs w:val="21"/>
                    </w:rPr>
                  </w:pPr>
                </w:p>
              </w:tc>
            </w:tr>
            <w:tr w14:paraId="5F62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dxa"/>
                  <w:tcBorders>
                    <w:top w:val="single" w:color="000000" w:sz="6" w:space="0"/>
                    <w:bottom w:val="single" w:color="000000" w:sz="6" w:space="0"/>
                  </w:tcBorders>
                  <w:vAlign w:val="center"/>
                </w:tcPr>
                <w:p w14:paraId="6373926C">
                  <w:pPr>
                    <w:widowControl w:val="0"/>
                    <w:tabs>
                      <w:tab w:val="right" w:pos="9069"/>
                    </w:tabs>
                    <w:adjustRightInd w:val="0"/>
                    <w:snapToGrid w:val="0"/>
                    <w:jc w:val="center"/>
                    <w:rPr>
                      <w:rFonts w:hint="eastAsia" w:eastAsia="宋体"/>
                      <w:bCs/>
                      <w:color w:val="auto"/>
                      <w:szCs w:val="21"/>
                      <w:lang w:val="en-US" w:eastAsia="zh-CN"/>
                    </w:rPr>
                  </w:pPr>
                  <w:r>
                    <w:rPr>
                      <w:rFonts w:hint="eastAsia"/>
                      <w:bCs/>
                      <w:color w:val="auto"/>
                      <w:szCs w:val="21"/>
                      <w:lang w:val="en-US" w:eastAsia="zh-CN"/>
                    </w:rPr>
                    <w:t>3</w:t>
                  </w:r>
                </w:p>
              </w:tc>
              <w:tc>
                <w:tcPr>
                  <w:tcW w:w="405" w:type="dxa"/>
                  <w:vMerge w:val="continue"/>
                  <w:vAlign w:val="center"/>
                </w:tcPr>
                <w:p w14:paraId="63C53610">
                  <w:pPr>
                    <w:widowControl w:val="0"/>
                    <w:jc w:val="center"/>
                    <w:rPr>
                      <w:rFonts w:hint="eastAsia"/>
                      <w:color w:val="auto"/>
                      <w:szCs w:val="21"/>
                    </w:rPr>
                  </w:pPr>
                </w:p>
              </w:tc>
              <w:tc>
                <w:tcPr>
                  <w:tcW w:w="1965" w:type="dxa"/>
                  <w:tcBorders>
                    <w:top w:val="single" w:color="000000" w:sz="6" w:space="0"/>
                    <w:bottom w:val="single" w:color="000000" w:sz="6" w:space="0"/>
                  </w:tcBorders>
                  <w:vAlign w:val="center"/>
                </w:tcPr>
                <w:p w14:paraId="1FB7F52E">
                  <w:pPr>
                    <w:widowControl w:val="0"/>
                    <w:jc w:val="center"/>
                    <w:rPr>
                      <w:color w:val="auto"/>
                      <w:szCs w:val="21"/>
                    </w:rPr>
                  </w:pPr>
                  <w:r>
                    <w:rPr>
                      <w:rFonts w:hint="eastAsia"/>
                      <w:color w:val="auto"/>
                      <w:szCs w:val="21"/>
                    </w:rPr>
                    <w:t>电泳漆表面加工</w:t>
                  </w:r>
                </w:p>
              </w:tc>
              <w:tc>
                <w:tcPr>
                  <w:tcW w:w="1380" w:type="dxa"/>
                  <w:tcBorders>
                    <w:right w:val="single" w:color="000000" w:sz="6" w:space="0"/>
                  </w:tcBorders>
                  <w:vAlign w:val="center"/>
                </w:tcPr>
                <w:p w14:paraId="6F45B8BB">
                  <w:pPr>
                    <w:widowControl w:val="0"/>
                    <w:tabs>
                      <w:tab w:val="left" w:pos="0"/>
                    </w:tabs>
                    <w:jc w:val="center"/>
                    <w:rPr>
                      <w:bCs/>
                      <w:color w:val="auto"/>
                      <w:szCs w:val="21"/>
                    </w:rPr>
                  </w:pPr>
                  <w:r>
                    <w:rPr>
                      <w:rFonts w:hint="eastAsia"/>
                      <w:bCs/>
                      <w:color w:val="auto"/>
                      <w:szCs w:val="21"/>
                    </w:rPr>
                    <w:t>0</w:t>
                  </w:r>
                </w:p>
              </w:tc>
              <w:tc>
                <w:tcPr>
                  <w:tcW w:w="1305" w:type="dxa"/>
                  <w:tcBorders>
                    <w:left w:val="single" w:color="000000" w:sz="6" w:space="0"/>
                  </w:tcBorders>
                  <w:vAlign w:val="center"/>
                </w:tcPr>
                <w:p w14:paraId="60CCC1A9">
                  <w:pPr>
                    <w:widowControl w:val="0"/>
                    <w:tabs>
                      <w:tab w:val="left" w:pos="0"/>
                    </w:tabs>
                    <w:jc w:val="center"/>
                    <w:rPr>
                      <w:bCs/>
                      <w:color w:val="auto"/>
                      <w:szCs w:val="21"/>
                    </w:rPr>
                  </w:pPr>
                  <w:r>
                    <w:rPr>
                      <w:rFonts w:hint="eastAsia"/>
                      <w:bCs/>
                      <w:color w:val="auto"/>
                      <w:szCs w:val="21"/>
                      <w:lang w:val="en-US" w:eastAsia="zh-CN"/>
                    </w:rPr>
                    <w:t>+</w:t>
                  </w:r>
                  <w:r>
                    <w:rPr>
                      <w:rFonts w:hint="eastAsia"/>
                      <w:bCs/>
                      <w:color w:val="auto"/>
                      <w:szCs w:val="21"/>
                    </w:rPr>
                    <w:t>30</w:t>
                  </w:r>
                </w:p>
              </w:tc>
              <w:tc>
                <w:tcPr>
                  <w:tcW w:w="1455" w:type="dxa"/>
                  <w:vAlign w:val="center"/>
                </w:tcPr>
                <w:p w14:paraId="2A2E679B">
                  <w:pPr>
                    <w:widowControl w:val="0"/>
                    <w:tabs>
                      <w:tab w:val="left" w:pos="0"/>
                    </w:tabs>
                    <w:jc w:val="center"/>
                    <w:rPr>
                      <w:bCs/>
                      <w:color w:val="auto"/>
                      <w:szCs w:val="21"/>
                    </w:rPr>
                  </w:pPr>
                  <w:r>
                    <w:rPr>
                      <w:rFonts w:hint="eastAsia"/>
                      <w:bCs/>
                      <w:color w:val="auto"/>
                      <w:szCs w:val="21"/>
                    </w:rPr>
                    <w:t>30</w:t>
                  </w:r>
                </w:p>
              </w:tc>
              <w:tc>
                <w:tcPr>
                  <w:tcW w:w="1125" w:type="dxa"/>
                  <w:vAlign w:val="center"/>
                </w:tcPr>
                <w:p w14:paraId="51497EC6">
                  <w:pPr>
                    <w:widowControl w:val="0"/>
                    <w:tabs>
                      <w:tab w:val="left" w:pos="0"/>
                    </w:tabs>
                    <w:jc w:val="center"/>
                    <w:rPr>
                      <w:bCs/>
                      <w:color w:val="auto"/>
                      <w:szCs w:val="21"/>
                    </w:rPr>
                  </w:pPr>
                  <w:r>
                    <w:rPr>
                      <w:rFonts w:hint="eastAsia"/>
                      <w:bCs/>
                      <w:color w:val="auto"/>
                      <w:szCs w:val="21"/>
                    </w:rPr>
                    <w:t>+30</w:t>
                  </w:r>
                </w:p>
              </w:tc>
              <w:tc>
                <w:tcPr>
                  <w:tcW w:w="1550" w:type="dxa"/>
                  <w:vMerge w:val="continue"/>
                  <w:vAlign w:val="center"/>
                </w:tcPr>
                <w:p w14:paraId="0B914720">
                  <w:pPr>
                    <w:widowControl w:val="0"/>
                    <w:adjustRightInd w:val="0"/>
                    <w:snapToGrid w:val="0"/>
                    <w:jc w:val="center"/>
                    <w:rPr>
                      <w:rFonts w:hint="eastAsia"/>
                      <w:color w:val="auto"/>
                      <w:szCs w:val="21"/>
                    </w:rPr>
                  </w:pPr>
                </w:p>
              </w:tc>
            </w:tr>
            <w:tr w14:paraId="2016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95" w:type="dxa"/>
                  <w:tcBorders>
                    <w:top w:val="single" w:color="000000" w:sz="6" w:space="0"/>
                    <w:bottom w:val="single" w:color="000000" w:sz="6" w:space="0"/>
                  </w:tcBorders>
                  <w:vAlign w:val="center"/>
                </w:tcPr>
                <w:p w14:paraId="5BC6D654">
                  <w:pPr>
                    <w:widowControl w:val="0"/>
                    <w:tabs>
                      <w:tab w:val="right" w:pos="9069"/>
                    </w:tabs>
                    <w:adjustRightInd w:val="0"/>
                    <w:snapToGrid w:val="0"/>
                    <w:jc w:val="center"/>
                    <w:rPr>
                      <w:rFonts w:hint="eastAsia" w:eastAsia="宋体"/>
                      <w:bCs/>
                      <w:color w:val="auto"/>
                      <w:szCs w:val="21"/>
                      <w:lang w:val="en-US" w:eastAsia="zh-CN"/>
                    </w:rPr>
                  </w:pPr>
                  <w:r>
                    <w:rPr>
                      <w:rFonts w:hint="eastAsia"/>
                      <w:bCs/>
                      <w:color w:val="auto"/>
                      <w:szCs w:val="21"/>
                      <w:lang w:val="en-US" w:eastAsia="zh-CN"/>
                    </w:rPr>
                    <w:t>4</w:t>
                  </w:r>
                </w:p>
              </w:tc>
              <w:tc>
                <w:tcPr>
                  <w:tcW w:w="405" w:type="dxa"/>
                  <w:vMerge w:val="continue"/>
                  <w:tcBorders>
                    <w:bottom w:val="single" w:color="000000" w:sz="6" w:space="0"/>
                  </w:tcBorders>
                  <w:vAlign w:val="center"/>
                </w:tcPr>
                <w:p w14:paraId="761931E0">
                  <w:pPr>
                    <w:widowControl w:val="0"/>
                    <w:jc w:val="center"/>
                    <w:rPr>
                      <w:rFonts w:hint="eastAsia"/>
                      <w:color w:val="auto"/>
                      <w:szCs w:val="21"/>
                    </w:rPr>
                  </w:pPr>
                </w:p>
              </w:tc>
              <w:tc>
                <w:tcPr>
                  <w:tcW w:w="1965" w:type="dxa"/>
                  <w:tcBorders>
                    <w:top w:val="single" w:color="000000" w:sz="6" w:space="0"/>
                    <w:bottom w:val="single" w:color="000000" w:sz="6" w:space="0"/>
                  </w:tcBorders>
                  <w:vAlign w:val="center"/>
                </w:tcPr>
                <w:p w14:paraId="3F9B44A7">
                  <w:pPr>
                    <w:widowControl w:val="0"/>
                    <w:jc w:val="center"/>
                    <w:rPr>
                      <w:color w:val="auto"/>
                      <w:szCs w:val="21"/>
                    </w:rPr>
                  </w:pPr>
                  <w:r>
                    <w:rPr>
                      <w:rFonts w:hint="eastAsia"/>
                      <w:color w:val="auto"/>
                      <w:szCs w:val="21"/>
                    </w:rPr>
                    <w:t>小计</w:t>
                  </w:r>
                </w:p>
              </w:tc>
              <w:tc>
                <w:tcPr>
                  <w:tcW w:w="1380" w:type="dxa"/>
                  <w:tcBorders>
                    <w:bottom w:val="single" w:color="000000" w:sz="6" w:space="0"/>
                    <w:right w:val="single" w:color="000000" w:sz="6" w:space="0"/>
                  </w:tcBorders>
                  <w:vAlign w:val="center"/>
                </w:tcPr>
                <w:p w14:paraId="42A59242">
                  <w:pPr>
                    <w:widowControl w:val="0"/>
                    <w:tabs>
                      <w:tab w:val="left" w:pos="0"/>
                    </w:tabs>
                    <w:jc w:val="center"/>
                    <w:rPr>
                      <w:bCs/>
                      <w:color w:val="auto"/>
                      <w:szCs w:val="21"/>
                    </w:rPr>
                  </w:pPr>
                  <w:r>
                    <w:rPr>
                      <w:rFonts w:hint="eastAsia"/>
                      <w:bCs/>
                      <w:color w:val="auto"/>
                      <w:szCs w:val="21"/>
                    </w:rPr>
                    <w:t>330</w:t>
                  </w:r>
                </w:p>
              </w:tc>
              <w:tc>
                <w:tcPr>
                  <w:tcW w:w="1305" w:type="dxa"/>
                  <w:tcBorders>
                    <w:left w:val="single" w:color="000000" w:sz="6" w:space="0"/>
                    <w:bottom w:val="single" w:color="000000" w:sz="6" w:space="0"/>
                  </w:tcBorders>
                  <w:vAlign w:val="center"/>
                </w:tcPr>
                <w:p w14:paraId="64E8D4C7">
                  <w:pPr>
                    <w:widowControl w:val="0"/>
                    <w:tabs>
                      <w:tab w:val="left" w:pos="0"/>
                    </w:tabs>
                    <w:jc w:val="center"/>
                    <w:rPr>
                      <w:rFonts w:hint="eastAsia" w:eastAsia="宋体"/>
                      <w:bCs/>
                      <w:color w:val="auto"/>
                      <w:szCs w:val="21"/>
                      <w:lang w:eastAsia="zh-CN"/>
                    </w:rPr>
                  </w:pPr>
                  <w:r>
                    <w:rPr>
                      <w:rFonts w:hint="eastAsia"/>
                      <w:bCs/>
                      <w:color w:val="auto"/>
                      <w:szCs w:val="21"/>
                      <w:lang w:val="en-US" w:eastAsia="zh-CN"/>
                    </w:rPr>
                    <w:t>0</w:t>
                  </w:r>
                </w:p>
              </w:tc>
              <w:tc>
                <w:tcPr>
                  <w:tcW w:w="1455" w:type="dxa"/>
                  <w:tcBorders>
                    <w:bottom w:val="single" w:color="000000" w:sz="6" w:space="0"/>
                  </w:tcBorders>
                  <w:vAlign w:val="center"/>
                </w:tcPr>
                <w:p w14:paraId="5337B839">
                  <w:pPr>
                    <w:widowControl w:val="0"/>
                    <w:tabs>
                      <w:tab w:val="left" w:pos="0"/>
                    </w:tabs>
                    <w:jc w:val="center"/>
                    <w:rPr>
                      <w:bCs/>
                      <w:color w:val="auto"/>
                      <w:szCs w:val="21"/>
                    </w:rPr>
                  </w:pPr>
                  <w:r>
                    <w:rPr>
                      <w:rFonts w:hint="eastAsia"/>
                      <w:bCs/>
                      <w:color w:val="auto"/>
                      <w:szCs w:val="21"/>
                    </w:rPr>
                    <w:t>330</w:t>
                  </w:r>
                </w:p>
              </w:tc>
              <w:tc>
                <w:tcPr>
                  <w:tcW w:w="1125" w:type="dxa"/>
                  <w:tcBorders>
                    <w:bottom w:val="single" w:color="000000" w:sz="6" w:space="0"/>
                  </w:tcBorders>
                  <w:vAlign w:val="center"/>
                </w:tcPr>
                <w:p w14:paraId="1BA34C0F">
                  <w:pPr>
                    <w:widowControl w:val="0"/>
                    <w:tabs>
                      <w:tab w:val="left" w:pos="0"/>
                    </w:tabs>
                    <w:jc w:val="center"/>
                    <w:rPr>
                      <w:bCs/>
                      <w:color w:val="auto"/>
                      <w:szCs w:val="21"/>
                    </w:rPr>
                  </w:pPr>
                  <w:r>
                    <w:rPr>
                      <w:rFonts w:hint="eastAsia"/>
                      <w:bCs/>
                      <w:color w:val="auto"/>
                      <w:szCs w:val="21"/>
                    </w:rPr>
                    <w:t>0</w:t>
                  </w:r>
                </w:p>
              </w:tc>
              <w:tc>
                <w:tcPr>
                  <w:tcW w:w="1550" w:type="dxa"/>
                  <w:vMerge w:val="continue"/>
                  <w:tcBorders>
                    <w:bottom w:val="single" w:color="000000" w:sz="6" w:space="0"/>
                  </w:tcBorders>
                  <w:vAlign w:val="center"/>
                </w:tcPr>
                <w:p w14:paraId="62A99DC2">
                  <w:pPr>
                    <w:widowControl w:val="0"/>
                    <w:adjustRightInd w:val="0"/>
                    <w:snapToGrid w:val="0"/>
                    <w:jc w:val="center"/>
                    <w:rPr>
                      <w:rFonts w:hint="eastAsia"/>
                      <w:color w:val="auto"/>
                      <w:szCs w:val="21"/>
                    </w:rPr>
                  </w:pPr>
                </w:p>
              </w:tc>
            </w:tr>
            <w:tr w14:paraId="0D0D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80" w:type="dxa"/>
                  <w:gridSpan w:val="8"/>
                  <w:tcBorders>
                    <w:top w:val="single" w:color="000000" w:sz="6" w:space="0"/>
                  </w:tcBorders>
                  <w:vAlign w:val="center"/>
                </w:tcPr>
                <w:p w14:paraId="44CBFF40">
                  <w:pPr>
                    <w:widowControl w:val="0"/>
                    <w:adjustRightInd w:val="0"/>
                    <w:snapToGrid w:val="0"/>
                    <w:jc w:val="center"/>
                    <w:rPr>
                      <w:rFonts w:hint="default" w:eastAsia="宋体"/>
                      <w:color w:val="auto"/>
                      <w:szCs w:val="21"/>
                      <w:lang w:val="en-US" w:eastAsia="zh-CN"/>
                    </w:rPr>
                  </w:pPr>
                  <w:r>
                    <w:rPr>
                      <w:rFonts w:hint="eastAsia"/>
                      <w:b/>
                      <w:bCs/>
                      <w:color w:val="auto"/>
                      <w:szCs w:val="21"/>
                      <w:lang w:val="en-US" w:eastAsia="zh-CN"/>
                    </w:rPr>
                    <w:t>备注：</w:t>
                  </w:r>
                  <w:r>
                    <w:rPr>
                      <w:rFonts w:hint="eastAsia"/>
                      <w:color w:val="auto"/>
                      <w:szCs w:val="21"/>
                      <w:lang w:val="en-US" w:eastAsia="zh-CN"/>
                    </w:rPr>
                    <w:t>本次需电泳的铝制品平均规格为长3cm×宽2cm×高10cm。</w:t>
                  </w:r>
                </w:p>
              </w:tc>
            </w:tr>
          </w:tbl>
          <w:p w14:paraId="09C3A450">
            <w:pPr>
              <w:widowControl w:val="0"/>
              <w:spacing w:line="360" w:lineRule="auto"/>
              <w:ind w:firstLine="482" w:firstLineChars="200"/>
              <w:rPr>
                <w:b/>
                <w:color w:val="auto"/>
                <w:sz w:val="24"/>
              </w:rPr>
            </w:pPr>
            <w:r>
              <w:rPr>
                <w:b/>
                <w:color w:val="auto"/>
                <w:sz w:val="24"/>
              </w:rPr>
              <w:t>（</w:t>
            </w:r>
            <w:r>
              <w:rPr>
                <w:rFonts w:hint="eastAsia"/>
                <w:b/>
                <w:color w:val="auto"/>
                <w:sz w:val="24"/>
              </w:rPr>
              <w:t>六</w:t>
            </w:r>
            <w:r>
              <w:rPr>
                <w:b/>
                <w:color w:val="auto"/>
                <w:sz w:val="24"/>
              </w:rPr>
              <w:t>）生产设备</w:t>
            </w:r>
          </w:p>
          <w:p w14:paraId="31833661">
            <w:pPr>
              <w:spacing w:line="360" w:lineRule="auto"/>
              <w:ind w:firstLine="480" w:firstLineChars="200"/>
              <w:rPr>
                <w:bCs/>
                <w:color w:val="auto"/>
                <w:sz w:val="24"/>
              </w:rPr>
            </w:pPr>
            <w:r>
              <w:rPr>
                <w:rFonts w:hint="eastAsia"/>
                <w:bCs/>
                <w:color w:val="auto"/>
                <w:sz w:val="24"/>
              </w:rPr>
              <w:t>本</w:t>
            </w:r>
            <w:r>
              <w:rPr>
                <w:rFonts w:hint="eastAsia"/>
                <w:bCs/>
                <w:color w:val="auto"/>
                <w:sz w:val="24"/>
                <w:lang w:eastAsia="zh-CN"/>
              </w:rPr>
              <w:t>改建</w:t>
            </w:r>
            <w:r>
              <w:rPr>
                <w:bCs/>
                <w:color w:val="auto"/>
                <w:sz w:val="24"/>
              </w:rPr>
              <w:t>项目及</w:t>
            </w:r>
            <w:r>
              <w:rPr>
                <w:rFonts w:hint="eastAsia"/>
                <w:bCs/>
                <w:color w:val="auto"/>
                <w:sz w:val="24"/>
                <w:lang w:eastAsia="zh-CN"/>
              </w:rPr>
              <w:t>改建</w:t>
            </w:r>
            <w:r>
              <w:rPr>
                <w:bCs/>
                <w:color w:val="auto"/>
                <w:sz w:val="24"/>
              </w:rPr>
              <w:t>后全厂的主要生产设备详见表2-</w:t>
            </w:r>
            <w:r>
              <w:rPr>
                <w:rFonts w:hint="eastAsia"/>
                <w:bCs/>
                <w:color w:val="auto"/>
                <w:sz w:val="24"/>
                <w:lang w:val="en-US" w:eastAsia="zh-CN"/>
              </w:rPr>
              <w:t>7</w:t>
            </w:r>
            <w:r>
              <w:rPr>
                <w:bCs/>
                <w:color w:val="auto"/>
                <w:sz w:val="24"/>
              </w:rPr>
              <w:t>。</w:t>
            </w:r>
            <w:r>
              <w:rPr>
                <w:rFonts w:hint="eastAsia"/>
                <w:bCs/>
                <w:color w:val="auto"/>
                <w:sz w:val="24"/>
                <w:lang w:eastAsia="zh-CN"/>
              </w:rPr>
              <w:t>改建</w:t>
            </w:r>
            <w:r>
              <w:rPr>
                <w:rFonts w:hint="eastAsia"/>
                <w:bCs/>
                <w:color w:val="auto"/>
                <w:sz w:val="24"/>
              </w:rPr>
              <w:t>项目新增电泳漆表面加工生产线相关参数情况见表2-</w:t>
            </w:r>
            <w:r>
              <w:rPr>
                <w:rFonts w:hint="eastAsia"/>
                <w:bCs/>
                <w:color w:val="auto"/>
                <w:sz w:val="24"/>
                <w:lang w:val="en-US" w:eastAsia="zh-CN"/>
              </w:rPr>
              <w:t>8</w:t>
            </w:r>
            <w:r>
              <w:rPr>
                <w:rFonts w:hint="eastAsia"/>
                <w:bCs/>
                <w:color w:val="auto"/>
                <w:sz w:val="24"/>
              </w:rPr>
              <w:t>。</w:t>
            </w:r>
          </w:p>
          <w:p w14:paraId="11C9EC40">
            <w:pPr>
              <w:adjustRightInd w:val="0"/>
              <w:snapToGrid w:val="0"/>
              <w:ind w:firstLine="480"/>
              <w:jc w:val="center"/>
              <w:rPr>
                <w:b/>
                <w:bCs/>
                <w:color w:val="auto"/>
                <w:szCs w:val="21"/>
              </w:rPr>
            </w:pPr>
            <w:r>
              <w:rPr>
                <w:b/>
                <w:bCs/>
                <w:color w:val="auto"/>
                <w:szCs w:val="21"/>
              </w:rPr>
              <w:t>表2-</w:t>
            </w:r>
            <w:r>
              <w:rPr>
                <w:rFonts w:hint="eastAsia"/>
                <w:b/>
                <w:bCs/>
                <w:color w:val="auto"/>
                <w:szCs w:val="21"/>
                <w:lang w:val="en-US" w:eastAsia="zh-CN"/>
              </w:rPr>
              <w:t>7</w:t>
            </w:r>
            <w:r>
              <w:rPr>
                <w:rFonts w:hint="eastAsia"/>
                <w:b/>
                <w:bCs/>
                <w:color w:val="auto"/>
                <w:szCs w:val="21"/>
              </w:rPr>
              <w:t xml:space="preserve"> </w:t>
            </w:r>
            <w:r>
              <w:rPr>
                <w:b/>
                <w:color w:val="auto"/>
                <w:szCs w:val="21"/>
              </w:rPr>
              <w:t>项目</w:t>
            </w:r>
            <w:r>
              <w:rPr>
                <w:rFonts w:hint="eastAsia"/>
                <w:b/>
                <w:color w:val="auto"/>
                <w:szCs w:val="21"/>
                <w:lang w:eastAsia="zh-CN"/>
              </w:rPr>
              <w:t>改建</w:t>
            </w:r>
            <w:r>
              <w:rPr>
                <w:b/>
                <w:color w:val="auto"/>
                <w:szCs w:val="21"/>
              </w:rPr>
              <w:t>前后</w:t>
            </w:r>
            <w:r>
              <w:rPr>
                <w:b/>
                <w:bCs/>
                <w:color w:val="auto"/>
                <w:szCs w:val="21"/>
              </w:rPr>
              <w:t>主要设备清单表</w:t>
            </w:r>
          </w:p>
          <w:tbl>
            <w:tblPr>
              <w:tblStyle w:val="42"/>
              <w:tblW w:w="9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1582"/>
              <w:gridCol w:w="1305"/>
              <w:gridCol w:w="825"/>
              <w:gridCol w:w="675"/>
              <w:gridCol w:w="705"/>
              <w:gridCol w:w="750"/>
              <w:gridCol w:w="1755"/>
              <w:gridCol w:w="465"/>
              <w:gridCol w:w="1080"/>
            </w:tblGrid>
            <w:tr w14:paraId="4EFC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0A7911E5">
                  <w:pPr>
                    <w:widowControl w:val="0"/>
                    <w:tabs>
                      <w:tab w:val="right" w:pos="9069"/>
                    </w:tabs>
                    <w:adjustRightInd w:val="0"/>
                    <w:snapToGrid w:val="0"/>
                    <w:jc w:val="center"/>
                    <w:rPr>
                      <w:b/>
                      <w:color w:val="auto"/>
                      <w:szCs w:val="21"/>
                      <w:highlight w:val="none"/>
                    </w:rPr>
                  </w:pPr>
                  <w:r>
                    <w:rPr>
                      <w:b/>
                      <w:color w:val="auto"/>
                      <w:szCs w:val="21"/>
                      <w:highlight w:val="none"/>
                    </w:rPr>
                    <w:t>序号</w:t>
                  </w:r>
                </w:p>
              </w:tc>
              <w:tc>
                <w:tcPr>
                  <w:tcW w:w="1582" w:type="dxa"/>
                  <w:vAlign w:val="center"/>
                </w:tcPr>
                <w:p w14:paraId="61B02BF9">
                  <w:pPr>
                    <w:widowControl w:val="0"/>
                    <w:tabs>
                      <w:tab w:val="right" w:pos="9069"/>
                    </w:tabs>
                    <w:adjustRightInd w:val="0"/>
                    <w:snapToGrid w:val="0"/>
                    <w:jc w:val="center"/>
                    <w:rPr>
                      <w:b/>
                      <w:color w:val="auto"/>
                      <w:szCs w:val="21"/>
                      <w:highlight w:val="none"/>
                    </w:rPr>
                  </w:pPr>
                  <w:r>
                    <w:rPr>
                      <w:b/>
                      <w:color w:val="auto"/>
                      <w:szCs w:val="21"/>
                      <w:highlight w:val="none"/>
                    </w:rPr>
                    <w:t>名称</w:t>
                  </w:r>
                </w:p>
              </w:tc>
              <w:tc>
                <w:tcPr>
                  <w:tcW w:w="1305" w:type="dxa"/>
                  <w:vAlign w:val="center"/>
                </w:tcPr>
                <w:p w14:paraId="3E93C89F">
                  <w:pPr>
                    <w:widowControl w:val="0"/>
                    <w:tabs>
                      <w:tab w:val="right" w:pos="9069"/>
                    </w:tabs>
                    <w:adjustRightInd w:val="0"/>
                    <w:snapToGrid w:val="0"/>
                    <w:jc w:val="center"/>
                    <w:rPr>
                      <w:b/>
                      <w:color w:val="auto"/>
                      <w:szCs w:val="21"/>
                      <w:highlight w:val="none"/>
                    </w:rPr>
                  </w:pPr>
                  <w:r>
                    <w:rPr>
                      <w:b/>
                      <w:color w:val="auto"/>
                      <w:szCs w:val="21"/>
                      <w:highlight w:val="none"/>
                    </w:rPr>
                    <w:t>型号</w:t>
                  </w:r>
                  <w:r>
                    <w:rPr>
                      <w:rFonts w:hint="eastAsia"/>
                      <w:b/>
                      <w:color w:val="auto"/>
                      <w:szCs w:val="21"/>
                      <w:highlight w:val="none"/>
                    </w:rPr>
                    <w:t>及</w:t>
                  </w:r>
                  <w:r>
                    <w:rPr>
                      <w:b/>
                      <w:color w:val="auto"/>
                      <w:szCs w:val="21"/>
                      <w:highlight w:val="none"/>
                    </w:rPr>
                    <w:t>规格</w:t>
                  </w:r>
                </w:p>
              </w:tc>
              <w:tc>
                <w:tcPr>
                  <w:tcW w:w="825" w:type="dxa"/>
                  <w:vAlign w:val="center"/>
                </w:tcPr>
                <w:p w14:paraId="46845B72">
                  <w:pPr>
                    <w:widowControl w:val="0"/>
                    <w:tabs>
                      <w:tab w:val="right" w:pos="9069"/>
                    </w:tabs>
                    <w:adjustRightInd w:val="0"/>
                    <w:snapToGrid w:val="0"/>
                    <w:jc w:val="center"/>
                    <w:rPr>
                      <w:b/>
                      <w:color w:val="auto"/>
                      <w:szCs w:val="21"/>
                      <w:highlight w:val="none"/>
                    </w:rPr>
                  </w:pPr>
                  <w:r>
                    <w:rPr>
                      <w:rFonts w:hint="eastAsia"/>
                      <w:b/>
                      <w:color w:val="auto"/>
                      <w:szCs w:val="21"/>
                      <w:highlight w:val="none"/>
                      <w:lang w:val="en-US" w:eastAsia="zh-CN"/>
                    </w:rPr>
                    <w:t>现</w:t>
                  </w:r>
                  <w:r>
                    <w:rPr>
                      <w:rFonts w:hint="eastAsia"/>
                      <w:b/>
                      <w:color w:val="auto"/>
                      <w:szCs w:val="21"/>
                      <w:highlight w:val="none"/>
                    </w:rPr>
                    <w:t>有</w:t>
                  </w:r>
                  <w:r>
                    <w:rPr>
                      <w:b/>
                      <w:color w:val="auto"/>
                      <w:szCs w:val="21"/>
                      <w:highlight w:val="none"/>
                    </w:rPr>
                    <w:t>项目</w:t>
                  </w:r>
                </w:p>
              </w:tc>
              <w:tc>
                <w:tcPr>
                  <w:tcW w:w="675" w:type="dxa"/>
                  <w:vAlign w:val="center"/>
                </w:tcPr>
                <w:p w14:paraId="5EB4FC87">
                  <w:pPr>
                    <w:widowControl w:val="0"/>
                    <w:tabs>
                      <w:tab w:val="right" w:pos="9069"/>
                    </w:tabs>
                    <w:adjustRightInd w:val="0"/>
                    <w:snapToGrid w:val="0"/>
                    <w:jc w:val="center"/>
                    <w:rPr>
                      <w:b/>
                      <w:color w:val="auto"/>
                      <w:szCs w:val="21"/>
                      <w:highlight w:val="none"/>
                    </w:rPr>
                  </w:pPr>
                  <w:r>
                    <w:rPr>
                      <w:rFonts w:hint="eastAsia"/>
                      <w:b/>
                      <w:color w:val="auto"/>
                      <w:szCs w:val="21"/>
                      <w:highlight w:val="none"/>
                      <w:lang w:eastAsia="zh-CN"/>
                    </w:rPr>
                    <w:t>改建</w:t>
                  </w:r>
                  <w:r>
                    <w:rPr>
                      <w:b/>
                      <w:color w:val="auto"/>
                      <w:szCs w:val="21"/>
                      <w:highlight w:val="none"/>
                    </w:rPr>
                    <w:t>项目</w:t>
                  </w:r>
                </w:p>
              </w:tc>
              <w:tc>
                <w:tcPr>
                  <w:tcW w:w="705" w:type="dxa"/>
                  <w:vAlign w:val="center"/>
                </w:tcPr>
                <w:p w14:paraId="6048B842">
                  <w:pPr>
                    <w:widowControl w:val="0"/>
                    <w:tabs>
                      <w:tab w:val="right" w:pos="9069"/>
                    </w:tabs>
                    <w:adjustRightInd w:val="0"/>
                    <w:snapToGrid w:val="0"/>
                    <w:jc w:val="center"/>
                    <w:rPr>
                      <w:b/>
                      <w:color w:val="auto"/>
                      <w:szCs w:val="21"/>
                      <w:highlight w:val="none"/>
                    </w:rPr>
                  </w:pPr>
                  <w:r>
                    <w:rPr>
                      <w:rFonts w:hint="eastAsia"/>
                      <w:b/>
                      <w:color w:val="auto"/>
                      <w:szCs w:val="21"/>
                      <w:highlight w:val="none"/>
                      <w:lang w:eastAsia="zh-CN"/>
                    </w:rPr>
                    <w:t>改建</w:t>
                  </w:r>
                  <w:r>
                    <w:rPr>
                      <w:b/>
                      <w:color w:val="auto"/>
                      <w:szCs w:val="21"/>
                      <w:highlight w:val="none"/>
                    </w:rPr>
                    <w:t>后</w:t>
                  </w:r>
                </w:p>
              </w:tc>
              <w:tc>
                <w:tcPr>
                  <w:tcW w:w="750" w:type="dxa"/>
                  <w:vAlign w:val="center"/>
                </w:tcPr>
                <w:p w14:paraId="60D1A76C">
                  <w:pPr>
                    <w:widowControl w:val="0"/>
                    <w:tabs>
                      <w:tab w:val="right" w:pos="9069"/>
                    </w:tabs>
                    <w:adjustRightInd w:val="0"/>
                    <w:snapToGrid w:val="0"/>
                    <w:jc w:val="center"/>
                    <w:rPr>
                      <w:b/>
                      <w:color w:val="auto"/>
                      <w:szCs w:val="21"/>
                      <w:highlight w:val="none"/>
                    </w:rPr>
                  </w:pPr>
                  <w:r>
                    <w:rPr>
                      <w:b/>
                      <w:color w:val="auto"/>
                      <w:szCs w:val="21"/>
                      <w:highlight w:val="none"/>
                    </w:rPr>
                    <w:t>增减量</w:t>
                  </w:r>
                </w:p>
              </w:tc>
              <w:tc>
                <w:tcPr>
                  <w:tcW w:w="1755" w:type="dxa"/>
                  <w:vAlign w:val="center"/>
                </w:tcPr>
                <w:p w14:paraId="6610C634">
                  <w:pPr>
                    <w:widowControl w:val="0"/>
                    <w:tabs>
                      <w:tab w:val="right" w:pos="9069"/>
                    </w:tabs>
                    <w:adjustRightInd w:val="0"/>
                    <w:snapToGrid w:val="0"/>
                    <w:jc w:val="center"/>
                    <w:rPr>
                      <w:b/>
                      <w:color w:val="auto"/>
                      <w:szCs w:val="21"/>
                      <w:highlight w:val="none"/>
                    </w:rPr>
                  </w:pPr>
                  <w:r>
                    <w:rPr>
                      <w:b/>
                      <w:color w:val="auto"/>
                      <w:szCs w:val="21"/>
                      <w:highlight w:val="none"/>
                    </w:rPr>
                    <w:t>使用工序</w:t>
                  </w:r>
                </w:p>
              </w:tc>
              <w:tc>
                <w:tcPr>
                  <w:tcW w:w="465" w:type="dxa"/>
                  <w:vAlign w:val="center"/>
                </w:tcPr>
                <w:p w14:paraId="2C90AF47">
                  <w:pPr>
                    <w:widowControl w:val="0"/>
                    <w:tabs>
                      <w:tab w:val="right" w:pos="9069"/>
                    </w:tabs>
                    <w:adjustRightInd w:val="0"/>
                    <w:snapToGrid w:val="0"/>
                    <w:jc w:val="center"/>
                    <w:rPr>
                      <w:b/>
                      <w:color w:val="auto"/>
                      <w:szCs w:val="21"/>
                      <w:highlight w:val="none"/>
                    </w:rPr>
                  </w:pPr>
                  <w:r>
                    <w:rPr>
                      <w:b/>
                      <w:color w:val="auto"/>
                      <w:szCs w:val="21"/>
                      <w:highlight w:val="none"/>
                    </w:rPr>
                    <w:t>用能</w:t>
                  </w:r>
                </w:p>
              </w:tc>
              <w:tc>
                <w:tcPr>
                  <w:tcW w:w="1080" w:type="dxa"/>
                  <w:vAlign w:val="center"/>
                </w:tcPr>
                <w:p w14:paraId="45A11055">
                  <w:pPr>
                    <w:widowControl w:val="0"/>
                    <w:tabs>
                      <w:tab w:val="right" w:pos="9069"/>
                    </w:tabs>
                    <w:adjustRightInd w:val="0"/>
                    <w:snapToGrid w:val="0"/>
                    <w:jc w:val="center"/>
                    <w:rPr>
                      <w:b/>
                      <w:color w:val="auto"/>
                      <w:szCs w:val="21"/>
                      <w:highlight w:val="none"/>
                    </w:rPr>
                  </w:pPr>
                  <w:r>
                    <w:rPr>
                      <w:b/>
                      <w:color w:val="auto"/>
                      <w:szCs w:val="21"/>
                      <w:highlight w:val="none"/>
                    </w:rPr>
                    <w:t>位置</w:t>
                  </w:r>
                </w:p>
              </w:tc>
            </w:tr>
            <w:tr w14:paraId="59EE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44568E82">
                  <w:pPr>
                    <w:adjustRightInd w:val="0"/>
                    <w:snapToGrid w:val="0"/>
                    <w:jc w:val="center"/>
                    <w:rPr>
                      <w:color w:val="auto"/>
                      <w:szCs w:val="21"/>
                      <w:highlight w:val="none"/>
                    </w:rPr>
                  </w:pPr>
                  <w:r>
                    <w:rPr>
                      <w:color w:val="auto"/>
                      <w:szCs w:val="21"/>
                      <w:highlight w:val="none"/>
                    </w:rPr>
                    <w:t>1</w:t>
                  </w:r>
                </w:p>
              </w:tc>
              <w:tc>
                <w:tcPr>
                  <w:tcW w:w="1582" w:type="dxa"/>
                  <w:vAlign w:val="center"/>
                </w:tcPr>
                <w:p w14:paraId="47A5DDF4">
                  <w:pPr>
                    <w:jc w:val="center"/>
                    <w:rPr>
                      <w:color w:val="auto"/>
                      <w:szCs w:val="21"/>
                      <w:highlight w:val="none"/>
                    </w:rPr>
                  </w:pPr>
                  <w:r>
                    <w:rPr>
                      <w:rFonts w:hint="eastAsia"/>
                      <w:color w:val="auto"/>
                      <w:szCs w:val="21"/>
                      <w:highlight w:val="none"/>
                    </w:rPr>
                    <w:t>数控车床</w:t>
                  </w:r>
                </w:p>
              </w:tc>
              <w:tc>
                <w:tcPr>
                  <w:tcW w:w="1305" w:type="dxa"/>
                  <w:vAlign w:val="center"/>
                </w:tcPr>
                <w:p w14:paraId="4140B37B">
                  <w:pPr>
                    <w:jc w:val="center"/>
                    <w:rPr>
                      <w:color w:val="auto"/>
                      <w:szCs w:val="21"/>
                      <w:highlight w:val="none"/>
                    </w:rPr>
                  </w:pPr>
                  <w:r>
                    <w:rPr>
                      <w:rFonts w:hint="eastAsia"/>
                      <w:color w:val="auto"/>
                      <w:szCs w:val="21"/>
                      <w:highlight w:val="none"/>
                    </w:rPr>
                    <w:t>定制</w:t>
                  </w:r>
                </w:p>
              </w:tc>
              <w:tc>
                <w:tcPr>
                  <w:tcW w:w="825" w:type="dxa"/>
                  <w:vAlign w:val="center"/>
                </w:tcPr>
                <w:p w14:paraId="6A32475A">
                  <w:pPr>
                    <w:jc w:val="center"/>
                    <w:rPr>
                      <w:rFonts w:hint="eastAsia"/>
                      <w:color w:val="auto"/>
                      <w:szCs w:val="21"/>
                      <w:highlight w:val="none"/>
                    </w:rPr>
                  </w:pPr>
                  <w:r>
                    <w:rPr>
                      <w:rFonts w:hint="eastAsia"/>
                      <w:color w:val="auto"/>
                      <w:szCs w:val="21"/>
                      <w:highlight w:val="none"/>
                    </w:rPr>
                    <w:t>10台</w:t>
                  </w:r>
                </w:p>
              </w:tc>
              <w:tc>
                <w:tcPr>
                  <w:tcW w:w="675" w:type="dxa"/>
                  <w:vAlign w:val="center"/>
                </w:tcPr>
                <w:p w14:paraId="25E84773">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5B09D500">
                  <w:pPr>
                    <w:jc w:val="center"/>
                    <w:rPr>
                      <w:color w:val="auto"/>
                      <w:szCs w:val="21"/>
                      <w:highlight w:val="none"/>
                    </w:rPr>
                  </w:pPr>
                  <w:r>
                    <w:rPr>
                      <w:rFonts w:hint="eastAsia"/>
                      <w:color w:val="auto"/>
                      <w:szCs w:val="21"/>
                      <w:highlight w:val="none"/>
                    </w:rPr>
                    <w:t>10台</w:t>
                  </w:r>
                </w:p>
              </w:tc>
              <w:tc>
                <w:tcPr>
                  <w:tcW w:w="750" w:type="dxa"/>
                  <w:vAlign w:val="center"/>
                </w:tcPr>
                <w:p w14:paraId="233D531E">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02AA71E1">
                  <w:pPr>
                    <w:adjustRightInd w:val="0"/>
                    <w:snapToGrid w:val="0"/>
                    <w:jc w:val="center"/>
                    <w:rPr>
                      <w:snapToGrid w:val="0"/>
                      <w:color w:val="auto"/>
                      <w:kern w:val="0"/>
                      <w:szCs w:val="21"/>
                      <w:highlight w:val="none"/>
                    </w:rPr>
                  </w:pPr>
                  <w:r>
                    <w:rPr>
                      <w:rFonts w:hint="eastAsia"/>
                      <w:snapToGrid w:val="0"/>
                      <w:color w:val="auto"/>
                      <w:kern w:val="0"/>
                      <w:szCs w:val="21"/>
                      <w:highlight w:val="none"/>
                    </w:rPr>
                    <w:t>机加工</w:t>
                  </w:r>
                </w:p>
              </w:tc>
              <w:tc>
                <w:tcPr>
                  <w:tcW w:w="465" w:type="dxa"/>
                  <w:vAlign w:val="center"/>
                </w:tcPr>
                <w:p w14:paraId="5FDF7F41">
                  <w:pPr>
                    <w:adjustRightInd w:val="0"/>
                    <w:snapToGrid w:val="0"/>
                    <w:jc w:val="center"/>
                    <w:rPr>
                      <w:color w:val="auto"/>
                      <w:szCs w:val="21"/>
                      <w:highlight w:val="none"/>
                    </w:rPr>
                  </w:pPr>
                  <w:r>
                    <w:rPr>
                      <w:color w:val="auto"/>
                      <w:szCs w:val="21"/>
                      <w:highlight w:val="none"/>
                    </w:rPr>
                    <w:t>电</w:t>
                  </w:r>
                </w:p>
              </w:tc>
              <w:tc>
                <w:tcPr>
                  <w:tcW w:w="1080" w:type="dxa"/>
                  <w:vAlign w:val="center"/>
                </w:tcPr>
                <w:p w14:paraId="1C21DB80">
                  <w:pPr>
                    <w:adjustRightInd w:val="0"/>
                    <w:snapToGrid w:val="0"/>
                    <w:jc w:val="center"/>
                    <w:rPr>
                      <w:color w:val="auto"/>
                      <w:szCs w:val="21"/>
                      <w:highlight w:val="none"/>
                    </w:rPr>
                  </w:pPr>
                  <w:r>
                    <w:rPr>
                      <w:rFonts w:hint="eastAsia"/>
                      <w:color w:val="auto"/>
                      <w:szCs w:val="21"/>
                      <w:highlight w:val="none"/>
                    </w:rPr>
                    <w:t>压铸车间</w:t>
                  </w:r>
                </w:p>
              </w:tc>
            </w:tr>
            <w:tr w14:paraId="04C0B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2E427808">
                  <w:pPr>
                    <w:adjustRightInd w:val="0"/>
                    <w:snapToGrid w:val="0"/>
                    <w:jc w:val="center"/>
                    <w:rPr>
                      <w:color w:val="auto"/>
                      <w:szCs w:val="21"/>
                      <w:highlight w:val="none"/>
                    </w:rPr>
                  </w:pPr>
                  <w:r>
                    <w:rPr>
                      <w:color w:val="auto"/>
                      <w:szCs w:val="21"/>
                      <w:highlight w:val="none"/>
                    </w:rPr>
                    <w:t>2</w:t>
                  </w:r>
                </w:p>
              </w:tc>
              <w:tc>
                <w:tcPr>
                  <w:tcW w:w="1582" w:type="dxa"/>
                  <w:vAlign w:val="center"/>
                </w:tcPr>
                <w:p w14:paraId="4703A5B8">
                  <w:pPr>
                    <w:jc w:val="center"/>
                    <w:rPr>
                      <w:color w:val="auto"/>
                      <w:szCs w:val="21"/>
                      <w:highlight w:val="none"/>
                    </w:rPr>
                  </w:pPr>
                  <w:r>
                    <w:rPr>
                      <w:rFonts w:hint="eastAsia"/>
                      <w:color w:val="auto"/>
                      <w:szCs w:val="21"/>
                      <w:highlight w:val="none"/>
                    </w:rPr>
                    <w:t>小型铣床</w:t>
                  </w:r>
                </w:p>
              </w:tc>
              <w:tc>
                <w:tcPr>
                  <w:tcW w:w="1305" w:type="dxa"/>
                  <w:vAlign w:val="center"/>
                </w:tcPr>
                <w:p w14:paraId="71F96360">
                  <w:pPr>
                    <w:jc w:val="center"/>
                    <w:rPr>
                      <w:color w:val="auto"/>
                      <w:szCs w:val="21"/>
                      <w:highlight w:val="none"/>
                    </w:rPr>
                  </w:pPr>
                  <w:r>
                    <w:rPr>
                      <w:rFonts w:hint="eastAsia"/>
                      <w:color w:val="auto"/>
                      <w:szCs w:val="21"/>
                      <w:highlight w:val="none"/>
                    </w:rPr>
                    <w:t>定制</w:t>
                  </w:r>
                </w:p>
              </w:tc>
              <w:tc>
                <w:tcPr>
                  <w:tcW w:w="825" w:type="dxa"/>
                  <w:vAlign w:val="center"/>
                </w:tcPr>
                <w:p w14:paraId="07664A6C">
                  <w:pPr>
                    <w:jc w:val="center"/>
                    <w:rPr>
                      <w:color w:val="auto"/>
                      <w:szCs w:val="21"/>
                      <w:highlight w:val="none"/>
                    </w:rPr>
                  </w:pPr>
                  <w:r>
                    <w:rPr>
                      <w:rFonts w:hint="eastAsia"/>
                      <w:color w:val="auto"/>
                      <w:szCs w:val="21"/>
                      <w:highlight w:val="none"/>
                    </w:rPr>
                    <w:t>7台</w:t>
                  </w:r>
                </w:p>
              </w:tc>
              <w:tc>
                <w:tcPr>
                  <w:tcW w:w="675" w:type="dxa"/>
                  <w:vAlign w:val="center"/>
                </w:tcPr>
                <w:p w14:paraId="7A41BE1D">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4727572B">
                  <w:pPr>
                    <w:jc w:val="center"/>
                    <w:rPr>
                      <w:color w:val="auto"/>
                      <w:szCs w:val="21"/>
                      <w:highlight w:val="none"/>
                    </w:rPr>
                  </w:pPr>
                  <w:r>
                    <w:rPr>
                      <w:rFonts w:hint="eastAsia"/>
                      <w:color w:val="auto"/>
                      <w:szCs w:val="21"/>
                      <w:highlight w:val="none"/>
                    </w:rPr>
                    <w:t>7台</w:t>
                  </w:r>
                </w:p>
              </w:tc>
              <w:tc>
                <w:tcPr>
                  <w:tcW w:w="750" w:type="dxa"/>
                  <w:vAlign w:val="center"/>
                </w:tcPr>
                <w:p w14:paraId="4B47F78B">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22F0710E">
                  <w:pPr>
                    <w:adjustRightInd w:val="0"/>
                    <w:snapToGrid w:val="0"/>
                    <w:jc w:val="center"/>
                    <w:rPr>
                      <w:snapToGrid w:val="0"/>
                      <w:color w:val="auto"/>
                      <w:kern w:val="0"/>
                      <w:szCs w:val="21"/>
                      <w:highlight w:val="none"/>
                    </w:rPr>
                  </w:pPr>
                  <w:r>
                    <w:rPr>
                      <w:rFonts w:hint="eastAsia"/>
                      <w:snapToGrid w:val="0"/>
                      <w:color w:val="auto"/>
                      <w:kern w:val="0"/>
                      <w:szCs w:val="21"/>
                      <w:highlight w:val="none"/>
                    </w:rPr>
                    <w:t>机加工</w:t>
                  </w:r>
                </w:p>
              </w:tc>
              <w:tc>
                <w:tcPr>
                  <w:tcW w:w="465" w:type="dxa"/>
                  <w:vAlign w:val="center"/>
                </w:tcPr>
                <w:p w14:paraId="7D2DEC97">
                  <w:pPr>
                    <w:adjustRightInd w:val="0"/>
                    <w:snapToGrid w:val="0"/>
                    <w:jc w:val="center"/>
                    <w:rPr>
                      <w:color w:val="auto"/>
                      <w:szCs w:val="21"/>
                      <w:highlight w:val="none"/>
                    </w:rPr>
                  </w:pPr>
                  <w:r>
                    <w:rPr>
                      <w:color w:val="auto"/>
                      <w:szCs w:val="21"/>
                      <w:highlight w:val="none"/>
                    </w:rPr>
                    <w:t>电</w:t>
                  </w:r>
                </w:p>
              </w:tc>
              <w:tc>
                <w:tcPr>
                  <w:tcW w:w="1080" w:type="dxa"/>
                  <w:vAlign w:val="center"/>
                </w:tcPr>
                <w:p w14:paraId="65DA5A22">
                  <w:pPr>
                    <w:adjustRightInd w:val="0"/>
                    <w:snapToGrid w:val="0"/>
                    <w:jc w:val="center"/>
                    <w:rPr>
                      <w:color w:val="auto"/>
                      <w:szCs w:val="21"/>
                      <w:highlight w:val="none"/>
                    </w:rPr>
                  </w:pPr>
                  <w:r>
                    <w:rPr>
                      <w:rFonts w:hint="eastAsia"/>
                      <w:color w:val="auto"/>
                      <w:szCs w:val="21"/>
                      <w:highlight w:val="none"/>
                    </w:rPr>
                    <w:t>压铸车间</w:t>
                  </w:r>
                </w:p>
              </w:tc>
            </w:tr>
            <w:tr w14:paraId="5142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71728EEA">
                  <w:pPr>
                    <w:adjustRightInd w:val="0"/>
                    <w:snapToGrid w:val="0"/>
                    <w:jc w:val="center"/>
                    <w:rPr>
                      <w:color w:val="auto"/>
                      <w:szCs w:val="21"/>
                      <w:highlight w:val="none"/>
                    </w:rPr>
                  </w:pPr>
                  <w:r>
                    <w:rPr>
                      <w:color w:val="auto"/>
                      <w:szCs w:val="21"/>
                      <w:highlight w:val="none"/>
                    </w:rPr>
                    <w:t>3</w:t>
                  </w:r>
                </w:p>
              </w:tc>
              <w:tc>
                <w:tcPr>
                  <w:tcW w:w="1582" w:type="dxa"/>
                  <w:vAlign w:val="center"/>
                </w:tcPr>
                <w:p w14:paraId="52E18CFC">
                  <w:pPr>
                    <w:jc w:val="center"/>
                    <w:rPr>
                      <w:color w:val="auto"/>
                      <w:szCs w:val="21"/>
                      <w:highlight w:val="none"/>
                    </w:rPr>
                  </w:pPr>
                  <w:r>
                    <w:rPr>
                      <w:rFonts w:hint="eastAsia"/>
                      <w:color w:val="auto"/>
                      <w:szCs w:val="21"/>
                      <w:highlight w:val="none"/>
                    </w:rPr>
                    <w:t>切割机</w:t>
                  </w:r>
                </w:p>
              </w:tc>
              <w:tc>
                <w:tcPr>
                  <w:tcW w:w="1305" w:type="dxa"/>
                  <w:vAlign w:val="center"/>
                </w:tcPr>
                <w:p w14:paraId="31EA81A1">
                  <w:pPr>
                    <w:jc w:val="center"/>
                    <w:rPr>
                      <w:color w:val="auto"/>
                      <w:szCs w:val="21"/>
                      <w:highlight w:val="none"/>
                    </w:rPr>
                  </w:pPr>
                  <w:r>
                    <w:rPr>
                      <w:rFonts w:hint="eastAsia"/>
                      <w:color w:val="auto"/>
                      <w:szCs w:val="21"/>
                      <w:highlight w:val="none"/>
                    </w:rPr>
                    <w:t>定制</w:t>
                  </w:r>
                </w:p>
              </w:tc>
              <w:tc>
                <w:tcPr>
                  <w:tcW w:w="825" w:type="dxa"/>
                  <w:vAlign w:val="center"/>
                </w:tcPr>
                <w:p w14:paraId="0C7BCE6A">
                  <w:pPr>
                    <w:jc w:val="center"/>
                    <w:rPr>
                      <w:color w:val="auto"/>
                      <w:szCs w:val="21"/>
                      <w:highlight w:val="none"/>
                    </w:rPr>
                  </w:pPr>
                  <w:r>
                    <w:rPr>
                      <w:rFonts w:hint="eastAsia"/>
                      <w:color w:val="auto"/>
                      <w:szCs w:val="21"/>
                      <w:highlight w:val="none"/>
                    </w:rPr>
                    <w:t>10台</w:t>
                  </w:r>
                </w:p>
              </w:tc>
              <w:tc>
                <w:tcPr>
                  <w:tcW w:w="675" w:type="dxa"/>
                  <w:vAlign w:val="center"/>
                </w:tcPr>
                <w:p w14:paraId="04AA7295">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19FA68D7">
                  <w:pPr>
                    <w:jc w:val="center"/>
                    <w:rPr>
                      <w:color w:val="auto"/>
                      <w:szCs w:val="21"/>
                      <w:highlight w:val="none"/>
                    </w:rPr>
                  </w:pPr>
                  <w:r>
                    <w:rPr>
                      <w:rFonts w:hint="eastAsia"/>
                      <w:color w:val="auto"/>
                      <w:szCs w:val="21"/>
                      <w:highlight w:val="none"/>
                    </w:rPr>
                    <w:t>10台</w:t>
                  </w:r>
                </w:p>
              </w:tc>
              <w:tc>
                <w:tcPr>
                  <w:tcW w:w="750" w:type="dxa"/>
                  <w:vAlign w:val="center"/>
                </w:tcPr>
                <w:p w14:paraId="3694C81D">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04CDC95F">
                  <w:pPr>
                    <w:adjustRightInd w:val="0"/>
                    <w:snapToGrid w:val="0"/>
                    <w:jc w:val="center"/>
                    <w:rPr>
                      <w:color w:val="auto"/>
                      <w:kern w:val="0"/>
                      <w:szCs w:val="21"/>
                      <w:highlight w:val="none"/>
                    </w:rPr>
                  </w:pPr>
                  <w:r>
                    <w:rPr>
                      <w:rFonts w:hint="eastAsia"/>
                      <w:color w:val="auto"/>
                      <w:kern w:val="0"/>
                      <w:szCs w:val="21"/>
                      <w:highlight w:val="none"/>
                    </w:rPr>
                    <w:t>切割</w:t>
                  </w:r>
                </w:p>
              </w:tc>
              <w:tc>
                <w:tcPr>
                  <w:tcW w:w="465" w:type="dxa"/>
                  <w:vAlign w:val="center"/>
                </w:tcPr>
                <w:p w14:paraId="65B2E3E7">
                  <w:pPr>
                    <w:adjustRightInd w:val="0"/>
                    <w:snapToGrid w:val="0"/>
                    <w:jc w:val="center"/>
                    <w:rPr>
                      <w:color w:val="auto"/>
                      <w:szCs w:val="21"/>
                      <w:highlight w:val="none"/>
                    </w:rPr>
                  </w:pPr>
                  <w:r>
                    <w:rPr>
                      <w:rFonts w:hint="eastAsia"/>
                      <w:color w:val="auto"/>
                      <w:szCs w:val="21"/>
                      <w:highlight w:val="none"/>
                    </w:rPr>
                    <w:t>电</w:t>
                  </w:r>
                </w:p>
              </w:tc>
              <w:tc>
                <w:tcPr>
                  <w:tcW w:w="1080" w:type="dxa"/>
                  <w:vAlign w:val="center"/>
                </w:tcPr>
                <w:p w14:paraId="1ADDFD12">
                  <w:pPr>
                    <w:adjustRightInd w:val="0"/>
                    <w:snapToGrid w:val="0"/>
                    <w:jc w:val="center"/>
                    <w:rPr>
                      <w:rFonts w:hint="eastAsia"/>
                      <w:color w:val="auto"/>
                      <w:szCs w:val="21"/>
                      <w:highlight w:val="none"/>
                    </w:rPr>
                  </w:pPr>
                  <w:r>
                    <w:rPr>
                      <w:rFonts w:hint="eastAsia"/>
                      <w:color w:val="auto"/>
                      <w:szCs w:val="21"/>
                      <w:highlight w:val="none"/>
                    </w:rPr>
                    <w:t>压铸车间</w:t>
                  </w:r>
                </w:p>
              </w:tc>
            </w:tr>
            <w:tr w14:paraId="5AAE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7AA13E4F">
                  <w:pPr>
                    <w:adjustRightInd w:val="0"/>
                    <w:snapToGrid w:val="0"/>
                    <w:jc w:val="center"/>
                    <w:rPr>
                      <w:color w:val="auto"/>
                      <w:szCs w:val="21"/>
                      <w:highlight w:val="none"/>
                    </w:rPr>
                  </w:pPr>
                  <w:r>
                    <w:rPr>
                      <w:color w:val="auto"/>
                      <w:szCs w:val="21"/>
                      <w:highlight w:val="none"/>
                    </w:rPr>
                    <w:t>4</w:t>
                  </w:r>
                </w:p>
              </w:tc>
              <w:tc>
                <w:tcPr>
                  <w:tcW w:w="1582" w:type="dxa"/>
                  <w:vAlign w:val="center"/>
                </w:tcPr>
                <w:p w14:paraId="16E04C1F">
                  <w:pPr>
                    <w:jc w:val="center"/>
                    <w:rPr>
                      <w:rFonts w:hint="eastAsia"/>
                      <w:color w:val="auto"/>
                      <w:szCs w:val="21"/>
                      <w:highlight w:val="none"/>
                    </w:rPr>
                  </w:pPr>
                  <w:r>
                    <w:rPr>
                      <w:rFonts w:hint="eastAsia"/>
                      <w:color w:val="auto"/>
                      <w:szCs w:val="21"/>
                      <w:highlight w:val="none"/>
                    </w:rPr>
                    <w:t>喷砂机</w:t>
                  </w:r>
                </w:p>
              </w:tc>
              <w:tc>
                <w:tcPr>
                  <w:tcW w:w="1305" w:type="dxa"/>
                  <w:vAlign w:val="center"/>
                </w:tcPr>
                <w:p w14:paraId="35D4F8A2">
                  <w:pPr>
                    <w:jc w:val="center"/>
                    <w:rPr>
                      <w:color w:val="auto"/>
                      <w:szCs w:val="21"/>
                      <w:highlight w:val="none"/>
                    </w:rPr>
                  </w:pPr>
                  <w:r>
                    <w:rPr>
                      <w:rFonts w:hint="eastAsia"/>
                      <w:color w:val="auto"/>
                      <w:szCs w:val="21"/>
                      <w:highlight w:val="none"/>
                    </w:rPr>
                    <w:t>定制</w:t>
                  </w:r>
                </w:p>
              </w:tc>
              <w:tc>
                <w:tcPr>
                  <w:tcW w:w="825" w:type="dxa"/>
                  <w:vAlign w:val="center"/>
                </w:tcPr>
                <w:p w14:paraId="4653419B">
                  <w:pPr>
                    <w:jc w:val="center"/>
                    <w:rPr>
                      <w:color w:val="auto"/>
                      <w:szCs w:val="21"/>
                      <w:highlight w:val="none"/>
                    </w:rPr>
                  </w:pPr>
                  <w:r>
                    <w:rPr>
                      <w:rFonts w:hint="eastAsia"/>
                      <w:color w:val="auto"/>
                      <w:szCs w:val="21"/>
                      <w:highlight w:val="none"/>
                    </w:rPr>
                    <w:t>3台</w:t>
                  </w:r>
                </w:p>
              </w:tc>
              <w:tc>
                <w:tcPr>
                  <w:tcW w:w="675" w:type="dxa"/>
                  <w:vAlign w:val="center"/>
                </w:tcPr>
                <w:p w14:paraId="0308C096">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01D0F5D7">
                  <w:pPr>
                    <w:jc w:val="center"/>
                    <w:rPr>
                      <w:color w:val="auto"/>
                      <w:szCs w:val="21"/>
                      <w:highlight w:val="none"/>
                    </w:rPr>
                  </w:pPr>
                  <w:r>
                    <w:rPr>
                      <w:rFonts w:hint="eastAsia"/>
                      <w:color w:val="auto"/>
                      <w:szCs w:val="21"/>
                      <w:highlight w:val="none"/>
                    </w:rPr>
                    <w:t>3台</w:t>
                  </w:r>
                </w:p>
              </w:tc>
              <w:tc>
                <w:tcPr>
                  <w:tcW w:w="750" w:type="dxa"/>
                  <w:vAlign w:val="center"/>
                </w:tcPr>
                <w:p w14:paraId="4873E730">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2179021D">
                  <w:pPr>
                    <w:adjustRightInd w:val="0"/>
                    <w:snapToGrid w:val="0"/>
                    <w:jc w:val="center"/>
                    <w:rPr>
                      <w:color w:val="auto"/>
                      <w:kern w:val="0"/>
                      <w:szCs w:val="21"/>
                      <w:highlight w:val="none"/>
                    </w:rPr>
                  </w:pPr>
                  <w:r>
                    <w:rPr>
                      <w:rFonts w:hint="eastAsia"/>
                      <w:color w:val="auto"/>
                      <w:kern w:val="0"/>
                      <w:szCs w:val="21"/>
                      <w:highlight w:val="none"/>
                    </w:rPr>
                    <w:t>喷砂</w:t>
                  </w:r>
                </w:p>
              </w:tc>
              <w:tc>
                <w:tcPr>
                  <w:tcW w:w="465" w:type="dxa"/>
                  <w:vAlign w:val="center"/>
                </w:tcPr>
                <w:p w14:paraId="3A52D107">
                  <w:pPr>
                    <w:adjustRightInd w:val="0"/>
                    <w:snapToGrid w:val="0"/>
                    <w:jc w:val="center"/>
                    <w:rPr>
                      <w:color w:val="auto"/>
                      <w:szCs w:val="21"/>
                      <w:highlight w:val="none"/>
                    </w:rPr>
                  </w:pPr>
                  <w:r>
                    <w:rPr>
                      <w:rFonts w:hint="eastAsia"/>
                      <w:color w:val="auto"/>
                      <w:szCs w:val="21"/>
                      <w:highlight w:val="none"/>
                    </w:rPr>
                    <w:t>电</w:t>
                  </w:r>
                </w:p>
              </w:tc>
              <w:tc>
                <w:tcPr>
                  <w:tcW w:w="1080" w:type="dxa"/>
                  <w:vAlign w:val="center"/>
                </w:tcPr>
                <w:p w14:paraId="1629BFC1">
                  <w:pPr>
                    <w:adjustRightInd w:val="0"/>
                    <w:snapToGrid w:val="0"/>
                    <w:jc w:val="center"/>
                    <w:rPr>
                      <w:rFonts w:hint="eastAsia"/>
                      <w:color w:val="auto"/>
                      <w:szCs w:val="21"/>
                      <w:highlight w:val="none"/>
                    </w:rPr>
                  </w:pPr>
                  <w:r>
                    <w:rPr>
                      <w:rFonts w:hint="eastAsia"/>
                      <w:color w:val="auto"/>
                      <w:szCs w:val="21"/>
                      <w:highlight w:val="none"/>
                    </w:rPr>
                    <w:t>压铸车间</w:t>
                  </w:r>
                </w:p>
              </w:tc>
            </w:tr>
            <w:tr w14:paraId="3F11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61C87F77">
                  <w:pPr>
                    <w:adjustRightInd w:val="0"/>
                    <w:snapToGrid w:val="0"/>
                    <w:jc w:val="center"/>
                    <w:rPr>
                      <w:color w:val="auto"/>
                      <w:szCs w:val="21"/>
                      <w:highlight w:val="none"/>
                    </w:rPr>
                  </w:pPr>
                  <w:r>
                    <w:rPr>
                      <w:color w:val="auto"/>
                      <w:szCs w:val="21"/>
                      <w:highlight w:val="none"/>
                    </w:rPr>
                    <w:t>5</w:t>
                  </w:r>
                </w:p>
              </w:tc>
              <w:tc>
                <w:tcPr>
                  <w:tcW w:w="1582" w:type="dxa"/>
                  <w:vAlign w:val="center"/>
                </w:tcPr>
                <w:p w14:paraId="63CED763">
                  <w:pPr>
                    <w:jc w:val="center"/>
                    <w:rPr>
                      <w:color w:val="auto"/>
                      <w:szCs w:val="21"/>
                      <w:highlight w:val="none"/>
                    </w:rPr>
                  </w:pPr>
                  <w:r>
                    <w:rPr>
                      <w:rFonts w:hint="eastAsia"/>
                      <w:color w:val="auto"/>
                      <w:szCs w:val="21"/>
                      <w:highlight w:val="none"/>
                    </w:rPr>
                    <w:t>抛光机</w:t>
                  </w:r>
                </w:p>
              </w:tc>
              <w:tc>
                <w:tcPr>
                  <w:tcW w:w="1305" w:type="dxa"/>
                  <w:vAlign w:val="center"/>
                </w:tcPr>
                <w:p w14:paraId="1129E508">
                  <w:pPr>
                    <w:jc w:val="center"/>
                    <w:rPr>
                      <w:color w:val="auto"/>
                      <w:szCs w:val="21"/>
                      <w:highlight w:val="none"/>
                    </w:rPr>
                  </w:pPr>
                  <w:r>
                    <w:rPr>
                      <w:rFonts w:hint="eastAsia"/>
                      <w:color w:val="auto"/>
                      <w:szCs w:val="21"/>
                      <w:highlight w:val="none"/>
                    </w:rPr>
                    <w:t>定制</w:t>
                  </w:r>
                </w:p>
              </w:tc>
              <w:tc>
                <w:tcPr>
                  <w:tcW w:w="825" w:type="dxa"/>
                  <w:vAlign w:val="center"/>
                </w:tcPr>
                <w:p w14:paraId="0F44253F">
                  <w:pPr>
                    <w:jc w:val="center"/>
                    <w:rPr>
                      <w:color w:val="auto"/>
                      <w:szCs w:val="21"/>
                      <w:highlight w:val="none"/>
                    </w:rPr>
                  </w:pPr>
                  <w:r>
                    <w:rPr>
                      <w:rFonts w:hint="eastAsia"/>
                      <w:color w:val="auto"/>
                      <w:szCs w:val="21"/>
                      <w:highlight w:val="none"/>
                    </w:rPr>
                    <w:t>2台</w:t>
                  </w:r>
                </w:p>
              </w:tc>
              <w:tc>
                <w:tcPr>
                  <w:tcW w:w="675" w:type="dxa"/>
                  <w:vAlign w:val="center"/>
                </w:tcPr>
                <w:p w14:paraId="4455A459">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248EC898">
                  <w:pPr>
                    <w:jc w:val="center"/>
                    <w:rPr>
                      <w:rFonts w:hint="eastAsia"/>
                      <w:color w:val="auto"/>
                      <w:szCs w:val="21"/>
                      <w:highlight w:val="none"/>
                    </w:rPr>
                  </w:pPr>
                  <w:r>
                    <w:rPr>
                      <w:rFonts w:hint="eastAsia"/>
                      <w:color w:val="auto"/>
                      <w:szCs w:val="21"/>
                      <w:highlight w:val="none"/>
                    </w:rPr>
                    <w:t>2台</w:t>
                  </w:r>
                </w:p>
              </w:tc>
              <w:tc>
                <w:tcPr>
                  <w:tcW w:w="750" w:type="dxa"/>
                  <w:vAlign w:val="center"/>
                </w:tcPr>
                <w:p w14:paraId="14B23607">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13CF76F9">
                  <w:pPr>
                    <w:adjustRightInd w:val="0"/>
                    <w:snapToGrid w:val="0"/>
                    <w:jc w:val="center"/>
                    <w:rPr>
                      <w:color w:val="auto"/>
                      <w:kern w:val="0"/>
                      <w:szCs w:val="21"/>
                      <w:highlight w:val="none"/>
                    </w:rPr>
                  </w:pPr>
                  <w:r>
                    <w:rPr>
                      <w:rFonts w:hint="eastAsia"/>
                      <w:color w:val="auto"/>
                      <w:kern w:val="0"/>
                      <w:szCs w:val="21"/>
                      <w:highlight w:val="none"/>
                    </w:rPr>
                    <w:t>抛光</w:t>
                  </w:r>
                </w:p>
              </w:tc>
              <w:tc>
                <w:tcPr>
                  <w:tcW w:w="465" w:type="dxa"/>
                  <w:vAlign w:val="center"/>
                </w:tcPr>
                <w:p w14:paraId="1913EC6D">
                  <w:pPr>
                    <w:adjustRightInd w:val="0"/>
                    <w:snapToGrid w:val="0"/>
                    <w:jc w:val="center"/>
                    <w:rPr>
                      <w:rFonts w:hint="eastAsia"/>
                      <w:color w:val="auto"/>
                      <w:szCs w:val="21"/>
                      <w:highlight w:val="none"/>
                    </w:rPr>
                  </w:pPr>
                  <w:r>
                    <w:rPr>
                      <w:rFonts w:hint="eastAsia"/>
                      <w:color w:val="auto"/>
                      <w:szCs w:val="21"/>
                      <w:highlight w:val="none"/>
                    </w:rPr>
                    <w:t>电</w:t>
                  </w:r>
                </w:p>
              </w:tc>
              <w:tc>
                <w:tcPr>
                  <w:tcW w:w="1080" w:type="dxa"/>
                  <w:vAlign w:val="center"/>
                </w:tcPr>
                <w:p w14:paraId="2C61CD64">
                  <w:pPr>
                    <w:adjustRightInd w:val="0"/>
                    <w:snapToGrid w:val="0"/>
                    <w:jc w:val="center"/>
                    <w:rPr>
                      <w:rFonts w:hint="eastAsia"/>
                      <w:color w:val="auto"/>
                      <w:szCs w:val="21"/>
                      <w:highlight w:val="none"/>
                    </w:rPr>
                  </w:pPr>
                  <w:r>
                    <w:rPr>
                      <w:rFonts w:hint="eastAsia"/>
                      <w:color w:val="auto"/>
                      <w:szCs w:val="21"/>
                      <w:highlight w:val="none"/>
                    </w:rPr>
                    <w:t>压铸车间</w:t>
                  </w:r>
                </w:p>
              </w:tc>
            </w:tr>
            <w:tr w14:paraId="104E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tcBorders>
                    <w:bottom w:val="single" w:color="000000" w:sz="4" w:space="0"/>
                  </w:tcBorders>
                  <w:vAlign w:val="center"/>
                </w:tcPr>
                <w:p w14:paraId="15CC39A9">
                  <w:pPr>
                    <w:adjustRightInd w:val="0"/>
                    <w:snapToGrid w:val="0"/>
                    <w:jc w:val="center"/>
                    <w:rPr>
                      <w:color w:val="auto"/>
                      <w:szCs w:val="21"/>
                      <w:highlight w:val="none"/>
                    </w:rPr>
                  </w:pPr>
                  <w:r>
                    <w:rPr>
                      <w:color w:val="auto"/>
                      <w:szCs w:val="21"/>
                      <w:highlight w:val="none"/>
                    </w:rPr>
                    <w:t>6</w:t>
                  </w:r>
                </w:p>
              </w:tc>
              <w:tc>
                <w:tcPr>
                  <w:tcW w:w="1582" w:type="dxa"/>
                  <w:tcBorders>
                    <w:bottom w:val="single" w:color="000000" w:sz="4" w:space="0"/>
                  </w:tcBorders>
                  <w:vAlign w:val="center"/>
                </w:tcPr>
                <w:p w14:paraId="56CCB37A">
                  <w:pPr>
                    <w:jc w:val="center"/>
                    <w:rPr>
                      <w:color w:val="auto"/>
                      <w:szCs w:val="21"/>
                      <w:highlight w:val="none"/>
                    </w:rPr>
                  </w:pPr>
                  <w:r>
                    <w:rPr>
                      <w:rFonts w:hint="eastAsia"/>
                      <w:color w:val="auto"/>
                      <w:szCs w:val="21"/>
                      <w:highlight w:val="none"/>
                    </w:rPr>
                    <w:t>注塑机</w:t>
                  </w:r>
                </w:p>
              </w:tc>
              <w:tc>
                <w:tcPr>
                  <w:tcW w:w="1305" w:type="dxa"/>
                  <w:tcBorders>
                    <w:bottom w:val="single" w:color="000000" w:sz="4" w:space="0"/>
                  </w:tcBorders>
                  <w:vAlign w:val="center"/>
                </w:tcPr>
                <w:p w14:paraId="060E3A2C">
                  <w:pPr>
                    <w:jc w:val="center"/>
                    <w:rPr>
                      <w:color w:val="auto"/>
                      <w:szCs w:val="21"/>
                      <w:highlight w:val="none"/>
                    </w:rPr>
                  </w:pPr>
                  <w:r>
                    <w:rPr>
                      <w:rFonts w:hint="eastAsia"/>
                      <w:color w:val="auto"/>
                      <w:szCs w:val="21"/>
                      <w:highlight w:val="none"/>
                    </w:rPr>
                    <w:t>定制</w:t>
                  </w:r>
                </w:p>
              </w:tc>
              <w:tc>
                <w:tcPr>
                  <w:tcW w:w="825" w:type="dxa"/>
                  <w:tcBorders>
                    <w:bottom w:val="single" w:color="000000" w:sz="4" w:space="0"/>
                  </w:tcBorders>
                  <w:vAlign w:val="center"/>
                </w:tcPr>
                <w:p w14:paraId="6ADA5E35">
                  <w:pPr>
                    <w:jc w:val="center"/>
                    <w:rPr>
                      <w:color w:val="auto"/>
                      <w:szCs w:val="21"/>
                      <w:highlight w:val="none"/>
                    </w:rPr>
                  </w:pPr>
                  <w:r>
                    <w:rPr>
                      <w:rFonts w:hint="eastAsia"/>
                      <w:color w:val="auto"/>
                      <w:szCs w:val="21"/>
                      <w:highlight w:val="none"/>
                    </w:rPr>
                    <w:t>17台</w:t>
                  </w:r>
                </w:p>
              </w:tc>
              <w:tc>
                <w:tcPr>
                  <w:tcW w:w="675" w:type="dxa"/>
                  <w:tcBorders>
                    <w:bottom w:val="single" w:color="000000" w:sz="4" w:space="0"/>
                  </w:tcBorders>
                  <w:vAlign w:val="center"/>
                </w:tcPr>
                <w:p w14:paraId="565D083F">
                  <w:pPr>
                    <w:adjustRightInd w:val="0"/>
                    <w:snapToGrid w:val="0"/>
                    <w:jc w:val="center"/>
                    <w:rPr>
                      <w:color w:val="auto"/>
                      <w:szCs w:val="21"/>
                      <w:highlight w:val="none"/>
                    </w:rPr>
                  </w:pPr>
                  <w:r>
                    <w:rPr>
                      <w:rFonts w:hint="eastAsia"/>
                      <w:color w:val="auto"/>
                      <w:szCs w:val="21"/>
                      <w:highlight w:val="none"/>
                    </w:rPr>
                    <w:t>0</w:t>
                  </w:r>
                </w:p>
              </w:tc>
              <w:tc>
                <w:tcPr>
                  <w:tcW w:w="705" w:type="dxa"/>
                  <w:tcBorders>
                    <w:bottom w:val="single" w:color="000000" w:sz="4" w:space="0"/>
                  </w:tcBorders>
                  <w:vAlign w:val="center"/>
                </w:tcPr>
                <w:p w14:paraId="4A122F6E">
                  <w:pPr>
                    <w:jc w:val="center"/>
                    <w:rPr>
                      <w:color w:val="auto"/>
                      <w:szCs w:val="21"/>
                      <w:highlight w:val="none"/>
                    </w:rPr>
                  </w:pPr>
                  <w:r>
                    <w:rPr>
                      <w:rFonts w:hint="eastAsia"/>
                      <w:color w:val="auto"/>
                      <w:szCs w:val="21"/>
                      <w:highlight w:val="none"/>
                    </w:rPr>
                    <w:t>17台</w:t>
                  </w:r>
                </w:p>
              </w:tc>
              <w:tc>
                <w:tcPr>
                  <w:tcW w:w="750" w:type="dxa"/>
                  <w:tcBorders>
                    <w:bottom w:val="single" w:color="000000" w:sz="4" w:space="0"/>
                  </w:tcBorders>
                  <w:vAlign w:val="center"/>
                </w:tcPr>
                <w:p w14:paraId="36B260EF">
                  <w:pPr>
                    <w:adjustRightInd w:val="0"/>
                    <w:snapToGrid w:val="0"/>
                    <w:jc w:val="center"/>
                    <w:rPr>
                      <w:color w:val="auto"/>
                      <w:szCs w:val="21"/>
                      <w:highlight w:val="none"/>
                    </w:rPr>
                  </w:pPr>
                  <w:r>
                    <w:rPr>
                      <w:rFonts w:hint="eastAsia"/>
                      <w:color w:val="auto"/>
                      <w:szCs w:val="21"/>
                      <w:highlight w:val="none"/>
                    </w:rPr>
                    <w:t>0</w:t>
                  </w:r>
                </w:p>
              </w:tc>
              <w:tc>
                <w:tcPr>
                  <w:tcW w:w="1755" w:type="dxa"/>
                  <w:tcBorders>
                    <w:bottom w:val="single" w:color="000000" w:sz="4" w:space="0"/>
                  </w:tcBorders>
                  <w:vAlign w:val="center"/>
                </w:tcPr>
                <w:p w14:paraId="743D7FB9">
                  <w:pPr>
                    <w:adjustRightInd w:val="0"/>
                    <w:snapToGrid w:val="0"/>
                    <w:jc w:val="center"/>
                    <w:rPr>
                      <w:snapToGrid w:val="0"/>
                      <w:color w:val="auto"/>
                      <w:kern w:val="0"/>
                      <w:szCs w:val="21"/>
                      <w:highlight w:val="none"/>
                    </w:rPr>
                  </w:pPr>
                  <w:r>
                    <w:rPr>
                      <w:rFonts w:hint="eastAsia"/>
                      <w:snapToGrid w:val="0"/>
                      <w:color w:val="auto"/>
                      <w:kern w:val="0"/>
                      <w:szCs w:val="21"/>
                      <w:highlight w:val="none"/>
                    </w:rPr>
                    <w:t>注塑</w:t>
                  </w:r>
                </w:p>
              </w:tc>
              <w:tc>
                <w:tcPr>
                  <w:tcW w:w="465" w:type="dxa"/>
                  <w:tcBorders>
                    <w:bottom w:val="single" w:color="000000" w:sz="4" w:space="0"/>
                  </w:tcBorders>
                  <w:vAlign w:val="center"/>
                </w:tcPr>
                <w:p w14:paraId="7659C04F">
                  <w:pPr>
                    <w:adjustRightInd w:val="0"/>
                    <w:snapToGrid w:val="0"/>
                    <w:jc w:val="center"/>
                    <w:rPr>
                      <w:color w:val="auto"/>
                      <w:szCs w:val="21"/>
                      <w:highlight w:val="none"/>
                    </w:rPr>
                  </w:pPr>
                  <w:r>
                    <w:rPr>
                      <w:color w:val="auto"/>
                      <w:szCs w:val="21"/>
                      <w:highlight w:val="none"/>
                    </w:rPr>
                    <w:t>电</w:t>
                  </w:r>
                </w:p>
              </w:tc>
              <w:tc>
                <w:tcPr>
                  <w:tcW w:w="1080" w:type="dxa"/>
                  <w:tcBorders>
                    <w:bottom w:val="single" w:color="000000" w:sz="4" w:space="0"/>
                  </w:tcBorders>
                  <w:vAlign w:val="center"/>
                </w:tcPr>
                <w:p w14:paraId="6C338A50">
                  <w:pPr>
                    <w:adjustRightInd w:val="0"/>
                    <w:snapToGrid w:val="0"/>
                    <w:jc w:val="center"/>
                    <w:rPr>
                      <w:color w:val="auto"/>
                      <w:szCs w:val="21"/>
                      <w:highlight w:val="none"/>
                    </w:rPr>
                  </w:pPr>
                  <w:r>
                    <w:rPr>
                      <w:rFonts w:hint="eastAsia"/>
                      <w:color w:val="auto"/>
                      <w:szCs w:val="21"/>
                      <w:highlight w:val="none"/>
                    </w:rPr>
                    <w:t>注塑车间</w:t>
                  </w:r>
                </w:p>
              </w:tc>
            </w:tr>
            <w:tr w14:paraId="4FA7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tcBorders>
                    <w:top w:val="single" w:color="000000" w:sz="4" w:space="0"/>
                  </w:tcBorders>
                  <w:vAlign w:val="center"/>
                </w:tcPr>
                <w:p w14:paraId="1BE4F590">
                  <w:pPr>
                    <w:adjustRightInd w:val="0"/>
                    <w:snapToGrid w:val="0"/>
                    <w:jc w:val="center"/>
                    <w:rPr>
                      <w:color w:val="auto"/>
                      <w:szCs w:val="21"/>
                      <w:highlight w:val="none"/>
                    </w:rPr>
                  </w:pPr>
                  <w:r>
                    <w:rPr>
                      <w:color w:val="auto"/>
                      <w:szCs w:val="21"/>
                      <w:highlight w:val="none"/>
                    </w:rPr>
                    <w:t>7</w:t>
                  </w:r>
                </w:p>
              </w:tc>
              <w:tc>
                <w:tcPr>
                  <w:tcW w:w="1582" w:type="dxa"/>
                  <w:tcBorders>
                    <w:top w:val="single" w:color="000000" w:sz="4" w:space="0"/>
                  </w:tcBorders>
                  <w:vAlign w:val="center"/>
                </w:tcPr>
                <w:p w14:paraId="39AD4DCF">
                  <w:pPr>
                    <w:jc w:val="center"/>
                    <w:rPr>
                      <w:color w:val="auto"/>
                      <w:szCs w:val="21"/>
                      <w:highlight w:val="none"/>
                    </w:rPr>
                  </w:pPr>
                  <w:r>
                    <w:rPr>
                      <w:rFonts w:hint="eastAsia"/>
                      <w:color w:val="auto"/>
                      <w:szCs w:val="21"/>
                      <w:highlight w:val="none"/>
                    </w:rPr>
                    <w:t>冷却塔</w:t>
                  </w:r>
                </w:p>
              </w:tc>
              <w:tc>
                <w:tcPr>
                  <w:tcW w:w="1305" w:type="dxa"/>
                  <w:tcBorders>
                    <w:top w:val="single" w:color="000000" w:sz="4" w:space="0"/>
                  </w:tcBorders>
                  <w:vAlign w:val="center"/>
                </w:tcPr>
                <w:p w14:paraId="488ED664">
                  <w:pPr>
                    <w:jc w:val="center"/>
                    <w:rPr>
                      <w:color w:val="auto"/>
                      <w:szCs w:val="21"/>
                      <w:highlight w:val="none"/>
                    </w:rPr>
                  </w:pPr>
                  <w:r>
                    <w:rPr>
                      <w:rFonts w:hint="eastAsia"/>
                      <w:color w:val="auto"/>
                      <w:szCs w:val="21"/>
                      <w:highlight w:val="none"/>
                    </w:rPr>
                    <w:t>定制</w:t>
                  </w:r>
                </w:p>
              </w:tc>
              <w:tc>
                <w:tcPr>
                  <w:tcW w:w="825" w:type="dxa"/>
                  <w:tcBorders>
                    <w:top w:val="single" w:color="000000" w:sz="4" w:space="0"/>
                  </w:tcBorders>
                  <w:vAlign w:val="center"/>
                </w:tcPr>
                <w:p w14:paraId="2AC38C27">
                  <w:pPr>
                    <w:jc w:val="center"/>
                    <w:rPr>
                      <w:color w:val="auto"/>
                      <w:szCs w:val="21"/>
                      <w:highlight w:val="none"/>
                    </w:rPr>
                  </w:pPr>
                  <w:r>
                    <w:rPr>
                      <w:rFonts w:hint="eastAsia"/>
                      <w:color w:val="auto"/>
                      <w:szCs w:val="21"/>
                      <w:highlight w:val="none"/>
                    </w:rPr>
                    <w:t>1台</w:t>
                  </w:r>
                </w:p>
              </w:tc>
              <w:tc>
                <w:tcPr>
                  <w:tcW w:w="675" w:type="dxa"/>
                  <w:tcBorders>
                    <w:top w:val="single" w:color="000000" w:sz="4" w:space="0"/>
                  </w:tcBorders>
                  <w:vAlign w:val="center"/>
                </w:tcPr>
                <w:p w14:paraId="2AE47522">
                  <w:pPr>
                    <w:adjustRightInd w:val="0"/>
                    <w:snapToGrid w:val="0"/>
                    <w:jc w:val="center"/>
                    <w:rPr>
                      <w:color w:val="auto"/>
                      <w:szCs w:val="21"/>
                      <w:highlight w:val="none"/>
                    </w:rPr>
                  </w:pPr>
                  <w:r>
                    <w:rPr>
                      <w:rFonts w:hint="eastAsia"/>
                      <w:color w:val="auto"/>
                      <w:szCs w:val="21"/>
                      <w:highlight w:val="none"/>
                    </w:rPr>
                    <w:t>0</w:t>
                  </w:r>
                </w:p>
              </w:tc>
              <w:tc>
                <w:tcPr>
                  <w:tcW w:w="705" w:type="dxa"/>
                  <w:tcBorders>
                    <w:top w:val="single" w:color="000000" w:sz="4" w:space="0"/>
                  </w:tcBorders>
                  <w:vAlign w:val="center"/>
                </w:tcPr>
                <w:p w14:paraId="196E5F56">
                  <w:pPr>
                    <w:jc w:val="center"/>
                    <w:rPr>
                      <w:color w:val="auto"/>
                      <w:szCs w:val="21"/>
                      <w:highlight w:val="none"/>
                    </w:rPr>
                  </w:pPr>
                  <w:r>
                    <w:rPr>
                      <w:rFonts w:hint="eastAsia"/>
                      <w:color w:val="auto"/>
                      <w:szCs w:val="21"/>
                      <w:highlight w:val="none"/>
                    </w:rPr>
                    <w:t>1台</w:t>
                  </w:r>
                </w:p>
              </w:tc>
              <w:tc>
                <w:tcPr>
                  <w:tcW w:w="750" w:type="dxa"/>
                  <w:tcBorders>
                    <w:top w:val="single" w:color="000000" w:sz="4" w:space="0"/>
                  </w:tcBorders>
                  <w:vAlign w:val="center"/>
                </w:tcPr>
                <w:p w14:paraId="3A4C32BF">
                  <w:pPr>
                    <w:adjustRightInd w:val="0"/>
                    <w:snapToGrid w:val="0"/>
                    <w:jc w:val="center"/>
                    <w:rPr>
                      <w:color w:val="auto"/>
                      <w:szCs w:val="21"/>
                      <w:highlight w:val="none"/>
                    </w:rPr>
                  </w:pPr>
                  <w:r>
                    <w:rPr>
                      <w:rFonts w:hint="eastAsia"/>
                      <w:color w:val="auto"/>
                      <w:szCs w:val="21"/>
                      <w:highlight w:val="none"/>
                    </w:rPr>
                    <w:t>0</w:t>
                  </w:r>
                </w:p>
              </w:tc>
              <w:tc>
                <w:tcPr>
                  <w:tcW w:w="1755" w:type="dxa"/>
                  <w:tcBorders>
                    <w:top w:val="single" w:color="000000" w:sz="4" w:space="0"/>
                  </w:tcBorders>
                  <w:vAlign w:val="center"/>
                </w:tcPr>
                <w:p w14:paraId="18438E53">
                  <w:pPr>
                    <w:adjustRightInd w:val="0"/>
                    <w:snapToGrid w:val="0"/>
                    <w:jc w:val="center"/>
                    <w:rPr>
                      <w:snapToGrid w:val="0"/>
                      <w:color w:val="auto"/>
                      <w:kern w:val="0"/>
                      <w:szCs w:val="21"/>
                      <w:highlight w:val="none"/>
                    </w:rPr>
                  </w:pPr>
                  <w:r>
                    <w:rPr>
                      <w:rFonts w:hint="eastAsia"/>
                      <w:snapToGrid w:val="0"/>
                      <w:color w:val="auto"/>
                      <w:kern w:val="0"/>
                      <w:szCs w:val="21"/>
                      <w:highlight w:val="none"/>
                    </w:rPr>
                    <w:t>注塑工序冷却</w:t>
                  </w:r>
                </w:p>
              </w:tc>
              <w:tc>
                <w:tcPr>
                  <w:tcW w:w="465" w:type="dxa"/>
                  <w:tcBorders>
                    <w:top w:val="single" w:color="000000" w:sz="4" w:space="0"/>
                  </w:tcBorders>
                  <w:vAlign w:val="center"/>
                </w:tcPr>
                <w:p w14:paraId="72B7BDD2">
                  <w:pPr>
                    <w:adjustRightInd w:val="0"/>
                    <w:snapToGrid w:val="0"/>
                    <w:jc w:val="center"/>
                    <w:rPr>
                      <w:color w:val="auto"/>
                      <w:szCs w:val="21"/>
                      <w:highlight w:val="none"/>
                    </w:rPr>
                  </w:pPr>
                  <w:r>
                    <w:rPr>
                      <w:rFonts w:hint="eastAsia"/>
                      <w:color w:val="auto"/>
                      <w:szCs w:val="21"/>
                      <w:highlight w:val="none"/>
                    </w:rPr>
                    <w:t>电</w:t>
                  </w:r>
                </w:p>
              </w:tc>
              <w:tc>
                <w:tcPr>
                  <w:tcW w:w="1080" w:type="dxa"/>
                  <w:tcBorders>
                    <w:top w:val="single" w:color="000000" w:sz="4" w:space="0"/>
                  </w:tcBorders>
                  <w:vAlign w:val="center"/>
                </w:tcPr>
                <w:p w14:paraId="0DFA1FEC">
                  <w:pPr>
                    <w:adjustRightInd w:val="0"/>
                    <w:snapToGrid w:val="0"/>
                    <w:jc w:val="center"/>
                    <w:rPr>
                      <w:color w:val="auto"/>
                      <w:szCs w:val="21"/>
                      <w:highlight w:val="none"/>
                    </w:rPr>
                  </w:pPr>
                  <w:r>
                    <w:rPr>
                      <w:rFonts w:hint="eastAsia"/>
                      <w:color w:val="auto"/>
                      <w:szCs w:val="21"/>
                      <w:highlight w:val="none"/>
                    </w:rPr>
                    <w:t>注塑车间</w:t>
                  </w:r>
                </w:p>
              </w:tc>
            </w:tr>
            <w:tr w14:paraId="2FCF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6133EED7">
                  <w:pPr>
                    <w:adjustRightInd w:val="0"/>
                    <w:snapToGrid w:val="0"/>
                    <w:jc w:val="center"/>
                    <w:rPr>
                      <w:color w:val="auto"/>
                      <w:szCs w:val="21"/>
                      <w:highlight w:val="none"/>
                    </w:rPr>
                  </w:pPr>
                  <w:r>
                    <w:rPr>
                      <w:color w:val="auto"/>
                      <w:szCs w:val="21"/>
                      <w:highlight w:val="none"/>
                    </w:rPr>
                    <w:t>8</w:t>
                  </w:r>
                </w:p>
              </w:tc>
              <w:tc>
                <w:tcPr>
                  <w:tcW w:w="1582" w:type="dxa"/>
                  <w:vAlign w:val="center"/>
                </w:tcPr>
                <w:p w14:paraId="205E9296">
                  <w:pPr>
                    <w:jc w:val="center"/>
                    <w:rPr>
                      <w:color w:val="auto"/>
                      <w:szCs w:val="21"/>
                      <w:highlight w:val="none"/>
                    </w:rPr>
                  </w:pPr>
                  <w:r>
                    <w:rPr>
                      <w:rFonts w:hint="eastAsia"/>
                      <w:color w:val="auto"/>
                      <w:szCs w:val="21"/>
                      <w:highlight w:val="none"/>
                    </w:rPr>
                    <w:t>整流器</w:t>
                  </w:r>
                </w:p>
              </w:tc>
              <w:tc>
                <w:tcPr>
                  <w:tcW w:w="1305" w:type="dxa"/>
                  <w:vAlign w:val="center"/>
                </w:tcPr>
                <w:p w14:paraId="672A4E38">
                  <w:pPr>
                    <w:jc w:val="center"/>
                    <w:rPr>
                      <w:color w:val="auto"/>
                      <w:szCs w:val="21"/>
                      <w:highlight w:val="none"/>
                    </w:rPr>
                  </w:pPr>
                  <w:r>
                    <w:rPr>
                      <w:rFonts w:hint="eastAsia"/>
                      <w:color w:val="auto"/>
                      <w:szCs w:val="21"/>
                      <w:highlight w:val="none"/>
                    </w:rPr>
                    <w:t>5000A/24V</w:t>
                  </w:r>
                </w:p>
              </w:tc>
              <w:tc>
                <w:tcPr>
                  <w:tcW w:w="825" w:type="dxa"/>
                  <w:vAlign w:val="center"/>
                </w:tcPr>
                <w:p w14:paraId="5D07B05B">
                  <w:pPr>
                    <w:jc w:val="center"/>
                    <w:rPr>
                      <w:color w:val="auto"/>
                      <w:szCs w:val="21"/>
                      <w:highlight w:val="none"/>
                    </w:rPr>
                  </w:pPr>
                  <w:r>
                    <w:rPr>
                      <w:rFonts w:hint="eastAsia"/>
                      <w:color w:val="auto"/>
                      <w:szCs w:val="21"/>
                      <w:highlight w:val="none"/>
                    </w:rPr>
                    <w:t>4台</w:t>
                  </w:r>
                </w:p>
              </w:tc>
              <w:tc>
                <w:tcPr>
                  <w:tcW w:w="675" w:type="dxa"/>
                  <w:vAlign w:val="center"/>
                </w:tcPr>
                <w:p w14:paraId="0B057020">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6AAB1FAA">
                  <w:pPr>
                    <w:jc w:val="center"/>
                    <w:rPr>
                      <w:color w:val="auto"/>
                      <w:szCs w:val="21"/>
                      <w:highlight w:val="none"/>
                    </w:rPr>
                  </w:pPr>
                  <w:r>
                    <w:rPr>
                      <w:rFonts w:hint="eastAsia"/>
                      <w:color w:val="auto"/>
                      <w:szCs w:val="21"/>
                      <w:highlight w:val="none"/>
                    </w:rPr>
                    <w:t>4台</w:t>
                  </w:r>
                </w:p>
              </w:tc>
              <w:tc>
                <w:tcPr>
                  <w:tcW w:w="750" w:type="dxa"/>
                  <w:vAlign w:val="center"/>
                </w:tcPr>
                <w:p w14:paraId="41EAA4C2">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61BF84CF">
                  <w:pPr>
                    <w:adjustRightInd w:val="0"/>
                    <w:snapToGrid w:val="0"/>
                    <w:jc w:val="center"/>
                    <w:rPr>
                      <w:snapToGrid w:val="0"/>
                      <w:color w:val="auto"/>
                      <w:kern w:val="0"/>
                      <w:szCs w:val="21"/>
                      <w:highlight w:val="none"/>
                    </w:rPr>
                  </w:pPr>
                  <w:r>
                    <w:rPr>
                      <w:rFonts w:hint="eastAsia"/>
                      <w:snapToGrid w:val="0"/>
                      <w:color w:val="auto"/>
                      <w:kern w:val="0"/>
                      <w:szCs w:val="21"/>
                      <w:highlight w:val="none"/>
                    </w:rPr>
                    <w:t>阳极氧化辅助</w:t>
                  </w:r>
                </w:p>
              </w:tc>
              <w:tc>
                <w:tcPr>
                  <w:tcW w:w="465" w:type="dxa"/>
                  <w:vAlign w:val="center"/>
                </w:tcPr>
                <w:p w14:paraId="0B56ED57">
                  <w:pPr>
                    <w:adjustRightInd w:val="0"/>
                    <w:snapToGrid w:val="0"/>
                    <w:jc w:val="center"/>
                    <w:rPr>
                      <w:color w:val="auto"/>
                      <w:szCs w:val="21"/>
                      <w:highlight w:val="none"/>
                    </w:rPr>
                  </w:pPr>
                  <w:r>
                    <w:rPr>
                      <w:color w:val="auto"/>
                      <w:szCs w:val="21"/>
                      <w:highlight w:val="none"/>
                    </w:rPr>
                    <w:t>电</w:t>
                  </w:r>
                </w:p>
              </w:tc>
              <w:tc>
                <w:tcPr>
                  <w:tcW w:w="1080" w:type="dxa"/>
                  <w:vAlign w:val="center"/>
                </w:tcPr>
                <w:p w14:paraId="20DBEAEA">
                  <w:pPr>
                    <w:adjustRightInd w:val="0"/>
                    <w:snapToGrid w:val="0"/>
                    <w:jc w:val="center"/>
                    <w:rPr>
                      <w:color w:val="auto"/>
                      <w:szCs w:val="21"/>
                      <w:highlight w:val="none"/>
                    </w:rPr>
                  </w:pPr>
                  <w:r>
                    <w:rPr>
                      <w:rFonts w:hint="eastAsia"/>
                      <w:color w:val="auto"/>
                      <w:szCs w:val="21"/>
                      <w:highlight w:val="none"/>
                    </w:rPr>
                    <w:t>氧化车间</w:t>
                  </w:r>
                </w:p>
              </w:tc>
            </w:tr>
            <w:tr w14:paraId="5EFF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529F21F7">
                  <w:pPr>
                    <w:adjustRightInd w:val="0"/>
                    <w:snapToGrid w:val="0"/>
                    <w:jc w:val="center"/>
                    <w:rPr>
                      <w:color w:val="auto"/>
                      <w:szCs w:val="21"/>
                      <w:highlight w:val="none"/>
                    </w:rPr>
                  </w:pPr>
                  <w:r>
                    <w:rPr>
                      <w:color w:val="auto"/>
                      <w:szCs w:val="21"/>
                      <w:highlight w:val="none"/>
                    </w:rPr>
                    <w:t>9</w:t>
                  </w:r>
                </w:p>
              </w:tc>
              <w:tc>
                <w:tcPr>
                  <w:tcW w:w="1582" w:type="dxa"/>
                  <w:vAlign w:val="center"/>
                </w:tcPr>
                <w:p w14:paraId="3DE6EA61">
                  <w:pPr>
                    <w:jc w:val="center"/>
                    <w:rPr>
                      <w:color w:val="auto"/>
                      <w:szCs w:val="21"/>
                      <w:highlight w:val="none"/>
                    </w:rPr>
                  </w:pPr>
                  <w:r>
                    <w:rPr>
                      <w:rFonts w:hint="eastAsia"/>
                      <w:color w:val="auto"/>
                      <w:szCs w:val="21"/>
                      <w:highlight w:val="none"/>
                    </w:rPr>
                    <w:t>冷冻机</w:t>
                  </w:r>
                </w:p>
              </w:tc>
              <w:tc>
                <w:tcPr>
                  <w:tcW w:w="1305" w:type="dxa"/>
                  <w:vAlign w:val="center"/>
                </w:tcPr>
                <w:p w14:paraId="5EBA696C">
                  <w:pPr>
                    <w:jc w:val="center"/>
                    <w:rPr>
                      <w:color w:val="auto"/>
                      <w:szCs w:val="21"/>
                      <w:highlight w:val="none"/>
                    </w:rPr>
                  </w:pPr>
                  <w:r>
                    <w:rPr>
                      <w:rFonts w:hint="eastAsia"/>
                      <w:color w:val="auto"/>
                      <w:szCs w:val="21"/>
                      <w:highlight w:val="none"/>
                    </w:rPr>
                    <w:t>20HP</w:t>
                  </w:r>
                </w:p>
              </w:tc>
              <w:tc>
                <w:tcPr>
                  <w:tcW w:w="825" w:type="dxa"/>
                  <w:vAlign w:val="center"/>
                </w:tcPr>
                <w:p w14:paraId="306B3A70">
                  <w:pPr>
                    <w:jc w:val="center"/>
                    <w:rPr>
                      <w:color w:val="auto"/>
                      <w:szCs w:val="21"/>
                      <w:highlight w:val="none"/>
                    </w:rPr>
                  </w:pPr>
                  <w:r>
                    <w:rPr>
                      <w:rFonts w:hint="eastAsia"/>
                      <w:color w:val="auto"/>
                      <w:szCs w:val="21"/>
                      <w:highlight w:val="none"/>
                    </w:rPr>
                    <w:t>4台</w:t>
                  </w:r>
                </w:p>
              </w:tc>
              <w:tc>
                <w:tcPr>
                  <w:tcW w:w="675" w:type="dxa"/>
                  <w:vAlign w:val="center"/>
                </w:tcPr>
                <w:p w14:paraId="1CADAB3D">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4D8F00C0">
                  <w:pPr>
                    <w:jc w:val="center"/>
                    <w:rPr>
                      <w:color w:val="auto"/>
                      <w:szCs w:val="21"/>
                      <w:highlight w:val="none"/>
                    </w:rPr>
                  </w:pPr>
                  <w:r>
                    <w:rPr>
                      <w:rFonts w:hint="eastAsia"/>
                      <w:color w:val="auto"/>
                      <w:szCs w:val="21"/>
                      <w:highlight w:val="none"/>
                    </w:rPr>
                    <w:t>4台</w:t>
                  </w:r>
                </w:p>
              </w:tc>
              <w:tc>
                <w:tcPr>
                  <w:tcW w:w="750" w:type="dxa"/>
                  <w:vAlign w:val="center"/>
                </w:tcPr>
                <w:p w14:paraId="021CAB6F">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20E96119">
                  <w:pPr>
                    <w:adjustRightInd w:val="0"/>
                    <w:snapToGrid w:val="0"/>
                    <w:jc w:val="center"/>
                    <w:rPr>
                      <w:snapToGrid w:val="0"/>
                      <w:color w:val="auto"/>
                      <w:kern w:val="0"/>
                      <w:szCs w:val="21"/>
                      <w:highlight w:val="none"/>
                    </w:rPr>
                  </w:pPr>
                  <w:r>
                    <w:rPr>
                      <w:rFonts w:hint="eastAsia"/>
                      <w:snapToGrid w:val="0"/>
                      <w:color w:val="auto"/>
                      <w:kern w:val="0"/>
                      <w:szCs w:val="21"/>
                      <w:highlight w:val="none"/>
                    </w:rPr>
                    <w:t>阳极氧化降温</w:t>
                  </w:r>
                </w:p>
              </w:tc>
              <w:tc>
                <w:tcPr>
                  <w:tcW w:w="465" w:type="dxa"/>
                  <w:vAlign w:val="center"/>
                </w:tcPr>
                <w:p w14:paraId="343EB029">
                  <w:pPr>
                    <w:adjustRightInd w:val="0"/>
                    <w:snapToGrid w:val="0"/>
                    <w:jc w:val="center"/>
                    <w:rPr>
                      <w:color w:val="auto"/>
                      <w:szCs w:val="21"/>
                      <w:highlight w:val="none"/>
                    </w:rPr>
                  </w:pPr>
                  <w:r>
                    <w:rPr>
                      <w:color w:val="auto"/>
                      <w:szCs w:val="21"/>
                      <w:highlight w:val="none"/>
                    </w:rPr>
                    <w:t>电</w:t>
                  </w:r>
                </w:p>
              </w:tc>
              <w:tc>
                <w:tcPr>
                  <w:tcW w:w="1080" w:type="dxa"/>
                  <w:vAlign w:val="center"/>
                </w:tcPr>
                <w:p w14:paraId="63F8E896">
                  <w:pPr>
                    <w:adjustRightInd w:val="0"/>
                    <w:snapToGrid w:val="0"/>
                    <w:jc w:val="center"/>
                    <w:rPr>
                      <w:color w:val="auto"/>
                      <w:szCs w:val="21"/>
                      <w:highlight w:val="none"/>
                    </w:rPr>
                  </w:pPr>
                  <w:r>
                    <w:rPr>
                      <w:rFonts w:hint="eastAsia"/>
                      <w:color w:val="auto"/>
                      <w:szCs w:val="21"/>
                      <w:highlight w:val="none"/>
                    </w:rPr>
                    <w:t>氧化车间</w:t>
                  </w:r>
                </w:p>
              </w:tc>
            </w:tr>
            <w:tr w14:paraId="11E6B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143EDF74">
                  <w:pPr>
                    <w:adjustRightInd w:val="0"/>
                    <w:snapToGrid w:val="0"/>
                    <w:jc w:val="center"/>
                    <w:rPr>
                      <w:color w:val="auto"/>
                      <w:szCs w:val="21"/>
                      <w:highlight w:val="none"/>
                    </w:rPr>
                  </w:pPr>
                  <w:r>
                    <w:rPr>
                      <w:color w:val="auto"/>
                      <w:szCs w:val="21"/>
                      <w:highlight w:val="none"/>
                    </w:rPr>
                    <w:t>10</w:t>
                  </w:r>
                </w:p>
              </w:tc>
              <w:tc>
                <w:tcPr>
                  <w:tcW w:w="1582" w:type="dxa"/>
                  <w:vAlign w:val="center"/>
                </w:tcPr>
                <w:p w14:paraId="4B0F14A5">
                  <w:pPr>
                    <w:jc w:val="center"/>
                    <w:rPr>
                      <w:color w:val="auto"/>
                      <w:szCs w:val="21"/>
                      <w:highlight w:val="none"/>
                    </w:rPr>
                  </w:pPr>
                  <w:r>
                    <w:rPr>
                      <w:rFonts w:hint="eastAsia"/>
                      <w:color w:val="auto"/>
                      <w:szCs w:val="21"/>
                      <w:highlight w:val="none"/>
                    </w:rPr>
                    <w:t>过滤机</w:t>
                  </w:r>
                </w:p>
              </w:tc>
              <w:tc>
                <w:tcPr>
                  <w:tcW w:w="1305" w:type="dxa"/>
                  <w:vAlign w:val="center"/>
                </w:tcPr>
                <w:p w14:paraId="1C97DDED">
                  <w:pPr>
                    <w:jc w:val="center"/>
                    <w:rPr>
                      <w:color w:val="auto"/>
                      <w:szCs w:val="21"/>
                      <w:highlight w:val="none"/>
                    </w:rPr>
                  </w:pPr>
                  <w:r>
                    <w:rPr>
                      <w:rFonts w:hint="eastAsia"/>
                      <w:color w:val="auto"/>
                      <w:szCs w:val="21"/>
                      <w:highlight w:val="none"/>
                    </w:rPr>
                    <w:t>20000L/H</w:t>
                  </w:r>
                </w:p>
              </w:tc>
              <w:tc>
                <w:tcPr>
                  <w:tcW w:w="825" w:type="dxa"/>
                  <w:vAlign w:val="center"/>
                </w:tcPr>
                <w:p w14:paraId="09299ABA">
                  <w:pPr>
                    <w:jc w:val="center"/>
                    <w:rPr>
                      <w:color w:val="auto"/>
                      <w:szCs w:val="21"/>
                      <w:highlight w:val="none"/>
                    </w:rPr>
                  </w:pPr>
                  <w:r>
                    <w:rPr>
                      <w:rFonts w:hint="eastAsia"/>
                      <w:color w:val="auto"/>
                      <w:szCs w:val="21"/>
                      <w:highlight w:val="none"/>
                    </w:rPr>
                    <w:t>11台</w:t>
                  </w:r>
                </w:p>
              </w:tc>
              <w:tc>
                <w:tcPr>
                  <w:tcW w:w="675" w:type="dxa"/>
                  <w:vAlign w:val="center"/>
                </w:tcPr>
                <w:p w14:paraId="1C218BF1">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4E026322">
                  <w:pPr>
                    <w:jc w:val="center"/>
                    <w:rPr>
                      <w:color w:val="auto"/>
                      <w:szCs w:val="21"/>
                      <w:highlight w:val="none"/>
                    </w:rPr>
                  </w:pPr>
                  <w:r>
                    <w:rPr>
                      <w:rFonts w:hint="eastAsia"/>
                      <w:color w:val="auto"/>
                      <w:szCs w:val="21"/>
                      <w:highlight w:val="none"/>
                    </w:rPr>
                    <w:t>11台</w:t>
                  </w:r>
                </w:p>
              </w:tc>
              <w:tc>
                <w:tcPr>
                  <w:tcW w:w="750" w:type="dxa"/>
                  <w:vAlign w:val="center"/>
                </w:tcPr>
                <w:p w14:paraId="4CA1ED3C">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7B17077C">
                  <w:pPr>
                    <w:adjustRightInd w:val="0"/>
                    <w:snapToGrid w:val="0"/>
                    <w:jc w:val="center"/>
                    <w:rPr>
                      <w:snapToGrid w:val="0"/>
                      <w:color w:val="auto"/>
                      <w:kern w:val="0"/>
                      <w:szCs w:val="21"/>
                      <w:highlight w:val="none"/>
                    </w:rPr>
                  </w:pPr>
                  <w:r>
                    <w:rPr>
                      <w:rFonts w:hint="eastAsia"/>
                      <w:snapToGrid w:val="0"/>
                      <w:color w:val="auto"/>
                      <w:kern w:val="0"/>
                      <w:szCs w:val="21"/>
                      <w:highlight w:val="none"/>
                    </w:rPr>
                    <w:t>阳极氧化、着色、封孔过滤</w:t>
                  </w:r>
                </w:p>
              </w:tc>
              <w:tc>
                <w:tcPr>
                  <w:tcW w:w="465" w:type="dxa"/>
                  <w:vAlign w:val="center"/>
                </w:tcPr>
                <w:p w14:paraId="3D872771">
                  <w:pPr>
                    <w:adjustRightInd w:val="0"/>
                    <w:snapToGrid w:val="0"/>
                    <w:jc w:val="center"/>
                    <w:rPr>
                      <w:color w:val="auto"/>
                      <w:szCs w:val="21"/>
                      <w:highlight w:val="none"/>
                    </w:rPr>
                  </w:pPr>
                  <w:r>
                    <w:rPr>
                      <w:color w:val="auto"/>
                      <w:szCs w:val="21"/>
                      <w:highlight w:val="none"/>
                    </w:rPr>
                    <w:t>电</w:t>
                  </w:r>
                </w:p>
              </w:tc>
              <w:tc>
                <w:tcPr>
                  <w:tcW w:w="1080" w:type="dxa"/>
                  <w:vAlign w:val="center"/>
                </w:tcPr>
                <w:p w14:paraId="0500FC96">
                  <w:pPr>
                    <w:adjustRightInd w:val="0"/>
                    <w:snapToGrid w:val="0"/>
                    <w:jc w:val="center"/>
                    <w:rPr>
                      <w:color w:val="auto"/>
                      <w:szCs w:val="21"/>
                      <w:highlight w:val="none"/>
                    </w:rPr>
                  </w:pPr>
                  <w:r>
                    <w:rPr>
                      <w:rFonts w:hint="eastAsia"/>
                      <w:color w:val="auto"/>
                      <w:szCs w:val="21"/>
                      <w:highlight w:val="none"/>
                    </w:rPr>
                    <w:t>氧化车间</w:t>
                  </w:r>
                </w:p>
              </w:tc>
            </w:tr>
            <w:tr w14:paraId="6D43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5AA75A34">
                  <w:pPr>
                    <w:adjustRightInd w:val="0"/>
                    <w:snapToGrid w:val="0"/>
                    <w:jc w:val="center"/>
                    <w:rPr>
                      <w:color w:val="auto"/>
                      <w:szCs w:val="21"/>
                      <w:highlight w:val="none"/>
                    </w:rPr>
                  </w:pPr>
                  <w:r>
                    <w:rPr>
                      <w:color w:val="auto"/>
                      <w:szCs w:val="21"/>
                      <w:highlight w:val="none"/>
                    </w:rPr>
                    <w:t>11</w:t>
                  </w:r>
                </w:p>
              </w:tc>
              <w:tc>
                <w:tcPr>
                  <w:tcW w:w="1582" w:type="dxa"/>
                  <w:vAlign w:val="center"/>
                </w:tcPr>
                <w:p w14:paraId="613C7693">
                  <w:pPr>
                    <w:jc w:val="center"/>
                    <w:rPr>
                      <w:color w:val="auto"/>
                      <w:szCs w:val="21"/>
                      <w:highlight w:val="none"/>
                    </w:rPr>
                  </w:pPr>
                  <w:r>
                    <w:rPr>
                      <w:rFonts w:hint="eastAsia"/>
                      <w:color w:val="auto"/>
                      <w:szCs w:val="21"/>
                      <w:highlight w:val="none"/>
                    </w:rPr>
                    <w:t>打气机</w:t>
                  </w:r>
                </w:p>
              </w:tc>
              <w:tc>
                <w:tcPr>
                  <w:tcW w:w="1305" w:type="dxa"/>
                  <w:vAlign w:val="center"/>
                </w:tcPr>
                <w:p w14:paraId="679DBEA4">
                  <w:pPr>
                    <w:jc w:val="center"/>
                    <w:rPr>
                      <w:color w:val="auto"/>
                      <w:szCs w:val="21"/>
                      <w:highlight w:val="none"/>
                    </w:rPr>
                  </w:pPr>
                  <w:r>
                    <w:rPr>
                      <w:rFonts w:hint="eastAsia"/>
                      <w:color w:val="auto"/>
                      <w:szCs w:val="21"/>
                      <w:highlight w:val="none"/>
                    </w:rPr>
                    <w:t>10HP</w:t>
                  </w:r>
                </w:p>
              </w:tc>
              <w:tc>
                <w:tcPr>
                  <w:tcW w:w="825" w:type="dxa"/>
                  <w:vAlign w:val="center"/>
                </w:tcPr>
                <w:p w14:paraId="29A7803B">
                  <w:pPr>
                    <w:jc w:val="center"/>
                    <w:rPr>
                      <w:color w:val="auto"/>
                      <w:szCs w:val="21"/>
                      <w:highlight w:val="none"/>
                    </w:rPr>
                  </w:pPr>
                  <w:r>
                    <w:rPr>
                      <w:rFonts w:hint="eastAsia"/>
                      <w:color w:val="auto"/>
                      <w:szCs w:val="21"/>
                      <w:highlight w:val="none"/>
                    </w:rPr>
                    <w:t>2台</w:t>
                  </w:r>
                </w:p>
              </w:tc>
              <w:tc>
                <w:tcPr>
                  <w:tcW w:w="675" w:type="dxa"/>
                  <w:vAlign w:val="center"/>
                </w:tcPr>
                <w:p w14:paraId="19EF2B6E">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0761E631">
                  <w:pPr>
                    <w:jc w:val="center"/>
                    <w:rPr>
                      <w:color w:val="auto"/>
                      <w:szCs w:val="21"/>
                      <w:highlight w:val="none"/>
                    </w:rPr>
                  </w:pPr>
                  <w:r>
                    <w:rPr>
                      <w:rFonts w:hint="eastAsia"/>
                      <w:color w:val="auto"/>
                      <w:szCs w:val="21"/>
                      <w:highlight w:val="none"/>
                    </w:rPr>
                    <w:t>2台</w:t>
                  </w:r>
                </w:p>
              </w:tc>
              <w:tc>
                <w:tcPr>
                  <w:tcW w:w="750" w:type="dxa"/>
                  <w:vAlign w:val="center"/>
                </w:tcPr>
                <w:p w14:paraId="51C8A75D">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19C97227">
                  <w:pPr>
                    <w:adjustRightInd w:val="0"/>
                    <w:snapToGrid w:val="0"/>
                    <w:jc w:val="center"/>
                    <w:rPr>
                      <w:color w:val="auto"/>
                      <w:szCs w:val="21"/>
                      <w:highlight w:val="none"/>
                    </w:rPr>
                  </w:pPr>
                  <w:r>
                    <w:rPr>
                      <w:rFonts w:hint="eastAsia"/>
                      <w:color w:val="auto"/>
                      <w:szCs w:val="21"/>
                      <w:highlight w:val="none"/>
                    </w:rPr>
                    <w:t>提供压缩空气</w:t>
                  </w:r>
                </w:p>
              </w:tc>
              <w:tc>
                <w:tcPr>
                  <w:tcW w:w="465" w:type="dxa"/>
                  <w:vAlign w:val="center"/>
                </w:tcPr>
                <w:p w14:paraId="602D1410">
                  <w:pPr>
                    <w:adjustRightInd w:val="0"/>
                    <w:snapToGrid w:val="0"/>
                    <w:jc w:val="center"/>
                    <w:rPr>
                      <w:color w:val="auto"/>
                      <w:szCs w:val="21"/>
                      <w:highlight w:val="none"/>
                    </w:rPr>
                  </w:pPr>
                  <w:r>
                    <w:rPr>
                      <w:color w:val="auto"/>
                      <w:szCs w:val="21"/>
                      <w:highlight w:val="none"/>
                    </w:rPr>
                    <w:t>电</w:t>
                  </w:r>
                </w:p>
              </w:tc>
              <w:tc>
                <w:tcPr>
                  <w:tcW w:w="1080" w:type="dxa"/>
                  <w:vAlign w:val="center"/>
                </w:tcPr>
                <w:p w14:paraId="3C67981C">
                  <w:pPr>
                    <w:adjustRightInd w:val="0"/>
                    <w:snapToGrid w:val="0"/>
                    <w:jc w:val="center"/>
                    <w:rPr>
                      <w:color w:val="auto"/>
                      <w:szCs w:val="21"/>
                      <w:highlight w:val="none"/>
                    </w:rPr>
                  </w:pPr>
                  <w:r>
                    <w:rPr>
                      <w:rFonts w:hint="eastAsia"/>
                      <w:color w:val="auto"/>
                      <w:szCs w:val="21"/>
                      <w:highlight w:val="none"/>
                    </w:rPr>
                    <w:t>注塑车间</w:t>
                  </w:r>
                </w:p>
              </w:tc>
            </w:tr>
            <w:tr w14:paraId="4CCA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44FD2225">
                  <w:pPr>
                    <w:adjustRightInd w:val="0"/>
                    <w:snapToGrid w:val="0"/>
                    <w:jc w:val="center"/>
                    <w:rPr>
                      <w:color w:val="auto"/>
                      <w:szCs w:val="21"/>
                      <w:highlight w:val="none"/>
                    </w:rPr>
                  </w:pPr>
                  <w:r>
                    <w:rPr>
                      <w:color w:val="auto"/>
                      <w:szCs w:val="21"/>
                      <w:highlight w:val="none"/>
                    </w:rPr>
                    <w:t>12</w:t>
                  </w:r>
                </w:p>
              </w:tc>
              <w:tc>
                <w:tcPr>
                  <w:tcW w:w="1582" w:type="dxa"/>
                  <w:vAlign w:val="center"/>
                </w:tcPr>
                <w:p w14:paraId="3E13CD5E">
                  <w:pPr>
                    <w:jc w:val="center"/>
                    <w:rPr>
                      <w:color w:val="auto"/>
                      <w:szCs w:val="21"/>
                      <w:highlight w:val="none"/>
                    </w:rPr>
                  </w:pPr>
                  <w:r>
                    <w:rPr>
                      <w:rFonts w:hint="eastAsia"/>
                      <w:color w:val="auto"/>
                      <w:szCs w:val="21"/>
                      <w:highlight w:val="none"/>
                    </w:rPr>
                    <w:t>风机</w:t>
                  </w:r>
                </w:p>
              </w:tc>
              <w:tc>
                <w:tcPr>
                  <w:tcW w:w="1305" w:type="dxa"/>
                  <w:vAlign w:val="center"/>
                </w:tcPr>
                <w:p w14:paraId="18BA6684">
                  <w:pPr>
                    <w:jc w:val="center"/>
                    <w:rPr>
                      <w:color w:val="auto"/>
                      <w:szCs w:val="21"/>
                      <w:highlight w:val="none"/>
                    </w:rPr>
                  </w:pPr>
                  <w:r>
                    <w:rPr>
                      <w:rFonts w:hint="eastAsia"/>
                      <w:color w:val="auto"/>
                      <w:szCs w:val="21"/>
                      <w:highlight w:val="none"/>
                    </w:rPr>
                    <w:t>30HP</w:t>
                  </w:r>
                </w:p>
              </w:tc>
              <w:tc>
                <w:tcPr>
                  <w:tcW w:w="825" w:type="dxa"/>
                  <w:vAlign w:val="center"/>
                </w:tcPr>
                <w:p w14:paraId="41FBA7DA">
                  <w:pPr>
                    <w:jc w:val="center"/>
                    <w:rPr>
                      <w:color w:val="auto"/>
                      <w:szCs w:val="21"/>
                      <w:highlight w:val="none"/>
                    </w:rPr>
                  </w:pPr>
                  <w:r>
                    <w:rPr>
                      <w:rFonts w:hint="eastAsia"/>
                      <w:color w:val="auto"/>
                      <w:szCs w:val="21"/>
                      <w:highlight w:val="none"/>
                    </w:rPr>
                    <w:t>1台</w:t>
                  </w:r>
                </w:p>
              </w:tc>
              <w:tc>
                <w:tcPr>
                  <w:tcW w:w="675" w:type="dxa"/>
                  <w:vAlign w:val="center"/>
                </w:tcPr>
                <w:p w14:paraId="6E631E20">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6B8799D9">
                  <w:pPr>
                    <w:jc w:val="center"/>
                    <w:rPr>
                      <w:color w:val="auto"/>
                      <w:szCs w:val="21"/>
                      <w:highlight w:val="none"/>
                    </w:rPr>
                  </w:pPr>
                  <w:r>
                    <w:rPr>
                      <w:rFonts w:hint="eastAsia"/>
                      <w:color w:val="auto"/>
                      <w:szCs w:val="21"/>
                      <w:highlight w:val="none"/>
                    </w:rPr>
                    <w:t>1台</w:t>
                  </w:r>
                </w:p>
              </w:tc>
              <w:tc>
                <w:tcPr>
                  <w:tcW w:w="750" w:type="dxa"/>
                  <w:vAlign w:val="center"/>
                </w:tcPr>
                <w:p w14:paraId="4C260D25">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6AD33342">
                  <w:pPr>
                    <w:adjustRightInd w:val="0"/>
                    <w:snapToGrid w:val="0"/>
                    <w:jc w:val="center"/>
                    <w:rPr>
                      <w:color w:val="auto"/>
                      <w:szCs w:val="21"/>
                      <w:highlight w:val="none"/>
                    </w:rPr>
                  </w:pPr>
                  <w:r>
                    <w:rPr>
                      <w:rFonts w:hint="eastAsia"/>
                      <w:color w:val="auto"/>
                      <w:szCs w:val="21"/>
                      <w:highlight w:val="none"/>
                    </w:rPr>
                    <w:t>车间抽排风</w:t>
                  </w:r>
                </w:p>
              </w:tc>
              <w:tc>
                <w:tcPr>
                  <w:tcW w:w="465" w:type="dxa"/>
                  <w:vAlign w:val="center"/>
                </w:tcPr>
                <w:p w14:paraId="43625D9E">
                  <w:pPr>
                    <w:adjustRightInd w:val="0"/>
                    <w:snapToGrid w:val="0"/>
                    <w:jc w:val="center"/>
                    <w:rPr>
                      <w:color w:val="auto"/>
                      <w:szCs w:val="21"/>
                      <w:highlight w:val="none"/>
                    </w:rPr>
                  </w:pPr>
                  <w:r>
                    <w:rPr>
                      <w:color w:val="auto"/>
                      <w:szCs w:val="21"/>
                      <w:highlight w:val="none"/>
                    </w:rPr>
                    <w:t>电</w:t>
                  </w:r>
                </w:p>
              </w:tc>
              <w:tc>
                <w:tcPr>
                  <w:tcW w:w="1080" w:type="dxa"/>
                  <w:vAlign w:val="center"/>
                </w:tcPr>
                <w:p w14:paraId="2FAE4CF1">
                  <w:pPr>
                    <w:adjustRightInd w:val="0"/>
                    <w:snapToGrid w:val="0"/>
                    <w:jc w:val="center"/>
                    <w:rPr>
                      <w:color w:val="auto"/>
                      <w:szCs w:val="21"/>
                      <w:highlight w:val="none"/>
                    </w:rPr>
                  </w:pPr>
                  <w:r>
                    <w:rPr>
                      <w:rFonts w:hint="eastAsia"/>
                      <w:color w:val="auto"/>
                      <w:szCs w:val="21"/>
                      <w:highlight w:val="none"/>
                    </w:rPr>
                    <w:t>注塑车间</w:t>
                  </w:r>
                </w:p>
              </w:tc>
            </w:tr>
            <w:tr w14:paraId="3523B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11576295">
                  <w:pPr>
                    <w:adjustRightInd w:val="0"/>
                    <w:snapToGrid w:val="0"/>
                    <w:jc w:val="center"/>
                    <w:rPr>
                      <w:color w:val="auto"/>
                      <w:szCs w:val="21"/>
                      <w:highlight w:val="none"/>
                    </w:rPr>
                  </w:pPr>
                  <w:r>
                    <w:rPr>
                      <w:color w:val="auto"/>
                      <w:szCs w:val="21"/>
                      <w:highlight w:val="none"/>
                    </w:rPr>
                    <w:t>13</w:t>
                  </w:r>
                </w:p>
              </w:tc>
              <w:tc>
                <w:tcPr>
                  <w:tcW w:w="1582" w:type="dxa"/>
                  <w:vAlign w:val="center"/>
                </w:tcPr>
                <w:p w14:paraId="606DABDE">
                  <w:pPr>
                    <w:jc w:val="center"/>
                    <w:rPr>
                      <w:color w:val="auto"/>
                      <w:szCs w:val="21"/>
                      <w:highlight w:val="none"/>
                    </w:rPr>
                  </w:pPr>
                  <w:r>
                    <w:rPr>
                      <w:rFonts w:hint="eastAsia"/>
                      <w:color w:val="auto"/>
                      <w:szCs w:val="21"/>
                      <w:highlight w:val="none"/>
                    </w:rPr>
                    <w:t>超声波清洗机</w:t>
                  </w:r>
                </w:p>
              </w:tc>
              <w:tc>
                <w:tcPr>
                  <w:tcW w:w="1305" w:type="dxa"/>
                  <w:vAlign w:val="center"/>
                </w:tcPr>
                <w:p w14:paraId="6A675743">
                  <w:pPr>
                    <w:jc w:val="center"/>
                    <w:rPr>
                      <w:color w:val="auto"/>
                      <w:szCs w:val="21"/>
                      <w:highlight w:val="none"/>
                    </w:rPr>
                  </w:pPr>
                  <w:r>
                    <w:rPr>
                      <w:rFonts w:hint="eastAsia"/>
                      <w:color w:val="auto"/>
                      <w:szCs w:val="21"/>
                      <w:highlight w:val="none"/>
                    </w:rPr>
                    <w:t>定制</w:t>
                  </w:r>
                </w:p>
              </w:tc>
              <w:tc>
                <w:tcPr>
                  <w:tcW w:w="825" w:type="dxa"/>
                  <w:vAlign w:val="center"/>
                </w:tcPr>
                <w:p w14:paraId="198B8999">
                  <w:pPr>
                    <w:jc w:val="center"/>
                    <w:rPr>
                      <w:color w:val="auto"/>
                      <w:szCs w:val="21"/>
                      <w:highlight w:val="none"/>
                    </w:rPr>
                  </w:pPr>
                  <w:r>
                    <w:rPr>
                      <w:rFonts w:hint="eastAsia"/>
                      <w:color w:val="auto"/>
                      <w:szCs w:val="21"/>
                      <w:highlight w:val="none"/>
                    </w:rPr>
                    <w:t>2台</w:t>
                  </w:r>
                </w:p>
              </w:tc>
              <w:tc>
                <w:tcPr>
                  <w:tcW w:w="675" w:type="dxa"/>
                  <w:vAlign w:val="center"/>
                </w:tcPr>
                <w:p w14:paraId="192A6769">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0ACDDCCC">
                  <w:pPr>
                    <w:jc w:val="center"/>
                    <w:rPr>
                      <w:color w:val="auto"/>
                      <w:szCs w:val="21"/>
                      <w:highlight w:val="none"/>
                    </w:rPr>
                  </w:pPr>
                  <w:r>
                    <w:rPr>
                      <w:rFonts w:hint="eastAsia"/>
                      <w:color w:val="auto"/>
                      <w:szCs w:val="21"/>
                      <w:highlight w:val="none"/>
                    </w:rPr>
                    <w:t>2台</w:t>
                  </w:r>
                </w:p>
              </w:tc>
              <w:tc>
                <w:tcPr>
                  <w:tcW w:w="750" w:type="dxa"/>
                  <w:vAlign w:val="center"/>
                </w:tcPr>
                <w:p w14:paraId="169C33B0">
                  <w:pPr>
                    <w:adjustRightInd w:val="0"/>
                    <w:snapToGrid w:val="0"/>
                    <w:jc w:val="center"/>
                    <w:rPr>
                      <w:color w:val="auto"/>
                      <w:szCs w:val="21"/>
                      <w:highlight w:val="none"/>
                    </w:rPr>
                  </w:pPr>
                  <w:r>
                    <w:rPr>
                      <w:color w:val="auto"/>
                      <w:szCs w:val="21"/>
                      <w:highlight w:val="none"/>
                    </w:rPr>
                    <w:t>0</w:t>
                  </w:r>
                </w:p>
              </w:tc>
              <w:tc>
                <w:tcPr>
                  <w:tcW w:w="1755" w:type="dxa"/>
                  <w:vAlign w:val="center"/>
                </w:tcPr>
                <w:p w14:paraId="0177958C">
                  <w:pPr>
                    <w:adjustRightInd w:val="0"/>
                    <w:snapToGrid w:val="0"/>
                    <w:jc w:val="center"/>
                    <w:rPr>
                      <w:snapToGrid w:val="0"/>
                      <w:color w:val="auto"/>
                      <w:kern w:val="0"/>
                      <w:szCs w:val="21"/>
                      <w:highlight w:val="none"/>
                    </w:rPr>
                  </w:pPr>
                  <w:r>
                    <w:rPr>
                      <w:rFonts w:hint="eastAsia"/>
                      <w:snapToGrid w:val="0"/>
                      <w:color w:val="auto"/>
                      <w:kern w:val="0"/>
                      <w:szCs w:val="21"/>
                      <w:highlight w:val="none"/>
                    </w:rPr>
                    <w:t>清洗</w:t>
                  </w:r>
                </w:p>
              </w:tc>
              <w:tc>
                <w:tcPr>
                  <w:tcW w:w="465" w:type="dxa"/>
                  <w:vAlign w:val="center"/>
                </w:tcPr>
                <w:p w14:paraId="63B0CE95">
                  <w:pPr>
                    <w:adjustRightInd w:val="0"/>
                    <w:snapToGrid w:val="0"/>
                    <w:jc w:val="center"/>
                    <w:rPr>
                      <w:color w:val="auto"/>
                      <w:szCs w:val="21"/>
                      <w:highlight w:val="none"/>
                    </w:rPr>
                  </w:pPr>
                  <w:r>
                    <w:rPr>
                      <w:color w:val="auto"/>
                      <w:szCs w:val="21"/>
                      <w:highlight w:val="none"/>
                    </w:rPr>
                    <w:t>电</w:t>
                  </w:r>
                </w:p>
              </w:tc>
              <w:tc>
                <w:tcPr>
                  <w:tcW w:w="1080" w:type="dxa"/>
                  <w:vAlign w:val="center"/>
                </w:tcPr>
                <w:p w14:paraId="10F22936">
                  <w:pPr>
                    <w:adjustRightInd w:val="0"/>
                    <w:snapToGrid w:val="0"/>
                    <w:jc w:val="center"/>
                    <w:rPr>
                      <w:color w:val="auto"/>
                      <w:szCs w:val="21"/>
                      <w:highlight w:val="none"/>
                    </w:rPr>
                  </w:pPr>
                  <w:r>
                    <w:rPr>
                      <w:rFonts w:hint="eastAsia"/>
                      <w:color w:val="auto"/>
                      <w:szCs w:val="21"/>
                      <w:highlight w:val="none"/>
                    </w:rPr>
                    <w:t>氧化车间</w:t>
                  </w:r>
                </w:p>
              </w:tc>
            </w:tr>
            <w:tr w14:paraId="0091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373B2277">
                  <w:pPr>
                    <w:adjustRightInd w:val="0"/>
                    <w:snapToGrid w:val="0"/>
                    <w:jc w:val="center"/>
                    <w:rPr>
                      <w:color w:val="auto"/>
                      <w:szCs w:val="21"/>
                      <w:highlight w:val="none"/>
                    </w:rPr>
                  </w:pPr>
                  <w:r>
                    <w:rPr>
                      <w:color w:val="auto"/>
                      <w:szCs w:val="21"/>
                      <w:highlight w:val="none"/>
                    </w:rPr>
                    <w:t>14</w:t>
                  </w:r>
                </w:p>
              </w:tc>
              <w:tc>
                <w:tcPr>
                  <w:tcW w:w="1582" w:type="dxa"/>
                  <w:vAlign w:val="center"/>
                </w:tcPr>
                <w:p w14:paraId="72A60D7D">
                  <w:pPr>
                    <w:jc w:val="center"/>
                    <w:rPr>
                      <w:color w:val="auto"/>
                      <w:szCs w:val="21"/>
                      <w:highlight w:val="none"/>
                    </w:rPr>
                  </w:pPr>
                  <w:r>
                    <w:rPr>
                      <w:rFonts w:hint="eastAsia"/>
                      <w:color w:val="auto"/>
                      <w:szCs w:val="21"/>
                      <w:highlight w:val="none"/>
                    </w:rPr>
                    <w:t>阳极氧化生产线</w:t>
                  </w:r>
                </w:p>
              </w:tc>
              <w:tc>
                <w:tcPr>
                  <w:tcW w:w="1305" w:type="dxa"/>
                  <w:vAlign w:val="center"/>
                </w:tcPr>
                <w:p w14:paraId="67606194">
                  <w:pPr>
                    <w:jc w:val="center"/>
                    <w:rPr>
                      <w:color w:val="auto"/>
                      <w:szCs w:val="21"/>
                      <w:highlight w:val="none"/>
                    </w:rPr>
                  </w:pPr>
                  <w:r>
                    <w:rPr>
                      <w:rFonts w:hint="eastAsia"/>
                      <w:color w:val="auto"/>
                      <w:szCs w:val="21"/>
                      <w:highlight w:val="none"/>
                    </w:rPr>
                    <w:t>定制</w:t>
                  </w:r>
                </w:p>
              </w:tc>
              <w:tc>
                <w:tcPr>
                  <w:tcW w:w="825" w:type="dxa"/>
                  <w:vAlign w:val="center"/>
                </w:tcPr>
                <w:p w14:paraId="778C5DA1">
                  <w:pPr>
                    <w:jc w:val="center"/>
                    <w:rPr>
                      <w:color w:val="auto"/>
                      <w:szCs w:val="21"/>
                      <w:highlight w:val="none"/>
                    </w:rPr>
                  </w:pPr>
                  <w:r>
                    <w:rPr>
                      <w:rFonts w:hint="eastAsia"/>
                      <w:color w:val="auto"/>
                      <w:szCs w:val="21"/>
                      <w:highlight w:val="none"/>
                    </w:rPr>
                    <w:t>2条</w:t>
                  </w:r>
                </w:p>
              </w:tc>
              <w:tc>
                <w:tcPr>
                  <w:tcW w:w="675" w:type="dxa"/>
                  <w:vAlign w:val="center"/>
                </w:tcPr>
                <w:p w14:paraId="5EF0D4C9">
                  <w:pPr>
                    <w:adjustRightInd w:val="0"/>
                    <w:snapToGrid w:val="0"/>
                    <w:jc w:val="center"/>
                    <w:rPr>
                      <w:rFonts w:hint="default" w:eastAsia="宋体"/>
                      <w:color w:val="auto"/>
                      <w:szCs w:val="21"/>
                      <w:highlight w:val="none"/>
                      <w:lang w:val="en-US" w:eastAsia="zh-CN"/>
                    </w:rPr>
                  </w:pPr>
                  <w:r>
                    <w:rPr>
                      <w:rFonts w:hint="eastAsia"/>
                      <w:color w:val="auto"/>
                      <w:szCs w:val="21"/>
                      <w:highlight w:val="none"/>
                      <w:lang w:val="en-US" w:eastAsia="zh-CN"/>
                    </w:rPr>
                    <w:t>-1条</w:t>
                  </w:r>
                </w:p>
              </w:tc>
              <w:tc>
                <w:tcPr>
                  <w:tcW w:w="705" w:type="dxa"/>
                  <w:vAlign w:val="center"/>
                </w:tcPr>
                <w:p w14:paraId="5820010E">
                  <w:pPr>
                    <w:jc w:val="center"/>
                    <w:rPr>
                      <w:color w:val="auto"/>
                      <w:szCs w:val="21"/>
                      <w:highlight w:val="none"/>
                    </w:rPr>
                  </w:pPr>
                  <w:r>
                    <w:rPr>
                      <w:rFonts w:hint="eastAsia"/>
                      <w:color w:val="auto"/>
                      <w:szCs w:val="21"/>
                      <w:highlight w:val="none"/>
                      <w:lang w:val="en-US" w:eastAsia="zh-CN"/>
                    </w:rPr>
                    <w:t>1</w:t>
                  </w:r>
                  <w:r>
                    <w:rPr>
                      <w:rFonts w:hint="eastAsia"/>
                      <w:color w:val="auto"/>
                      <w:szCs w:val="21"/>
                      <w:highlight w:val="none"/>
                    </w:rPr>
                    <w:t>条</w:t>
                  </w:r>
                </w:p>
              </w:tc>
              <w:tc>
                <w:tcPr>
                  <w:tcW w:w="750" w:type="dxa"/>
                  <w:vAlign w:val="center"/>
                </w:tcPr>
                <w:p w14:paraId="5ED54E5A">
                  <w:pPr>
                    <w:adjustRightInd w:val="0"/>
                    <w:snapToGrid w:val="0"/>
                    <w:jc w:val="center"/>
                    <w:rPr>
                      <w:color w:val="auto"/>
                      <w:szCs w:val="21"/>
                      <w:highlight w:val="none"/>
                    </w:rPr>
                  </w:pPr>
                  <w:r>
                    <w:rPr>
                      <w:rFonts w:hint="eastAsia"/>
                      <w:color w:val="auto"/>
                      <w:szCs w:val="21"/>
                      <w:highlight w:val="none"/>
                    </w:rPr>
                    <w:t>-1条</w:t>
                  </w:r>
                </w:p>
              </w:tc>
              <w:tc>
                <w:tcPr>
                  <w:tcW w:w="1755" w:type="dxa"/>
                  <w:vAlign w:val="center"/>
                </w:tcPr>
                <w:p w14:paraId="382BAB7C">
                  <w:pPr>
                    <w:adjustRightInd w:val="0"/>
                    <w:snapToGrid w:val="0"/>
                    <w:jc w:val="center"/>
                    <w:rPr>
                      <w:snapToGrid w:val="0"/>
                      <w:color w:val="auto"/>
                      <w:kern w:val="0"/>
                      <w:szCs w:val="21"/>
                      <w:highlight w:val="none"/>
                    </w:rPr>
                  </w:pPr>
                  <w:r>
                    <w:rPr>
                      <w:rFonts w:hint="eastAsia"/>
                      <w:snapToGrid w:val="0"/>
                      <w:color w:val="auto"/>
                      <w:kern w:val="0"/>
                      <w:szCs w:val="21"/>
                      <w:highlight w:val="none"/>
                    </w:rPr>
                    <w:t>阳极氧化</w:t>
                  </w:r>
                </w:p>
              </w:tc>
              <w:tc>
                <w:tcPr>
                  <w:tcW w:w="465" w:type="dxa"/>
                  <w:vAlign w:val="center"/>
                </w:tcPr>
                <w:p w14:paraId="7E5E9740">
                  <w:pPr>
                    <w:adjustRightInd w:val="0"/>
                    <w:snapToGrid w:val="0"/>
                    <w:jc w:val="center"/>
                    <w:rPr>
                      <w:color w:val="auto"/>
                      <w:szCs w:val="21"/>
                      <w:highlight w:val="none"/>
                    </w:rPr>
                  </w:pPr>
                  <w:r>
                    <w:rPr>
                      <w:color w:val="auto"/>
                      <w:szCs w:val="21"/>
                      <w:highlight w:val="none"/>
                    </w:rPr>
                    <w:t>电</w:t>
                  </w:r>
                </w:p>
              </w:tc>
              <w:tc>
                <w:tcPr>
                  <w:tcW w:w="1080" w:type="dxa"/>
                  <w:vAlign w:val="center"/>
                </w:tcPr>
                <w:p w14:paraId="0DDD5EF9">
                  <w:pPr>
                    <w:adjustRightInd w:val="0"/>
                    <w:snapToGrid w:val="0"/>
                    <w:jc w:val="center"/>
                    <w:rPr>
                      <w:color w:val="auto"/>
                      <w:szCs w:val="21"/>
                      <w:highlight w:val="none"/>
                    </w:rPr>
                  </w:pPr>
                  <w:r>
                    <w:rPr>
                      <w:rFonts w:hint="eastAsia"/>
                      <w:color w:val="auto"/>
                      <w:szCs w:val="21"/>
                      <w:highlight w:val="none"/>
                    </w:rPr>
                    <w:t>氧化车间</w:t>
                  </w:r>
                </w:p>
              </w:tc>
            </w:tr>
            <w:tr w14:paraId="7DFA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5F3E6240">
                  <w:pPr>
                    <w:adjustRightInd w:val="0"/>
                    <w:snapToGrid w:val="0"/>
                    <w:jc w:val="center"/>
                    <w:rPr>
                      <w:color w:val="auto"/>
                      <w:szCs w:val="21"/>
                      <w:highlight w:val="none"/>
                    </w:rPr>
                  </w:pPr>
                  <w:r>
                    <w:rPr>
                      <w:color w:val="auto"/>
                      <w:szCs w:val="21"/>
                      <w:highlight w:val="none"/>
                    </w:rPr>
                    <w:t>15</w:t>
                  </w:r>
                </w:p>
              </w:tc>
              <w:tc>
                <w:tcPr>
                  <w:tcW w:w="1582" w:type="dxa"/>
                  <w:vAlign w:val="center"/>
                </w:tcPr>
                <w:p w14:paraId="774C0D09">
                  <w:pPr>
                    <w:jc w:val="center"/>
                    <w:rPr>
                      <w:color w:val="auto"/>
                      <w:szCs w:val="21"/>
                      <w:highlight w:val="none"/>
                    </w:rPr>
                  </w:pPr>
                  <w:r>
                    <w:rPr>
                      <w:rFonts w:hint="eastAsia"/>
                      <w:color w:val="auto"/>
                      <w:szCs w:val="21"/>
                      <w:highlight w:val="none"/>
                    </w:rPr>
                    <w:t>冷室压铸机</w:t>
                  </w:r>
                </w:p>
              </w:tc>
              <w:tc>
                <w:tcPr>
                  <w:tcW w:w="1305" w:type="dxa"/>
                  <w:vAlign w:val="center"/>
                </w:tcPr>
                <w:p w14:paraId="3B9D0B21">
                  <w:pPr>
                    <w:jc w:val="center"/>
                    <w:rPr>
                      <w:color w:val="auto"/>
                      <w:szCs w:val="21"/>
                      <w:highlight w:val="none"/>
                    </w:rPr>
                  </w:pPr>
                  <w:r>
                    <w:rPr>
                      <w:rFonts w:hint="eastAsia"/>
                      <w:color w:val="auto"/>
                      <w:szCs w:val="21"/>
                      <w:highlight w:val="none"/>
                    </w:rPr>
                    <w:t>伊支密DM180</w:t>
                  </w:r>
                </w:p>
              </w:tc>
              <w:tc>
                <w:tcPr>
                  <w:tcW w:w="825" w:type="dxa"/>
                  <w:vAlign w:val="center"/>
                </w:tcPr>
                <w:p w14:paraId="12C0CA61">
                  <w:pPr>
                    <w:jc w:val="center"/>
                    <w:rPr>
                      <w:color w:val="auto"/>
                      <w:szCs w:val="21"/>
                      <w:highlight w:val="none"/>
                    </w:rPr>
                  </w:pPr>
                  <w:r>
                    <w:rPr>
                      <w:rFonts w:hint="eastAsia"/>
                      <w:color w:val="auto"/>
                      <w:szCs w:val="21"/>
                      <w:highlight w:val="none"/>
                    </w:rPr>
                    <w:t>2台</w:t>
                  </w:r>
                </w:p>
              </w:tc>
              <w:tc>
                <w:tcPr>
                  <w:tcW w:w="675" w:type="dxa"/>
                  <w:vAlign w:val="center"/>
                </w:tcPr>
                <w:p w14:paraId="0920B978">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4777D5FC">
                  <w:pPr>
                    <w:jc w:val="center"/>
                    <w:rPr>
                      <w:color w:val="auto"/>
                      <w:szCs w:val="21"/>
                      <w:highlight w:val="none"/>
                    </w:rPr>
                  </w:pPr>
                  <w:r>
                    <w:rPr>
                      <w:rFonts w:hint="eastAsia"/>
                      <w:color w:val="auto"/>
                      <w:szCs w:val="21"/>
                      <w:highlight w:val="none"/>
                    </w:rPr>
                    <w:t>2台</w:t>
                  </w:r>
                </w:p>
              </w:tc>
              <w:tc>
                <w:tcPr>
                  <w:tcW w:w="750" w:type="dxa"/>
                  <w:vAlign w:val="center"/>
                </w:tcPr>
                <w:p w14:paraId="5B58F086">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7E10258F">
                  <w:pPr>
                    <w:adjustRightInd w:val="0"/>
                    <w:snapToGrid w:val="0"/>
                    <w:jc w:val="center"/>
                    <w:rPr>
                      <w:color w:val="auto"/>
                      <w:kern w:val="0"/>
                      <w:szCs w:val="21"/>
                      <w:highlight w:val="none"/>
                    </w:rPr>
                  </w:pPr>
                  <w:r>
                    <w:rPr>
                      <w:rFonts w:hint="eastAsia"/>
                      <w:color w:val="auto"/>
                      <w:kern w:val="0"/>
                      <w:szCs w:val="21"/>
                      <w:highlight w:val="none"/>
                    </w:rPr>
                    <w:t>压铸</w:t>
                  </w:r>
                </w:p>
              </w:tc>
              <w:tc>
                <w:tcPr>
                  <w:tcW w:w="465" w:type="dxa"/>
                  <w:vAlign w:val="center"/>
                </w:tcPr>
                <w:p w14:paraId="4C7DD9D5">
                  <w:pPr>
                    <w:adjustRightInd w:val="0"/>
                    <w:snapToGrid w:val="0"/>
                    <w:jc w:val="center"/>
                    <w:rPr>
                      <w:color w:val="auto"/>
                      <w:szCs w:val="21"/>
                      <w:highlight w:val="none"/>
                    </w:rPr>
                  </w:pPr>
                  <w:r>
                    <w:rPr>
                      <w:color w:val="auto"/>
                      <w:szCs w:val="21"/>
                      <w:highlight w:val="none"/>
                    </w:rPr>
                    <w:t>电</w:t>
                  </w:r>
                </w:p>
              </w:tc>
              <w:tc>
                <w:tcPr>
                  <w:tcW w:w="1080" w:type="dxa"/>
                  <w:vAlign w:val="center"/>
                </w:tcPr>
                <w:p w14:paraId="131A9606">
                  <w:pPr>
                    <w:adjustRightInd w:val="0"/>
                    <w:snapToGrid w:val="0"/>
                    <w:jc w:val="center"/>
                    <w:rPr>
                      <w:color w:val="auto"/>
                      <w:szCs w:val="21"/>
                      <w:highlight w:val="none"/>
                    </w:rPr>
                  </w:pPr>
                  <w:r>
                    <w:rPr>
                      <w:rFonts w:hint="eastAsia"/>
                      <w:color w:val="auto"/>
                      <w:szCs w:val="21"/>
                      <w:highlight w:val="none"/>
                    </w:rPr>
                    <w:t>压铸车间</w:t>
                  </w:r>
                </w:p>
              </w:tc>
            </w:tr>
            <w:tr w14:paraId="462B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01F3D0F8">
                  <w:pPr>
                    <w:adjustRightInd w:val="0"/>
                    <w:snapToGrid w:val="0"/>
                    <w:jc w:val="center"/>
                    <w:rPr>
                      <w:color w:val="auto"/>
                      <w:szCs w:val="21"/>
                      <w:highlight w:val="none"/>
                    </w:rPr>
                  </w:pPr>
                  <w:r>
                    <w:rPr>
                      <w:rFonts w:hint="eastAsia"/>
                      <w:color w:val="auto"/>
                      <w:szCs w:val="21"/>
                      <w:highlight w:val="none"/>
                    </w:rPr>
                    <w:t>16</w:t>
                  </w:r>
                </w:p>
              </w:tc>
              <w:tc>
                <w:tcPr>
                  <w:tcW w:w="1582" w:type="dxa"/>
                  <w:vAlign w:val="center"/>
                </w:tcPr>
                <w:p w14:paraId="01A4736B">
                  <w:pPr>
                    <w:jc w:val="center"/>
                    <w:rPr>
                      <w:color w:val="auto"/>
                      <w:szCs w:val="21"/>
                      <w:highlight w:val="none"/>
                    </w:rPr>
                  </w:pPr>
                  <w:r>
                    <w:rPr>
                      <w:rFonts w:hint="eastAsia"/>
                      <w:color w:val="auto"/>
                      <w:szCs w:val="21"/>
                      <w:highlight w:val="none"/>
                    </w:rPr>
                    <w:t>柴油发电机</w:t>
                  </w:r>
                </w:p>
              </w:tc>
              <w:tc>
                <w:tcPr>
                  <w:tcW w:w="1305" w:type="dxa"/>
                  <w:vAlign w:val="center"/>
                </w:tcPr>
                <w:p w14:paraId="1CEC81A1">
                  <w:pPr>
                    <w:jc w:val="center"/>
                    <w:rPr>
                      <w:rFonts w:hint="eastAsia"/>
                      <w:color w:val="auto"/>
                      <w:szCs w:val="21"/>
                      <w:highlight w:val="none"/>
                    </w:rPr>
                  </w:pPr>
                  <w:r>
                    <w:rPr>
                      <w:rFonts w:hint="eastAsia"/>
                      <w:color w:val="auto"/>
                      <w:szCs w:val="21"/>
                      <w:highlight w:val="none"/>
                    </w:rPr>
                    <w:t>250kW</w:t>
                  </w:r>
                </w:p>
              </w:tc>
              <w:tc>
                <w:tcPr>
                  <w:tcW w:w="825" w:type="dxa"/>
                  <w:vAlign w:val="center"/>
                </w:tcPr>
                <w:p w14:paraId="3835B8FA">
                  <w:pPr>
                    <w:jc w:val="center"/>
                    <w:rPr>
                      <w:color w:val="auto"/>
                      <w:szCs w:val="21"/>
                      <w:highlight w:val="none"/>
                    </w:rPr>
                  </w:pPr>
                  <w:r>
                    <w:rPr>
                      <w:color w:val="auto"/>
                      <w:szCs w:val="21"/>
                      <w:highlight w:val="none"/>
                    </w:rPr>
                    <w:t>2</w:t>
                  </w:r>
                  <w:r>
                    <w:rPr>
                      <w:rFonts w:hint="eastAsia"/>
                      <w:color w:val="auto"/>
                      <w:szCs w:val="21"/>
                      <w:highlight w:val="none"/>
                    </w:rPr>
                    <w:t>台</w:t>
                  </w:r>
                </w:p>
              </w:tc>
              <w:tc>
                <w:tcPr>
                  <w:tcW w:w="675" w:type="dxa"/>
                  <w:vAlign w:val="center"/>
                </w:tcPr>
                <w:p w14:paraId="00061E10">
                  <w:pPr>
                    <w:adjustRightInd w:val="0"/>
                    <w:snapToGrid w:val="0"/>
                    <w:jc w:val="center"/>
                    <w:rPr>
                      <w:color w:val="auto"/>
                      <w:szCs w:val="21"/>
                      <w:highlight w:val="none"/>
                    </w:rPr>
                  </w:pPr>
                  <w:r>
                    <w:rPr>
                      <w:rFonts w:hint="eastAsia"/>
                      <w:color w:val="auto"/>
                      <w:szCs w:val="21"/>
                      <w:highlight w:val="none"/>
                    </w:rPr>
                    <w:t>0</w:t>
                  </w:r>
                </w:p>
              </w:tc>
              <w:tc>
                <w:tcPr>
                  <w:tcW w:w="705" w:type="dxa"/>
                  <w:vAlign w:val="center"/>
                </w:tcPr>
                <w:p w14:paraId="05BBEF55">
                  <w:pPr>
                    <w:jc w:val="center"/>
                    <w:rPr>
                      <w:color w:val="auto"/>
                      <w:szCs w:val="21"/>
                      <w:highlight w:val="none"/>
                    </w:rPr>
                  </w:pPr>
                  <w:r>
                    <w:rPr>
                      <w:color w:val="auto"/>
                      <w:szCs w:val="21"/>
                      <w:highlight w:val="none"/>
                    </w:rPr>
                    <w:t>2</w:t>
                  </w:r>
                  <w:r>
                    <w:rPr>
                      <w:rFonts w:hint="eastAsia"/>
                      <w:color w:val="auto"/>
                      <w:szCs w:val="21"/>
                      <w:highlight w:val="none"/>
                    </w:rPr>
                    <w:t>台</w:t>
                  </w:r>
                </w:p>
              </w:tc>
              <w:tc>
                <w:tcPr>
                  <w:tcW w:w="750" w:type="dxa"/>
                  <w:vAlign w:val="center"/>
                </w:tcPr>
                <w:p w14:paraId="15D9471B">
                  <w:pPr>
                    <w:adjustRightInd w:val="0"/>
                    <w:snapToGrid w:val="0"/>
                    <w:jc w:val="center"/>
                    <w:rPr>
                      <w:color w:val="auto"/>
                      <w:szCs w:val="21"/>
                      <w:highlight w:val="none"/>
                    </w:rPr>
                  </w:pPr>
                  <w:r>
                    <w:rPr>
                      <w:rFonts w:hint="eastAsia"/>
                      <w:color w:val="auto"/>
                      <w:szCs w:val="21"/>
                      <w:highlight w:val="none"/>
                    </w:rPr>
                    <w:t>0</w:t>
                  </w:r>
                </w:p>
              </w:tc>
              <w:tc>
                <w:tcPr>
                  <w:tcW w:w="1755" w:type="dxa"/>
                  <w:vAlign w:val="center"/>
                </w:tcPr>
                <w:p w14:paraId="4B8992EB">
                  <w:pPr>
                    <w:adjustRightInd w:val="0"/>
                    <w:snapToGrid w:val="0"/>
                    <w:jc w:val="center"/>
                    <w:rPr>
                      <w:color w:val="auto"/>
                      <w:kern w:val="0"/>
                      <w:szCs w:val="21"/>
                      <w:highlight w:val="none"/>
                    </w:rPr>
                  </w:pPr>
                  <w:r>
                    <w:rPr>
                      <w:rFonts w:hint="eastAsia"/>
                      <w:color w:val="auto"/>
                      <w:kern w:val="0"/>
                      <w:szCs w:val="21"/>
                      <w:highlight w:val="none"/>
                    </w:rPr>
                    <w:t>备用发电</w:t>
                  </w:r>
                </w:p>
              </w:tc>
              <w:tc>
                <w:tcPr>
                  <w:tcW w:w="465" w:type="dxa"/>
                  <w:vAlign w:val="center"/>
                </w:tcPr>
                <w:p w14:paraId="77D62D49">
                  <w:pPr>
                    <w:adjustRightInd w:val="0"/>
                    <w:snapToGrid w:val="0"/>
                    <w:jc w:val="center"/>
                    <w:rPr>
                      <w:color w:val="auto"/>
                      <w:szCs w:val="21"/>
                      <w:highlight w:val="none"/>
                    </w:rPr>
                  </w:pPr>
                  <w:r>
                    <w:rPr>
                      <w:color w:val="auto"/>
                      <w:szCs w:val="21"/>
                      <w:highlight w:val="none"/>
                    </w:rPr>
                    <w:t>电</w:t>
                  </w:r>
                </w:p>
              </w:tc>
              <w:tc>
                <w:tcPr>
                  <w:tcW w:w="1080" w:type="dxa"/>
                  <w:vAlign w:val="center"/>
                </w:tcPr>
                <w:p w14:paraId="6E943111">
                  <w:pPr>
                    <w:adjustRightInd w:val="0"/>
                    <w:snapToGrid w:val="0"/>
                    <w:jc w:val="center"/>
                    <w:rPr>
                      <w:color w:val="auto"/>
                      <w:szCs w:val="21"/>
                      <w:highlight w:val="none"/>
                    </w:rPr>
                  </w:pPr>
                  <w:r>
                    <w:rPr>
                      <w:rFonts w:hint="eastAsia"/>
                      <w:color w:val="auto"/>
                      <w:szCs w:val="21"/>
                      <w:highlight w:val="none"/>
                    </w:rPr>
                    <w:t>发电机房</w:t>
                  </w:r>
                </w:p>
              </w:tc>
            </w:tr>
            <w:tr w14:paraId="6995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083EADEB">
                  <w:pPr>
                    <w:adjustRightInd w:val="0"/>
                    <w:snapToGrid w:val="0"/>
                    <w:jc w:val="center"/>
                    <w:rPr>
                      <w:color w:val="auto"/>
                      <w:szCs w:val="21"/>
                      <w:highlight w:val="none"/>
                    </w:rPr>
                  </w:pPr>
                  <w:r>
                    <w:rPr>
                      <w:rFonts w:hint="eastAsia"/>
                      <w:color w:val="auto"/>
                      <w:szCs w:val="21"/>
                      <w:highlight w:val="none"/>
                    </w:rPr>
                    <w:t>17</w:t>
                  </w:r>
                </w:p>
              </w:tc>
              <w:tc>
                <w:tcPr>
                  <w:tcW w:w="1582" w:type="dxa"/>
                  <w:vAlign w:val="center"/>
                </w:tcPr>
                <w:p w14:paraId="67A2D527">
                  <w:pPr>
                    <w:jc w:val="center"/>
                    <w:rPr>
                      <w:color w:val="auto"/>
                      <w:szCs w:val="21"/>
                      <w:highlight w:val="none"/>
                    </w:rPr>
                  </w:pPr>
                  <w:r>
                    <w:rPr>
                      <w:rFonts w:hint="eastAsia"/>
                      <w:color w:val="auto"/>
                      <w:szCs w:val="21"/>
                      <w:highlight w:val="none"/>
                    </w:rPr>
                    <w:t>纯水系统</w:t>
                  </w:r>
                </w:p>
              </w:tc>
              <w:tc>
                <w:tcPr>
                  <w:tcW w:w="1305" w:type="dxa"/>
                  <w:vAlign w:val="center"/>
                </w:tcPr>
                <w:p w14:paraId="6CD82FA1">
                  <w:pPr>
                    <w:pStyle w:val="115"/>
                    <w:spacing w:beforeLines="0" w:afterLines="0" w:line="240" w:lineRule="auto"/>
                    <w:ind w:firstLine="0"/>
                    <w:rPr>
                      <w:rFonts w:ascii="Times New Roman"/>
                      <w:snapToGrid w:val="0"/>
                      <w:color w:val="auto"/>
                      <w:szCs w:val="21"/>
                      <w:highlight w:val="none"/>
                    </w:rPr>
                  </w:pPr>
                  <w:r>
                    <w:rPr>
                      <w:rFonts w:hint="eastAsia" w:ascii="Times New Roman"/>
                      <w:color w:val="auto"/>
                      <w:szCs w:val="21"/>
                      <w:highlight w:val="none"/>
                    </w:rPr>
                    <w:t>0.6m</w:t>
                  </w:r>
                  <w:r>
                    <w:rPr>
                      <w:rFonts w:hint="eastAsia" w:ascii="Times New Roman"/>
                      <w:color w:val="auto"/>
                      <w:szCs w:val="21"/>
                      <w:highlight w:val="none"/>
                      <w:vertAlign w:val="superscript"/>
                    </w:rPr>
                    <w:t>3</w:t>
                  </w:r>
                </w:p>
              </w:tc>
              <w:tc>
                <w:tcPr>
                  <w:tcW w:w="825" w:type="dxa"/>
                  <w:vAlign w:val="center"/>
                </w:tcPr>
                <w:p w14:paraId="3CA813FF">
                  <w:pPr>
                    <w:pStyle w:val="115"/>
                    <w:spacing w:beforeLines="0" w:afterLines="0" w:line="240" w:lineRule="auto"/>
                    <w:ind w:firstLine="0"/>
                    <w:rPr>
                      <w:rFonts w:ascii="Times New Roman"/>
                      <w:snapToGrid w:val="0"/>
                      <w:color w:val="auto"/>
                      <w:kern w:val="2"/>
                      <w:szCs w:val="21"/>
                      <w:highlight w:val="none"/>
                    </w:rPr>
                  </w:pPr>
                  <w:r>
                    <w:rPr>
                      <w:rFonts w:hint="eastAsia" w:ascii="Times New Roman"/>
                      <w:color w:val="auto"/>
                      <w:kern w:val="2"/>
                      <w:szCs w:val="21"/>
                      <w:highlight w:val="none"/>
                    </w:rPr>
                    <w:t>1套</w:t>
                  </w:r>
                </w:p>
              </w:tc>
              <w:tc>
                <w:tcPr>
                  <w:tcW w:w="675" w:type="dxa"/>
                  <w:vAlign w:val="center"/>
                </w:tcPr>
                <w:p w14:paraId="1713F5AE">
                  <w:pPr>
                    <w:adjustRightInd w:val="0"/>
                    <w:snapToGrid w:val="0"/>
                    <w:jc w:val="center"/>
                    <w:rPr>
                      <w:color w:val="auto"/>
                      <w:szCs w:val="21"/>
                      <w:highlight w:val="none"/>
                    </w:rPr>
                  </w:pPr>
                  <w:r>
                    <w:rPr>
                      <w:color w:val="auto"/>
                      <w:szCs w:val="21"/>
                      <w:highlight w:val="none"/>
                    </w:rPr>
                    <w:t>0</w:t>
                  </w:r>
                </w:p>
              </w:tc>
              <w:tc>
                <w:tcPr>
                  <w:tcW w:w="705" w:type="dxa"/>
                  <w:vAlign w:val="center"/>
                </w:tcPr>
                <w:p w14:paraId="73C4D818">
                  <w:pPr>
                    <w:pStyle w:val="115"/>
                    <w:spacing w:beforeLines="0" w:afterLines="0" w:line="240" w:lineRule="auto"/>
                    <w:ind w:firstLine="0"/>
                    <w:rPr>
                      <w:rFonts w:ascii="Times New Roman"/>
                      <w:snapToGrid w:val="0"/>
                      <w:color w:val="auto"/>
                      <w:kern w:val="2"/>
                      <w:szCs w:val="21"/>
                      <w:highlight w:val="none"/>
                    </w:rPr>
                  </w:pPr>
                  <w:r>
                    <w:rPr>
                      <w:rFonts w:hint="eastAsia" w:ascii="Times New Roman"/>
                      <w:color w:val="auto"/>
                      <w:kern w:val="2"/>
                      <w:szCs w:val="21"/>
                      <w:highlight w:val="none"/>
                    </w:rPr>
                    <w:t>1套</w:t>
                  </w:r>
                </w:p>
              </w:tc>
              <w:tc>
                <w:tcPr>
                  <w:tcW w:w="750" w:type="dxa"/>
                  <w:vAlign w:val="center"/>
                </w:tcPr>
                <w:p w14:paraId="61A30049">
                  <w:pPr>
                    <w:adjustRightInd w:val="0"/>
                    <w:snapToGrid w:val="0"/>
                    <w:jc w:val="center"/>
                    <w:rPr>
                      <w:color w:val="auto"/>
                      <w:szCs w:val="21"/>
                      <w:highlight w:val="none"/>
                    </w:rPr>
                  </w:pPr>
                  <w:r>
                    <w:rPr>
                      <w:color w:val="auto"/>
                      <w:szCs w:val="21"/>
                      <w:highlight w:val="none"/>
                    </w:rPr>
                    <w:t>0</w:t>
                  </w:r>
                </w:p>
              </w:tc>
              <w:tc>
                <w:tcPr>
                  <w:tcW w:w="1755" w:type="dxa"/>
                  <w:vAlign w:val="center"/>
                </w:tcPr>
                <w:p w14:paraId="454EDC31">
                  <w:pPr>
                    <w:adjustRightInd w:val="0"/>
                    <w:snapToGrid w:val="0"/>
                    <w:jc w:val="center"/>
                    <w:rPr>
                      <w:snapToGrid w:val="0"/>
                      <w:color w:val="auto"/>
                      <w:kern w:val="0"/>
                      <w:szCs w:val="21"/>
                      <w:highlight w:val="none"/>
                    </w:rPr>
                  </w:pPr>
                  <w:r>
                    <w:rPr>
                      <w:rFonts w:hint="eastAsia"/>
                      <w:snapToGrid w:val="0"/>
                      <w:color w:val="auto"/>
                      <w:kern w:val="0"/>
                      <w:szCs w:val="21"/>
                      <w:highlight w:val="none"/>
                    </w:rPr>
                    <w:t>提供软化水</w:t>
                  </w:r>
                </w:p>
              </w:tc>
              <w:tc>
                <w:tcPr>
                  <w:tcW w:w="465" w:type="dxa"/>
                  <w:vAlign w:val="center"/>
                </w:tcPr>
                <w:p w14:paraId="7D621E50">
                  <w:pPr>
                    <w:adjustRightInd w:val="0"/>
                    <w:snapToGrid w:val="0"/>
                    <w:jc w:val="center"/>
                    <w:rPr>
                      <w:color w:val="auto"/>
                      <w:szCs w:val="21"/>
                      <w:highlight w:val="none"/>
                    </w:rPr>
                  </w:pPr>
                  <w:r>
                    <w:rPr>
                      <w:color w:val="auto"/>
                      <w:szCs w:val="21"/>
                      <w:highlight w:val="none"/>
                    </w:rPr>
                    <w:t>电</w:t>
                  </w:r>
                </w:p>
              </w:tc>
              <w:tc>
                <w:tcPr>
                  <w:tcW w:w="1080" w:type="dxa"/>
                  <w:vAlign w:val="center"/>
                </w:tcPr>
                <w:p w14:paraId="3831CD16">
                  <w:pPr>
                    <w:adjustRightInd w:val="0"/>
                    <w:snapToGrid w:val="0"/>
                    <w:jc w:val="center"/>
                    <w:rPr>
                      <w:color w:val="auto"/>
                      <w:szCs w:val="21"/>
                      <w:highlight w:val="none"/>
                    </w:rPr>
                  </w:pPr>
                  <w:r>
                    <w:rPr>
                      <w:rFonts w:hint="eastAsia"/>
                      <w:color w:val="auto"/>
                      <w:szCs w:val="21"/>
                      <w:highlight w:val="none"/>
                    </w:rPr>
                    <w:t>氧化车间</w:t>
                  </w:r>
                </w:p>
              </w:tc>
            </w:tr>
            <w:tr w14:paraId="3214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2C1DA180">
                  <w:pPr>
                    <w:adjustRightInd w:val="0"/>
                    <w:snapToGrid w:val="0"/>
                    <w:jc w:val="center"/>
                    <w:rPr>
                      <w:color w:val="auto"/>
                      <w:szCs w:val="21"/>
                      <w:highlight w:val="none"/>
                    </w:rPr>
                  </w:pPr>
                  <w:r>
                    <w:rPr>
                      <w:rFonts w:hint="eastAsia"/>
                      <w:color w:val="auto"/>
                      <w:szCs w:val="21"/>
                      <w:highlight w:val="none"/>
                    </w:rPr>
                    <w:t>18</w:t>
                  </w:r>
                </w:p>
              </w:tc>
              <w:tc>
                <w:tcPr>
                  <w:tcW w:w="1582" w:type="dxa"/>
                  <w:vAlign w:val="center"/>
                </w:tcPr>
                <w:p w14:paraId="07C979CE">
                  <w:pPr>
                    <w:jc w:val="center"/>
                    <w:rPr>
                      <w:color w:val="auto"/>
                      <w:szCs w:val="21"/>
                      <w:highlight w:val="none"/>
                    </w:rPr>
                  </w:pPr>
                  <w:r>
                    <w:rPr>
                      <w:rFonts w:hint="eastAsia"/>
                      <w:color w:val="auto"/>
                      <w:szCs w:val="21"/>
                      <w:highlight w:val="none"/>
                    </w:rPr>
                    <w:t>电泳漆加工生产线</w:t>
                  </w:r>
                </w:p>
              </w:tc>
              <w:tc>
                <w:tcPr>
                  <w:tcW w:w="1305" w:type="dxa"/>
                  <w:vAlign w:val="center"/>
                </w:tcPr>
                <w:p w14:paraId="57528031">
                  <w:pPr>
                    <w:pStyle w:val="115"/>
                    <w:spacing w:beforeLines="0" w:afterLines="0" w:line="240" w:lineRule="auto"/>
                    <w:ind w:firstLine="0"/>
                    <w:rPr>
                      <w:rFonts w:ascii="Times New Roman"/>
                      <w:snapToGrid w:val="0"/>
                      <w:color w:val="auto"/>
                      <w:szCs w:val="21"/>
                      <w:highlight w:val="none"/>
                    </w:rPr>
                  </w:pPr>
                  <w:r>
                    <w:rPr>
                      <w:rFonts w:hint="eastAsia"/>
                      <w:color w:val="auto"/>
                      <w:kern w:val="2"/>
                      <w:szCs w:val="21"/>
                      <w:highlight w:val="none"/>
                    </w:rPr>
                    <w:t>定制</w:t>
                  </w:r>
                </w:p>
              </w:tc>
              <w:tc>
                <w:tcPr>
                  <w:tcW w:w="825" w:type="dxa"/>
                  <w:vAlign w:val="center"/>
                </w:tcPr>
                <w:p w14:paraId="130CC606">
                  <w:pPr>
                    <w:pStyle w:val="115"/>
                    <w:spacing w:beforeLines="0" w:afterLines="0" w:line="240" w:lineRule="auto"/>
                    <w:ind w:firstLine="0"/>
                    <w:rPr>
                      <w:rFonts w:ascii="Times New Roman"/>
                      <w:snapToGrid w:val="0"/>
                      <w:color w:val="auto"/>
                      <w:kern w:val="2"/>
                      <w:szCs w:val="21"/>
                      <w:highlight w:val="none"/>
                    </w:rPr>
                  </w:pPr>
                  <w:r>
                    <w:rPr>
                      <w:rFonts w:hint="eastAsia" w:ascii="Times New Roman"/>
                      <w:snapToGrid w:val="0"/>
                      <w:color w:val="auto"/>
                      <w:kern w:val="2"/>
                      <w:szCs w:val="21"/>
                      <w:highlight w:val="none"/>
                    </w:rPr>
                    <w:t>0</w:t>
                  </w:r>
                </w:p>
              </w:tc>
              <w:tc>
                <w:tcPr>
                  <w:tcW w:w="675" w:type="dxa"/>
                  <w:vAlign w:val="center"/>
                </w:tcPr>
                <w:p w14:paraId="6C158F12">
                  <w:pPr>
                    <w:adjustRightInd w:val="0"/>
                    <w:snapToGrid w:val="0"/>
                    <w:jc w:val="center"/>
                    <w:rPr>
                      <w:color w:val="auto"/>
                      <w:szCs w:val="21"/>
                      <w:highlight w:val="none"/>
                    </w:rPr>
                  </w:pPr>
                  <w:r>
                    <w:rPr>
                      <w:rFonts w:hint="eastAsia"/>
                      <w:snapToGrid w:val="0"/>
                      <w:color w:val="auto"/>
                      <w:szCs w:val="21"/>
                      <w:highlight w:val="none"/>
                      <w:lang w:val="en-US" w:eastAsia="zh-CN"/>
                    </w:rPr>
                    <w:t>+</w:t>
                  </w:r>
                  <w:r>
                    <w:rPr>
                      <w:rFonts w:hint="eastAsia"/>
                      <w:snapToGrid w:val="0"/>
                      <w:color w:val="auto"/>
                      <w:szCs w:val="21"/>
                      <w:highlight w:val="none"/>
                    </w:rPr>
                    <w:t>1条</w:t>
                  </w:r>
                </w:p>
              </w:tc>
              <w:tc>
                <w:tcPr>
                  <w:tcW w:w="705" w:type="dxa"/>
                  <w:vAlign w:val="center"/>
                </w:tcPr>
                <w:p w14:paraId="121E9CE7">
                  <w:pPr>
                    <w:pStyle w:val="115"/>
                    <w:spacing w:beforeLines="0" w:afterLines="0" w:line="240" w:lineRule="auto"/>
                    <w:ind w:firstLine="0"/>
                    <w:rPr>
                      <w:rFonts w:ascii="Times New Roman"/>
                      <w:snapToGrid w:val="0"/>
                      <w:color w:val="auto"/>
                      <w:szCs w:val="21"/>
                      <w:highlight w:val="none"/>
                    </w:rPr>
                  </w:pPr>
                  <w:r>
                    <w:rPr>
                      <w:rFonts w:hint="eastAsia" w:ascii="Times New Roman"/>
                      <w:snapToGrid w:val="0"/>
                      <w:color w:val="auto"/>
                      <w:kern w:val="2"/>
                      <w:szCs w:val="21"/>
                      <w:highlight w:val="none"/>
                    </w:rPr>
                    <w:t>1条</w:t>
                  </w:r>
                </w:p>
              </w:tc>
              <w:tc>
                <w:tcPr>
                  <w:tcW w:w="750" w:type="dxa"/>
                  <w:vAlign w:val="center"/>
                </w:tcPr>
                <w:p w14:paraId="3B760B08">
                  <w:pPr>
                    <w:adjustRightInd w:val="0"/>
                    <w:snapToGrid w:val="0"/>
                    <w:jc w:val="center"/>
                    <w:rPr>
                      <w:color w:val="auto"/>
                      <w:szCs w:val="21"/>
                      <w:highlight w:val="none"/>
                    </w:rPr>
                  </w:pPr>
                  <w:r>
                    <w:rPr>
                      <w:rFonts w:hint="eastAsia"/>
                      <w:color w:val="auto"/>
                      <w:szCs w:val="21"/>
                      <w:highlight w:val="none"/>
                    </w:rPr>
                    <w:t>+1条</w:t>
                  </w:r>
                </w:p>
              </w:tc>
              <w:tc>
                <w:tcPr>
                  <w:tcW w:w="1755" w:type="dxa"/>
                  <w:vAlign w:val="center"/>
                </w:tcPr>
                <w:p w14:paraId="3A9205D4">
                  <w:pPr>
                    <w:adjustRightInd w:val="0"/>
                    <w:snapToGrid w:val="0"/>
                    <w:jc w:val="center"/>
                    <w:rPr>
                      <w:snapToGrid w:val="0"/>
                      <w:color w:val="auto"/>
                      <w:kern w:val="0"/>
                      <w:szCs w:val="21"/>
                      <w:highlight w:val="none"/>
                    </w:rPr>
                  </w:pPr>
                  <w:r>
                    <w:rPr>
                      <w:rFonts w:hint="eastAsia"/>
                      <w:snapToGrid w:val="0"/>
                      <w:color w:val="auto"/>
                      <w:kern w:val="0"/>
                      <w:szCs w:val="21"/>
                      <w:highlight w:val="none"/>
                    </w:rPr>
                    <w:t>电泳漆表面加工</w:t>
                  </w:r>
                </w:p>
              </w:tc>
              <w:tc>
                <w:tcPr>
                  <w:tcW w:w="465" w:type="dxa"/>
                  <w:vAlign w:val="center"/>
                </w:tcPr>
                <w:p w14:paraId="0EF65A47">
                  <w:pPr>
                    <w:adjustRightInd w:val="0"/>
                    <w:snapToGrid w:val="0"/>
                    <w:jc w:val="center"/>
                    <w:rPr>
                      <w:color w:val="auto"/>
                      <w:szCs w:val="21"/>
                      <w:highlight w:val="none"/>
                    </w:rPr>
                  </w:pPr>
                  <w:r>
                    <w:rPr>
                      <w:color w:val="auto"/>
                      <w:szCs w:val="21"/>
                      <w:highlight w:val="none"/>
                    </w:rPr>
                    <w:t>电</w:t>
                  </w:r>
                </w:p>
              </w:tc>
              <w:tc>
                <w:tcPr>
                  <w:tcW w:w="1080" w:type="dxa"/>
                  <w:vAlign w:val="center"/>
                </w:tcPr>
                <w:p w14:paraId="1BF21B7B">
                  <w:pPr>
                    <w:adjustRightInd w:val="0"/>
                    <w:snapToGrid w:val="0"/>
                    <w:jc w:val="center"/>
                    <w:rPr>
                      <w:color w:val="auto"/>
                      <w:szCs w:val="21"/>
                      <w:highlight w:val="none"/>
                    </w:rPr>
                  </w:pPr>
                  <w:r>
                    <w:rPr>
                      <w:rFonts w:hint="eastAsia"/>
                      <w:color w:val="auto"/>
                      <w:szCs w:val="21"/>
                      <w:highlight w:val="none"/>
                    </w:rPr>
                    <w:t>电泳车间</w:t>
                  </w:r>
                </w:p>
              </w:tc>
            </w:tr>
            <w:tr w14:paraId="3B59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1" w:type="dxa"/>
                  <w:vAlign w:val="center"/>
                </w:tcPr>
                <w:p w14:paraId="6807487B">
                  <w:pPr>
                    <w:adjustRightInd w:val="0"/>
                    <w:snapToGrid w:val="0"/>
                    <w:jc w:val="center"/>
                    <w:rPr>
                      <w:color w:val="auto"/>
                      <w:szCs w:val="21"/>
                      <w:highlight w:val="none"/>
                    </w:rPr>
                  </w:pPr>
                  <w:r>
                    <w:rPr>
                      <w:rFonts w:hint="eastAsia"/>
                      <w:color w:val="auto"/>
                      <w:szCs w:val="21"/>
                      <w:highlight w:val="none"/>
                    </w:rPr>
                    <w:t>19</w:t>
                  </w:r>
                </w:p>
              </w:tc>
              <w:tc>
                <w:tcPr>
                  <w:tcW w:w="1582" w:type="dxa"/>
                  <w:vAlign w:val="center"/>
                </w:tcPr>
                <w:p w14:paraId="7A747337">
                  <w:pPr>
                    <w:jc w:val="center"/>
                    <w:rPr>
                      <w:color w:val="auto"/>
                      <w:szCs w:val="21"/>
                      <w:highlight w:val="none"/>
                    </w:rPr>
                  </w:pPr>
                  <w:r>
                    <w:rPr>
                      <w:rFonts w:hint="eastAsia"/>
                      <w:color w:val="auto"/>
                      <w:szCs w:val="21"/>
                      <w:highlight w:val="none"/>
                    </w:rPr>
                    <w:t>电烤箱</w:t>
                  </w:r>
                </w:p>
              </w:tc>
              <w:tc>
                <w:tcPr>
                  <w:tcW w:w="1305" w:type="dxa"/>
                  <w:vAlign w:val="center"/>
                </w:tcPr>
                <w:p w14:paraId="607511B2">
                  <w:pPr>
                    <w:pStyle w:val="115"/>
                    <w:spacing w:beforeLines="0" w:afterLines="0" w:line="240" w:lineRule="auto"/>
                    <w:ind w:firstLine="0"/>
                    <w:rPr>
                      <w:rFonts w:hint="eastAsia"/>
                      <w:color w:val="auto"/>
                      <w:kern w:val="2"/>
                      <w:szCs w:val="21"/>
                      <w:highlight w:val="none"/>
                    </w:rPr>
                  </w:pPr>
                  <w:r>
                    <w:rPr>
                      <w:rFonts w:hint="eastAsia" w:ascii="Times New Roman"/>
                      <w:color w:val="auto"/>
                      <w:szCs w:val="21"/>
                      <w:highlight w:val="none"/>
                    </w:rPr>
                    <w:t>2</w:t>
                  </w:r>
                  <w:r>
                    <w:rPr>
                      <w:rFonts w:ascii="Times New Roman"/>
                      <w:color w:val="auto"/>
                      <w:szCs w:val="21"/>
                      <w:highlight w:val="none"/>
                    </w:rPr>
                    <w:t>万大卡（长</w:t>
                  </w:r>
                  <w:r>
                    <w:rPr>
                      <w:rFonts w:hint="eastAsia" w:ascii="Times New Roman"/>
                      <w:color w:val="auto"/>
                      <w:szCs w:val="21"/>
                      <w:highlight w:val="none"/>
                    </w:rPr>
                    <w:t>1.2</w:t>
                  </w:r>
                  <w:r>
                    <w:rPr>
                      <w:rFonts w:ascii="Times New Roman"/>
                      <w:color w:val="auto"/>
                      <w:szCs w:val="21"/>
                      <w:highlight w:val="none"/>
                    </w:rPr>
                    <w:t>m×宽</w:t>
                  </w:r>
                  <w:r>
                    <w:rPr>
                      <w:rFonts w:hint="eastAsia" w:ascii="Times New Roman"/>
                      <w:color w:val="auto"/>
                      <w:szCs w:val="21"/>
                      <w:highlight w:val="none"/>
                    </w:rPr>
                    <w:t>1.5</w:t>
                  </w:r>
                  <w:r>
                    <w:rPr>
                      <w:rFonts w:ascii="Times New Roman"/>
                      <w:color w:val="auto"/>
                      <w:szCs w:val="21"/>
                      <w:highlight w:val="none"/>
                    </w:rPr>
                    <w:t>m×高</w:t>
                  </w:r>
                  <w:r>
                    <w:rPr>
                      <w:rFonts w:hint="eastAsia" w:ascii="Times New Roman"/>
                      <w:color w:val="auto"/>
                      <w:szCs w:val="21"/>
                      <w:highlight w:val="none"/>
                    </w:rPr>
                    <w:t>1.92</w:t>
                  </w:r>
                  <w:r>
                    <w:rPr>
                      <w:rFonts w:ascii="Times New Roman"/>
                      <w:color w:val="auto"/>
                      <w:szCs w:val="21"/>
                      <w:highlight w:val="none"/>
                    </w:rPr>
                    <w:t>m）</w:t>
                  </w:r>
                </w:p>
              </w:tc>
              <w:tc>
                <w:tcPr>
                  <w:tcW w:w="825" w:type="dxa"/>
                  <w:vAlign w:val="center"/>
                </w:tcPr>
                <w:p w14:paraId="0634B84D">
                  <w:pPr>
                    <w:pStyle w:val="115"/>
                    <w:spacing w:beforeLines="0" w:afterLines="0" w:line="240" w:lineRule="auto"/>
                    <w:ind w:firstLine="0"/>
                    <w:rPr>
                      <w:rFonts w:ascii="Times New Roman"/>
                      <w:snapToGrid w:val="0"/>
                      <w:color w:val="auto"/>
                      <w:kern w:val="2"/>
                      <w:szCs w:val="21"/>
                      <w:highlight w:val="none"/>
                    </w:rPr>
                  </w:pPr>
                  <w:r>
                    <w:rPr>
                      <w:rFonts w:hint="eastAsia" w:ascii="Times New Roman"/>
                      <w:snapToGrid w:val="0"/>
                      <w:color w:val="auto"/>
                      <w:kern w:val="2"/>
                      <w:szCs w:val="21"/>
                      <w:highlight w:val="none"/>
                    </w:rPr>
                    <w:t>0</w:t>
                  </w:r>
                </w:p>
              </w:tc>
              <w:tc>
                <w:tcPr>
                  <w:tcW w:w="675" w:type="dxa"/>
                  <w:vAlign w:val="center"/>
                </w:tcPr>
                <w:p w14:paraId="2F8F2542">
                  <w:pPr>
                    <w:adjustRightInd w:val="0"/>
                    <w:snapToGrid w:val="0"/>
                    <w:jc w:val="center"/>
                    <w:rPr>
                      <w:snapToGrid w:val="0"/>
                      <w:color w:val="auto"/>
                      <w:szCs w:val="21"/>
                      <w:highlight w:val="none"/>
                    </w:rPr>
                  </w:pPr>
                  <w:r>
                    <w:rPr>
                      <w:rFonts w:hint="eastAsia"/>
                      <w:snapToGrid w:val="0"/>
                      <w:color w:val="auto"/>
                      <w:szCs w:val="21"/>
                      <w:highlight w:val="none"/>
                      <w:lang w:val="en-US" w:eastAsia="zh-CN"/>
                    </w:rPr>
                    <w:t>+2</w:t>
                  </w:r>
                  <w:r>
                    <w:rPr>
                      <w:rFonts w:hint="eastAsia"/>
                      <w:snapToGrid w:val="0"/>
                      <w:color w:val="auto"/>
                      <w:szCs w:val="21"/>
                      <w:highlight w:val="none"/>
                    </w:rPr>
                    <w:t>个</w:t>
                  </w:r>
                </w:p>
              </w:tc>
              <w:tc>
                <w:tcPr>
                  <w:tcW w:w="705" w:type="dxa"/>
                  <w:vAlign w:val="center"/>
                </w:tcPr>
                <w:p w14:paraId="2195332A">
                  <w:pPr>
                    <w:pStyle w:val="115"/>
                    <w:spacing w:beforeLines="0" w:afterLines="0" w:line="240" w:lineRule="auto"/>
                    <w:ind w:firstLine="0"/>
                    <w:rPr>
                      <w:rFonts w:ascii="Times New Roman"/>
                      <w:snapToGrid w:val="0"/>
                      <w:color w:val="auto"/>
                      <w:kern w:val="2"/>
                      <w:szCs w:val="21"/>
                      <w:highlight w:val="none"/>
                    </w:rPr>
                  </w:pPr>
                  <w:r>
                    <w:rPr>
                      <w:rFonts w:hint="eastAsia" w:ascii="Times New Roman"/>
                      <w:snapToGrid w:val="0"/>
                      <w:color w:val="auto"/>
                      <w:kern w:val="2"/>
                      <w:szCs w:val="21"/>
                      <w:highlight w:val="none"/>
                      <w:lang w:val="en-US" w:eastAsia="zh-CN"/>
                    </w:rPr>
                    <w:t>2</w:t>
                  </w:r>
                  <w:r>
                    <w:rPr>
                      <w:rFonts w:hint="eastAsia" w:ascii="Times New Roman"/>
                      <w:snapToGrid w:val="0"/>
                      <w:color w:val="auto"/>
                      <w:kern w:val="2"/>
                      <w:szCs w:val="21"/>
                      <w:highlight w:val="none"/>
                    </w:rPr>
                    <w:t>个</w:t>
                  </w:r>
                </w:p>
              </w:tc>
              <w:tc>
                <w:tcPr>
                  <w:tcW w:w="750" w:type="dxa"/>
                  <w:vAlign w:val="center"/>
                </w:tcPr>
                <w:p w14:paraId="73D89218">
                  <w:pPr>
                    <w:adjustRightInd w:val="0"/>
                    <w:snapToGrid w:val="0"/>
                    <w:jc w:val="center"/>
                    <w:rPr>
                      <w:color w:val="auto"/>
                      <w:szCs w:val="21"/>
                      <w:highlight w:val="none"/>
                    </w:rPr>
                  </w:pPr>
                  <w:r>
                    <w:rPr>
                      <w:rFonts w:hint="eastAsia"/>
                      <w:color w:val="auto"/>
                      <w:szCs w:val="21"/>
                      <w:highlight w:val="none"/>
                    </w:rPr>
                    <w:t>+</w:t>
                  </w:r>
                  <w:r>
                    <w:rPr>
                      <w:rFonts w:hint="eastAsia"/>
                      <w:color w:val="auto"/>
                      <w:szCs w:val="21"/>
                      <w:highlight w:val="none"/>
                      <w:lang w:val="en-US" w:eastAsia="zh-CN"/>
                    </w:rPr>
                    <w:t>2</w:t>
                  </w:r>
                  <w:r>
                    <w:rPr>
                      <w:rFonts w:hint="eastAsia"/>
                      <w:color w:val="auto"/>
                      <w:szCs w:val="21"/>
                      <w:highlight w:val="none"/>
                    </w:rPr>
                    <w:t>个</w:t>
                  </w:r>
                </w:p>
              </w:tc>
              <w:tc>
                <w:tcPr>
                  <w:tcW w:w="1755" w:type="dxa"/>
                  <w:vAlign w:val="center"/>
                </w:tcPr>
                <w:p w14:paraId="566999A1">
                  <w:pPr>
                    <w:adjustRightInd w:val="0"/>
                    <w:snapToGrid w:val="0"/>
                    <w:jc w:val="center"/>
                    <w:rPr>
                      <w:snapToGrid w:val="0"/>
                      <w:color w:val="auto"/>
                      <w:kern w:val="0"/>
                      <w:szCs w:val="21"/>
                      <w:highlight w:val="none"/>
                    </w:rPr>
                  </w:pPr>
                  <w:r>
                    <w:rPr>
                      <w:rFonts w:hint="eastAsia"/>
                      <w:snapToGrid w:val="0"/>
                      <w:color w:val="auto"/>
                      <w:kern w:val="0"/>
                      <w:szCs w:val="21"/>
                      <w:highlight w:val="none"/>
                    </w:rPr>
                    <w:t>电泳后烘干固化</w:t>
                  </w:r>
                </w:p>
              </w:tc>
              <w:tc>
                <w:tcPr>
                  <w:tcW w:w="465" w:type="dxa"/>
                  <w:vAlign w:val="center"/>
                </w:tcPr>
                <w:p w14:paraId="2C379985">
                  <w:pPr>
                    <w:adjustRightInd w:val="0"/>
                    <w:snapToGrid w:val="0"/>
                    <w:jc w:val="center"/>
                    <w:rPr>
                      <w:color w:val="auto"/>
                      <w:szCs w:val="21"/>
                      <w:highlight w:val="none"/>
                    </w:rPr>
                  </w:pPr>
                  <w:r>
                    <w:rPr>
                      <w:rFonts w:hint="eastAsia"/>
                      <w:color w:val="auto"/>
                      <w:szCs w:val="21"/>
                      <w:highlight w:val="none"/>
                    </w:rPr>
                    <w:t>电</w:t>
                  </w:r>
                </w:p>
              </w:tc>
              <w:tc>
                <w:tcPr>
                  <w:tcW w:w="1080" w:type="dxa"/>
                  <w:vAlign w:val="center"/>
                </w:tcPr>
                <w:p w14:paraId="6C094999">
                  <w:pPr>
                    <w:adjustRightInd w:val="0"/>
                    <w:snapToGrid w:val="0"/>
                    <w:jc w:val="center"/>
                    <w:rPr>
                      <w:color w:val="auto"/>
                      <w:szCs w:val="21"/>
                      <w:highlight w:val="none"/>
                    </w:rPr>
                  </w:pPr>
                  <w:r>
                    <w:rPr>
                      <w:rFonts w:hint="eastAsia"/>
                      <w:color w:val="auto"/>
                      <w:szCs w:val="21"/>
                      <w:highlight w:val="none"/>
                    </w:rPr>
                    <w:t>电泳车间</w:t>
                  </w:r>
                </w:p>
              </w:tc>
            </w:tr>
          </w:tbl>
          <w:p w14:paraId="6E0343E4">
            <w:pPr>
              <w:jc w:val="center"/>
              <w:rPr>
                <w:b/>
                <w:color w:val="auto"/>
                <w:szCs w:val="21"/>
              </w:rPr>
            </w:pPr>
            <w:r>
              <w:rPr>
                <w:b/>
                <w:color w:val="auto"/>
                <w:szCs w:val="21"/>
              </w:rPr>
              <w:t>表</w:t>
            </w:r>
            <w:r>
              <w:rPr>
                <w:rFonts w:hint="eastAsia"/>
                <w:b/>
                <w:color w:val="auto"/>
                <w:szCs w:val="21"/>
              </w:rPr>
              <w:t>2-</w:t>
            </w:r>
            <w:r>
              <w:rPr>
                <w:rFonts w:hint="eastAsia"/>
                <w:b/>
                <w:color w:val="auto"/>
                <w:szCs w:val="21"/>
                <w:lang w:val="en-US" w:eastAsia="zh-CN"/>
              </w:rPr>
              <w:t>8</w:t>
            </w:r>
            <w:r>
              <w:rPr>
                <w:b/>
                <w:color w:val="auto"/>
                <w:szCs w:val="21"/>
              </w:rPr>
              <w:t xml:space="preserve">  </w:t>
            </w:r>
            <w:r>
              <w:rPr>
                <w:rFonts w:hint="eastAsia"/>
                <w:b/>
                <w:color w:val="auto"/>
                <w:szCs w:val="21"/>
              </w:rPr>
              <w:t>电泳漆表面加工生产线</w:t>
            </w:r>
            <w:r>
              <w:rPr>
                <w:b/>
                <w:color w:val="auto"/>
                <w:szCs w:val="21"/>
              </w:rPr>
              <w:t>线各槽相关参数表</w:t>
            </w:r>
          </w:p>
          <w:tbl>
            <w:tblPr>
              <w:tblStyle w:val="42"/>
              <w:tblW w:w="9578"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431"/>
              <w:gridCol w:w="1689"/>
              <w:gridCol w:w="690"/>
              <w:gridCol w:w="615"/>
              <w:gridCol w:w="960"/>
              <w:gridCol w:w="1050"/>
              <w:gridCol w:w="2655"/>
              <w:gridCol w:w="735"/>
              <w:gridCol w:w="753"/>
            </w:tblGrid>
            <w:tr w14:paraId="19E79E2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0E506855">
                  <w:pPr>
                    <w:jc w:val="center"/>
                    <w:rPr>
                      <w:b/>
                      <w:bCs/>
                      <w:color w:val="auto"/>
                      <w:szCs w:val="21"/>
                    </w:rPr>
                  </w:pPr>
                  <w:r>
                    <w:rPr>
                      <w:b/>
                      <w:bCs/>
                      <w:color w:val="auto"/>
                      <w:szCs w:val="21"/>
                    </w:rPr>
                    <w:t>序号</w:t>
                  </w:r>
                </w:p>
              </w:tc>
              <w:tc>
                <w:tcPr>
                  <w:tcW w:w="1689" w:type="dxa"/>
                  <w:tcBorders>
                    <w:tl2br w:val="nil"/>
                    <w:tr2bl w:val="nil"/>
                  </w:tcBorders>
                  <w:vAlign w:val="center"/>
                </w:tcPr>
                <w:p w14:paraId="3DBF4AF0">
                  <w:pPr>
                    <w:jc w:val="center"/>
                    <w:textAlignment w:val="center"/>
                    <w:rPr>
                      <w:b/>
                      <w:bCs/>
                      <w:color w:val="auto"/>
                      <w:szCs w:val="21"/>
                    </w:rPr>
                  </w:pPr>
                  <w:r>
                    <w:rPr>
                      <w:b/>
                      <w:bCs/>
                      <w:color w:val="auto"/>
                      <w:kern w:val="0"/>
                      <w:szCs w:val="21"/>
                    </w:rPr>
                    <w:t>槽体名称</w:t>
                  </w:r>
                </w:p>
              </w:tc>
              <w:tc>
                <w:tcPr>
                  <w:tcW w:w="690" w:type="dxa"/>
                  <w:tcBorders>
                    <w:tl2br w:val="nil"/>
                    <w:tr2bl w:val="nil"/>
                  </w:tcBorders>
                  <w:vAlign w:val="center"/>
                </w:tcPr>
                <w:p w14:paraId="6EAAACA8">
                  <w:pPr>
                    <w:jc w:val="center"/>
                    <w:rPr>
                      <w:b/>
                      <w:color w:val="auto"/>
                      <w:szCs w:val="21"/>
                    </w:rPr>
                  </w:pPr>
                  <w:r>
                    <w:rPr>
                      <w:b/>
                      <w:color w:val="auto"/>
                      <w:szCs w:val="21"/>
                    </w:rPr>
                    <w:t>处理方式</w:t>
                  </w:r>
                </w:p>
              </w:tc>
              <w:tc>
                <w:tcPr>
                  <w:tcW w:w="615" w:type="dxa"/>
                  <w:tcBorders>
                    <w:tl2br w:val="nil"/>
                    <w:tr2bl w:val="nil"/>
                  </w:tcBorders>
                  <w:vAlign w:val="center"/>
                </w:tcPr>
                <w:p w14:paraId="24AE9036">
                  <w:pPr>
                    <w:jc w:val="center"/>
                    <w:rPr>
                      <w:b/>
                      <w:color w:val="auto"/>
                      <w:szCs w:val="21"/>
                    </w:rPr>
                  </w:pPr>
                  <w:r>
                    <w:rPr>
                      <w:rFonts w:hint="eastAsia"/>
                      <w:b/>
                      <w:color w:val="auto"/>
                      <w:szCs w:val="21"/>
                    </w:rPr>
                    <w:t>数量</w:t>
                  </w:r>
                </w:p>
              </w:tc>
              <w:tc>
                <w:tcPr>
                  <w:tcW w:w="960" w:type="dxa"/>
                  <w:tcBorders>
                    <w:tl2br w:val="nil"/>
                    <w:tr2bl w:val="nil"/>
                  </w:tcBorders>
                  <w:vAlign w:val="center"/>
                </w:tcPr>
                <w:p w14:paraId="57DF1FBD">
                  <w:pPr>
                    <w:jc w:val="center"/>
                    <w:rPr>
                      <w:color w:val="auto"/>
                      <w:szCs w:val="21"/>
                    </w:rPr>
                  </w:pPr>
                  <w:r>
                    <w:rPr>
                      <w:b/>
                      <w:color w:val="auto"/>
                      <w:szCs w:val="21"/>
                    </w:rPr>
                    <w:t>时间</w:t>
                  </w:r>
                </w:p>
              </w:tc>
              <w:tc>
                <w:tcPr>
                  <w:tcW w:w="1050" w:type="dxa"/>
                  <w:tcBorders>
                    <w:tl2br w:val="nil"/>
                    <w:tr2bl w:val="nil"/>
                  </w:tcBorders>
                  <w:vAlign w:val="center"/>
                </w:tcPr>
                <w:p w14:paraId="25D17160">
                  <w:pPr>
                    <w:jc w:val="center"/>
                    <w:textAlignment w:val="center"/>
                    <w:rPr>
                      <w:b/>
                      <w:bCs/>
                      <w:color w:val="auto"/>
                      <w:kern w:val="0"/>
                      <w:szCs w:val="21"/>
                    </w:rPr>
                  </w:pPr>
                  <w:r>
                    <w:rPr>
                      <w:b/>
                      <w:color w:val="auto"/>
                      <w:szCs w:val="21"/>
                    </w:rPr>
                    <w:t>处理温度</w:t>
                  </w:r>
                </w:p>
              </w:tc>
              <w:tc>
                <w:tcPr>
                  <w:tcW w:w="2655" w:type="dxa"/>
                  <w:tcBorders>
                    <w:tl2br w:val="nil"/>
                    <w:tr2bl w:val="nil"/>
                  </w:tcBorders>
                  <w:vAlign w:val="center"/>
                </w:tcPr>
                <w:p w14:paraId="6EF72FF0">
                  <w:pPr>
                    <w:jc w:val="center"/>
                    <w:textAlignment w:val="center"/>
                    <w:rPr>
                      <w:b/>
                      <w:bCs/>
                      <w:color w:val="auto"/>
                      <w:kern w:val="0"/>
                      <w:szCs w:val="21"/>
                    </w:rPr>
                  </w:pPr>
                  <w:r>
                    <w:rPr>
                      <w:b/>
                      <w:bCs/>
                      <w:color w:val="auto"/>
                      <w:kern w:val="0"/>
                      <w:szCs w:val="21"/>
                    </w:rPr>
                    <w:t>槽体</w:t>
                  </w:r>
                  <w:r>
                    <w:rPr>
                      <w:rFonts w:hint="eastAsia"/>
                      <w:b/>
                      <w:bCs/>
                      <w:color w:val="auto"/>
                      <w:kern w:val="0"/>
                      <w:szCs w:val="21"/>
                    </w:rPr>
                    <w:t>（内尺寸）</w:t>
                  </w:r>
                  <w:r>
                    <w:rPr>
                      <w:b/>
                      <w:bCs/>
                      <w:color w:val="auto"/>
                      <w:kern w:val="0"/>
                      <w:szCs w:val="21"/>
                    </w:rPr>
                    <w:t>尺寸</w:t>
                  </w:r>
                </w:p>
              </w:tc>
              <w:tc>
                <w:tcPr>
                  <w:tcW w:w="735" w:type="dxa"/>
                  <w:tcBorders>
                    <w:tl2br w:val="nil"/>
                    <w:tr2bl w:val="nil"/>
                  </w:tcBorders>
                  <w:vAlign w:val="center"/>
                </w:tcPr>
                <w:p w14:paraId="1BF6EFA5">
                  <w:pPr>
                    <w:jc w:val="center"/>
                    <w:textAlignment w:val="center"/>
                    <w:rPr>
                      <w:b/>
                      <w:bCs/>
                      <w:color w:val="auto"/>
                      <w:kern w:val="0"/>
                      <w:szCs w:val="21"/>
                    </w:rPr>
                  </w:pPr>
                  <w:r>
                    <w:rPr>
                      <w:b/>
                      <w:bCs/>
                      <w:color w:val="auto"/>
                      <w:kern w:val="0"/>
                      <w:szCs w:val="21"/>
                    </w:rPr>
                    <w:t>容积</w:t>
                  </w:r>
                </w:p>
              </w:tc>
              <w:tc>
                <w:tcPr>
                  <w:tcW w:w="753" w:type="dxa"/>
                  <w:tcBorders>
                    <w:tl2br w:val="nil"/>
                    <w:tr2bl w:val="nil"/>
                  </w:tcBorders>
                  <w:vAlign w:val="center"/>
                </w:tcPr>
                <w:p w14:paraId="6B543E51">
                  <w:pPr>
                    <w:jc w:val="center"/>
                    <w:textAlignment w:val="center"/>
                    <w:rPr>
                      <w:rFonts w:hint="eastAsia"/>
                      <w:b/>
                      <w:bCs/>
                      <w:color w:val="auto"/>
                      <w:kern w:val="0"/>
                      <w:szCs w:val="21"/>
                    </w:rPr>
                  </w:pPr>
                  <w:r>
                    <w:rPr>
                      <w:rFonts w:hint="eastAsia"/>
                      <w:b/>
                      <w:bCs/>
                      <w:color w:val="auto"/>
                      <w:kern w:val="0"/>
                      <w:szCs w:val="21"/>
                    </w:rPr>
                    <w:t>功能</w:t>
                  </w:r>
                </w:p>
              </w:tc>
            </w:tr>
            <w:tr w14:paraId="36425E2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65AB8B18">
                  <w:pPr>
                    <w:jc w:val="center"/>
                    <w:rPr>
                      <w:rFonts w:hint="eastAsia"/>
                      <w:color w:val="auto"/>
                      <w:szCs w:val="21"/>
                    </w:rPr>
                  </w:pPr>
                  <w:r>
                    <w:rPr>
                      <w:rFonts w:hint="eastAsia"/>
                      <w:color w:val="auto"/>
                      <w:szCs w:val="21"/>
                    </w:rPr>
                    <w:t>1</w:t>
                  </w:r>
                </w:p>
              </w:tc>
              <w:tc>
                <w:tcPr>
                  <w:tcW w:w="1689" w:type="dxa"/>
                  <w:tcBorders>
                    <w:tl2br w:val="nil"/>
                    <w:tr2bl w:val="nil"/>
                  </w:tcBorders>
                  <w:vAlign w:val="center"/>
                </w:tcPr>
                <w:p w14:paraId="01040FC2">
                  <w:pPr>
                    <w:jc w:val="center"/>
                    <w:rPr>
                      <w:rFonts w:hint="eastAsia"/>
                      <w:color w:val="auto"/>
                      <w:szCs w:val="21"/>
                    </w:rPr>
                  </w:pPr>
                  <w:r>
                    <w:rPr>
                      <w:rFonts w:hint="eastAsia"/>
                      <w:color w:val="auto"/>
                      <w:szCs w:val="21"/>
                    </w:rPr>
                    <w:t>超声波热脱脂槽</w:t>
                  </w:r>
                </w:p>
              </w:tc>
              <w:tc>
                <w:tcPr>
                  <w:tcW w:w="690" w:type="dxa"/>
                  <w:tcBorders>
                    <w:tl2br w:val="nil"/>
                    <w:tr2bl w:val="nil"/>
                  </w:tcBorders>
                  <w:vAlign w:val="center"/>
                </w:tcPr>
                <w:p w14:paraId="13DD3881">
                  <w:pPr>
                    <w:jc w:val="center"/>
                    <w:rPr>
                      <w:rFonts w:hint="eastAsia"/>
                      <w:color w:val="auto"/>
                      <w:szCs w:val="21"/>
                    </w:rPr>
                  </w:pPr>
                  <w:r>
                    <w:rPr>
                      <w:rFonts w:hint="eastAsia"/>
                      <w:color w:val="auto"/>
                      <w:szCs w:val="21"/>
                    </w:rPr>
                    <w:t>浸泡</w:t>
                  </w:r>
                </w:p>
              </w:tc>
              <w:tc>
                <w:tcPr>
                  <w:tcW w:w="615" w:type="dxa"/>
                  <w:tcBorders>
                    <w:tl2br w:val="nil"/>
                    <w:tr2bl w:val="nil"/>
                  </w:tcBorders>
                  <w:vAlign w:val="center"/>
                </w:tcPr>
                <w:p w14:paraId="28CD7B17">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6DF7F89B">
                  <w:pPr>
                    <w:jc w:val="center"/>
                    <w:rPr>
                      <w:rFonts w:hint="eastAsia"/>
                      <w:color w:val="auto"/>
                      <w:szCs w:val="21"/>
                    </w:rPr>
                  </w:pPr>
                  <w:r>
                    <w:rPr>
                      <w:rFonts w:hint="eastAsia"/>
                      <w:color w:val="auto"/>
                      <w:szCs w:val="21"/>
                    </w:rPr>
                    <w:t>2~4min</w:t>
                  </w:r>
                </w:p>
              </w:tc>
              <w:tc>
                <w:tcPr>
                  <w:tcW w:w="1050" w:type="dxa"/>
                  <w:tcBorders>
                    <w:tl2br w:val="nil"/>
                    <w:tr2bl w:val="nil"/>
                  </w:tcBorders>
                  <w:vAlign w:val="center"/>
                </w:tcPr>
                <w:p w14:paraId="5D09534C">
                  <w:pPr>
                    <w:jc w:val="center"/>
                    <w:rPr>
                      <w:rFonts w:hint="eastAsia"/>
                      <w:color w:val="auto"/>
                      <w:szCs w:val="21"/>
                    </w:rPr>
                  </w:pPr>
                  <w:r>
                    <w:rPr>
                      <w:rFonts w:hint="eastAsia"/>
                      <w:color w:val="auto"/>
                      <w:szCs w:val="21"/>
                    </w:rPr>
                    <w:t>40~70℃</w:t>
                  </w:r>
                </w:p>
              </w:tc>
              <w:tc>
                <w:tcPr>
                  <w:tcW w:w="2655" w:type="dxa"/>
                  <w:tcBorders>
                    <w:tl2br w:val="nil"/>
                    <w:tr2bl w:val="nil"/>
                  </w:tcBorders>
                  <w:vAlign w:val="center"/>
                </w:tcPr>
                <w:p w14:paraId="49CD6BF1">
                  <w:pPr>
                    <w:jc w:val="center"/>
                    <w:rPr>
                      <w:rFonts w:hint="eastAsia"/>
                      <w:color w:val="auto"/>
                      <w:szCs w:val="21"/>
                    </w:rPr>
                  </w:pPr>
                  <w:r>
                    <w:rPr>
                      <w:rFonts w:hint="eastAsia"/>
                      <w:color w:val="auto"/>
                      <w:szCs w:val="21"/>
                    </w:rPr>
                    <w:t>L1.075×W0.535×H0.96m</w:t>
                  </w:r>
                </w:p>
              </w:tc>
              <w:tc>
                <w:tcPr>
                  <w:tcW w:w="735" w:type="dxa"/>
                  <w:tcBorders>
                    <w:tl2br w:val="nil"/>
                    <w:tr2bl w:val="nil"/>
                  </w:tcBorders>
                  <w:vAlign w:val="center"/>
                </w:tcPr>
                <w:p w14:paraId="68B2D484">
                  <w:pPr>
                    <w:jc w:val="center"/>
                    <w:rPr>
                      <w:rFonts w:hint="eastAsia"/>
                      <w:color w:val="auto"/>
                      <w:szCs w:val="21"/>
                    </w:rPr>
                  </w:pPr>
                  <w:r>
                    <w:rPr>
                      <w:rFonts w:hint="eastAsia"/>
                      <w:color w:val="auto"/>
                      <w:szCs w:val="21"/>
                    </w:rPr>
                    <w:t>552L</w:t>
                  </w:r>
                </w:p>
              </w:tc>
              <w:tc>
                <w:tcPr>
                  <w:tcW w:w="753" w:type="dxa"/>
                  <w:tcBorders>
                    <w:tl2br w:val="nil"/>
                    <w:tr2bl w:val="nil"/>
                  </w:tcBorders>
                  <w:vAlign w:val="center"/>
                </w:tcPr>
                <w:p w14:paraId="2F8FAF3C">
                  <w:pPr>
                    <w:jc w:val="center"/>
                    <w:rPr>
                      <w:rFonts w:hint="eastAsia"/>
                      <w:color w:val="auto"/>
                      <w:szCs w:val="21"/>
                    </w:rPr>
                  </w:pPr>
                  <w:r>
                    <w:rPr>
                      <w:rFonts w:hint="eastAsia"/>
                      <w:color w:val="auto"/>
                      <w:szCs w:val="21"/>
                    </w:rPr>
                    <w:t>除油</w:t>
                  </w:r>
                </w:p>
              </w:tc>
            </w:tr>
            <w:tr w14:paraId="2AD3AD1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2B21B67C">
                  <w:pPr>
                    <w:jc w:val="center"/>
                    <w:rPr>
                      <w:rFonts w:hint="eastAsia"/>
                      <w:color w:val="auto"/>
                      <w:szCs w:val="21"/>
                    </w:rPr>
                  </w:pPr>
                  <w:r>
                    <w:rPr>
                      <w:rFonts w:hint="eastAsia"/>
                      <w:color w:val="auto"/>
                      <w:szCs w:val="21"/>
                    </w:rPr>
                    <w:t>2</w:t>
                  </w:r>
                </w:p>
              </w:tc>
              <w:tc>
                <w:tcPr>
                  <w:tcW w:w="1689" w:type="dxa"/>
                  <w:tcBorders>
                    <w:tl2br w:val="nil"/>
                    <w:tr2bl w:val="nil"/>
                  </w:tcBorders>
                  <w:vAlign w:val="center"/>
                </w:tcPr>
                <w:p w14:paraId="47628A1D">
                  <w:pPr>
                    <w:jc w:val="center"/>
                    <w:rPr>
                      <w:rFonts w:hint="eastAsia"/>
                      <w:color w:val="auto"/>
                      <w:szCs w:val="21"/>
                    </w:rPr>
                  </w:pPr>
                  <w:r>
                    <w:rPr>
                      <w:rFonts w:hint="eastAsia"/>
                      <w:color w:val="auto"/>
                      <w:szCs w:val="21"/>
                    </w:rPr>
                    <w:t>喷淋水洗槽1</w:t>
                  </w:r>
                </w:p>
              </w:tc>
              <w:tc>
                <w:tcPr>
                  <w:tcW w:w="690" w:type="dxa"/>
                  <w:tcBorders>
                    <w:tl2br w:val="nil"/>
                    <w:tr2bl w:val="nil"/>
                  </w:tcBorders>
                  <w:vAlign w:val="center"/>
                </w:tcPr>
                <w:p w14:paraId="2A5956EC">
                  <w:pPr>
                    <w:jc w:val="center"/>
                    <w:rPr>
                      <w:rFonts w:hint="eastAsia"/>
                      <w:color w:val="auto"/>
                      <w:szCs w:val="21"/>
                    </w:rPr>
                  </w:pPr>
                  <w:r>
                    <w:rPr>
                      <w:rFonts w:hint="eastAsia"/>
                      <w:color w:val="auto"/>
                      <w:szCs w:val="21"/>
                    </w:rPr>
                    <w:t>喷淋</w:t>
                  </w:r>
                </w:p>
              </w:tc>
              <w:tc>
                <w:tcPr>
                  <w:tcW w:w="615" w:type="dxa"/>
                  <w:tcBorders>
                    <w:tl2br w:val="nil"/>
                    <w:tr2bl w:val="nil"/>
                  </w:tcBorders>
                  <w:vAlign w:val="center"/>
                </w:tcPr>
                <w:p w14:paraId="40687426">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023CBC89">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6F19885E">
                  <w:pPr>
                    <w:jc w:val="center"/>
                    <w:rPr>
                      <w:rFonts w:hint="eastAsia"/>
                      <w:color w:val="auto"/>
                      <w:szCs w:val="21"/>
                    </w:rPr>
                  </w:pPr>
                  <w:r>
                    <w:rPr>
                      <w:rFonts w:hint="eastAsia"/>
                      <w:color w:val="auto"/>
                      <w:szCs w:val="21"/>
                    </w:rPr>
                    <w:t>常温</w:t>
                  </w:r>
                </w:p>
              </w:tc>
              <w:tc>
                <w:tcPr>
                  <w:tcW w:w="2655" w:type="dxa"/>
                  <w:tcBorders>
                    <w:tl2br w:val="nil"/>
                    <w:tr2bl w:val="nil"/>
                  </w:tcBorders>
                  <w:vAlign w:val="center"/>
                </w:tcPr>
                <w:p w14:paraId="41916B9F">
                  <w:pPr>
                    <w:jc w:val="center"/>
                    <w:rPr>
                      <w:rFonts w:hint="eastAsia"/>
                      <w:color w:val="auto"/>
                      <w:szCs w:val="21"/>
                    </w:rPr>
                  </w:pPr>
                  <w:r>
                    <w:rPr>
                      <w:rFonts w:hint="eastAsia"/>
                      <w:color w:val="auto"/>
                      <w:szCs w:val="21"/>
                    </w:rPr>
                    <w:t>L0.59×W0.49×H0.97m</w:t>
                  </w:r>
                </w:p>
              </w:tc>
              <w:tc>
                <w:tcPr>
                  <w:tcW w:w="735" w:type="dxa"/>
                  <w:tcBorders>
                    <w:tl2br w:val="nil"/>
                    <w:tr2bl w:val="nil"/>
                  </w:tcBorders>
                  <w:vAlign w:val="center"/>
                </w:tcPr>
                <w:p w14:paraId="02DA8BB5">
                  <w:pPr>
                    <w:jc w:val="center"/>
                    <w:rPr>
                      <w:rFonts w:hint="eastAsia"/>
                      <w:color w:val="auto"/>
                      <w:szCs w:val="21"/>
                    </w:rPr>
                  </w:pPr>
                  <w:r>
                    <w:rPr>
                      <w:rFonts w:hint="eastAsia"/>
                      <w:color w:val="auto"/>
                      <w:szCs w:val="21"/>
                    </w:rPr>
                    <w:t>90L</w:t>
                  </w:r>
                </w:p>
              </w:tc>
              <w:tc>
                <w:tcPr>
                  <w:tcW w:w="753" w:type="dxa"/>
                  <w:tcBorders>
                    <w:tl2br w:val="nil"/>
                    <w:tr2bl w:val="nil"/>
                  </w:tcBorders>
                  <w:vAlign w:val="center"/>
                </w:tcPr>
                <w:p w14:paraId="152E432C">
                  <w:pPr>
                    <w:jc w:val="center"/>
                    <w:rPr>
                      <w:rFonts w:hint="eastAsia"/>
                      <w:color w:val="auto"/>
                      <w:szCs w:val="21"/>
                    </w:rPr>
                  </w:pPr>
                  <w:r>
                    <w:rPr>
                      <w:rFonts w:hint="eastAsia"/>
                      <w:color w:val="auto"/>
                      <w:szCs w:val="21"/>
                    </w:rPr>
                    <w:t>清洗</w:t>
                  </w:r>
                </w:p>
              </w:tc>
            </w:tr>
            <w:tr w14:paraId="69B5ABA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15A49F2E">
                  <w:pPr>
                    <w:jc w:val="center"/>
                    <w:rPr>
                      <w:rFonts w:hint="eastAsia"/>
                      <w:color w:val="auto"/>
                      <w:szCs w:val="21"/>
                    </w:rPr>
                  </w:pPr>
                  <w:r>
                    <w:rPr>
                      <w:rFonts w:hint="eastAsia"/>
                      <w:color w:val="auto"/>
                      <w:szCs w:val="21"/>
                    </w:rPr>
                    <w:t>3</w:t>
                  </w:r>
                </w:p>
              </w:tc>
              <w:tc>
                <w:tcPr>
                  <w:tcW w:w="1689" w:type="dxa"/>
                  <w:tcBorders>
                    <w:tl2br w:val="nil"/>
                    <w:tr2bl w:val="nil"/>
                  </w:tcBorders>
                  <w:vAlign w:val="center"/>
                </w:tcPr>
                <w:p w14:paraId="677B6E4B">
                  <w:pPr>
                    <w:jc w:val="center"/>
                    <w:rPr>
                      <w:rFonts w:hint="eastAsia"/>
                      <w:color w:val="auto"/>
                      <w:szCs w:val="21"/>
                    </w:rPr>
                  </w:pPr>
                  <w:r>
                    <w:rPr>
                      <w:rFonts w:hint="eastAsia"/>
                      <w:color w:val="auto"/>
                      <w:szCs w:val="21"/>
                    </w:rPr>
                    <w:t>自来水洗槽1</w:t>
                  </w:r>
                </w:p>
              </w:tc>
              <w:tc>
                <w:tcPr>
                  <w:tcW w:w="690" w:type="dxa"/>
                  <w:tcBorders>
                    <w:tl2br w:val="nil"/>
                    <w:tr2bl w:val="nil"/>
                  </w:tcBorders>
                  <w:vAlign w:val="center"/>
                </w:tcPr>
                <w:p w14:paraId="05431123">
                  <w:pPr>
                    <w:jc w:val="center"/>
                    <w:rPr>
                      <w:rFonts w:hint="eastAsia"/>
                      <w:color w:val="auto"/>
                      <w:szCs w:val="21"/>
                    </w:rPr>
                  </w:pPr>
                  <w:r>
                    <w:rPr>
                      <w:rFonts w:hint="eastAsia"/>
                      <w:color w:val="auto"/>
                      <w:szCs w:val="21"/>
                    </w:rPr>
                    <w:t>浸泡</w:t>
                  </w:r>
                </w:p>
              </w:tc>
              <w:tc>
                <w:tcPr>
                  <w:tcW w:w="615" w:type="dxa"/>
                  <w:tcBorders>
                    <w:tl2br w:val="nil"/>
                    <w:tr2bl w:val="nil"/>
                  </w:tcBorders>
                  <w:vAlign w:val="center"/>
                </w:tcPr>
                <w:p w14:paraId="78F50FAD">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6C67673E">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55F0980E">
                  <w:pPr>
                    <w:jc w:val="center"/>
                    <w:rPr>
                      <w:rFonts w:hint="eastAsia"/>
                      <w:color w:val="auto"/>
                      <w:szCs w:val="21"/>
                    </w:rPr>
                  </w:pPr>
                  <w:r>
                    <w:rPr>
                      <w:rFonts w:hint="eastAsia"/>
                      <w:color w:val="auto"/>
                      <w:szCs w:val="21"/>
                    </w:rPr>
                    <w:t>常温</w:t>
                  </w:r>
                </w:p>
              </w:tc>
              <w:tc>
                <w:tcPr>
                  <w:tcW w:w="2655" w:type="dxa"/>
                  <w:tcBorders>
                    <w:tl2br w:val="nil"/>
                    <w:tr2bl w:val="nil"/>
                  </w:tcBorders>
                  <w:vAlign w:val="center"/>
                </w:tcPr>
                <w:p w14:paraId="0A062589">
                  <w:pPr>
                    <w:jc w:val="center"/>
                    <w:rPr>
                      <w:rFonts w:hint="eastAsia"/>
                      <w:color w:val="auto"/>
                      <w:szCs w:val="21"/>
                    </w:rPr>
                  </w:pPr>
                  <w:r>
                    <w:rPr>
                      <w:rFonts w:hint="eastAsia"/>
                      <w:color w:val="auto"/>
                      <w:szCs w:val="21"/>
                    </w:rPr>
                    <w:t>L0.59×W0.49×H0.97m</w:t>
                  </w:r>
                </w:p>
              </w:tc>
              <w:tc>
                <w:tcPr>
                  <w:tcW w:w="735" w:type="dxa"/>
                  <w:tcBorders>
                    <w:tl2br w:val="nil"/>
                    <w:tr2bl w:val="nil"/>
                  </w:tcBorders>
                  <w:vAlign w:val="center"/>
                </w:tcPr>
                <w:p w14:paraId="28DAA115">
                  <w:pPr>
                    <w:jc w:val="center"/>
                    <w:rPr>
                      <w:rFonts w:hint="eastAsia"/>
                      <w:color w:val="auto"/>
                      <w:szCs w:val="21"/>
                    </w:rPr>
                  </w:pPr>
                  <w:r>
                    <w:rPr>
                      <w:rFonts w:hint="eastAsia"/>
                      <w:color w:val="auto"/>
                      <w:szCs w:val="21"/>
                    </w:rPr>
                    <w:t>280L</w:t>
                  </w:r>
                </w:p>
              </w:tc>
              <w:tc>
                <w:tcPr>
                  <w:tcW w:w="753" w:type="dxa"/>
                  <w:tcBorders>
                    <w:tl2br w:val="nil"/>
                    <w:tr2bl w:val="nil"/>
                  </w:tcBorders>
                  <w:vAlign w:val="center"/>
                </w:tcPr>
                <w:p w14:paraId="666271D3">
                  <w:pPr>
                    <w:jc w:val="center"/>
                    <w:rPr>
                      <w:rFonts w:hint="eastAsia"/>
                      <w:color w:val="auto"/>
                      <w:szCs w:val="21"/>
                    </w:rPr>
                  </w:pPr>
                  <w:r>
                    <w:rPr>
                      <w:rFonts w:hint="eastAsia"/>
                      <w:color w:val="auto"/>
                      <w:szCs w:val="21"/>
                    </w:rPr>
                    <w:t>清洗</w:t>
                  </w:r>
                </w:p>
              </w:tc>
            </w:tr>
            <w:tr w14:paraId="501B616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7986229D">
                  <w:pPr>
                    <w:jc w:val="center"/>
                    <w:rPr>
                      <w:rFonts w:hint="eastAsia"/>
                      <w:color w:val="auto"/>
                      <w:szCs w:val="21"/>
                    </w:rPr>
                  </w:pPr>
                  <w:r>
                    <w:rPr>
                      <w:rFonts w:hint="eastAsia"/>
                      <w:color w:val="auto"/>
                      <w:szCs w:val="21"/>
                    </w:rPr>
                    <w:t>4</w:t>
                  </w:r>
                </w:p>
              </w:tc>
              <w:tc>
                <w:tcPr>
                  <w:tcW w:w="1689" w:type="dxa"/>
                  <w:tcBorders>
                    <w:tl2br w:val="nil"/>
                    <w:tr2bl w:val="nil"/>
                  </w:tcBorders>
                  <w:vAlign w:val="center"/>
                </w:tcPr>
                <w:p w14:paraId="29EAED27">
                  <w:pPr>
                    <w:jc w:val="center"/>
                    <w:rPr>
                      <w:color w:val="auto"/>
                      <w:szCs w:val="21"/>
                    </w:rPr>
                  </w:pPr>
                  <w:r>
                    <w:rPr>
                      <w:rFonts w:hint="eastAsia"/>
                      <w:color w:val="auto"/>
                      <w:szCs w:val="21"/>
                    </w:rPr>
                    <w:t>自来水洗槽2</w:t>
                  </w:r>
                </w:p>
              </w:tc>
              <w:tc>
                <w:tcPr>
                  <w:tcW w:w="690" w:type="dxa"/>
                  <w:tcBorders>
                    <w:tl2br w:val="nil"/>
                    <w:tr2bl w:val="nil"/>
                  </w:tcBorders>
                  <w:vAlign w:val="center"/>
                </w:tcPr>
                <w:p w14:paraId="3498BE6C">
                  <w:pPr>
                    <w:jc w:val="center"/>
                    <w:rPr>
                      <w:rFonts w:hint="eastAsia"/>
                      <w:color w:val="auto"/>
                      <w:szCs w:val="21"/>
                    </w:rPr>
                  </w:pPr>
                  <w:r>
                    <w:rPr>
                      <w:rFonts w:hint="eastAsia"/>
                      <w:color w:val="auto"/>
                      <w:szCs w:val="21"/>
                    </w:rPr>
                    <w:t>浸泡</w:t>
                  </w:r>
                </w:p>
              </w:tc>
              <w:tc>
                <w:tcPr>
                  <w:tcW w:w="615" w:type="dxa"/>
                  <w:tcBorders>
                    <w:tl2br w:val="nil"/>
                    <w:tr2bl w:val="nil"/>
                  </w:tcBorders>
                  <w:vAlign w:val="center"/>
                </w:tcPr>
                <w:p w14:paraId="62CDF320">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11F4EDD1">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7C542092">
                  <w:pPr>
                    <w:jc w:val="center"/>
                    <w:rPr>
                      <w:rFonts w:hint="eastAsia"/>
                      <w:color w:val="auto"/>
                      <w:szCs w:val="21"/>
                    </w:rPr>
                  </w:pPr>
                  <w:r>
                    <w:rPr>
                      <w:rFonts w:hint="eastAsia"/>
                      <w:color w:val="auto"/>
                      <w:szCs w:val="21"/>
                    </w:rPr>
                    <w:t>常温</w:t>
                  </w:r>
                </w:p>
              </w:tc>
              <w:tc>
                <w:tcPr>
                  <w:tcW w:w="2655" w:type="dxa"/>
                  <w:tcBorders>
                    <w:tl2br w:val="nil"/>
                    <w:tr2bl w:val="nil"/>
                  </w:tcBorders>
                  <w:vAlign w:val="center"/>
                </w:tcPr>
                <w:p w14:paraId="42728357">
                  <w:pPr>
                    <w:jc w:val="center"/>
                    <w:rPr>
                      <w:rFonts w:hint="eastAsia"/>
                      <w:color w:val="auto"/>
                      <w:szCs w:val="21"/>
                    </w:rPr>
                  </w:pPr>
                  <w:r>
                    <w:rPr>
                      <w:rFonts w:hint="eastAsia"/>
                      <w:color w:val="auto"/>
                      <w:szCs w:val="21"/>
                    </w:rPr>
                    <w:t>L0.59×W0.49×H0.97m</w:t>
                  </w:r>
                </w:p>
              </w:tc>
              <w:tc>
                <w:tcPr>
                  <w:tcW w:w="735" w:type="dxa"/>
                  <w:tcBorders>
                    <w:tl2br w:val="nil"/>
                    <w:tr2bl w:val="nil"/>
                  </w:tcBorders>
                  <w:vAlign w:val="center"/>
                </w:tcPr>
                <w:p w14:paraId="3E2575A6">
                  <w:pPr>
                    <w:jc w:val="center"/>
                    <w:rPr>
                      <w:rFonts w:hint="eastAsia"/>
                      <w:color w:val="auto"/>
                      <w:szCs w:val="21"/>
                    </w:rPr>
                  </w:pPr>
                  <w:r>
                    <w:rPr>
                      <w:rFonts w:hint="eastAsia"/>
                      <w:color w:val="auto"/>
                      <w:szCs w:val="21"/>
                    </w:rPr>
                    <w:t>280L</w:t>
                  </w:r>
                </w:p>
              </w:tc>
              <w:tc>
                <w:tcPr>
                  <w:tcW w:w="753" w:type="dxa"/>
                  <w:tcBorders>
                    <w:tl2br w:val="nil"/>
                    <w:tr2bl w:val="nil"/>
                  </w:tcBorders>
                  <w:vAlign w:val="center"/>
                </w:tcPr>
                <w:p w14:paraId="3E1F415D">
                  <w:pPr>
                    <w:jc w:val="center"/>
                    <w:rPr>
                      <w:rFonts w:hint="eastAsia"/>
                      <w:color w:val="auto"/>
                      <w:szCs w:val="21"/>
                    </w:rPr>
                  </w:pPr>
                  <w:r>
                    <w:rPr>
                      <w:rFonts w:hint="eastAsia"/>
                      <w:color w:val="auto"/>
                      <w:szCs w:val="21"/>
                    </w:rPr>
                    <w:t>清洗</w:t>
                  </w:r>
                </w:p>
              </w:tc>
            </w:tr>
            <w:tr w14:paraId="54A1A6B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4573A2DA">
                  <w:pPr>
                    <w:jc w:val="center"/>
                    <w:rPr>
                      <w:rFonts w:hint="eastAsia"/>
                      <w:color w:val="auto"/>
                      <w:szCs w:val="21"/>
                    </w:rPr>
                  </w:pPr>
                  <w:r>
                    <w:rPr>
                      <w:rFonts w:hint="eastAsia"/>
                      <w:color w:val="auto"/>
                      <w:szCs w:val="21"/>
                    </w:rPr>
                    <w:t>5</w:t>
                  </w:r>
                </w:p>
              </w:tc>
              <w:tc>
                <w:tcPr>
                  <w:tcW w:w="1689" w:type="dxa"/>
                  <w:tcBorders>
                    <w:tl2br w:val="nil"/>
                    <w:tr2bl w:val="nil"/>
                  </w:tcBorders>
                  <w:vAlign w:val="center"/>
                </w:tcPr>
                <w:p w14:paraId="003B4C28">
                  <w:pPr>
                    <w:jc w:val="center"/>
                    <w:rPr>
                      <w:rFonts w:hint="eastAsia"/>
                      <w:color w:val="auto"/>
                      <w:szCs w:val="21"/>
                    </w:rPr>
                  </w:pPr>
                  <w:r>
                    <w:rPr>
                      <w:rFonts w:hint="eastAsia"/>
                      <w:color w:val="auto"/>
                      <w:szCs w:val="21"/>
                    </w:rPr>
                    <w:t>自来水洗槽3</w:t>
                  </w:r>
                </w:p>
              </w:tc>
              <w:tc>
                <w:tcPr>
                  <w:tcW w:w="690" w:type="dxa"/>
                  <w:tcBorders>
                    <w:tl2br w:val="nil"/>
                    <w:tr2bl w:val="nil"/>
                  </w:tcBorders>
                  <w:vAlign w:val="center"/>
                </w:tcPr>
                <w:p w14:paraId="7DE54E87">
                  <w:pPr>
                    <w:jc w:val="center"/>
                    <w:rPr>
                      <w:rFonts w:hint="eastAsia"/>
                      <w:color w:val="auto"/>
                      <w:szCs w:val="21"/>
                    </w:rPr>
                  </w:pPr>
                  <w:r>
                    <w:rPr>
                      <w:rFonts w:hint="eastAsia"/>
                      <w:color w:val="auto"/>
                      <w:szCs w:val="21"/>
                    </w:rPr>
                    <w:t>浸泡</w:t>
                  </w:r>
                </w:p>
              </w:tc>
              <w:tc>
                <w:tcPr>
                  <w:tcW w:w="615" w:type="dxa"/>
                  <w:tcBorders>
                    <w:tl2br w:val="nil"/>
                    <w:tr2bl w:val="nil"/>
                  </w:tcBorders>
                  <w:vAlign w:val="center"/>
                </w:tcPr>
                <w:p w14:paraId="6102937E">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3AE13A24">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6D804A19">
                  <w:pPr>
                    <w:jc w:val="center"/>
                    <w:rPr>
                      <w:rFonts w:hint="eastAsia"/>
                      <w:color w:val="auto"/>
                      <w:szCs w:val="21"/>
                    </w:rPr>
                  </w:pPr>
                  <w:r>
                    <w:rPr>
                      <w:rFonts w:hint="eastAsia"/>
                      <w:color w:val="auto"/>
                      <w:szCs w:val="21"/>
                    </w:rPr>
                    <w:t>常温</w:t>
                  </w:r>
                </w:p>
              </w:tc>
              <w:tc>
                <w:tcPr>
                  <w:tcW w:w="2655" w:type="dxa"/>
                  <w:tcBorders>
                    <w:tl2br w:val="nil"/>
                    <w:tr2bl w:val="nil"/>
                  </w:tcBorders>
                  <w:vAlign w:val="center"/>
                </w:tcPr>
                <w:p w14:paraId="6DA784CF">
                  <w:pPr>
                    <w:jc w:val="center"/>
                    <w:rPr>
                      <w:rFonts w:hint="eastAsia"/>
                      <w:color w:val="auto"/>
                      <w:szCs w:val="21"/>
                    </w:rPr>
                  </w:pPr>
                  <w:r>
                    <w:rPr>
                      <w:rFonts w:hint="eastAsia"/>
                      <w:color w:val="auto"/>
                      <w:szCs w:val="21"/>
                    </w:rPr>
                    <w:t>L0.59×W0.49×H0.97m</w:t>
                  </w:r>
                </w:p>
              </w:tc>
              <w:tc>
                <w:tcPr>
                  <w:tcW w:w="735" w:type="dxa"/>
                  <w:tcBorders>
                    <w:tl2br w:val="nil"/>
                    <w:tr2bl w:val="nil"/>
                  </w:tcBorders>
                  <w:vAlign w:val="center"/>
                </w:tcPr>
                <w:p w14:paraId="4E9EF069">
                  <w:pPr>
                    <w:jc w:val="center"/>
                    <w:rPr>
                      <w:rFonts w:hint="eastAsia"/>
                      <w:color w:val="auto"/>
                      <w:szCs w:val="21"/>
                    </w:rPr>
                  </w:pPr>
                  <w:r>
                    <w:rPr>
                      <w:rFonts w:hint="eastAsia"/>
                      <w:color w:val="auto"/>
                      <w:szCs w:val="21"/>
                    </w:rPr>
                    <w:t>280L</w:t>
                  </w:r>
                </w:p>
              </w:tc>
              <w:tc>
                <w:tcPr>
                  <w:tcW w:w="753" w:type="dxa"/>
                  <w:tcBorders>
                    <w:tl2br w:val="nil"/>
                    <w:tr2bl w:val="nil"/>
                  </w:tcBorders>
                  <w:vAlign w:val="center"/>
                </w:tcPr>
                <w:p w14:paraId="4279C5AF">
                  <w:pPr>
                    <w:jc w:val="center"/>
                    <w:rPr>
                      <w:rFonts w:hint="eastAsia"/>
                      <w:color w:val="auto"/>
                      <w:szCs w:val="21"/>
                    </w:rPr>
                  </w:pPr>
                  <w:r>
                    <w:rPr>
                      <w:rFonts w:hint="eastAsia"/>
                      <w:color w:val="auto"/>
                      <w:szCs w:val="21"/>
                    </w:rPr>
                    <w:t>清洗</w:t>
                  </w:r>
                </w:p>
              </w:tc>
            </w:tr>
            <w:tr w14:paraId="262DDF5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5886642B">
                  <w:pPr>
                    <w:jc w:val="center"/>
                    <w:rPr>
                      <w:rFonts w:hint="eastAsia"/>
                      <w:color w:val="auto"/>
                      <w:szCs w:val="21"/>
                    </w:rPr>
                  </w:pPr>
                  <w:r>
                    <w:rPr>
                      <w:rFonts w:hint="eastAsia"/>
                      <w:color w:val="auto"/>
                      <w:szCs w:val="21"/>
                    </w:rPr>
                    <w:t>6</w:t>
                  </w:r>
                </w:p>
              </w:tc>
              <w:tc>
                <w:tcPr>
                  <w:tcW w:w="1689" w:type="dxa"/>
                  <w:tcBorders>
                    <w:tl2br w:val="nil"/>
                    <w:tr2bl w:val="nil"/>
                  </w:tcBorders>
                  <w:vAlign w:val="center"/>
                </w:tcPr>
                <w:p w14:paraId="36BDB8B6">
                  <w:pPr>
                    <w:jc w:val="center"/>
                    <w:rPr>
                      <w:rFonts w:hint="eastAsia"/>
                      <w:color w:val="auto"/>
                      <w:szCs w:val="21"/>
                    </w:rPr>
                  </w:pPr>
                  <w:r>
                    <w:rPr>
                      <w:rFonts w:hint="eastAsia"/>
                      <w:color w:val="auto"/>
                      <w:szCs w:val="21"/>
                    </w:rPr>
                    <w:t>自来水洗槽4</w:t>
                  </w:r>
                </w:p>
              </w:tc>
              <w:tc>
                <w:tcPr>
                  <w:tcW w:w="690" w:type="dxa"/>
                  <w:tcBorders>
                    <w:tl2br w:val="nil"/>
                    <w:tr2bl w:val="nil"/>
                  </w:tcBorders>
                  <w:vAlign w:val="center"/>
                </w:tcPr>
                <w:p w14:paraId="2763F7F5">
                  <w:pPr>
                    <w:jc w:val="center"/>
                    <w:rPr>
                      <w:rFonts w:hint="eastAsia"/>
                      <w:color w:val="auto"/>
                      <w:szCs w:val="21"/>
                    </w:rPr>
                  </w:pPr>
                  <w:r>
                    <w:rPr>
                      <w:rFonts w:hint="eastAsia"/>
                      <w:color w:val="auto"/>
                      <w:szCs w:val="21"/>
                    </w:rPr>
                    <w:t>浸泡</w:t>
                  </w:r>
                </w:p>
              </w:tc>
              <w:tc>
                <w:tcPr>
                  <w:tcW w:w="615" w:type="dxa"/>
                  <w:tcBorders>
                    <w:tl2br w:val="nil"/>
                    <w:tr2bl w:val="nil"/>
                  </w:tcBorders>
                  <w:vAlign w:val="center"/>
                </w:tcPr>
                <w:p w14:paraId="412C43AD">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5A2D1D3C">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0FC77B63">
                  <w:pPr>
                    <w:jc w:val="center"/>
                    <w:rPr>
                      <w:rFonts w:hint="eastAsia"/>
                      <w:color w:val="auto"/>
                      <w:szCs w:val="21"/>
                    </w:rPr>
                  </w:pPr>
                  <w:r>
                    <w:rPr>
                      <w:rFonts w:hint="eastAsia"/>
                      <w:color w:val="auto"/>
                      <w:szCs w:val="21"/>
                    </w:rPr>
                    <w:t>常温</w:t>
                  </w:r>
                </w:p>
              </w:tc>
              <w:tc>
                <w:tcPr>
                  <w:tcW w:w="2655" w:type="dxa"/>
                  <w:tcBorders>
                    <w:tl2br w:val="nil"/>
                    <w:tr2bl w:val="nil"/>
                  </w:tcBorders>
                  <w:vAlign w:val="center"/>
                </w:tcPr>
                <w:p w14:paraId="72D550B7">
                  <w:pPr>
                    <w:jc w:val="center"/>
                    <w:rPr>
                      <w:rFonts w:hint="eastAsia"/>
                      <w:color w:val="auto"/>
                      <w:szCs w:val="21"/>
                    </w:rPr>
                  </w:pPr>
                  <w:r>
                    <w:rPr>
                      <w:rFonts w:hint="eastAsia"/>
                      <w:color w:val="auto"/>
                      <w:szCs w:val="21"/>
                    </w:rPr>
                    <w:t>L0.59×W0.49×H0.97m</w:t>
                  </w:r>
                </w:p>
              </w:tc>
              <w:tc>
                <w:tcPr>
                  <w:tcW w:w="735" w:type="dxa"/>
                  <w:tcBorders>
                    <w:tl2br w:val="nil"/>
                    <w:tr2bl w:val="nil"/>
                  </w:tcBorders>
                  <w:vAlign w:val="center"/>
                </w:tcPr>
                <w:p w14:paraId="7C866ED1">
                  <w:pPr>
                    <w:jc w:val="center"/>
                    <w:rPr>
                      <w:rFonts w:hint="eastAsia"/>
                      <w:color w:val="auto"/>
                      <w:szCs w:val="21"/>
                    </w:rPr>
                  </w:pPr>
                  <w:r>
                    <w:rPr>
                      <w:rFonts w:hint="eastAsia"/>
                      <w:color w:val="auto"/>
                      <w:szCs w:val="21"/>
                    </w:rPr>
                    <w:t>280L</w:t>
                  </w:r>
                </w:p>
              </w:tc>
              <w:tc>
                <w:tcPr>
                  <w:tcW w:w="753" w:type="dxa"/>
                  <w:tcBorders>
                    <w:tl2br w:val="nil"/>
                    <w:tr2bl w:val="nil"/>
                  </w:tcBorders>
                  <w:vAlign w:val="center"/>
                </w:tcPr>
                <w:p w14:paraId="4C564F52">
                  <w:pPr>
                    <w:jc w:val="center"/>
                    <w:rPr>
                      <w:rFonts w:hint="eastAsia"/>
                      <w:color w:val="auto"/>
                      <w:szCs w:val="21"/>
                    </w:rPr>
                  </w:pPr>
                  <w:r>
                    <w:rPr>
                      <w:rFonts w:hint="eastAsia"/>
                      <w:color w:val="auto"/>
                      <w:szCs w:val="21"/>
                    </w:rPr>
                    <w:t>清洗</w:t>
                  </w:r>
                </w:p>
              </w:tc>
            </w:tr>
            <w:tr w14:paraId="6295798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48DD2128">
                  <w:pPr>
                    <w:jc w:val="center"/>
                    <w:rPr>
                      <w:rFonts w:hint="eastAsia"/>
                      <w:color w:val="auto"/>
                      <w:szCs w:val="21"/>
                    </w:rPr>
                  </w:pPr>
                  <w:r>
                    <w:rPr>
                      <w:rFonts w:hint="eastAsia"/>
                      <w:color w:val="auto"/>
                      <w:szCs w:val="21"/>
                    </w:rPr>
                    <w:t>7</w:t>
                  </w:r>
                </w:p>
              </w:tc>
              <w:tc>
                <w:tcPr>
                  <w:tcW w:w="1689" w:type="dxa"/>
                  <w:tcBorders>
                    <w:tl2br w:val="nil"/>
                    <w:tr2bl w:val="nil"/>
                  </w:tcBorders>
                  <w:vAlign w:val="center"/>
                </w:tcPr>
                <w:p w14:paraId="664DE999">
                  <w:pPr>
                    <w:jc w:val="center"/>
                    <w:rPr>
                      <w:rFonts w:hint="eastAsia"/>
                      <w:color w:val="auto"/>
                      <w:szCs w:val="21"/>
                    </w:rPr>
                  </w:pPr>
                  <w:r>
                    <w:rPr>
                      <w:rFonts w:hint="eastAsia"/>
                      <w:color w:val="auto"/>
                      <w:szCs w:val="21"/>
                    </w:rPr>
                    <w:t>超声波纯水洗槽</w:t>
                  </w:r>
                </w:p>
              </w:tc>
              <w:tc>
                <w:tcPr>
                  <w:tcW w:w="690" w:type="dxa"/>
                  <w:tcBorders>
                    <w:tl2br w:val="nil"/>
                    <w:tr2bl w:val="nil"/>
                  </w:tcBorders>
                  <w:vAlign w:val="center"/>
                </w:tcPr>
                <w:p w14:paraId="56078C44">
                  <w:pPr>
                    <w:jc w:val="center"/>
                    <w:rPr>
                      <w:rFonts w:hint="eastAsia"/>
                      <w:color w:val="auto"/>
                      <w:szCs w:val="21"/>
                    </w:rPr>
                  </w:pPr>
                  <w:r>
                    <w:rPr>
                      <w:rFonts w:hint="eastAsia"/>
                      <w:color w:val="auto"/>
                      <w:szCs w:val="21"/>
                    </w:rPr>
                    <w:t>浸泡</w:t>
                  </w:r>
                </w:p>
              </w:tc>
              <w:tc>
                <w:tcPr>
                  <w:tcW w:w="615" w:type="dxa"/>
                  <w:tcBorders>
                    <w:tl2br w:val="nil"/>
                    <w:tr2bl w:val="nil"/>
                  </w:tcBorders>
                  <w:vAlign w:val="center"/>
                </w:tcPr>
                <w:p w14:paraId="7A9CE5F1">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702E3533">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37BBE009">
                  <w:pPr>
                    <w:jc w:val="center"/>
                    <w:rPr>
                      <w:rFonts w:hint="eastAsia"/>
                      <w:color w:val="auto"/>
                      <w:szCs w:val="21"/>
                    </w:rPr>
                  </w:pPr>
                  <w:r>
                    <w:rPr>
                      <w:rFonts w:hint="eastAsia"/>
                      <w:color w:val="auto"/>
                      <w:szCs w:val="21"/>
                    </w:rPr>
                    <w:t>常温</w:t>
                  </w:r>
                </w:p>
              </w:tc>
              <w:tc>
                <w:tcPr>
                  <w:tcW w:w="2655" w:type="dxa"/>
                  <w:tcBorders>
                    <w:tl2br w:val="nil"/>
                    <w:tr2bl w:val="nil"/>
                  </w:tcBorders>
                  <w:vAlign w:val="center"/>
                </w:tcPr>
                <w:p w14:paraId="3D8E9282">
                  <w:pPr>
                    <w:jc w:val="center"/>
                    <w:rPr>
                      <w:rFonts w:hint="eastAsia"/>
                      <w:color w:val="auto"/>
                      <w:szCs w:val="21"/>
                    </w:rPr>
                  </w:pPr>
                  <w:r>
                    <w:rPr>
                      <w:rFonts w:hint="eastAsia"/>
                      <w:color w:val="auto"/>
                      <w:szCs w:val="21"/>
                    </w:rPr>
                    <w:t>L0.54×W0.435×H0.97m</w:t>
                  </w:r>
                </w:p>
              </w:tc>
              <w:tc>
                <w:tcPr>
                  <w:tcW w:w="735" w:type="dxa"/>
                  <w:tcBorders>
                    <w:tl2br w:val="nil"/>
                    <w:tr2bl w:val="nil"/>
                  </w:tcBorders>
                  <w:vAlign w:val="center"/>
                </w:tcPr>
                <w:p w14:paraId="21976BE1">
                  <w:pPr>
                    <w:jc w:val="center"/>
                    <w:rPr>
                      <w:rFonts w:hint="eastAsia"/>
                      <w:color w:val="auto"/>
                      <w:szCs w:val="21"/>
                    </w:rPr>
                  </w:pPr>
                  <w:r>
                    <w:rPr>
                      <w:rFonts w:hint="eastAsia"/>
                      <w:color w:val="auto"/>
                      <w:szCs w:val="21"/>
                    </w:rPr>
                    <w:t>230L</w:t>
                  </w:r>
                </w:p>
              </w:tc>
              <w:tc>
                <w:tcPr>
                  <w:tcW w:w="753" w:type="dxa"/>
                  <w:tcBorders>
                    <w:tl2br w:val="nil"/>
                    <w:tr2bl w:val="nil"/>
                  </w:tcBorders>
                  <w:vAlign w:val="center"/>
                </w:tcPr>
                <w:p w14:paraId="49126ABC">
                  <w:pPr>
                    <w:jc w:val="center"/>
                    <w:rPr>
                      <w:rFonts w:hint="eastAsia"/>
                      <w:color w:val="auto"/>
                      <w:szCs w:val="21"/>
                    </w:rPr>
                  </w:pPr>
                  <w:r>
                    <w:rPr>
                      <w:rFonts w:hint="eastAsia"/>
                      <w:color w:val="auto"/>
                      <w:szCs w:val="21"/>
                    </w:rPr>
                    <w:t>清洗</w:t>
                  </w:r>
                </w:p>
              </w:tc>
            </w:tr>
            <w:tr w14:paraId="39DC8DF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1B63F19C">
                  <w:pPr>
                    <w:jc w:val="center"/>
                    <w:rPr>
                      <w:rFonts w:hint="eastAsia"/>
                      <w:color w:val="auto"/>
                      <w:szCs w:val="21"/>
                    </w:rPr>
                  </w:pPr>
                  <w:r>
                    <w:rPr>
                      <w:rFonts w:hint="eastAsia"/>
                      <w:color w:val="auto"/>
                      <w:szCs w:val="21"/>
                    </w:rPr>
                    <w:t>8</w:t>
                  </w:r>
                </w:p>
              </w:tc>
              <w:tc>
                <w:tcPr>
                  <w:tcW w:w="1689" w:type="dxa"/>
                  <w:tcBorders>
                    <w:tl2br w:val="nil"/>
                    <w:tr2bl w:val="nil"/>
                  </w:tcBorders>
                  <w:vAlign w:val="center"/>
                </w:tcPr>
                <w:p w14:paraId="64389EAC">
                  <w:pPr>
                    <w:jc w:val="center"/>
                    <w:rPr>
                      <w:rFonts w:hint="eastAsia"/>
                      <w:color w:val="auto"/>
                      <w:szCs w:val="21"/>
                    </w:rPr>
                  </w:pPr>
                  <w:r>
                    <w:rPr>
                      <w:rFonts w:hint="eastAsia"/>
                      <w:color w:val="auto"/>
                      <w:szCs w:val="21"/>
                    </w:rPr>
                    <w:t>纯水洗槽1</w:t>
                  </w:r>
                </w:p>
              </w:tc>
              <w:tc>
                <w:tcPr>
                  <w:tcW w:w="690" w:type="dxa"/>
                  <w:tcBorders>
                    <w:tl2br w:val="nil"/>
                    <w:tr2bl w:val="nil"/>
                  </w:tcBorders>
                  <w:vAlign w:val="center"/>
                </w:tcPr>
                <w:p w14:paraId="6B2C24BE">
                  <w:pPr>
                    <w:jc w:val="center"/>
                    <w:rPr>
                      <w:rFonts w:hint="eastAsia"/>
                      <w:color w:val="auto"/>
                      <w:szCs w:val="21"/>
                    </w:rPr>
                  </w:pPr>
                  <w:r>
                    <w:rPr>
                      <w:rFonts w:hint="eastAsia"/>
                      <w:color w:val="auto"/>
                      <w:szCs w:val="21"/>
                    </w:rPr>
                    <w:t>浸泡</w:t>
                  </w:r>
                </w:p>
              </w:tc>
              <w:tc>
                <w:tcPr>
                  <w:tcW w:w="615" w:type="dxa"/>
                  <w:tcBorders>
                    <w:tl2br w:val="nil"/>
                    <w:tr2bl w:val="nil"/>
                  </w:tcBorders>
                  <w:vAlign w:val="center"/>
                </w:tcPr>
                <w:p w14:paraId="178A7B52">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36A9BAA7">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286A658C">
                  <w:pPr>
                    <w:jc w:val="center"/>
                    <w:rPr>
                      <w:rFonts w:hint="eastAsia"/>
                      <w:color w:val="auto"/>
                      <w:szCs w:val="21"/>
                    </w:rPr>
                  </w:pPr>
                  <w:r>
                    <w:rPr>
                      <w:rFonts w:hint="eastAsia"/>
                      <w:color w:val="auto"/>
                      <w:szCs w:val="21"/>
                    </w:rPr>
                    <w:t>常温</w:t>
                  </w:r>
                </w:p>
              </w:tc>
              <w:tc>
                <w:tcPr>
                  <w:tcW w:w="2655" w:type="dxa"/>
                  <w:tcBorders>
                    <w:tl2br w:val="nil"/>
                    <w:tr2bl w:val="nil"/>
                  </w:tcBorders>
                  <w:vAlign w:val="center"/>
                </w:tcPr>
                <w:p w14:paraId="14C66D46">
                  <w:pPr>
                    <w:jc w:val="center"/>
                    <w:rPr>
                      <w:rFonts w:hint="eastAsia"/>
                      <w:color w:val="auto"/>
                      <w:szCs w:val="21"/>
                    </w:rPr>
                  </w:pPr>
                  <w:r>
                    <w:rPr>
                      <w:rFonts w:hint="eastAsia"/>
                      <w:color w:val="auto"/>
                      <w:szCs w:val="21"/>
                    </w:rPr>
                    <w:t>L0.59×W0.49×H0.970m</w:t>
                  </w:r>
                </w:p>
              </w:tc>
              <w:tc>
                <w:tcPr>
                  <w:tcW w:w="735" w:type="dxa"/>
                  <w:tcBorders>
                    <w:tl2br w:val="nil"/>
                    <w:tr2bl w:val="nil"/>
                  </w:tcBorders>
                  <w:vAlign w:val="center"/>
                </w:tcPr>
                <w:p w14:paraId="1B5ADFDD">
                  <w:pPr>
                    <w:jc w:val="center"/>
                    <w:rPr>
                      <w:rFonts w:hint="eastAsia"/>
                      <w:color w:val="auto"/>
                      <w:szCs w:val="21"/>
                    </w:rPr>
                  </w:pPr>
                  <w:r>
                    <w:rPr>
                      <w:rFonts w:hint="eastAsia"/>
                      <w:color w:val="auto"/>
                      <w:szCs w:val="21"/>
                    </w:rPr>
                    <w:t>280L</w:t>
                  </w:r>
                </w:p>
              </w:tc>
              <w:tc>
                <w:tcPr>
                  <w:tcW w:w="753" w:type="dxa"/>
                  <w:tcBorders>
                    <w:tl2br w:val="nil"/>
                    <w:tr2bl w:val="nil"/>
                  </w:tcBorders>
                  <w:vAlign w:val="center"/>
                </w:tcPr>
                <w:p w14:paraId="084AD510">
                  <w:pPr>
                    <w:jc w:val="center"/>
                    <w:rPr>
                      <w:rFonts w:hint="eastAsia"/>
                      <w:color w:val="auto"/>
                      <w:szCs w:val="21"/>
                    </w:rPr>
                  </w:pPr>
                  <w:r>
                    <w:rPr>
                      <w:rFonts w:hint="eastAsia"/>
                      <w:color w:val="auto"/>
                      <w:szCs w:val="21"/>
                    </w:rPr>
                    <w:t>清洗</w:t>
                  </w:r>
                </w:p>
              </w:tc>
            </w:tr>
            <w:tr w14:paraId="5CDBA87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5D40388A">
                  <w:pPr>
                    <w:jc w:val="center"/>
                    <w:rPr>
                      <w:rFonts w:hint="eastAsia"/>
                      <w:color w:val="auto"/>
                      <w:szCs w:val="21"/>
                    </w:rPr>
                  </w:pPr>
                  <w:r>
                    <w:rPr>
                      <w:rFonts w:hint="eastAsia"/>
                      <w:color w:val="auto"/>
                      <w:szCs w:val="21"/>
                    </w:rPr>
                    <w:t>9</w:t>
                  </w:r>
                </w:p>
              </w:tc>
              <w:tc>
                <w:tcPr>
                  <w:tcW w:w="1689" w:type="dxa"/>
                  <w:tcBorders>
                    <w:tl2br w:val="nil"/>
                    <w:tr2bl w:val="nil"/>
                  </w:tcBorders>
                  <w:vAlign w:val="center"/>
                </w:tcPr>
                <w:p w14:paraId="03C5FC39">
                  <w:pPr>
                    <w:jc w:val="center"/>
                    <w:rPr>
                      <w:rFonts w:hint="eastAsia"/>
                      <w:color w:val="auto"/>
                      <w:szCs w:val="21"/>
                    </w:rPr>
                  </w:pPr>
                  <w:r>
                    <w:rPr>
                      <w:rFonts w:hint="eastAsia"/>
                      <w:color w:val="auto"/>
                      <w:szCs w:val="21"/>
                    </w:rPr>
                    <w:t>阴极电泳槽</w:t>
                  </w:r>
                </w:p>
              </w:tc>
              <w:tc>
                <w:tcPr>
                  <w:tcW w:w="690" w:type="dxa"/>
                  <w:tcBorders>
                    <w:tl2br w:val="nil"/>
                    <w:tr2bl w:val="nil"/>
                  </w:tcBorders>
                  <w:vAlign w:val="center"/>
                </w:tcPr>
                <w:p w14:paraId="5D69D45F">
                  <w:pPr>
                    <w:jc w:val="center"/>
                    <w:rPr>
                      <w:rFonts w:hint="eastAsia"/>
                      <w:color w:val="auto"/>
                      <w:szCs w:val="21"/>
                    </w:rPr>
                  </w:pPr>
                  <w:r>
                    <w:rPr>
                      <w:rFonts w:hint="eastAsia"/>
                      <w:color w:val="auto"/>
                      <w:szCs w:val="21"/>
                    </w:rPr>
                    <w:t>电泳</w:t>
                  </w:r>
                </w:p>
              </w:tc>
              <w:tc>
                <w:tcPr>
                  <w:tcW w:w="615" w:type="dxa"/>
                  <w:tcBorders>
                    <w:tl2br w:val="nil"/>
                    <w:tr2bl w:val="nil"/>
                  </w:tcBorders>
                  <w:vAlign w:val="center"/>
                </w:tcPr>
                <w:p w14:paraId="40052D28">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21A23FE9">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687A8218">
                  <w:pPr>
                    <w:jc w:val="center"/>
                    <w:rPr>
                      <w:rFonts w:hint="eastAsia"/>
                      <w:color w:val="auto"/>
                      <w:szCs w:val="21"/>
                    </w:rPr>
                  </w:pPr>
                  <w:r>
                    <w:rPr>
                      <w:rFonts w:hint="eastAsia"/>
                      <w:color w:val="auto"/>
                      <w:szCs w:val="21"/>
                    </w:rPr>
                    <w:t>25~ 31℃</w:t>
                  </w:r>
                </w:p>
              </w:tc>
              <w:tc>
                <w:tcPr>
                  <w:tcW w:w="2655" w:type="dxa"/>
                  <w:tcBorders>
                    <w:tl2br w:val="nil"/>
                    <w:tr2bl w:val="nil"/>
                  </w:tcBorders>
                  <w:vAlign w:val="center"/>
                </w:tcPr>
                <w:p w14:paraId="3EDDB241">
                  <w:pPr>
                    <w:jc w:val="center"/>
                    <w:rPr>
                      <w:rFonts w:hint="eastAsia"/>
                      <w:color w:val="auto"/>
                      <w:szCs w:val="21"/>
                    </w:rPr>
                  </w:pPr>
                  <w:r>
                    <w:rPr>
                      <w:rFonts w:hint="eastAsia"/>
                      <w:color w:val="auto"/>
                      <w:szCs w:val="21"/>
                    </w:rPr>
                    <w:t>L590×W490×H97m</w:t>
                  </w:r>
                </w:p>
                <w:p w14:paraId="5A0C31CB">
                  <w:pPr>
                    <w:jc w:val="center"/>
                    <w:rPr>
                      <w:rFonts w:hint="eastAsia"/>
                      <w:color w:val="auto"/>
                      <w:szCs w:val="21"/>
                    </w:rPr>
                  </w:pPr>
                  <w:r>
                    <w:rPr>
                      <w:rFonts w:hint="eastAsia"/>
                      <w:color w:val="auto"/>
                      <w:szCs w:val="21"/>
                    </w:rPr>
                    <w:t>副槽规格L0.49×W0.29×H0.43m</w:t>
                  </w:r>
                </w:p>
              </w:tc>
              <w:tc>
                <w:tcPr>
                  <w:tcW w:w="735" w:type="dxa"/>
                  <w:tcBorders>
                    <w:tl2br w:val="nil"/>
                    <w:tr2bl w:val="nil"/>
                  </w:tcBorders>
                  <w:vAlign w:val="center"/>
                </w:tcPr>
                <w:p w14:paraId="20DF0BD8">
                  <w:pPr>
                    <w:jc w:val="center"/>
                    <w:rPr>
                      <w:rFonts w:hint="eastAsia"/>
                      <w:color w:val="auto"/>
                      <w:szCs w:val="21"/>
                    </w:rPr>
                  </w:pPr>
                  <w:r>
                    <w:rPr>
                      <w:rFonts w:hint="eastAsia"/>
                      <w:color w:val="auto"/>
                      <w:szCs w:val="21"/>
                    </w:rPr>
                    <w:t>340L</w:t>
                  </w:r>
                </w:p>
              </w:tc>
              <w:tc>
                <w:tcPr>
                  <w:tcW w:w="753" w:type="dxa"/>
                  <w:tcBorders>
                    <w:tl2br w:val="nil"/>
                    <w:tr2bl w:val="nil"/>
                  </w:tcBorders>
                  <w:vAlign w:val="center"/>
                </w:tcPr>
                <w:p w14:paraId="27D621CE">
                  <w:pPr>
                    <w:jc w:val="center"/>
                    <w:rPr>
                      <w:rFonts w:hint="eastAsia"/>
                      <w:color w:val="auto"/>
                      <w:szCs w:val="21"/>
                    </w:rPr>
                  </w:pPr>
                  <w:r>
                    <w:rPr>
                      <w:rFonts w:hint="eastAsia"/>
                      <w:color w:val="auto"/>
                      <w:szCs w:val="21"/>
                    </w:rPr>
                    <w:t>电泳</w:t>
                  </w:r>
                </w:p>
              </w:tc>
            </w:tr>
            <w:tr w14:paraId="61AE81A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71DB9647">
                  <w:pPr>
                    <w:jc w:val="center"/>
                    <w:rPr>
                      <w:rFonts w:hint="eastAsia"/>
                      <w:color w:val="auto"/>
                      <w:szCs w:val="21"/>
                    </w:rPr>
                  </w:pPr>
                  <w:r>
                    <w:rPr>
                      <w:rFonts w:hint="eastAsia"/>
                      <w:color w:val="auto"/>
                      <w:szCs w:val="21"/>
                    </w:rPr>
                    <w:t>10</w:t>
                  </w:r>
                </w:p>
              </w:tc>
              <w:tc>
                <w:tcPr>
                  <w:tcW w:w="1689" w:type="dxa"/>
                  <w:tcBorders>
                    <w:tl2br w:val="nil"/>
                    <w:tr2bl w:val="nil"/>
                  </w:tcBorders>
                  <w:vAlign w:val="center"/>
                </w:tcPr>
                <w:p w14:paraId="10211DF4">
                  <w:pPr>
                    <w:jc w:val="center"/>
                    <w:rPr>
                      <w:rFonts w:hint="eastAsia"/>
                      <w:color w:val="auto"/>
                      <w:szCs w:val="21"/>
                    </w:rPr>
                  </w:pPr>
                  <w:r>
                    <w:rPr>
                      <w:rFonts w:hint="eastAsia"/>
                      <w:color w:val="auto"/>
                      <w:szCs w:val="21"/>
                    </w:rPr>
                    <w:t>喷淋水洗槽1</w:t>
                  </w:r>
                </w:p>
              </w:tc>
              <w:tc>
                <w:tcPr>
                  <w:tcW w:w="690" w:type="dxa"/>
                  <w:tcBorders>
                    <w:tl2br w:val="nil"/>
                    <w:tr2bl w:val="nil"/>
                  </w:tcBorders>
                  <w:vAlign w:val="center"/>
                </w:tcPr>
                <w:p w14:paraId="6186CC5E">
                  <w:pPr>
                    <w:jc w:val="center"/>
                    <w:rPr>
                      <w:rFonts w:hint="eastAsia"/>
                      <w:color w:val="auto"/>
                      <w:szCs w:val="21"/>
                    </w:rPr>
                  </w:pPr>
                  <w:r>
                    <w:rPr>
                      <w:rFonts w:hint="eastAsia"/>
                      <w:color w:val="auto"/>
                      <w:szCs w:val="21"/>
                    </w:rPr>
                    <w:t>喷淋</w:t>
                  </w:r>
                </w:p>
              </w:tc>
              <w:tc>
                <w:tcPr>
                  <w:tcW w:w="615" w:type="dxa"/>
                  <w:tcBorders>
                    <w:tl2br w:val="nil"/>
                    <w:tr2bl w:val="nil"/>
                  </w:tcBorders>
                  <w:vAlign w:val="center"/>
                </w:tcPr>
                <w:p w14:paraId="0B5B0ADE">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3EBC9C86">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64CD8B28">
                  <w:pPr>
                    <w:jc w:val="center"/>
                    <w:rPr>
                      <w:rFonts w:hint="eastAsia"/>
                      <w:color w:val="auto"/>
                      <w:szCs w:val="21"/>
                    </w:rPr>
                  </w:pPr>
                  <w:r>
                    <w:rPr>
                      <w:rFonts w:hint="eastAsia"/>
                      <w:color w:val="auto"/>
                      <w:szCs w:val="21"/>
                    </w:rPr>
                    <w:t>常温</w:t>
                  </w:r>
                </w:p>
              </w:tc>
              <w:tc>
                <w:tcPr>
                  <w:tcW w:w="2655" w:type="dxa"/>
                  <w:tcBorders>
                    <w:tl2br w:val="nil"/>
                    <w:tr2bl w:val="nil"/>
                  </w:tcBorders>
                </w:tcPr>
                <w:p w14:paraId="3C606C80">
                  <w:pPr>
                    <w:jc w:val="center"/>
                    <w:rPr>
                      <w:rFonts w:hint="eastAsia"/>
                      <w:color w:val="auto"/>
                      <w:szCs w:val="21"/>
                    </w:rPr>
                  </w:pPr>
                  <w:r>
                    <w:rPr>
                      <w:rFonts w:hint="eastAsia"/>
                      <w:color w:val="auto"/>
                      <w:szCs w:val="21"/>
                    </w:rPr>
                    <w:t>L0.59×W0.49×H0.97m</w:t>
                  </w:r>
                </w:p>
              </w:tc>
              <w:tc>
                <w:tcPr>
                  <w:tcW w:w="735" w:type="dxa"/>
                  <w:tcBorders>
                    <w:tl2br w:val="nil"/>
                    <w:tr2bl w:val="nil"/>
                  </w:tcBorders>
                  <w:vAlign w:val="center"/>
                </w:tcPr>
                <w:p w14:paraId="5A2F44B6">
                  <w:pPr>
                    <w:jc w:val="center"/>
                    <w:rPr>
                      <w:rFonts w:hint="eastAsia"/>
                      <w:color w:val="auto"/>
                      <w:szCs w:val="21"/>
                    </w:rPr>
                  </w:pPr>
                  <w:r>
                    <w:rPr>
                      <w:rFonts w:hint="eastAsia"/>
                      <w:color w:val="auto"/>
                      <w:szCs w:val="21"/>
                    </w:rPr>
                    <w:t>90L</w:t>
                  </w:r>
                </w:p>
              </w:tc>
              <w:tc>
                <w:tcPr>
                  <w:tcW w:w="753" w:type="dxa"/>
                  <w:tcBorders>
                    <w:tl2br w:val="nil"/>
                    <w:tr2bl w:val="nil"/>
                  </w:tcBorders>
                  <w:vAlign w:val="center"/>
                </w:tcPr>
                <w:p w14:paraId="626BEEA1">
                  <w:pPr>
                    <w:jc w:val="center"/>
                    <w:rPr>
                      <w:rFonts w:hint="eastAsia"/>
                      <w:color w:val="auto"/>
                      <w:szCs w:val="21"/>
                    </w:rPr>
                  </w:pPr>
                  <w:r>
                    <w:rPr>
                      <w:rFonts w:hint="eastAsia"/>
                      <w:color w:val="auto"/>
                      <w:szCs w:val="21"/>
                    </w:rPr>
                    <w:t>清洗</w:t>
                  </w:r>
                </w:p>
              </w:tc>
            </w:tr>
            <w:tr w14:paraId="1F0469B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7EB01A4F">
                  <w:pPr>
                    <w:jc w:val="center"/>
                    <w:rPr>
                      <w:rFonts w:hint="eastAsia"/>
                      <w:color w:val="auto"/>
                      <w:szCs w:val="21"/>
                    </w:rPr>
                  </w:pPr>
                  <w:r>
                    <w:rPr>
                      <w:rFonts w:hint="eastAsia"/>
                      <w:color w:val="auto"/>
                      <w:szCs w:val="21"/>
                    </w:rPr>
                    <w:t>11</w:t>
                  </w:r>
                </w:p>
              </w:tc>
              <w:tc>
                <w:tcPr>
                  <w:tcW w:w="1689" w:type="dxa"/>
                  <w:tcBorders>
                    <w:tl2br w:val="nil"/>
                    <w:tr2bl w:val="nil"/>
                  </w:tcBorders>
                  <w:vAlign w:val="center"/>
                </w:tcPr>
                <w:p w14:paraId="44EE4F92">
                  <w:pPr>
                    <w:jc w:val="center"/>
                    <w:rPr>
                      <w:rFonts w:hint="eastAsia"/>
                      <w:color w:val="auto"/>
                      <w:szCs w:val="21"/>
                    </w:rPr>
                  </w:pPr>
                  <w:r>
                    <w:rPr>
                      <w:rFonts w:hint="eastAsia"/>
                      <w:color w:val="auto"/>
                      <w:szCs w:val="21"/>
                    </w:rPr>
                    <w:t>纯水洗槽1</w:t>
                  </w:r>
                </w:p>
              </w:tc>
              <w:tc>
                <w:tcPr>
                  <w:tcW w:w="690" w:type="dxa"/>
                  <w:tcBorders>
                    <w:tl2br w:val="nil"/>
                    <w:tr2bl w:val="nil"/>
                  </w:tcBorders>
                  <w:vAlign w:val="center"/>
                </w:tcPr>
                <w:p w14:paraId="056F6C15">
                  <w:pPr>
                    <w:jc w:val="center"/>
                    <w:rPr>
                      <w:rFonts w:hint="eastAsia"/>
                      <w:color w:val="auto"/>
                      <w:szCs w:val="21"/>
                    </w:rPr>
                  </w:pPr>
                  <w:r>
                    <w:rPr>
                      <w:rFonts w:hint="eastAsia"/>
                      <w:color w:val="auto"/>
                      <w:szCs w:val="21"/>
                    </w:rPr>
                    <w:t>浸泡</w:t>
                  </w:r>
                </w:p>
              </w:tc>
              <w:tc>
                <w:tcPr>
                  <w:tcW w:w="615" w:type="dxa"/>
                  <w:tcBorders>
                    <w:tl2br w:val="nil"/>
                    <w:tr2bl w:val="nil"/>
                  </w:tcBorders>
                  <w:vAlign w:val="center"/>
                </w:tcPr>
                <w:p w14:paraId="1E922584">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67B60228">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4C7DA421">
                  <w:pPr>
                    <w:jc w:val="center"/>
                    <w:rPr>
                      <w:rFonts w:hint="eastAsia"/>
                      <w:color w:val="auto"/>
                      <w:szCs w:val="21"/>
                    </w:rPr>
                  </w:pPr>
                  <w:r>
                    <w:rPr>
                      <w:rFonts w:hint="eastAsia"/>
                      <w:color w:val="auto"/>
                      <w:szCs w:val="21"/>
                    </w:rPr>
                    <w:t>常温</w:t>
                  </w:r>
                </w:p>
              </w:tc>
              <w:tc>
                <w:tcPr>
                  <w:tcW w:w="2655" w:type="dxa"/>
                  <w:tcBorders>
                    <w:tl2br w:val="nil"/>
                    <w:tr2bl w:val="nil"/>
                  </w:tcBorders>
                </w:tcPr>
                <w:p w14:paraId="0B0E5989">
                  <w:pPr>
                    <w:jc w:val="center"/>
                    <w:rPr>
                      <w:rFonts w:hint="eastAsia"/>
                      <w:color w:val="auto"/>
                      <w:szCs w:val="21"/>
                    </w:rPr>
                  </w:pPr>
                  <w:r>
                    <w:rPr>
                      <w:rFonts w:hint="eastAsia"/>
                      <w:color w:val="auto"/>
                      <w:szCs w:val="21"/>
                    </w:rPr>
                    <w:t>L0.59×W0.49×H0.97m</w:t>
                  </w:r>
                </w:p>
              </w:tc>
              <w:tc>
                <w:tcPr>
                  <w:tcW w:w="735" w:type="dxa"/>
                  <w:tcBorders>
                    <w:tl2br w:val="nil"/>
                    <w:tr2bl w:val="nil"/>
                  </w:tcBorders>
                  <w:vAlign w:val="center"/>
                </w:tcPr>
                <w:p w14:paraId="408DA48D">
                  <w:pPr>
                    <w:jc w:val="center"/>
                    <w:rPr>
                      <w:rFonts w:hint="eastAsia"/>
                      <w:color w:val="auto"/>
                      <w:szCs w:val="21"/>
                    </w:rPr>
                  </w:pPr>
                  <w:r>
                    <w:rPr>
                      <w:rFonts w:hint="eastAsia"/>
                      <w:color w:val="auto"/>
                      <w:szCs w:val="21"/>
                    </w:rPr>
                    <w:t>280L</w:t>
                  </w:r>
                </w:p>
              </w:tc>
              <w:tc>
                <w:tcPr>
                  <w:tcW w:w="753" w:type="dxa"/>
                  <w:tcBorders>
                    <w:tl2br w:val="nil"/>
                    <w:tr2bl w:val="nil"/>
                  </w:tcBorders>
                  <w:vAlign w:val="center"/>
                </w:tcPr>
                <w:p w14:paraId="14EE8F84">
                  <w:pPr>
                    <w:jc w:val="center"/>
                    <w:rPr>
                      <w:rFonts w:hint="eastAsia"/>
                      <w:color w:val="auto"/>
                      <w:szCs w:val="21"/>
                    </w:rPr>
                  </w:pPr>
                  <w:r>
                    <w:rPr>
                      <w:rFonts w:hint="eastAsia"/>
                      <w:color w:val="auto"/>
                      <w:szCs w:val="21"/>
                    </w:rPr>
                    <w:t>清洗</w:t>
                  </w:r>
                </w:p>
              </w:tc>
            </w:tr>
            <w:tr w14:paraId="7DCD6E1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31" w:type="dxa"/>
                  <w:tcBorders>
                    <w:tl2br w:val="nil"/>
                    <w:tr2bl w:val="nil"/>
                  </w:tcBorders>
                  <w:vAlign w:val="center"/>
                </w:tcPr>
                <w:p w14:paraId="07582BC9">
                  <w:pPr>
                    <w:jc w:val="center"/>
                    <w:rPr>
                      <w:rFonts w:hint="eastAsia"/>
                      <w:color w:val="auto"/>
                      <w:szCs w:val="21"/>
                    </w:rPr>
                  </w:pPr>
                  <w:r>
                    <w:rPr>
                      <w:rFonts w:hint="eastAsia"/>
                      <w:color w:val="auto"/>
                      <w:szCs w:val="21"/>
                    </w:rPr>
                    <w:t>12</w:t>
                  </w:r>
                </w:p>
              </w:tc>
              <w:tc>
                <w:tcPr>
                  <w:tcW w:w="1689" w:type="dxa"/>
                  <w:tcBorders>
                    <w:tl2br w:val="nil"/>
                    <w:tr2bl w:val="nil"/>
                  </w:tcBorders>
                  <w:vAlign w:val="center"/>
                </w:tcPr>
                <w:p w14:paraId="5C946821">
                  <w:pPr>
                    <w:jc w:val="center"/>
                    <w:rPr>
                      <w:rFonts w:hint="eastAsia"/>
                      <w:color w:val="auto"/>
                      <w:szCs w:val="21"/>
                    </w:rPr>
                  </w:pPr>
                  <w:r>
                    <w:rPr>
                      <w:rFonts w:hint="eastAsia"/>
                      <w:color w:val="auto"/>
                      <w:szCs w:val="21"/>
                    </w:rPr>
                    <w:t>纯水洗槽2</w:t>
                  </w:r>
                </w:p>
              </w:tc>
              <w:tc>
                <w:tcPr>
                  <w:tcW w:w="690" w:type="dxa"/>
                  <w:tcBorders>
                    <w:tl2br w:val="nil"/>
                    <w:tr2bl w:val="nil"/>
                  </w:tcBorders>
                  <w:vAlign w:val="center"/>
                </w:tcPr>
                <w:p w14:paraId="446B96F9">
                  <w:pPr>
                    <w:jc w:val="center"/>
                    <w:rPr>
                      <w:rFonts w:hint="eastAsia"/>
                      <w:color w:val="auto"/>
                      <w:szCs w:val="21"/>
                    </w:rPr>
                  </w:pPr>
                  <w:r>
                    <w:rPr>
                      <w:rFonts w:hint="eastAsia"/>
                      <w:color w:val="auto"/>
                      <w:szCs w:val="21"/>
                    </w:rPr>
                    <w:t>浸泡</w:t>
                  </w:r>
                </w:p>
              </w:tc>
              <w:tc>
                <w:tcPr>
                  <w:tcW w:w="615" w:type="dxa"/>
                  <w:tcBorders>
                    <w:tl2br w:val="nil"/>
                    <w:tr2bl w:val="nil"/>
                  </w:tcBorders>
                  <w:vAlign w:val="center"/>
                </w:tcPr>
                <w:p w14:paraId="6E8BB841">
                  <w:pPr>
                    <w:jc w:val="center"/>
                    <w:rPr>
                      <w:rFonts w:hint="eastAsia"/>
                      <w:color w:val="auto"/>
                      <w:szCs w:val="21"/>
                    </w:rPr>
                  </w:pPr>
                  <w:r>
                    <w:rPr>
                      <w:rFonts w:hint="eastAsia"/>
                      <w:color w:val="auto"/>
                      <w:szCs w:val="21"/>
                    </w:rPr>
                    <w:t>1个</w:t>
                  </w:r>
                </w:p>
              </w:tc>
              <w:tc>
                <w:tcPr>
                  <w:tcW w:w="960" w:type="dxa"/>
                  <w:tcBorders>
                    <w:tl2br w:val="nil"/>
                    <w:tr2bl w:val="nil"/>
                  </w:tcBorders>
                  <w:vAlign w:val="center"/>
                </w:tcPr>
                <w:p w14:paraId="012881BD">
                  <w:pPr>
                    <w:jc w:val="center"/>
                    <w:rPr>
                      <w:rFonts w:hint="eastAsia"/>
                      <w:color w:val="auto"/>
                      <w:szCs w:val="21"/>
                    </w:rPr>
                  </w:pPr>
                  <w:r>
                    <w:rPr>
                      <w:rFonts w:hint="eastAsia"/>
                      <w:color w:val="auto"/>
                      <w:szCs w:val="21"/>
                    </w:rPr>
                    <w:t>1~ 2min</w:t>
                  </w:r>
                </w:p>
              </w:tc>
              <w:tc>
                <w:tcPr>
                  <w:tcW w:w="1050" w:type="dxa"/>
                  <w:tcBorders>
                    <w:tl2br w:val="nil"/>
                    <w:tr2bl w:val="nil"/>
                  </w:tcBorders>
                  <w:vAlign w:val="center"/>
                </w:tcPr>
                <w:p w14:paraId="0A05E756">
                  <w:pPr>
                    <w:jc w:val="center"/>
                    <w:rPr>
                      <w:rFonts w:hint="eastAsia"/>
                      <w:color w:val="auto"/>
                      <w:szCs w:val="21"/>
                    </w:rPr>
                  </w:pPr>
                  <w:r>
                    <w:rPr>
                      <w:rFonts w:hint="eastAsia"/>
                      <w:color w:val="auto"/>
                      <w:szCs w:val="21"/>
                    </w:rPr>
                    <w:t>常温</w:t>
                  </w:r>
                </w:p>
              </w:tc>
              <w:tc>
                <w:tcPr>
                  <w:tcW w:w="2655" w:type="dxa"/>
                  <w:tcBorders>
                    <w:tl2br w:val="nil"/>
                    <w:tr2bl w:val="nil"/>
                  </w:tcBorders>
                </w:tcPr>
                <w:p w14:paraId="1F888026">
                  <w:pPr>
                    <w:jc w:val="center"/>
                    <w:rPr>
                      <w:rFonts w:hint="eastAsia"/>
                      <w:color w:val="auto"/>
                      <w:szCs w:val="21"/>
                    </w:rPr>
                  </w:pPr>
                  <w:r>
                    <w:rPr>
                      <w:rFonts w:hint="eastAsia"/>
                      <w:color w:val="auto"/>
                      <w:szCs w:val="21"/>
                    </w:rPr>
                    <w:t>L0.59×W0.49×H0.97m</w:t>
                  </w:r>
                </w:p>
              </w:tc>
              <w:tc>
                <w:tcPr>
                  <w:tcW w:w="735" w:type="dxa"/>
                  <w:tcBorders>
                    <w:tl2br w:val="nil"/>
                    <w:tr2bl w:val="nil"/>
                  </w:tcBorders>
                  <w:vAlign w:val="center"/>
                </w:tcPr>
                <w:p w14:paraId="52A8EFBB">
                  <w:pPr>
                    <w:jc w:val="center"/>
                    <w:rPr>
                      <w:rFonts w:hint="eastAsia"/>
                      <w:color w:val="auto"/>
                      <w:szCs w:val="21"/>
                    </w:rPr>
                  </w:pPr>
                  <w:r>
                    <w:rPr>
                      <w:rFonts w:hint="eastAsia"/>
                      <w:color w:val="auto"/>
                      <w:szCs w:val="21"/>
                    </w:rPr>
                    <w:t>280L</w:t>
                  </w:r>
                </w:p>
              </w:tc>
              <w:tc>
                <w:tcPr>
                  <w:tcW w:w="753" w:type="dxa"/>
                  <w:tcBorders>
                    <w:tl2br w:val="nil"/>
                    <w:tr2bl w:val="nil"/>
                  </w:tcBorders>
                  <w:vAlign w:val="center"/>
                </w:tcPr>
                <w:p w14:paraId="3601CACA">
                  <w:pPr>
                    <w:jc w:val="center"/>
                    <w:rPr>
                      <w:rFonts w:hint="eastAsia"/>
                      <w:color w:val="auto"/>
                      <w:szCs w:val="21"/>
                    </w:rPr>
                  </w:pPr>
                  <w:r>
                    <w:rPr>
                      <w:rFonts w:hint="eastAsia"/>
                      <w:color w:val="auto"/>
                      <w:szCs w:val="21"/>
                    </w:rPr>
                    <w:t>清洗</w:t>
                  </w:r>
                </w:p>
              </w:tc>
            </w:tr>
          </w:tbl>
          <w:p w14:paraId="4D063A5B">
            <w:pPr>
              <w:spacing w:line="360" w:lineRule="auto"/>
              <w:ind w:firstLine="482" w:firstLineChars="200"/>
              <w:rPr>
                <w:b/>
                <w:color w:val="auto"/>
                <w:sz w:val="24"/>
              </w:rPr>
            </w:pPr>
            <w:r>
              <w:rPr>
                <w:b/>
                <w:color w:val="auto"/>
                <w:sz w:val="24"/>
              </w:rPr>
              <w:t>（</w:t>
            </w:r>
            <w:r>
              <w:rPr>
                <w:rFonts w:hint="eastAsia"/>
                <w:b/>
                <w:color w:val="auto"/>
                <w:sz w:val="24"/>
              </w:rPr>
              <w:t>七</w:t>
            </w:r>
            <w:r>
              <w:rPr>
                <w:b/>
                <w:color w:val="auto"/>
                <w:sz w:val="24"/>
              </w:rPr>
              <w:t>）主要原辅材料</w:t>
            </w:r>
          </w:p>
          <w:p w14:paraId="02F99D96">
            <w:pPr>
              <w:spacing w:line="360" w:lineRule="auto"/>
              <w:ind w:firstLine="480" w:firstLineChars="200"/>
              <w:rPr>
                <w:bCs/>
                <w:color w:val="auto"/>
                <w:sz w:val="24"/>
              </w:rPr>
            </w:pPr>
            <w:r>
              <w:rPr>
                <w:rFonts w:hint="eastAsia"/>
                <w:bCs/>
                <w:color w:val="auto"/>
                <w:sz w:val="24"/>
                <w:lang w:eastAsia="zh-CN"/>
              </w:rPr>
              <w:t>改建</w:t>
            </w:r>
            <w:r>
              <w:rPr>
                <w:bCs/>
                <w:color w:val="auto"/>
                <w:sz w:val="24"/>
              </w:rPr>
              <w:t>项目及</w:t>
            </w:r>
            <w:r>
              <w:rPr>
                <w:rFonts w:hint="eastAsia"/>
                <w:bCs/>
                <w:color w:val="auto"/>
                <w:sz w:val="24"/>
                <w:lang w:eastAsia="zh-CN"/>
              </w:rPr>
              <w:t>改建</w:t>
            </w:r>
            <w:r>
              <w:rPr>
                <w:bCs/>
                <w:color w:val="auto"/>
                <w:sz w:val="24"/>
              </w:rPr>
              <w:t>后全厂原辅材料情况见表2-</w:t>
            </w:r>
            <w:r>
              <w:rPr>
                <w:rFonts w:hint="eastAsia"/>
                <w:bCs/>
                <w:color w:val="auto"/>
                <w:sz w:val="24"/>
                <w:lang w:val="en-US" w:eastAsia="zh-CN"/>
              </w:rPr>
              <w:t>9</w:t>
            </w:r>
            <w:r>
              <w:rPr>
                <w:bCs/>
                <w:color w:val="auto"/>
                <w:sz w:val="24"/>
              </w:rPr>
              <w:t>，理化特性情况表2-</w:t>
            </w:r>
            <w:r>
              <w:rPr>
                <w:rFonts w:hint="eastAsia"/>
                <w:bCs/>
                <w:color w:val="auto"/>
                <w:sz w:val="24"/>
                <w:lang w:val="en-US" w:eastAsia="zh-CN"/>
              </w:rPr>
              <w:t>10</w:t>
            </w:r>
            <w:r>
              <w:rPr>
                <w:bCs/>
                <w:color w:val="auto"/>
                <w:sz w:val="24"/>
              </w:rPr>
              <w:t>。</w:t>
            </w:r>
          </w:p>
          <w:p w14:paraId="3D1F45E1">
            <w:pPr>
              <w:adjustRightInd w:val="0"/>
              <w:snapToGrid w:val="0"/>
              <w:ind w:firstLine="480"/>
              <w:jc w:val="center"/>
              <w:rPr>
                <w:b/>
                <w:bCs/>
                <w:color w:val="auto"/>
                <w:szCs w:val="21"/>
              </w:rPr>
            </w:pPr>
            <w:r>
              <w:rPr>
                <w:b/>
                <w:bCs/>
                <w:color w:val="auto"/>
                <w:szCs w:val="21"/>
              </w:rPr>
              <w:t>表2-</w:t>
            </w:r>
            <w:r>
              <w:rPr>
                <w:rFonts w:hint="eastAsia"/>
                <w:b/>
                <w:bCs/>
                <w:color w:val="auto"/>
                <w:szCs w:val="21"/>
                <w:lang w:val="en-US" w:eastAsia="zh-CN"/>
              </w:rPr>
              <w:t>9</w:t>
            </w:r>
            <w:r>
              <w:rPr>
                <w:b/>
                <w:bCs/>
                <w:color w:val="auto"/>
                <w:szCs w:val="21"/>
              </w:rPr>
              <w:t>项目</w:t>
            </w:r>
            <w:r>
              <w:rPr>
                <w:rFonts w:hint="eastAsia"/>
                <w:b/>
                <w:bCs/>
                <w:color w:val="auto"/>
                <w:szCs w:val="21"/>
                <w:lang w:eastAsia="zh-CN"/>
              </w:rPr>
              <w:t>改建</w:t>
            </w:r>
            <w:r>
              <w:rPr>
                <w:b/>
                <w:bCs/>
                <w:color w:val="auto"/>
                <w:szCs w:val="21"/>
              </w:rPr>
              <w:t>前后主要原辅材料一览表</w:t>
            </w:r>
          </w:p>
          <w:tbl>
            <w:tblPr>
              <w:tblStyle w:val="42"/>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1157"/>
              <w:gridCol w:w="705"/>
              <w:gridCol w:w="930"/>
              <w:gridCol w:w="765"/>
              <w:gridCol w:w="810"/>
              <w:gridCol w:w="690"/>
              <w:gridCol w:w="765"/>
              <w:gridCol w:w="750"/>
              <w:gridCol w:w="1065"/>
              <w:gridCol w:w="1473"/>
            </w:tblGrid>
            <w:tr w14:paraId="0B6B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vMerge w:val="restart"/>
                  <w:tcBorders>
                    <w:top w:val="single" w:color="auto" w:sz="4" w:space="0"/>
                    <w:left w:val="single" w:color="auto" w:sz="4" w:space="0"/>
                    <w:right w:val="single" w:color="auto" w:sz="4" w:space="0"/>
                  </w:tcBorders>
                  <w:vAlign w:val="center"/>
                </w:tcPr>
                <w:p w14:paraId="73C8A007">
                  <w:pPr>
                    <w:widowControl w:val="0"/>
                    <w:tabs>
                      <w:tab w:val="left" w:pos="2068"/>
                    </w:tabs>
                    <w:adjustRightInd w:val="0"/>
                    <w:snapToGrid w:val="0"/>
                    <w:jc w:val="center"/>
                    <w:rPr>
                      <w:b/>
                      <w:color w:val="auto"/>
                      <w:szCs w:val="21"/>
                      <w:highlight w:val="none"/>
                    </w:rPr>
                  </w:pPr>
                  <w:r>
                    <w:rPr>
                      <w:b/>
                      <w:color w:val="auto"/>
                      <w:szCs w:val="21"/>
                      <w:highlight w:val="none"/>
                    </w:rPr>
                    <w:t>序号</w:t>
                  </w:r>
                </w:p>
              </w:tc>
              <w:tc>
                <w:tcPr>
                  <w:tcW w:w="1157" w:type="dxa"/>
                  <w:vMerge w:val="restart"/>
                  <w:tcBorders>
                    <w:top w:val="single" w:color="auto" w:sz="4" w:space="0"/>
                    <w:left w:val="single" w:color="auto" w:sz="4" w:space="0"/>
                    <w:right w:val="single" w:color="auto" w:sz="4" w:space="0"/>
                  </w:tcBorders>
                  <w:vAlign w:val="center"/>
                </w:tcPr>
                <w:p w14:paraId="72B034D6">
                  <w:pPr>
                    <w:widowControl w:val="0"/>
                    <w:tabs>
                      <w:tab w:val="left" w:pos="2068"/>
                    </w:tabs>
                    <w:adjustRightInd w:val="0"/>
                    <w:snapToGrid w:val="0"/>
                    <w:jc w:val="center"/>
                    <w:rPr>
                      <w:b/>
                      <w:color w:val="auto"/>
                      <w:szCs w:val="21"/>
                      <w:highlight w:val="none"/>
                    </w:rPr>
                  </w:pPr>
                  <w:r>
                    <w:rPr>
                      <w:b/>
                      <w:color w:val="auto"/>
                      <w:szCs w:val="21"/>
                      <w:highlight w:val="none"/>
                    </w:rPr>
                    <w:t>原料名称</w:t>
                  </w:r>
                </w:p>
              </w:tc>
              <w:tc>
                <w:tcPr>
                  <w:tcW w:w="705" w:type="dxa"/>
                  <w:vMerge w:val="restart"/>
                  <w:tcBorders>
                    <w:top w:val="single" w:color="auto" w:sz="4" w:space="0"/>
                    <w:left w:val="single" w:color="auto" w:sz="4" w:space="0"/>
                    <w:right w:val="single" w:color="auto" w:sz="4" w:space="0"/>
                  </w:tcBorders>
                  <w:vAlign w:val="center"/>
                </w:tcPr>
                <w:p w14:paraId="6CE7DF2A">
                  <w:pPr>
                    <w:widowControl w:val="0"/>
                    <w:tabs>
                      <w:tab w:val="left" w:pos="2068"/>
                    </w:tabs>
                    <w:adjustRightInd w:val="0"/>
                    <w:snapToGrid w:val="0"/>
                    <w:jc w:val="center"/>
                    <w:rPr>
                      <w:b/>
                      <w:color w:val="auto"/>
                      <w:szCs w:val="21"/>
                      <w:highlight w:val="none"/>
                    </w:rPr>
                  </w:pPr>
                  <w:r>
                    <w:rPr>
                      <w:b/>
                      <w:color w:val="auto"/>
                      <w:szCs w:val="21"/>
                      <w:highlight w:val="none"/>
                    </w:rPr>
                    <w:t>性状</w:t>
                  </w:r>
                </w:p>
              </w:tc>
              <w:tc>
                <w:tcPr>
                  <w:tcW w:w="930" w:type="dxa"/>
                  <w:vMerge w:val="restart"/>
                  <w:tcBorders>
                    <w:top w:val="single" w:color="auto" w:sz="4" w:space="0"/>
                    <w:left w:val="single" w:color="auto" w:sz="4" w:space="0"/>
                    <w:right w:val="single" w:color="auto" w:sz="4" w:space="0"/>
                  </w:tcBorders>
                  <w:vAlign w:val="center"/>
                </w:tcPr>
                <w:p w14:paraId="16693DFB">
                  <w:pPr>
                    <w:widowControl w:val="0"/>
                    <w:tabs>
                      <w:tab w:val="left" w:pos="2068"/>
                    </w:tabs>
                    <w:adjustRightInd w:val="0"/>
                    <w:snapToGrid w:val="0"/>
                    <w:jc w:val="center"/>
                    <w:rPr>
                      <w:b/>
                      <w:color w:val="auto"/>
                      <w:szCs w:val="21"/>
                      <w:highlight w:val="none"/>
                    </w:rPr>
                  </w:pPr>
                  <w:r>
                    <w:rPr>
                      <w:rFonts w:hint="eastAsia"/>
                      <w:b/>
                      <w:color w:val="auto"/>
                      <w:szCs w:val="21"/>
                      <w:highlight w:val="none"/>
                    </w:rPr>
                    <w:t>包装规格</w:t>
                  </w:r>
                </w:p>
              </w:tc>
              <w:tc>
                <w:tcPr>
                  <w:tcW w:w="3030" w:type="dxa"/>
                  <w:gridSpan w:val="4"/>
                  <w:tcBorders>
                    <w:top w:val="single" w:color="auto" w:sz="4" w:space="0"/>
                    <w:left w:val="single" w:color="auto" w:sz="4" w:space="0"/>
                    <w:bottom w:val="single" w:color="auto" w:sz="4" w:space="0"/>
                    <w:right w:val="single" w:color="auto" w:sz="4" w:space="0"/>
                  </w:tcBorders>
                  <w:vAlign w:val="center"/>
                </w:tcPr>
                <w:p w14:paraId="5E7B7310">
                  <w:pPr>
                    <w:widowControl w:val="0"/>
                    <w:tabs>
                      <w:tab w:val="left" w:pos="2068"/>
                    </w:tabs>
                    <w:adjustRightInd w:val="0"/>
                    <w:snapToGrid w:val="0"/>
                    <w:jc w:val="center"/>
                    <w:rPr>
                      <w:b/>
                      <w:color w:val="auto"/>
                      <w:szCs w:val="21"/>
                      <w:highlight w:val="none"/>
                    </w:rPr>
                  </w:pPr>
                  <w:r>
                    <w:rPr>
                      <w:b/>
                      <w:color w:val="auto"/>
                      <w:szCs w:val="21"/>
                      <w:highlight w:val="none"/>
                    </w:rPr>
                    <w:t>年用量（t）</w:t>
                  </w:r>
                </w:p>
              </w:tc>
              <w:tc>
                <w:tcPr>
                  <w:tcW w:w="750" w:type="dxa"/>
                  <w:vMerge w:val="restart"/>
                  <w:tcBorders>
                    <w:top w:val="single" w:color="auto" w:sz="4" w:space="0"/>
                    <w:left w:val="single" w:color="auto" w:sz="4" w:space="0"/>
                    <w:right w:val="single" w:color="auto" w:sz="4" w:space="0"/>
                  </w:tcBorders>
                  <w:vAlign w:val="center"/>
                </w:tcPr>
                <w:p w14:paraId="40FA2573">
                  <w:pPr>
                    <w:widowControl w:val="0"/>
                    <w:tabs>
                      <w:tab w:val="left" w:pos="2068"/>
                    </w:tabs>
                    <w:adjustRightInd w:val="0"/>
                    <w:snapToGrid w:val="0"/>
                    <w:jc w:val="center"/>
                    <w:rPr>
                      <w:b/>
                      <w:color w:val="auto"/>
                      <w:szCs w:val="21"/>
                      <w:highlight w:val="none"/>
                    </w:rPr>
                  </w:pPr>
                  <w:r>
                    <w:rPr>
                      <w:b/>
                      <w:color w:val="auto"/>
                      <w:szCs w:val="21"/>
                      <w:highlight w:val="none"/>
                    </w:rPr>
                    <w:t>最大存储量（t）</w:t>
                  </w:r>
                </w:p>
              </w:tc>
              <w:tc>
                <w:tcPr>
                  <w:tcW w:w="1065" w:type="dxa"/>
                  <w:vMerge w:val="restart"/>
                  <w:tcBorders>
                    <w:top w:val="single" w:color="auto" w:sz="4" w:space="0"/>
                    <w:left w:val="single" w:color="auto" w:sz="4" w:space="0"/>
                    <w:right w:val="single" w:color="auto" w:sz="4" w:space="0"/>
                  </w:tcBorders>
                  <w:vAlign w:val="center"/>
                </w:tcPr>
                <w:p w14:paraId="577B7130">
                  <w:pPr>
                    <w:widowControl w:val="0"/>
                    <w:tabs>
                      <w:tab w:val="left" w:pos="2068"/>
                    </w:tabs>
                    <w:adjustRightInd w:val="0"/>
                    <w:snapToGrid w:val="0"/>
                    <w:jc w:val="center"/>
                    <w:rPr>
                      <w:b/>
                      <w:color w:val="auto"/>
                      <w:szCs w:val="21"/>
                      <w:highlight w:val="none"/>
                    </w:rPr>
                  </w:pPr>
                  <w:r>
                    <w:rPr>
                      <w:b/>
                      <w:color w:val="auto"/>
                      <w:szCs w:val="21"/>
                      <w:highlight w:val="none"/>
                    </w:rPr>
                    <w:t>使用工序</w:t>
                  </w:r>
                </w:p>
              </w:tc>
              <w:tc>
                <w:tcPr>
                  <w:tcW w:w="1473" w:type="dxa"/>
                  <w:vMerge w:val="restart"/>
                  <w:tcBorders>
                    <w:top w:val="single" w:color="auto" w:sz="4" w:space="0"/>
                    <w:left w:val="single" w:color="auto" w:sz="4" w:space="0"/>
                    <w:right w:val="single" w:color="auto" w:sz="4" w:space="0"/>
                  </w:tcBorders>
                  <w:vAlign w:val="center"/>
                </w:tcPr>
                <w:p w14:paraId="35B2120F">
                  <w:pPr>
                    <w:widowControl w:val="0"/>
                    <w:tabs>
                      <w:tab w:val="left" w:pos="2068"/>
                    </w:tabs>
                    <w:adjustRightInd w:val="0"/>
                    <w:snapToGrid w:val="0"/>
                    <w:jc w:val="center"/>
                    <w:rPr>
                      <w:b/>
                      <w:color w:val="auto"/>
                      <w:szCs w:val="21"/>
                      <w:highlight w:val="none"/>
                    </w:rPr>
                  </w:pPr>
                  <w:r>
                    <w:rPr>
                      <w:b/>
                      <w:color w:val="auto"/>
                      <w:szCs w:val="21"/>
                      <w:highlight w:val="none"/>
                    </w:rPr>
                    <w:t>存放位置</w:t>
                  </w:r>
                </w:p>
              </w:tc>
            </w:tr>
            <w:tr w14:paraId="78B9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vMerge w:val="continue"/>
                  <w:tcBorders>
                    <w:left w:val="single" w:color="auto" w:sz="4" w:space="0"/>
                    <w:bottom w:val="single" w:color="auto" w:sz="4" w:space="0"/>
                    <w:right w:val="single" w:color="auto" w:sz="4" w:space="0"/>
                  </w:tcBorders>
                  <w:vAlign w:val="center"/>
                </w:tcPr>
                <w:p w14:paraId="39BAB2B2">
                  <w:pPr>
                    <w:widowControl w:val="0"/>
                    <w:tabs>
                      <w:tab w:val="left" w:pos="2068"/>
                    </w:tabs>
                    <w:adjustRightInd w:val="0"/>
                    <w:snapToGrid w:val="0"/>
                    <w:jc w:val="center"/>
                    <w:rPr>
                      <w:color w:val="auto"/>
                      <w:szCs w:val="21"/>
                      <w:highlight w:val="none"/>
                    </w:rPr>
                  </w:pPr>
                </w:p>
              </w:tc>
              <w:tc>
                <w:tcPr>
                  <w:tcW w:w="1157" w:type="dxa"/>
                  <w:vMerge w:val="continue"/>
                  <w:tcBorders>
                    <w:left w:val="single" w:color="auto" w:sz="4" w:space="0"/>
                    <w:bottom w:val="single" w:color="auto" w:sz="4" w:space="0"/>
                    <w:right w:val="single" w:color="auto" w:sz="4" w:space="0"/>
                  </w:tcBorders>
                  <w:vAlign w:val="center"/>
                </w:tcPr>
                <w:p w14:paraId="4A662C28">
                  <w:pPr>
                    <w:widowControl w:val="0"/>
                    <w:tabs>
                      <w:tab w:val="left" w:pos="2068"/>
                    </w:tabs>
                    <w:adjustRightInd w:val="0"/>
                    <w:snapToGrid w:val="0"/>
                    <w:jc w:val="center"/>
                    <w:rPr>
                      <w:color w:val="auto"/>
                      <w:szCs w:val="21"/>
                      <w:highlight w:val="none"/>
                    </w:rPr>
                  </w:pPr>
                </w:p>
              </w:tc>
              <w:tc>
                <w:tcPr>
                  <w:tcW w:w="705" w:type="dxa"/>
                  <w:vMerge w:val="continue"/>
                  <w:tcBorders>
                    <w:left w:val="single" w:color="auto" w:sz="4" w:space="0"/>
                    <w:bottom w:val="single" w:color="auto" w:sz="4" w:space="0"/>
                    <w:right w:val="single" w:color="auto" w:sz="4" w:space="0"/>
                  </w:tcBorders>
                  <w:vAlign w:val="center"/>
                </w:tcPr>
                <w:p w14:paraId="4CB8DE09">
                  <w:pPr>
                    <w:widowControl w:val="0"/>
                    <w:tabs>
                      <w:tab w:val="left" w:pos="2068"/>
                    </w:tabs>
                    <w:adjustRightInd w:val="0"/>
                    <w:snapToGrid w:val="0"/>
                    <w:jc w:val="center"/>
                    <w:rPr>
                      <w:color w:val="auto"/>
                      <w:szCs w:val="21"/>
                      <w:highlight w:val="none"/>
                    </w:rPr>
                  </w:pPr>
                </w:p>
              </w:tc>
              <w:tc>
                <w:tcPr>
                  <w:tcW w:w="930" w:type="dxa"/>
                  <w:vMerge w:val="continue"/>
                  <w:tcBorders>
                    <w:left w:val="single" w:color="auto" w:sz="4" w:space="0"/>
                    <w:bottom w:val="single" w:color="auto" w:sz="4" w:space="0"/>
                    <w:right w:val="single" w:color="auto" w:sz="4" w:space="0"/>
                  </w:tcBorders>
                  <w:vAlign w:val="center"/>
                </w:tcPr>
                <w:p w14:paraId="6B2AE180">
                  <w:pPr>
                    <w:widowControl w:val="0"/>
                    <w:tabs>
                      <w:tab w:val="left" w:pos="2068"/>
                    </w:tabs>
                    <w:adjustRightInd w:val="0"/>
                    <w:snapToGrid w:val="0"/>
                    <w:jc w:val="center"/>
                    <w:rPr>
                      <w:color w:val="auto"/>
                      <w:szCs w:val="21"/>
                      <w:highlight w:val="none"/>
                    </w:rPr>
                  </w:pPr>
                </w:p>
              </w:tc>
              <w:tc>
                <w:tcPr>
                  <w:tcW w:w="765" w:type="dxa"/>
                  <w:tcBorders>
                    <w:top w:val="single" w:color="auto" w:sz="4" w:space="0"/>
                    <w:left w:val="single" w:color="auto" w:sz="4" w:space="0"/>
                    <w:bottom w:val="single" w:color="auto" w:sz="4" w:space="0"/>
                    <w:right w:val="single" w:color="auto" w:sz="4" w:space="0"/>
                  </w:tcBorders>
                  <w:vAlign w:val="center"/>
                </w:tcPr>
                <w:p w14:paraId="6719CA5B">
                  <w:pPr>
                    <w:widowControl w:val="0"/>
                    <w:tabs>
                      <w:tab w:val="left" w:pos="2068"/>
                    </w:tabs>
                    <w:adjustRightInd w:val="0"/>
                    <w:snapToGrid w:val="0"/>
                    <w:jc w:val="center"/>
                    <w:rPr>
                      <w:b/>
                      <w:color w:val="auto"/>
                      <w:szCs w:val="21"/>
                      <w:highlight w:val="none"/>
                    </w:rPr>
                  </w:pPr>
                  <w:r>
                    <w:rPr>
                      <w:rFonts w:hint="eastAsia"/>
                      <w:b/>
                      <w:color w:val="auto"/>
                      <w:szCs w:val="21"/>
                      <w:highlight w:val="none"/>
                    </w:rPr>
                    <w:t>现有</w:t>
                  </w:r>
                  <w:r>
                    <w:rPr>
                      <w:b/>
                      <w:color w:val="auto"/>
                      <w:szCs w:val="21"/>
                      <w:highlight w:val="none"/>
                    </w:rPr>
                    <w:t>项目</w:t>
                  </w:r>
                </w:p>
              </w:tc>
              <w:tc>
                <w:tcPr>
                  <w:tcW w:w="810" w:type="dxa"/>
                  <w:tcBorders>
                    <w:top w:val="single" w:color="auto" w:sz="4" w:space="0"/>
                    <w:left w:val="single" w:color="auto" w:sz="4" w:space="0"/>
                    <w:bottom w:val="single" w:color="auto" w:sz="4" w:space="0"/>
                    <w:right w:val="single" w:color="auto" w:sz="4" w:space="0"/>
                  </w:tcBorders>
                  <w:vAlign w:val="center"/>
                </w:tcPr>
                <w:p w14:paraId="637503C3">
                  <w:pPr>
                    <w:widowControl w:val="0"/>
                    <w:tabs>
                      <w:tab w:val="left" w:pos="2068"/>
                    </w:tabs>
                    <w:adjustRightInd w:val="0"/>
                    <w:snapToGrid w:val="0"/>
                    <w:jc w:val="center"/>
                    <w:rPr>
                      <w:b/>
                      <w:color w:val="auto"/>
                      <w:szCs w:val="21"/>
                      <w:highlight w:val="none"/>
                    </w:rPr>
                  </w:pPr>
                  <w:r>
                    <w:rPr>
                      <w:rFonts w:hint="eastAsia"/>
                      <w:b/>
                      <w:color w:val="auto"/>
                      <w:szCs w:val="21"/>
                      <w:highlight w:val="none"/>
                      <w:lang w:eastAsia="zh-CN"/>
                    </w:rPr>
                    <w:t>改建</w:t>
                  </w:r>
                  <w:r>
                    <w:rPr>
                      <w:b/>
                      <w:color w:val="auto"/>
                      <w:szCs w:val="21"/>
                      <w:highlight w:val="none"/>
                    </w:rPr>
                    <w:t>项目</w:t>
                  </w:r>
                </w:p>
              </w:tc>
              <w:tc>
                <w:tcPr>
                  <w:tcW w:w="690" w:type="dxa"/>
                  <w:tcBorders>
                    <w:top w:val="single" w:color="auto" w:sz="4" w:space="0"/>
                    <w:left w:val="single" w:color="auto" w:sz="4" w:space="0"/>
                    <w:bottom w:val="single" w:color="auto" w:sz="4" w:space="0"/>
                    <w:right w:val="single" w:color="auto" w:sz="4" w:space="0"/>
                  </w:tcBorders>
                  <w:vAlign w:val="center"/>
                </w:tcPr>
                <w:p w14:paraId="1B1E2F9A">
                  <w:pPr>
                    <w:widowControl w:val="0"/>
                    <w:tabs>
                      <w:tab w:val="left" w:pos="2068"/>
                    </w:tabs>
                    <w:adjustRightInd w:val="0"/>
                    <w:snapToGrid w:val="0"/>
                    <w:jc w:val="center"/>
                    <w:rPr>
                      <w:b/>
                      <w:color w:val="auto"/>
                      <w:szCs w:val="21"/>
                      <w:highlight w:val="none"/>
                    </w:rPr>
                  </w:pPr>
                  <w:r>
                    <w:rPr>
                      <w:rFonts w:hint="eastAsia"/>
                      <w:b/>
                      <w:color w:val="auto"/>
                      <w:szCs w:val="21"/>
                      <w:highlight w:val="none"/>
                      <w:lang w:eastAsia="zh-CN"/>
                    </w:rPr>
                    <w:t>改建</w:t>
                  </w:r>
                  <w:r>
                    <w:rPr>
                      <w:b/>
                      <w:color w:val="auto"/>
                      <w:szCs w:val="21"/>
                      <w:highlight w:val="none"/>
                    </w:rPr>
                    <w:t>后</w:t>
                  </w:r>
                </w:p>
              </w:tc>
              <w:tc>
                <w:tcPr>
                  <w:tcW w:w="765" w:type="dxa"/>
                  <w:tcBorders>
                    <w:left w:val="single" w:color="auto" w:sz="4" w:space="0"/>
                    <w:bottom w:val="single" w:color="auto" w:sz="4" w:space="0"/>
                    <w:right w:val="single" w:color="auto" w:sz="4" w:space="0"/>
                  </w:tcBorders>
                  <w:vAlign w:val="center"/>
                </w:tcPr>
                <w:p w14:paraId="7014DFAA">
                  <w:pPr>
                    <w:widowControl w:val="0"/>
                    <w:tabs>
                      <w:tab w:val="left" w:pos="2068"/>
                    </w:tabs>
                    <w:adjustRightInd w:val="0"/>
                    <w:snapToGrid w:val="0"/>
                    <w:jc w:val="center"/>
                    <w:rPr>
                      <w:b/>
                      <w:color w:val="auto"/>
                      <w:szCs w:val="21"/>
                      <w:highlight w:val="none"/>
                    </w:rPr>
                  </w:pPr>
                  <w:r>
                    <w:rPr>
                      <w:b/>
                      <w:color w:val="auto"/>
                      <w:szCs w:val="21"/>
                      <w:highlight w:val="none"/>
                    </w:rPr>
                    <w:t>增减量</w:t>
                  </w:r>
                </w:p>
              </w:tc>
              <w:tc>
                <w:tcPr>
                  <w:tcW w:w="750" w:type="dxa"/>
                  <w:vMerge w:val="continue"/>
                  <w:tcBorders>
                    <w:left w:val="single" w:color="auto" w:sz="4" w:space="0"/>
                    <w:bottom w:val="single" w:color="auto" w:sz="4" w:space="0"/>
                    <w:right w:val="single" w:color="auto" w:sz="4" w:space="0"/>
                  </w:tcBorders>
                  <w:vAlign w:val="center"/>
                </w:tcPr>
                <w:p w14:paraId="6BD569DA">
                  <w:pPr>
                    <w:widowControl w:val="0"/>
                    <w:tabs>
                      <w:tab w:val="left" w:pos="2068"/>
                    </w:tabs>
                    <w:adjustRightInd w:val="0"/>
                    <w:snapToGrid w:val="0"/>
                    <w:jc w:val="center"/>
                    <w:rPr>
                      <w:b/>
                      <w:color w:val="auto"/>
                      <w:szCs w:val="21"/>
                      <w:highlight w:val="none"/>
                    </w:rPr>
                  </w:pPr>
                </w:p>
              </w:tc>
              <w:tc>
                <w:tcPr>
                  <w:tcW w:w="1065" w:type="dxa"/>
                  <w:vMerge w:val="continue"/>
                  <w:tcBorders>
                    <w:left w:val="single" w:color="auto" w:sz="4" w:space="0"/>
                    <w:bottom w:val="single" w:color="auto" w:sz="4" w:space="0"/>
                    <w:right w:val="single" w:color="auto" w:sz="4" w:space="0"/>
                  </w:tcBorders>
                  <w:vAlign w:val="center"/>
                </w:tcPr>
                <w:p w14:paraId="754ABC04">
                  <w:pPr>
                    <w:widowControl w:val="0"/>
                    <w:tabs>
                      <w:tab w:val="left" w:pos="2068"/>
                    </w:tabs>
                    <w:adjustRightInd w:val="0"/>
                    <w:snapToGrid w:val="0"/>
                    <w:jc w:val="center"/>
                    <w:rPr>
                      <w:b/>
                      <w:color w:val="auto"/>
                      <w:szCs w:val="21"/>
                      <w:highlight w:val="none"/>
                    </w:rPr>
                  </w:pPr>
                </w:p>
              </w:tc>
              <w:tc>
                <w:tcPr>
                  <w:tcW w:w="1473" w:type="dxa"/>
                  <w:vMerge w:val="continue"/>
                  <w:tcBorders>
                    <w:left w:val="single" w:color="auto" w:sz="4" w:space="0"/>
                    <w:bottom w:val="single" w:color="auto" w:sz="4" w:space="0"/>
                    <w:right w:val="single" w:color="auto" w:sz="4" w:space="0"/>
                  </w:tcBorders>
                  <w:vAlign w:val="center"/>
                </w:tcPr>
                <w:p w14:paraId="4F1BCDFA">
                  <w:pPr>
                    <w:widowControl w:val="0"/>
                    <w:tabs>
                      <w:tab w:val="left" w:pos="2068"/>
                    </w:tabs>
                    <w:adjustRightInd w:val="0"/>
                    <w:snapToGrid w:val="0"/>
                    <w:jc w:val="center"/>
                    <w:rPr>
                      <w:b/>
                      <w:color w:val="auto"/>
                      <w:szCs w:val="21"/>
                      <w:highlight w:val="none"/>
                    </w:rPr>
                  </w:pPr>
                </w:p>
              </w:tc>
            </w:tr>
            <w:tr w14:paraId="17E4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0CB91034">
                  <w:pPr>
                    <w:widowControl w:val="0"/>
                    <w:tabs>
                      <w:tab w:val="left" w:pos="2068"/>
                    </w:tabs>
                    <w:adjustRightInd w:val="0"/>
                    <w:snapToGrid w:val="0"/>
                    <w:jc w:val="center"/>
                    <w:rPr>
                      <w:color w:val="auto"/>
                      <w:szCs w:val="21"/>
                      <w:highlight w:val="none"/>
                    </w:rPr>
                  </w:pPr>
                  <w:r>
                    <w:rPr>
                      <w:color w:val="auto"/>
                      <w:szCs w:val="21"/>
                      <w:highlight w:val="none"/>
                    </w:rPr>
                    <w:t>1</w:t>
                  </w:r>
                </w:p>
              </w:tc>
              <w:tc>
                <w:tcPr>
                  <w:tcW w:w="1157" w:type="dxa"/>
                  <w:tcBorders>
                    <w:top w:val="single" w:color="auto" w:sz="4" w:space="0"/>
                    <w:left w:val="single" w:color="auto" w:sz="4" w:space="0"/>
                    <w:bottom w:val="single" w:color="auto" w:sz="4" w:space="0"/>
                    <w:right w:val="single" w:color="auto" w:sz="4" w:space="0"/>
                  </w:tcBorders>
                  <w:vAlign w:val="center"/>
                </w:tcPr>
                <w:p w14:paraId="32AF61D9">
                  <w:pPr>
                    <w:jc w:val="center"/>
                    <w:rPr>
                      <w:rFonts w:hint="eastAsia"/>
                      <w:color w:val="auto"/>
                      <w:szCs w:val="21"/>
                      <w:highlight w:val="none"/>
                    </w:rPr>
                  </w:pPr>
                  <w:r>
                    <w:rPr>
                      <w:rFonts w:hint="eastAsia"/>
                      <w:color w:val="auto"/>
                      <w:szCs w:val="21"/>
                      <w:highlight w:val="none"/>
                    </w:rPr>
                    <w:t>铝管</w:t>
                  </w:r>
                </w:p>
              </w:tc>
              <w:tc>
                <w:tcPr>
                  <w:tcW w:w="705" w:type="dxa"/>
                  <w:tcBorders>
                    <w:top w:val="single" w:color="auto" w:sz="4" w:space="0"/>
                    <w:left w:val="single" w:color="auto" w:sz="4" w:space="0"/>
                    <w:bottom w:val="single" w:color="auto" w:sz="4" w:space="0"/>
                    <w:right w:val="single" w:color="auto" w:sz="4" w:space="0"/>
                  </w:tcBorders>
                  <w:vAlign w:val="center"/>
                </w:tcPr>
                <w:p w14:paraId="0D499C33">
                  <w:pPr>
                    <w:widowControl w:val="0"/>
                    <w:tabs>
                      <w:tab w:val="left" w:pos="2068"/>
                    </w:tabs>
                    <w:adjustRightInd w:val="0"/>
                    <w:snapToGrid w:val="0"/>
                    <w:jc w:val="center"/>
                    <w:rPr>
                      <w:color w:val="auto"/>
                      <w:szCs w:val="21"/>
                      <w:highlight w:val="none"/>
                    </w:rPr>
                  </w:pPr>
                  <w:r>
                    <w:rPr>
                      <w:color w:val="auto"/>
                      <w:szCs w:val="21"/>
                      <w:highlight w:val="none"/>
                    </w:rPr>
                    <w:t>固体</w:t>
                  </w:r>
                </w:p>
              </w:tc>
              <w:tc>
                <w:tcPr>
                  <w:tcW w:w="930" w:type="dxa"/>
                  <w:tcBorders>
                    <w:top w:val="single" w:color="auto" w:sz="4" w:space="0"/>
                    <w:left w:val="single" w:color="auto" w:sz="4" w:space="0"/>
                    <w:bottom w:val="single" w:color="auto" w:sz="4" w:space="0"/>
                    <w:right w:val="single" w:color="auto" w:sz="4" w:space="0"/>
                  </w:tcBorders>
                  <w:vAlign w:val="center"/>
                </w:tcPr>
                <w:p w14:paraId="5BFA0640">
                  <w:pPr>
                    <w:jc w:val="center"/>
                    <w:rPr>
                      <w:color w:val="auto"/>
                      <w:szCs w:val="21"/>
                      <w:highlight w:val="none"/>
                    </w:rPr>
                  </w:pPr>
                  <w:r>
                    <w:rPr>
                      <w:rFonts w:hint="eastAsia"/>
                      <w:color w:val="auto"/>
                      <w:szCs w:val="21"/>
                      <w:highlight w:val="none"/>
                    </w:rPr>
                    <w:t>散装</w:t>
                  </w:r>
                </w:p>
              </w:tc>
              <w:tc>
                <w:tcPr>
                  <w:tcW w:w="765" w:type="dxa"/>
                  <w:tcBorders>
                    <w:top w:val="single" w:color="auto" w:sz="4" w:space="0"/>
                    <w:left w:val="single" w:color="auto" w:sz="4" w:space="0"/>
                    <w:bottom w:val="single" w:color="auto" w:sz="4" w:space="0"/>
                    <w:right w:val="single" w:color="auto" w:sz="4" w:space="0"/>
                  </w:tcBorders>
                  <w:vAlign w:val="center"/>
                </w:tcPr>
                <w:p w14:paraId="21CEA828">
                  <w:pPr>
                    <w:jc w:val="center"/>
                    <w:rPr>
                      <w:color w:val="auto"/>
                      <w:szCs w:val="21"/>
                      <w:highlight w:val="none"/>
                    </w:rPr>
                  </w:pPr>
                  <w:r>
                    <w:rPr>
                      <w:rFonts w:hint="eastAsia"/>
                      <w:color w:val="auto"/>
                      <w:szCs w:val="21"/>
                      <w:highlight w:val="none"/>
                    </w:rPr>
                    <w:t>380</w:t>
                  </w:r>
                </w:p>
              </w:tc>
              <w:tc>
                <w:tcPr>
                  <w:tcW w:w="810" w:type="dxa"/>
                  <w:tcBorders>
                    <w:top w:val="single" w:color="auto" w:sz="4" w:space="0"/>
                    <w:left w:val="single" w:color="auto" w:sz="4" w:space="0"/>
                    <w:bottom w:val="single" w:color="auto" w:sz="4" w:space="0"/>
                    <w:right w:val="single" w:color="auto" w:sz="4" w:space="0"/>
                  </w:tcBorders>
                  <w:vAlign w:val="center"/>
                </w:tcPr>
                <w:p w14:paraId="1015D762">
                  <w:pPr>
                    <w:widowControl w:val="0"/>
                    <w:tabs>
                      <w:tab w:val="left" w:pos="2068"/>
                    </w:tabs>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vAlign w:val="center"/>
                </w:tcPr>
                <w:p w14:paraId="30F47DB4">
                  <w:pPr>
                    <w:jc w:val="center"/>
                    <w:rPr>
                      <w:color w:val="auto"/>
                      <w:szCs w:val="21"/>
                      <w:highlight w:val="none"/>
                    </w:rPr>
                  </w:pPr>
                  <w:r>
                    <w:rPr>
                      <w:rFonts w:hint="eastAsia"/>
                      <w:color w:val="auto"/>
                      <w:szCs w:val="21"/>
                      <w:highlight w:val="none"/>
                    </w:rPr>
                    <w:t>380</w:t>
                  </w:r>
                </w:p>
              </w:tc>
              <w:tc>
                <w:tcPr>
                  <w:tcW w:w="765" w:type="dxa"/>
                  <w:tcBorders>
                    <w:top w:val="single" w:color="auto" w:sz="4" w:space="0"/>
                    <w:left w:val="single" w:color="auto" w:sz="4" w:space="0"/>
                    <w:bottom w:val="single" w:color="auto" w:sz="4" w:space="0"/>
                    <w:right w:val="single" w:color="auto" w:sz="4" w:space="0"/>
                  </w:tcBorders>
                  <w:vAlign w:val="center"/>
                </w:tcPr>
                <w:p w14:paraId="2E873796">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vAlign w:val="center"/>
                </w:tcPr>
                <w:p w14:paraId="146C3D20">
                  <w:pPr>
                    <w:widowControl w:val="0"/>
                    <w:tabs>
                      <w:tab w:val="left" w:pos="2068"/>
                    </w:tabs>
                    <w:adjustRightInd w:val="0"/>
                    <w:snapToGrid w:val="0"/>
                    <w:jc w:val="center"/>
                    <w:rPr>
                      <w:color w:val="auto"/>
                      <w:szCs w:val="21"/>
                      <w:highlight w:val="none"/>
                    </w:rPr>
                  </w:pPr>
                  <w:r>
                    <w:rPr>
                      <w:rFonts w:hint="eastAsia"/>
                      <w:color w:val="auto"/>
                      <w:szCs w:val="21"/>
                      <w:highlight w:val="none"/>
                    </w:rPr>
                    <w:t>3</w:t>
                  </w:r>
                  <w:r>
                    <w:rPr>
                      <w:color w:val="auto"/>
                      <w:szCs w:val="21"/>
                      <w:highlight w:val="none"/>
                    </w:rPr>
                    <w:t>0</w:t>
                  </w:r>
                </w:p>
              </w:tc>
              <w:tc>
                <w:tcPr>
                  <w:tcW w:w="1065" w:type="dxa"/>
                  <w:tcBorders>
                    <w:top w:val="single" w:color="auto" w:sz="4" w:space="0"/>
                    <w:left w:val="single" w:color="auto" w:sz="4" w:space="0"/>
                    <w:bottom w:val="single" w:color="auto" w:sz="4" w:space="0"/>
                    <w:right w:val="single" w:color="auto" w:sz="4" w:space="0"/>
                  </w:tcBorders>
                  <w:vAlign w:val="center"/>
                </w:tcPr>
                <w:p w14:paraId="1771C0FB">
                  <w:pPr>
                    <w:widowControl w:val="0"/>
                    <w:tabs>
                      <w:tab w:val="left" w:pos="2068"/>
                    </w:tabs>
                    <w:adjustRightInd w:val="0"/>
                    <w:snapToGrid w:val="0"/>
                    <w:jc w:val="center"/>
                    <w:rPr>
                      <w:color w:val="auto"/>
                      <w:szCs w:val="21"/>
                      <w:highlight w:val="none"/>
                    </w:rPr>
                  </w:pPr>
                  <w:r>
                    <w:rPr>
                      <w:rFonts w:hint="eastAsia"/>
                      <w:color w:val="auto"/>
                      <w:szCs w:val="21"/>
                      <w:highlight w:val="none"/>
                    </w:rPr>
                    <w:t>切割、机加工</w:t>
                  </w:r>
                </w:p>
              </w:tc>
              <w:tc>
                <w:tcPr>
                  <w:tcW w:w="1473" w:type="dxa"/>
                  <w:tcBorders>
                    <w:top w:val="single" w:color="auto" w:sz="4" w:space="0"/>
                    <w:left w:val="single" w:color="auto" w:sz="4" w:space="0"/>
                    <w:right w:val="single" w:color="auto" w:sz="4" w:space="0"/>
                  </w:tcBorders>
                  <w:vAlign w:val="center"/>
                </w:tcPr>
                <w:p w14:paraId="0205142F">
                  <w:pPr>
                    <w:widowControl w:val="0"/>
                    <w:tabs>
                      <w:tab w:val="left" w:pos="2068"/>
                    </w:tabs>
                    <w:adjustRightInd w:val="0"/>
                    <w:snapToGrid w:val="0"/>
                    <w:jc w:val="center"/>
                    <w:rPr>
                      <w:color w:val="auto"/>
                      <w:szCs w:val="21"/>
                      <w:highlight w:val="none"/>
                    </w:rPr>
                  </w:pPr>
                  <w:r>
                    <w:rPr>
                      <w:rFonts w:hint="eastAsia"/>
                      <w:color w:val="auto"/>
                      <w:szCs w:val="21"/>
                      <w:highlight w:val="none"/>
                    </w:rPr>
                    <w:t>综合楼3首层</w:t>
                  </w:r>
                </w:p>
              </w:tc>
            </w:tr>
            <w:tr w14:paraId="1DE1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right w:val="single" w:color="auto" w:sz="4" w:space="0"/>
                  </w:tcBorders>
                  <w:vAlign w:val="center"/>
                </w:tcPr>
                <w:p w14:paraId="231FD76E">
                  <w:pPr>
                    <w:widowControl w:val="0"/>
                    <w:tabs>
                      <w:tab w:val="left" w:pos="2068"/>
                    </w:tabs>
                    <w:adjustRightInd w:val="0"/>
                    <w:snapToGrid w:val="0"/>
                    <w:jc w:val="center"/>
                    <w:rPr>
                      <w:color w:val="auto"/>
                      <w:szCs w:val="21"/>
                      <w:highlight w:val="none"/>
                    </w:rPr>
                  </w:pPr>
                  <w:r>
                    <w:rPr>
                      <w:color w:val="auto"/>
                      <w:szCs w:val="21"/>
                      <w:highlight w:val="none"/>
                    </w:rPr>
                    <w:t>3</w:t>
                  </w:r>
                </w:p>
              </w:tc>
              <w:tc>
                <w:tcPr>
                  <w:tcW w:w="1157" w:type="dxa"/>
                  <w:tcBorders>
                    <w:top w:val="single" w:color="auto" w:sz="4" w:space="0"/>
                    <w:left w:val="single" w:color="auto" w:sz="4" w:space="0"/>
                    <w:right w:val="single" w:color="auto" w:sz="4" w:space="0"/>
                  </w:tcBorders>
                  <w:vAlign w:val="center"/>
                </w:tcPr>
                <w:p w14:paraId="17986770">
                  <w:pPr>
                    <w:jc w:val="center"/>
                    <w:rPr>
                      <w:color w:val="auto"/>
                      <w:szCs w:val="21"/>
                      <w:highlight w:val="none"/>
                    </w:rPr>
                  </w:pPr>
                  <w:r>
                    <w:rPr>
                      <w:rFonts w:hint="eastAsia"/>
                      <w:color w:val="auto"/>
                      <w:szCs w:val="21"/>
                      <w:highlight w:val="none"/>
                    </w:rPr>
                    <w:t>LED</w:t>
                  </w:r>
                </w:p>
              </w:tc>
              <w:tc>
                <w:tcPr>
                  <w:tcW w:w="705" w:type="dxa"/>
                  <w:tcBorders>
                    <w:top w:val="single" w:color="auto" w:sz="4" w:space="0"/>
                    <w:left w:val="single" w:color="auto" w:sz="4" w:space="0"/>
                    <w:right w:val="single" w:color="auto" w:sz="4" w:space="0"/>
                  </w:tcBorders>
                  <w:vAlign w:val="center"/>
                </w:tcPr>
                <w:p w14:paraId="4CC4EA4F">
                  <w:pPr>
                    <w:widowControl w:val="0"/>
                    <w:tabs>
                      <w:tab w:val="left" w:pos="2068"/>
                    </w:tabs>
                    <w:adjustRightInd w:val="0"/>
                    <w:snapToGrid w:val="0"/>
                    <w:jc w:val="center"/>
                    <w:rPr>
                      <w:color w:val="auto"/>
                      <w:szCs w:val="21"/>
                      <w:highlight w:val="none"/>
                    </w:rPr>
                  </w:pPr>
                  <w:r>
                    <w:rPr>
                      <w:color w:val="auto"/>
                      <w:szCs w:val="21"/>
                      <w:highlight w:val="none"/>
                    </w:rPr>
                    <w:t>固体</w:t>
                  </w:r>
                </w:p>
              </w:tc>
              <w:tc>
                <w:tcPr>
                  <w:tcW w:w="930" w:type="dxa"/>
                  <w:tcBorders>
                    <w:top w:val="single" w:color="auto" w:sz="4" w:space="0"/>
                    <w:left w:val="single" w:color="auto" w:sz="4" w:space="0"/>
                    <w:right w:val="single" w:color="auto" w:sz="4" w:space="0"/>
                  </w:tcBorders>
                  <w:vAlign w:val="center"/>
                </w:tcPr>
                <w:p w14:paraId="395DC280">
                  <w:pPr>
                    <w:jc w:val="center"/>
                    <w:rPr>
                      <w:color w:val="auto"/>
                      <w:szCs w:val="21"/>
                      <w:highlight w:val="none"/>
                    </w:rPr>
                  </w:pPr>
                  <w:r>
                    <w:rPr>
                      <w:rFonts w:hint="eastAsia"/>
                      <w:color w:val="auto"/>
                      <w:szCs w:val="21"/>
                      <w:highlight w:val="none"/>
                    </w:rPr>
                    <w:t>包装箱</w:t>
                  </w:r>
                </w:p>
              </w:tc>
              <w:tc>
                <w:tcPr>
                  <w:tcW w:w="765" w:type="dxa"/>
                  <w:tcBorders>
                    <w:top w:val="single" w:color="auto" w:sz="4" w:space="0"/>
                    <w:left w:val="single" w:color="auto" w:sz="4" w:space="0"/>
                    <w:right w:val="single" w:color="auto" w:sz="4" w:space="0"/>
                  </w:tcBorders>
                  <w:vAlign w:val="center"/>
                </w:tcPr>
                <w:p w14:paraId="5CFB6E42">
                  <w:pPr>
                    <w:jc w:val="center"/>
                    <w:rPr>
                      <w:color w:val="auto"/>
                      <w:szCs w:val="21"/>
                      <w:highlight w:val="none"/>
                    </w:rPr>
                  </w:pPr>
                  <w:r>
                    <w:rPr>
                      <w:rFonts w:hint="eastAsia"/>
                      <w:color w:val="auto"/>
                      <w:szCs w:val="21"/>
                      <w:highlight w:val="none"/>
                    </w:rPr>
                    <w:t>8</w:t>
                  </w:r>
                </w:p>
              </w:tc>
              <w:tc>
                <w:tcPr>
                  <w:tcW w:w="810" w:type="dxa"/>
                  <w:tcBorders>
                    <w:top w:val="single" w:color="auto" w:sz="4" w:space="0"/>
                    <w:left w:val="single" w:color="auto" w:sz="4" w:space="0"/>
                    <w:right w:val="single" w:color="auto" w:sz="4" w:space="0"/>
                  </w:tcBorders>
                  <w:vAlign w:val="center"/>
                </w:tcPr>
                <w:p w14:paraId="34C1B7F0">
                  <w:pPr>
                    <w:widowControl w:val="0"/>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right w:val="single" w:color="auto" w:sz="4" w:space="0"/>
                  </w:tcBorders>
                  <w:vAlign w:val="center"/>
                </w:tcPr>
                <w:p w14:paraId="06BA437D">
                  <w:pPr>
                    <w:jc w:val="center"/>
                    <w:rPr>
                      <w:color w:val="auto"/>
                      <w:szCs w:val="21"/>
                      <w:highlight w:val="none"/>
                    </w:rPr>
                  </w:pPr>
                  <w:r>
                    <w:rPr>
                      <w:rFonts w:hint="eastAsia"/>
                      <w:color w:val="auto"/>
                      <w:szCs w:val="21"/>
                      <w:highlight w:val="none"/>
                    </w:rPr>
                    <w:t>8</w:t>
                  </w:r>
                </w:p>
              </w:tc>
              <w:tc>
                <w:tcPr>
                  <w:tcW w:w="765" w:type="dxa"/>
                  <w:tcBorders>
                    <w:top w:val="single" w:color="auto" w:sz="4" w:space="0"/>
                    <w:left w:val="single" w:color="auto" w:sz="4" w:space="0"/>
                    <w:right w:val="single" w:color="auto" w:sz="4" w:space="0"/>
                  </w:tcBorders>
                  <w:vAlign w:val="center"/>
                </w:tcPr>
                <w:p w14:paraId="32BBC8F6">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right w:val="single" w:color="auto" w:sz="4" w:space="0"/>
                  </w:tcBorders>
                  <w:vAlign w:val="center"/>
                </w:tcPr>
                <w:p w14:paraId="691941D5">
                  <w:pPr>
                    <w:jc w:val="center"/>
                    <w:rPr>
                      <w:color w:val="auto"/>
                      <w:szCs w:val="21"/>
                      <w:highlight w:val="none"/>
                    </w:rPr>
                  </w:pPr>
                  <w:r>
                    <w:rPr>
                      <w:rFonts w:hint="eastAsia"/>
                      <w:color w:val="auto"/>
                      <w:szCs w:val="21"/>
                      <w:highlight w:val="none"/>
                    </w:rPr>
                    <w:t>0.8</w:t>
                  </w:r>
                </w:p>
              </w:tc>
              <w:tc>
                <w:tcPr>
                  <w:tcW w:w="1065" w:type="dxa"/>
                  <w:tcBorders>
                    <w:top w:val="single" w:color="auto" w:sz="4" w:space="0"/>
                    <w:left w:val="single" w:color="auto" w:sz="4" w:space="0"/>
                    <w:bottom w:val="single" w:color="auto" w:sz="4" w:space="0"/>
                    <w:right w:val="single" w:color="auto" w:sz="4" w:space="0"/>
                  </w:tcBorders>
                  <w:vAlign w:val="center"/>
                </w:tcPr>
                <w:p w14:paraId="08FF78A0">
                  <w:pPr>
                    <w:widowControl w:val="0"/>
                    <w:tabs>
                      <w:tab w:val="left" w:pos="2068"/>
                    </w:tabs>
                    <w:adjustRightInd w:val="0"/>
                    <w:snapToGrid w:val="0"/>
                    <w:jc w:val="center"/>
                    <w:rPr>
                      <w:color w:val="auto"/>
                      <w:szCs w:val="21"/>
                      <w:highlight w:val="none"/>
                    </w:rPr>
                  </w:pPr>
                  <w:r>
                    <w:rPr>
                      <w:rFonts w:hint="eastAsia"/>
                      <w:color w:val="auto"/>
                      <w:szCs w:val="21"/>
                      <w:highlight w:val="none"/>
                    </w:rPr>
                    <w:t>装配</w:t>
                  </w:r>
                </w:p>
              </w:tc>
              <w:tc>
                <w:tcPr>
                  <w:tcW w:w="1473" w:type="dxa"/>
                  <w:tcBorders>
                    <w:left w:val="single" w:color="auto" w:sz="4" w:space="0"/>
                    <w:right w:val="single" w:color="auto" w:sz="4" w:space="0"/>
                  </w:tcBorders>
                  <w:vAlign w:val="center"/>
                </w:tcPr>
                <w:p w14:paraId="4BC34959">
                  <w:pPr>
                    <w:widowControl w:val="0"/>
                    <w:tabs>
                      <w:tab w:val="left" w:pos="2068"/>
                    </w:tabs>
                    <w:adjustRightInd w:val="0"/>
                    <w:snapToGrid w:val="0"/>
                    <w:jc w:val="center"/>
                    <w:rPr>
                      <w:color w:val="auto"/>
                      <w:szCs w:val="21"/>
                      <w:highlight w:val="none"/>
                    </w:rPr>
                  </w:pPr>
                  <w:r>
                    <w:rPr>
                      <w:rFonts w:hint="eastAsia"/>
                      <w:color w:val="auto"/>
                      <w:szCs w:val="21"/>
                      <w:highlight w:val="none"/>
                    </w:rPr>
                    <w:t>综合楼3第二层</w:t>
                  </w:r>
                </w:p>
              </w:tc>
            </w:tr>
            <w:tr w14:paraId="3A9F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762F9351">
                  <w:pPr>
                    <w:widowControl w:val="0"/>
                    <w:tabs>
                      <w:tab w:val="left" w:pos="2068"/>
                    </w:tabs>
                    <w:adjustRightInd w:val="0"/>
                    <w:snapToGrid w:val="0"/>
                    <w:jc w:val="center"/>
                    <w:rPr>
                      <w:color w:val="auto"/>
                      <w:szCs w:val="21"/>
                      <w:highlight w:val="none"/>
                    </w:rPr>
                  </w:pPr>
                  <w:r>
                    <w:rPr>
                      <w:color w:val="auto"/>
                      <w:szCs w:val="21"/>
                      <w:highlight w:val="none"/>
                    </w:rPr>
                    <w:t>4</w:t>
                  </w:r>
                </w:p>
              </w:tc>
              <w:tc>
                <w:tcPr>
                  <w:tcW w:w="1157" w:type="dxa"/>
                  <w:tcBorders>
                    <w:top w:val="single" w:color="auto" w:sz="4" w:space="0"/>
                    <w:left w:val="single" w:color="auto" w:sz="4" w:space="0"/>
                    <w:bottom w:val="single" w:color="auto" w:sz="4" w:space="0"/>
                    <w:right w:val="single" w:color="auto" w:sz="4" w:space="0"/>
                  </w:tcBorders>
                  <w:vAlign w:val="center"/>
                </w:tcPr>
                <w:p w14:paraId="1A3391C0">
                  <w:pPr>
                    <w:jc w:val="center"/>
                    <w:rPr>
                      <w:color w:val="auto"/>
                      <w:szCs w:val="21"/>
                      <w:highlight w:val="none"/>
                    </w:rPr>
                  </w:pPr>
                  <w:r>
                    <w:rPr>
                      <w:rFonts w:hint="eastAsia"/>
                      <w:color w:val="auto"/>
                      <w:szCs w:val="21"/>
                      <w:highlight w:val="none"/>
                    </w:rPr>
                    <w:t>PP塑料新粒</w:t>
                  </w:r>
                </w:p>
              </w:tc>
              <w:tc>
                <w:tcPr>
                  <w:tcW w:w="705" w:type="dxa"/>
                  <w:tcBorders>
                    <w:top w:val="single" w:color="auto" w:sz="4" w:space="0"/>
                    <w:left w:val="single" w:color="auto" w:sz="4" w:space="0"/>
                    <w:bottom w:val="single" w:color="auto" w:sz="4" w:space="0"/>
                    <w:right w:val="single" w:color="auto" w:sz="4" w:space="0"/>
                  </w:tcBorders>
                  <w:vAlign w:val="center"/>
                </w:tcPr>
                <w:p w14:paraId="476B2806">
                  <w:pPr>
                    <w:widowControl w:val="0"/>
                    <w:tabs>
                      <w:tab w:val="left" w:pos="2068"/>
                    </w:tabs>
                    <w:adjustRightInd w:val="0"/>
                    <w:snapToGrid w:val="0"/>
                    <w:jc w:val="center"/>
                    <w:rPr>
                      <w:color w:val="auto"/>
                      <w:szCs w:val="21"/>
                      <w:highlight w:val="none"/>
                    </w:rPr>
                  </w:pPr>
                  <w:r>
                    <w:rPr>
                      <w:rFonts w:hint="eastAsia"/>
                      <w:color w:val="auto"/>
                      <w:szCs w:val="21"/>
                      <w:highlight w:val="none"/>
                    </w:rPr>
                    <w:t>颗粒</w:t>
                  </w:r>
                </w:p>
              </w:tc>
              <w:tc>
                <w:tcPr>
                  <w:tcW w:w="930" w:type="dxa"/>
                  <w:tcBorders>
                    <w:top w:val="single" w:color="auto" w:sz="4" w:space="0"/>
                    <w:left w:val="single" w:color="auto" w:sz="4" w:space="0"/>
                    <w:bottom w:val="single" w:color="auto" w:sz="4" w:space="0"/>
                    <w:right w:val="single" w:color="auto" w:sz="4" w:space="0"/>
                  </w:tcBorders>
                  <w:vAlign w:val="center"/>
                </w:tcPr>
                <w:p w14:paraId="74EB4DA3">
                  <w:pPr>
                    <w:jc w:val="center"/>
                    <w:rPr>
                      <w:color w:val="auto"/>
                      <w:szCs w:val="21"/>
                      <w:highlight w:val="none"/>
                    </w:rPr>
                  </w:pPr>
                  <w:r>
                    <w:rPr>
                      <w:rFonts w:hint="eastAsia"/>
                      <w:color w:val="auto"/>
                      <w:szCs w:val="21"/>
                      <w:highlight w:val="none"/>
                    </w:rPr>
                    <w:t>25kg/袋</w:t>
                  </w:r>
                </w:p>
              </w:tc>
              <w:tc>
                <w:tcPr>
                  <w:tcW w:w="765" w:type="dxa"/>
                  <w:tcBorders>
                    <w:top w:val="single" w:color="auto" w:sz="4" w:space="0"/>
                    <w:left w:val="single" w:color="auto" w:sz="4" w:space="0"/>
                    <w:bottom w:val="single" w:color="auto" w:sz="4" w:space="0"/>
                    <w:right w:val="single" w:color="auto" w:sz="4" w:space="0"/>
                  </w:tcBorders>
                  <w:vAlign w:val="center"/>
                </w:tcPr>
                <w:p w14:paraId="020E4FCB">
                  <w:pPr>
                    <w:jc w:val="center"/>
                    <w:rPr>
                      <w:color w:val="auto"/>
                      <w:szCs w:val="21"/>
                      <w:highlight w:val="none"/>
                    </w:rPr>
                  </w:pPr>
                  <w:r>
                    <w:rPr>
                      <w:rFonts w:hint="eastAsia"/>
                      <w:color w:val="auto"/>
                      <w:szCs w:val="21"/>
                      <w:highlight w:val="none"/>
                    </w:rPr>
                    <w:t>100</w:t>
                  </w:r>
                </w:p>
              </w:tc>
              <w:tc>
                <w:tcPr>
                  <w:tcW w:w="810" w:type="dxa"/>
                  <w:tcBorders>
                    <w:top w:val="single" w:color="auto" w:sz="4" w:space="0"/>
                    <w:left w:val="single" w:color="auto" w:sz="4" w:space="0"/>
                    <w:bottom w:val="single" w:color="auto" w:sz="4" w:space="0"/>
                    <w:right w:val="single" w:color="auto" w:sz="4" w:space="0"/>
                  </w:tcBorders>
                  <w:vAlign w:val="center"/>
                </w:tcPr>
                <w:p w14:paraId="7A17CFAC">
                  <w:pPr>
                    <w:widowControl w:val="0"/>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vAlign w:val="center"/>
                </w:tcPr>
                <w:p w14:paraId="7E86EAC6">
                  <w:pPr>
                    <w:jc w:val="center"/>
                    <w:rPr>
                      <w:color w:val="auto"/>
                      <w:szCs w:val="21"/>
                      <w:highlight w:val="none"/>
                    </w:rPr>
                  </w:pPr>
                  <w:r>
                    <w:rPr>
                      <w:rFonts w:hint="eastAsia"/>
                      <w:color w:val="auto"/>
                      <w:szCs w:val="21"/>
                      <w:highlight w:val="none"/>
                    </w:rPr>
                    <w:t>100</w:t>
                  </w:r>
                </w:p>
              </w:tc>
              <w:tc>
                <w:tcPr>
                  <w:tcW w:w="765" w:type="dxa"/>
                  <w:tcBorders>
                    <w:top w:val="single" w:color="auto" w:sz="4" w:space="0"/>
                    <w:left w:val="single" w:color="auto" w:sz="4" w:space="0"/>
                    <w:bottom w:val="single" w:color="auto" w:sz="4" w:space="0"/>
                    <w:right w:val="single" w:color="auto" w:sz="4" w:space="0"/>
                  </w:tcBorders>
                  <w:vAlign w:val="center"/>
                </w:tcPr>
                <w:p w14:paraId="18E9B76D">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vAlign w:val="center"/>
                </w:tcPr>
                <w:p w14:paraId="592E9010">
                  <w:pPr>
                    <w:jc w:val="center"/>
                    <w:rPr>
                      <w:color w:val="auto"/>
                      <w:szCs w:val="21"/>
                      <w:highlight w:val="none"/>
                    </w:rPr>
                  </w:pPr>
                  <w:r>
                    <w:rPr>
                      <w:rFonts w:hint="eastAsia"/>
                      <w:color w:val="auto"/>
                      <w:szCs w:val="21"/>
                      <w:highlight w:val="none"/>
                    </w:rPr>
                    <w:t>10</w:t>
                  </w:r>
                </w:p>
              </w:tc>
              <w:tc>
                <w:tcPr>
                  <w:tcW w:w="1065" w:type="dxa"/>
                  <w:tcBorders>
                    <w:top w:val="single" w:color="auto" w:sz="4" w:space="0"/>
                    <w:left w:val="single" w:color="auto" w:sz="4" w:space="0"/>
                    <w:right w:val="single" w:color="auto" w:sz="4" w:space="0"/>
                  </w:tcBorders>
                  <w:vAlign w:val="center"/>
                </w:tcPr>
                <w:p w14:paraId="6A5989E1">
                  <w:pPr>
                    <w:widowControl w:val="0"/>
                    <w:tabs>
                      <w:tab w:val="left" w:pos="2068"/>
                    </w:tabs>
                    <w:adjustRightInd w:val="0"/>
                    <w:snapToGrid w:val="0"/>
                    <w:jc w:val="center"/>
                    <w:rPr>
                      <w:color w:val="auto"/>
                      <w:szCs w:val="21"/>
                      <w:highlight w:val="none"/>
                    </w:rPr>
                  </w:pPr>
                  <w:r>
                    <w:rPr>
                      <w:rFonts w:hint="eastAsia"/>
                      <w:color w:val="auto"/>
                      <w:szCs w:val="21"/>
                      <w:highlight w:val="none"/>
                    </w:rPr>
                    <w:t>注塑成型</w:t>
                  </w:r>
                </w:p>
              </w:tc>
              <w:tc>
                <w:tcPr>
                  <w:tcW w:w="1473" w:type="dxa"/>
                  <w:tcBorders>
                    <w:left w:val="single" w:color="auto" w:sz="4" w:space="0"/>
                    <w:right w:val="single" w:color="auto" w:sz="4" w:space="0"/>
                  </w:tcBorders>
                  <w:vAlign w:val="center"/>
                </w:tcPr>
                <w:p w14:paraId="080B754D">
                  <w:pPr>
                    <w:widowControl w:val="0"/>
                    <w:tabs>
                      <w:tab w:val="left" w:pos="2068"/>
                    </w:tabs>
                    <w:adjustRightInd w:val="0"/>
                    <w:snapToGrid w:val="0"/>
                    <w:jc w:val="center"/>
                    <w:rPr>
                      <w:color w:val="auto"/>
                      <w:szCs w:val="21"/>
                      <w:highlight w:val="none"/>
                    </w:rPr>
                  </w:pPr>
                  <w:r>
                    <w:rPr>
                      <w:rFonts w:hint="eastAsia"/>
                      <w:color w:val="auto"/>
                      <w:szCs w:val="21"/>
                      <w:highlight w:val="none"/>
                    </w:rPr>
                    <w:t>综合楼3第三层</w:t>
                  </w:r>
                </w:p>
              </w:tc>
            </w:tr>
            <w:tr w14:paraId="29F16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1ED86240">
                  <w:pPr>
                    <w:widowControl w:val="0"/>
                    <w:tabs>
                      <w:tab w:val="left" w:pos="2068"/>
                    </w:tabs>
                    <w:adjustRightInd w:val="0"/>
                    <w:snapToGrid w:val="0"/>
                    <w:jc w:val="center"/>
                    <w:rPr>
                      <w:color w:val="auto"/>
                      <w:szCs w:val="21"/>
                      <w:highlight w:val="none"/>
                    </w:rPr>
                  </w:pPr>
                  <w:r>
                    <w:rPr>
                      <w:rFonts w:hint="eastAsia"/>
                      <w:color w:val="auto"/>
                      <w:szCs w:val="21"/>
                      <w:highlight w:val="none"/>
                    </w:rPr>
                    <w:t>5</w:t>
                  </w:r>
                </w:p>
              </w:tc>
              <w:tc>
                <w:tcPr>
                  <w:tcW w:w="1157" w:type="dxa"/>
                  <w:tcBorders>
                    <w:top w:val="single" w:color="auto" w:sz="4" w:space="0"/>
                    <w:left w:val="single" w:color="auto" w:sz="4" w:space="0"/>
                    <w:bottom w:val="single" w:color="auto" w:sz="4" w:space="0"/>
                    <w:right w:val="single" w:color="auto" w:sz="4" w:space="0"/>
                  </w:tcBorders>
                  <w:vAlign w:val="center"/>
                </w:tcPr>
                <w:p w14:paraId="6E3DFF9F">
                  <w:pPr>
                    <w:jc w:val="center"/>
                    <w:rPr>
                      <w:color w:val="auto"/>
                      <w:szCs w:val="21"/>
                      <w:highlight w:val="none"/>
                    </w:rPr>
                  </w:pPr>
                  <w:r>
                    <w:rPr>
                      <w:rFonts w:hint="eastAsia"/>
                      <w:color w:val="auto"/>
                      <w:szCs w:val="21"/>
                      <w:highlight w:val="none"/>
                    </w:rPr>
                    <w:t>酸性脱脂剂</w:t>
                  </w:r>
                </w:p>
              </w:tc>
              <w:tc>
                <w:tcPr>
                  <w:tcW w:w="705" w:type="dxa"/>
                  <w:tcBorders>
                    <w:top w:val="single" w:color="auto" w:sz="4" w:space="0"/>
                    <w:left w:val="single" w:color="auto" w:sz="4" w:space="0"/>
                    <w:bottom w:val="single" w:color="auto" w:sz="4" w:space="0"/>
                    <w:right w:val="single" w:color="auto" w:sz="4" w:space="0"/>
                  </w:tcBorders>
                  <w:vAlign w:val="center"/>
                </w:tcPr>
                <w:p w14:paraId="5B8476D0">
                  <w:pPr>
                    <w:widowControl w:val="0"/>
                    <w:tabs>
                      <w:tab w:val="left" w:pos="2068"/>
                    </w:tabs>
                    <w:adjustRightInd w:val="0"/>
                    <w:snapToGrid w:val="0"/>
                    <w:jc w:val="center"/>
                    <w:rPr>
                      <w:color w:val="auto"/>
                      <w:szCs w:val="21"/>
                      <w:highlight w:val="none"/>
                    </w:rPr>
                  </w:pPr>
                  <w:r>
                    <w:rPr>
                      <w:rFonts w:hint="eastAsia"/>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vAlign w:val="center"/>
                </w:tcPr>
                <w:p w14:paraId="03CEF3BD">
                  <w:pPr>
                    <w:jc w:val="center"/>
                    <w:rPr>
                      <w:color w:val="auto"/>
                      <w:szCs w:val="21"/>
                      <w:highlight w:val="none"/>
                    </w:rPr>
                  </w:pPr>
                  <w:r>
                    <w:rPr>
                      <w:rFonts w:hint="eastAsia"/>
                      <w:color w:val="auto"/>
                      <w:szCs w:val="21"/>
                      <w:highlight w:val="none"/>
                    </w:rPr>
                    <w:t>15kg/桶</w:t>
                  </w:r>
                </w:p>
              </w:tc>
              <w:tc>
                <w:tcPr>
                  <w:tcW w:w="765" w:type="dxa"/>
                  <w:tcBorders>
                    <w:top w:val="single" w:color="auto" w:sz="4" w:space="0"/>
                    <w:left w:val="single" w:color="auto" w:sz="4" w:space="0"/>
                    <w:bottom w:val="single" w:color="auto" w:sz="4" w:space="0"/>
                    <w:right w:val="single" w:color="auto" w:sz="4" w:space="0"/>
                  </w:tcBorders>
                  <w:vAlign w:val="center"/>
                </w:tcPr>
                <w:p w14:paraId="35695BE6">
                  <w:pPr>
                    <w:jc w:val="center"/>
                    <w:rPr>
                      <w:color w:val="auto"/>
                      <w:szCs w:val="21"/>
                      <w:highlight w:val="none"/>
                    </w:rPr>
                  </w:pPr>
                  <w:r>
                    <w:rPr>
                      <w:rFonts w:hint="eastAsia"/>
                      <w:color w:val="auto"/>
                      <w:szCs w:val="21"/>
                      <w:highlight w:val="none"/>
                    </w:rPr>
                    <w:t>1.056</w:t>
                  </w:r>
                </w:p>
              </w:tc>
              <w:tc>
                <w:tcPr>
                  <w:tcW w:w="810" w:type="dxa"/>
                  <w:tcBorders>
                    <w:top w:val="single" w:color="auto" w:sz="4" w:space="0"/>
                    <w:left w:val="single" w:color="auto" w:sz="4" w:space="0"/>
                    <w:bottom w:val="single" w:color="auto" w:sz="4" w:space="0"/>
                    <w:right w:val="single" w:color="auto" w:sz="4" w:space="0"/>
                  </w:tcBorders>
                  <w:vAlign w:val="center"/>
                </w:tcPr>
                <w:p w14:paraId="25F74FE9">
                  <w:pPr>
                    <w:widowControl w:val="0"/>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vAlign w:val="center"/>
                </w:tcPr>
                <w:p w14:paraId="1BC170D1">
                  <w:pPr>
                    <w:jc w:val="center"/>
                    <w:rPr>
                      <w:color w:val="auto"/>
                      <w:szCs w:val="21"/>
                      <w:highlight w:val="none"/>
                    </w:rPr>
                  </w:pPr>
                  <w:r>
                    <w:rPr>
                      <w:rFonts w:hint="eastAsia"/>
                      <w:color w:val="auto"/>
                      <w:szCs w:val="21"/>
                      <w:highlight w:val="none"/>
                    </w:rPr>
                    <w:t>1.056</w:t>
                  </w:r>
                </w:p>
              </w:tc>
              <w:tc>
                <w:tcPr>
                  <w:tcW w:w="765" w:type="dxa"/>
                  <w:tcBorders>
                    <w:top w:val="single" w:color="auto" w:sz="4" w:space="0"/>
                    <w:left w:val="single" w:color="auto" w:sz="4" w:space="0"/>
                    <w:bottom w:val="single" w:color="auto" w:sz="4" w:space="0"/>
                    <w:right w:val="single" w:color="auto" w:sz="4" w:space="0"/>
                  </w:tcBorders>
                  <w:vAlign w:val="center"/>
                </w:tcPr>
                <w:p w14:paraId="6711CD3A">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vAlign w:val="center"/>
                </w:tcPr>
                <w:p w14:paraId="30FB18F7">
                  <w:pPr>
                    <w:jc w:val="center"/>
                    <w:rPr>
                      <w:color w:val="auto"/>
                      <w:szCs w:val="21"/>
                      <w:highlight w:val="none"/>
                    </w:rPr>
                  </w:pPr>
                  <w:r>
                    <w:rPr>
                      <w:rFonts w:hint="eastAsia"/>
                      <w:color w:val="auto"/>
                      <w:szCs w:val="21"/>
                      <w:highlight w:val="none"/>
                    </w:rPr>
                    <w:t>0.096</w:t>
                  </w:r>
                </w:p>
              </w:tc>
              <w:tc>
                <w:tcPr>
                  <w:tcW w:w="1065" w:type="dxa"/>
                  <w:tcBorders>
                    <w:top w:val="single" w:color="auto" w:sz="4" w:space="0"/>
                    <w:left w:val="single" w:color="auto" w:sz="4" w:space="0"/>
                    <w:right w:val="single" w:color="auto" w:sz="4" w:space="0"/>
                  </w:tcBorders>
                  <w:vAlign w:val="center"/>
                </w:tcPr>
                <w:p w14:paraId="2BF98EFA">
                  <w:pPr>
                    <w:widowControl w:val="0"/>
                    <w:tabs>
                      <w:tab w:val="left" w:pos="2068"/>
                    </w:tabs>
                    <w:adjustRightInd w:val="0"/>
                    <w:snapToGrid w:val="0"/>
                    <w:jc w:val="center"/>
                    <w:rPr>
                      <w:color w:val="auto"/>
                      <w:szCs w:val="21"/>
                      <w:highlight w:val="none"/>
                    </w:rPr>
                  </w:pPr>
                  <w:r>
                    <w:rPr>
                      <w:rFonts w:hint="eastAsia"/>
                      <w:color w:val="auto"/>
                      <w:szCs w:val="21"/>
                      <w:highlight w:val="none"/>
                    </w:rPr>
                    <w:t>脱脂</w:t>
                  </w:r>
                </w:p>
              </w:tc>
              <w:tc>
                <w:tcPr>
                  <w:tcW w:w="1473" w:type="dxa"/>
                  <w:tcBorders>
                    <w:left w:val="single" w:color="auto" w:sz="4" w:space="0"/>
                    <w:right w:val="single" w:color="auto" w:sz="4" w:space="0"/>
                  </w:tcBorders>
                  <w:vAlign w:val="center"/>
                </w:tcPr>
                <w:p w14:paraId="1FEEDF18">
                  <w:pPr>
                    <w:widowControl w:val="0"/>
                    <w:tabs>
                      <w:tab w:val="left" w:pos="2068"/>
                    </w:tabs>
                    <w:adjustRightInd w:val="0"/>
                    <w:snapToGrid w:val="0"/>
                    <w:jc w:val="center"/>
                    <w:rPr>
                      <w:color w:val="auto"/>
                      <w:szCs w:val="21"/>
                      <w:highlight w:val="none"/>
                    </w:rPr>
                  </w:pPr>
                  <w:r>
                    <w:rPr>
                      <w:rFonts w:hint="eastAsia"/>
                      <w:color w:val="auto"/>
                      <w:szCs w:val="21"/>
                      <w:highlight w:val="none"/>
                    </w:rPr>
                    <w:t>综合楼3首层</w:t>
                  </w:r>
                </w:p>
              </w:tc>
            </w:tr>
            <w:tr w14:paraId="4701D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2C01A59C">
                  <w:pPr>
                    <w:widowControl w:val="0"/>
                    <w:tabs>
                      <w:tab w:val="left" w:pos="2068"/>
                    </w:tabs>
                    <w:adjustRightInd w:val="0"/>
                    <w:snapToGrid w:val="0"/>
                    <w:jc w:val="center"/>
                    <w:rPr>
                      <w:color w:val="auto"/>
                      <w:szCs w:val="21"/>
                      <w:highlight w:val="none"/>
                    </w:rPr>
                  </w:pPr>
                  <w:r>
                    <w:rPr>
                      <w:color w:val="auto"/>
                      <w:szCs w:val="21"/>
                      <w:highlight w:val="none"/>
                    </w:rPr>
                    <w:t>6</w:t>
                  </w:r>
                </w:p>
              </w:tc>
              <w:tc>
                <w:tcPr>
                  <w:tcW w:w="1157" w:type="dxa"/>
                  <w:tcBorders>
                    <w:top w:val="single" w:color="auto" w:sz="4" w:space="0"/>
                    <w:left w:val="single" w:color="auto" w:sz="4" w:space="0"/>
                    <w:bottom w:val="single" w:color="auto" w:sz="4" w:space="0"/>
                    <w:right w:val="single" w:color="auto" w:sz="4" w:space="0"/>
                  </w:tcBorders>
                  <w:vAlign w:val="center"/>
                </w:tcPr>
                <w:p w14:paraId="563B206C">
                  <w:pPr>
                    <w:jc w:val="center"/>
                    <w:rPr>
                      <w:color w:val="auto"/>
                      <w:szCs w:val="21"/>
                      <w:highlight w:val="none"/>
                    </w:rPr>
                  </w:pPr>
                  <w:r>
                    <w:rPr>
                      <w:rFonts w:hint="eastAsia"/>
                      <w:color w:val="auto"/>
                      <w:szCs w:val="21"/>
                      <w:highlight w:val="none"/>
                    </w:rPr>
                    <w:t>封孔剂DY-103</w:t>
                  </w:r>
                </w:p>
              </w:tc>
              <w:tc>
                <w:tcPr>
                  <w:tcW w:w="705" w:type="dxa"/>
                  <w:tcBorders>
                    <w:top w:val="single" w:color="auto" w:sz="4" w:space="0"/>
                    <w:left w:val="single" w:color="auto" w:sz="4" w:space="0"/>
                    <w:bottom w:val="single" w:color="auto" w:sz="4" w:space="0"/>
                    <w:right w:val="single" w:color="auto" w:sz="4" w:space="0"/>
                  </w:tcBorders>
                  <w:vAlign w:val="center"/>
                </w:tcPr>
                <w:p w14:paraId="3557A567">
                  <w:pPr>
                    <w:widowControl w:val="0"/>
                    <w:tabs>
                      <w:tab w:val="left" w:pos="2068"/>
                    </w:tabs>
                    <w:adjustRightInd w:val="0"/>
                    <w:snapToGrid w:val="0"/>
                    <w:jc w:val="center"/>
                    <w:rPr>
                      <w:color w:val="auto"/>
                      <w:szCs w:val="21"/>
                      <w:highlight w:val="none"/>
                    </w:rPr>
                  </w:pPr>
                  <w:r>
                    <w:rPr>
                      <w:rFonts w:hint="eastAsia"/>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vAlign w:val="center"/>
                </w:tcPr>
                <w:p w14:paraId="7E7135E8">
                  <w:pPr>
                    <w:jc w:val="center"/>
                    <w:rPr>
                      <w:color w:val="auto"/>
                      <w:szCs w:val="21"/>
                      <w:highlight w:val="none"/>
                    </w:rPr>
                  </w:pPr>
                  <w:r>
                    <w:rPr>
                      <w:rFonts w:hint="eastAsia"/>
                      <w:color w:val="auto"/>
                      <w:szCs w:val="21"/>
                      <w:highlight w:val="none"/>
                    </w:rPr>
                    <w:t>15kg/桶</w:t>
                  </w:r>
                </w:p>
              </w:tc>
              <w:tc>
                <w:tcPr>
                  <w:tcW w:w="765" w:type="dxa"/>
                  <w:tcBorders>
                    <w:top w:val="single" w:color="auto" w:sz="4" w:space="0"/>
                    <w:left w:val="single" w:color="auto" w:sz="4" w:space="0"/>
                    <w:bottom w:val="single" w:color="auto" w:sz="4" w:space="0"/>
                    <w:right w:val="single" w:color="auto" w:sz="4" w:space="0"/>
                  </w:tcBorders>
                  <w:vAlign w:val="center"/>
                </w:tcPr>
                <w:p w14:paraId="582E0F26">
                  <w:pPr>
                    <w:jc w:val="center"/>
                    <w:rPr>
                      <w:color w:val="auto"/>
                      <w:szCs w:val="21"/>
                      <w:highlight w:val="none"/>
                    </w:rPr>
                  </w:pPr>
                  <w:r>
                    <w:rPr>
                      <w:rFonts w:hint="eastAsia"/>
                      <w:color w:val="auto"/>
                      <w:szCs w:val="21"/>
                      <w:highlight w:val="none"/>
                    </w:rPr>
                    <w:t>0.792</w:t>
                  </w:r>
                </w:p>
              </w:tc>
              <w:tc>
                <w:tcPr>
                  <w:tcW w:w="810" w:type="dxa"/>
                  <w:tcBorders>
                    <w:top w:val="single" w:color="auto" w:sz="4" w:space="0"/>
                    <w:left w:val="single" w:color="auto" w:sz="4" w:space="0"/>
                    <w:bottom w:val="single" w:color="auto" w:sz="4" w:space="0"/>
                    <w:right w:val="single" w:color="auto" w:sz="4" w:space="0"/>
                  </w:tcBorders>
                  <w:vAlign w:val="center"/>
                </w:tcPr>
                <w:p w14:paraId="7A080708">
                  <w:pPr>
                    <w:jc w:val="center"/>
                    <w:textAlignment w:val="center"/>
                    <w:rPr>
                      <w:color w:val="auto"/>
                      <w:szCs w:val="21"/>
                      <w:highlight w:val="none"/>
                    </w:rPr>
                  </w:pPr>
                  <w:r>
                    <w:rPr>
                      <w:color w:val="auto"/>
                      <w:kern w:val="0"/>
                      <w:szCs w:val="21"/>
                      <w:highlight w:val="none"/>
                      <w:lang w:bidi="ar"/>
                    </w:rPr>
                    <w:t>-0.072</w:t>
                  </w:r>
                </w:p>
              </w:tc>
              <w:tc>
                <w:tcPr>
                  <w:tcW w:w="690" w:type="dxa"/>
                  <w:tcBorders>
                    <w:top w:val="single" w:color="auto" w:sz="4" w:space="0"/>
                    <w:left w:val="single" w:color="auto" w:sz="4" w:space="0"/>
                    <w:bottom w:val="single" w:color="auto" w:sz="4" w:space="0"/>
                    <w:right w:val="single" w:color="auto" w:sz="4" w:space="0"/>
                  </w:tcBorders>
                  <w:vAlign w:val="center"/>
                </w:tcPr>
                <w:p w14:paraId="2102C322">
                  <w:pPr>
                    <w:jc w:val="center"/>
                    <w:rPr>
                      <w:color w:val="auto"/>
                      <w:szCs w:val="21"/>
                      <w:highlight w:val="none"/>
                    </w:rPr>
                  </w:pPr>
                  <w:r>
                    <w:rPr>
                      <w:rFonts w:hint="eastAsia"/>
                      <w:color w:val="auto"/>
                      <w:szCs w:val="21"/>
                      <w:highlight w:val="none"/>
                    </w:rPr>
                    <w:t>0.72</w:t>
                  </w:r>
                </w:p>
              </w:tc>
              <w:tc>
                <w:tcPr>
                  <w:tcW w:w="765" w:type="dxa"/>
                  <w:tcBorders>
                    <w:top w:val="single" w:color="auto" w:sz="4" w:space="0"/>
                    <w:left w:val="single" w:color="auto" w:sz="4" w:space="0"/>
                    <w:bottom w:val="single" w:color="auto" w:sz="4" w:space="0"/>
                    <w:right w:val="single" w:color="auto" w:sz="4" w:space="0"/>
                  </w:tcBorders>
                  <w:vAlign w:val="center"/>
                </w:tcPr>
                <w:p w14:paraId="0204A155">
                  <w:pPr>
                    <w:jc w:val="center"/>
                    <w:textAlignment w:val="center"/>
                    <w:rPr>
                      <w:color w:val="auto"/>
                      <w:szCs w:val="21"/>
                      <w:highlight w:val="none"/>
                    </w:rPr>
                  </w:pPr>
                  <w:r>
                    <w:rPr>
                      <w:color w:val="auto"/>
                      <w:kern w:val="0"/>
                      <w:szCs w:val="21"/>
                      <w:highlight w:val="none"/>
                      <w:lang w:bidi="ar"/>
                    </w:rPr>
                    <w:t>-0.072</w:t>
                  </w:r>
                </w:p>
              </w:tc>
              <w:tc>
                <w:tcPr>
                  <w:tcW w:w="750" w:type="dxa"/>
                  <w:tcBorders>
                    <w:top w:val="single" w:color="auto" w:sz="4" w:space="0"/>
                    <w:left w:val="single" w:color="auto" w:sz="4" w:space="0"/>
                    <w:bottom w:val="single" w:color="auto" w:sz="4" w:space="0"/>
                    <w:right w:val="single" w:color="auto" w:sz="4" w:space="0"/>
                  </w:tcBorders>
                  <w:vAlign w:val="center"/>
                </w:tcPr>
                <w:p w14:paraId="06ADF347">
                  <w:pPr>
                    <w:jc w:val="center"/>
                    <w:rPr>
                      <w:color w:val="auto"/>
                      <w:szCs w:val="21"/>
                      <w:highlight w:val="none"/>
                    </w:rPr>
                  </w:pPr>
                  <w:r>
                    <w:rPr>
                      <w:rFonts w:hint="eastAsia"/>
                      <w:color w:val="auto"/>
                      <w:szCs w:val="21"/>
                      <w:highlight w:val="none"/>
                    </w:rPr>
                    <w:t>0.072</w:t>
                  </w:r>
                </w:p>
              </w:tc>
              <w:tc>
                <w:tcPr>
                  <w:tcW w:w="1065" w:type="dxa"/>
                  <w:tcBorders>
                    <w:top w:val="single" w:color="auto" w:sz="4" w:space="0"/>
                    <w:left w:val="single" w:color="auto" w:sz="4" w:space="0"/>
                    <w:right w:val="single" w:color="auto" w:sz="4" w:space="0"/>
                  </w:tcBorders>
                  <w:vAlign w:val="center"/>
                </w:tcPr>
                <w:p w14:paraId="5A5AA384">
                  <w:pPr>
                    <w:widowControl w:val="0"/>
                    <w:tabs>
                      <w:tab w:val="left" w:pos="2068"/>
                    </w:tabs>
                    <w:adjustRightInd w:val="0"/>
                    <w:snapToGrid w:val="0"/>
                    <w:jc w:val="center"/>
                    <w:rPr>
                      <w:color w:val="auto"/>
                      <w:szCs w:val="21"/>
                      <w:highlight w:val="none"/>
                    </w:rPr>
                  </w:pPr>
                  <w:r>
                    <w:rPr>
                      <w:rFonts w:hint="eastAsia"/>
                      <w:color w:val="auto"/>
                      <w:szCs w:val="21"/>
                      <w:highlight w:val="none"/>
                    </w:rPr>
                    <w:t>封孔</w:t>
                  </w:r>
                </w:p>
              </w:tc>
              <w:tc>
                <w:tcPr>
                  <w:tcW w:w="1473" w:type="dxa"/>
                  <w:tcBorders>
                    <w:left w:val="single" w:color="auto" w:sz="4" w:space="0"/>
                    <w:right w:val="single" w:color="auto" w:sz="4" w:space="0"/>
                  </w:tcBorders>
                  <w:vAlign w:val="center"/>
                </w:tcPr>
                <w:p w14:paraId="623FDCAD">
                  <w:pPr>
                    <w:widowControl w:val="0"/>
                    <w:adjustRightInd w:val="0"/>
                    <w:snapToGrid w:val="0"/>
                    <w:jc w:val="center"/>
                    <w:rPr>
                      <w:color w:val="auto"/>
                      <w:szCs w:val="21"/>
                      <w:highlight w:val="none"/>
                    </w:rPr>
                  </w:pPr>
                  <w:r>
                    <w:rPr>
                      <w:rFonts w:hint="eastAsia"/>
                      <w:color w:val="auto"/>
                      <w:szCs w:val="21"/>
                      <w:highlight w:val="none"/>
                    </w:rPr>
                    <w:t>综合楼3首层</w:t>
                  </w:r>
                </w:p>
              </w:tc>
            </w:tr>
            <w:tr w14:paraId="5D45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2BFC4464">
                  <w:pPr>
                    <w:widowControl w:val="0"/>
                    <w:tabs>
                      <w:tab w:val="left" w:pos="2068"/>
                    </w:tabs>
                    <w:adjustRightInd w:val="0"/>
                    <w:snapToGrid w:val="0"/>
                    <w:jc w:val="center"/>
                    <w:rPr>
                      <w:color w:val="auto"/>
                      <w:szCs w:val="21"/>
                      <w:highlight w:val="none"/>
                    </w:rPr>
                  </w:pPr>
                  <w:r>
                    <w:rPr>
                      <w:color w:val="auto"/>
                      <w:szCs w:val="21"/>
                      <w:highlight w:val="none"/>
                    </w:rPr>
                    <w:t>7</w:t>
                  </w:r>
                </w:p>
              </w:tc>
              <w:tc>
                <w:tcPr>
                  <w:tcW w:w="1157" w:type="dxa"/>
                  <w:tcBorders>
                    <w:top w:val="single" w:color="auto" w:sz="4" w:space="0"/>
                    <w:left w:val="single" w:color="auto" w:sz="4" w:space="0"/>
                    <w:bottom w:val="single" w:color="auto" w:sz="4" w:space="0"/>
                    <w:right w:val="single" w:color="auto" w:sz="4" w:space="0"/>
                  </w:tcBorders>
                  <w:vAlign w:val="center"/>
                </w:tcPr>
                <w:p w14:paraId="07D86861">
                  <w:pPr>
                    <w:jc w:val="center"/>
                    <w:rPr>
                      <w:color w:val="auto"/>
                      <w:szCs w:val="21"/>
                      <w:highlight w:val="none"/>
                    </w:rPr>
                  </w:pPr>
                  <w:r>
                    <w:rPr>
                      <w:rFonts w:hint="eastAsia"/>
                      <w:color w:val="auto"/>
                      <w:szCs w:val="21"/>
                      <w:highlight w:val="none"/>
                    </w:rPr>
                    <w:t>除油粉</w:t>
                  </w:r>
                </w:p>
              </w:tc>
              <w:tc>
                <w:tcPr>
                  <w:tcW w:w="705" w:type="dxa"/>
                  <w:tcBorders>
                    <w:top w:val="single" w:color="auto" w:sz="4" w:space="0"/>
                    <w:left w:val="single" w:color="auto" w:sz="4" w:space="0"/>
                    <w:bottom w:val="single" w:color="auto" w:sz="4" w:space="0"/>
                    <w:right w:val="single" w:color="auto" w:sz="4" w:space="0"/>
                  </w:tcBorders>
                  <w:vAlign w:val="center"/>
                </w:tcPr>
                <w:p w14:paraId="1428FF9F">
                  <w:pPr>
                    <w:widowControl w:val="0"/>
                    <w:tabs>
                      <w:tab w:val="left" w:pos="2068"/>
                    </w:tabs>
                    <w:adjustRightInd w:val="0"/>
                    <w:snapToGrid w:val="0"/>
                    <w:jc w:val="center"/>
                    <w:rPr>
                      <w:color w:val="auto"/>
                      <w:szCs w:val="21"/>
                      <w:highlight w:val="none"/>
                    </w:rPr>
                  </w:pPr>
                  <w:r>
                    <w:rPr>
                      <w:rFonts w:hint="eastAsia"/>
                      <w:color w:val="auto"/>
                      <w:szCs w:val="21"/>
                      <w:highlight w:val="none"/>
                    </w:rPr>
                    <w:t>粉末</w:t>
                  </w:r>
                </w:p>
              </w:tc>
              <w:tc>
                <w:tcPr>
                  <w:tcW w:w="930" w:type="dxa"/>
                  <w:tcBorders>
                    <w:top w:val="single" w:color="auto" w:sz="4" w:space="0"/>
                    <w:left w:val="single" w:color="auto" w:sz="4" w:space="0"/>
                    <w:bottom w:val="single" w:color="auto" w:sz="4" w:space="0"/>
                    <w:right w:val="single" w:color="auto" w:sz="4" w:space="0"/>
                  </w:tcBorders>
                  <w:vAlign w:val="center"/>
                </w:tcPr>
                <w:p w14:paraId="03E33AF3">
                  <w:pPr>
                    <w:jc w:val="center"/>
                    <w:rPr>
                      <w:color w:val="auto"/>
                      <w:szCs w:val="21"/>
                      <w:highlight w:val="none"/>
                    </w:rPr>
                  </w:pPr>
                  <w:r>
                    <w:rPr>
                      <w:rFonts w:hint="eastAsia"/>
                      <w:color w:val="auto"/>
                      <w:szCs w:val="21"/>
                      <w:highlight w:val="none"/>
                    </w:rPr>
                    <w:t>25kg/袋</w:t>
                  </w:r>
                </w:p>
              </w:tc>
              <w:tc>
                <w:tcPr>
                  <w:tcW w:w="765" w:type="dxa"/>
                  <w:tcBorders>
                    <w:top w:val="single" w:color="auto" w:sz="4" w:space="0"/>
                    <w:left w:val="single" w:color="auto" w:sz="4" w:space="0"/>
                    <w:bottom w:val="single" w:color="auto" w:sz="4" w:space="0"/>
                    <w:right w:val="single" w:color="auto" w:sz="4" w:space="0"/>
                  </w:tcBorders>
                  <w:vAlign w:val="center"/>
                </w:tcPr>
                <w:p w14:paraId="3F593AFE">
                  <w:pPr>
                    <w:jc w:val="center"/>
                    <w:rPr>
                      <w:color w:val="auto"/>
                      <w:szCs w:val="21"/>
                      <w:highlight w:val="none"/>
                    </w:rPr>
                  </w:pPr>
                  <w:r>
                    <w:rPr>
                      <w:rFonts w:hint="eastAsia"/>
                      <w:color w:val="auto"/>
                      <w:szCs w:val="21"/>
                      <w:highlight w:val="none"/>
                    </w:rPr>
                    <w:t>0.66</w:t>
                  </w:r>
                </w:p>
              </w:tc>
              <w:tc>
                <w:tcPr>
                  <w:tcW w:w="810" w:type="dxa"/>
                  <w:tcBorders>
                    <w:top w:val="single" w:color="auto" w:sz="4" w:space="0"/>
                    <w:left w:val="single" w:color="auto" w:sz="4" w:space="0"/>
                    <w:bottom w:val="single" w:color="auto" w:sz="4" w:space="0"/>
                    <w:right w:val="single" w:color="auto" w:sz="4" w:space="0"/>
                  </w:tcBorders>
                  <w:vAlign w:val="center"/>
                </w:tcPr>
                <w:p w14:paraId="5D38FD63">
                  <w:pPr>
                    <w:jc w:val="center"/>
                    <w:textAlignment w:val="center"/>
                    <w:rPr>
                      <w:color w:val="auto"/>
                      <w:szCs w:val="21"/>
                      <w:highlight w:val="none"/>
                    </w:rPr>
                  </w:pPr>
                  <w:r>
                    <w:rPr>
                      <w:color w:val="auto"/>
                      <w:kern w:val="0"/>
                      <w:szCs w:val="21"/>
                      <w:highlight w:val="none"/>
                      <w:lang w:bidi="ar"/>
                    </w:rPr>
                    <w:t>-0.06</w:t>
                  </w:r>
                </w:p>
              </w:tc>
              <w:tc>
                <w:tcPr>
                  <w:tcW w:w="690" w:type="dxa"/>
                  <w:tcBorders>
                    <w:top w:val="single" w:color="auto" w:sz="4" w:space="0"/>
                    <w:left w:val="single" w:color="auto" w:sz="4" w:space="0"/>
                    <w:bottom w:val="single" w:color="auto" w:sz="4" w:space="0"/>
                    <w:right w:val="single" w:color="auto" w:sz="4" w:space="0"/>
                  </w:tcBorders>
                  <w:vAlign w:val="center"/>
                </w:tcPr>
                <w:p w14:paraId="6E5D9402">
                  <w:pPr>
                    <w:jc w:val="center"/>
                    <w:rPr>
                      <w:color w:val="auto"/>
                      <w:szCs w:val="21"/>
                      <w:highlight w:val="none"/>
                    </w:rPr>
                  </w:pPr>
                  <w:r>
                    <w:rPr>
                      <w:rFonts w:hint="eastAsia"/>
                      <w:color w:val="auto"/>
                      <w:szCs w:val="21"/>
                      <w:highlight w:val="none"/>
                    </w:rPr>
                    <w:t>0.6</w:t>
                  </w:r>
                </w:p>
              </w:tc>
              <w:tc>
                <w:tcPr>
                  <w:tcW w:w="765" w:type="dxa"/>
                  <w:tcBorders>
                    <w:top w:val="single" w:color="auto" w:sz="4" w:space="0"/>
                    <w:left w:val="single" w:color="auto" w:sz="4" w:space="0"/>
                    <w:bottom w:val="single" w:color="auto" w:sz="4" w:space="0"/>
                    <w:right w:val="single" w:color="auto" w:sz="4" w:space="0"/>
                  </w:tcBorders>
                  <w:vAlign w:val="center"/>
                </w:tcPr>
                <w:p w14:paraId="1703F0CA">
                  <w:pPr>
                    <w:jc w:val="center"/>
                    <w:textAlignment w:val="center"/>
                    <w:rPr>
                      <w:color w:val="auto"/>
                      <w:szCs w:val="21"/>
                      <w:highlight w:val="none"/>
                    </w:rPr>
                  </w:pPr>
                  <w:r>
                    <w:rPr>
                      <w:color w:val="auto"/>
                      <w:kern w:val="0"/>
                      <w:szCs w:val="21"/>
                      <w:highlight w:val="none"/>
                      <w:lang w:bidi="ar"/>
                    </w:rPr>
                    <w:t>-0.06</w:t>
                  </w:r>
                </w:p>
              </w:tc>
              <w:tc>
                <w:tcPr>
                  <w:tcW w:w="750" w:type="dxa"/>
                  <w:tcBorders>
                    <w:top w:val="single" w:color="auto" w:sz="4" w:space="0"/>
                    <w:left w:val="single" w:color="auto" w:sz="4" w:space="0"/>
                    <w:bottom w:val="single" w:color="auto" w:sz="4" w:space="0"/>
                    <w:right w:val="single" w:color="auto" w:sz="4" w:space="0"/>
                  </w:tcBorders>
                  <w:vAlign w:val="center"/>
                </w:tcPr>
                <w:p w14:paraId="0D3923C4">
                  <w:pPr>
                    <w:jc w:val="center"/>
                    <w:rPr>
                      <w:color w:val="auto"/>
                      <w:szCs w:val="21"/>
                      <w:highlight w:val="none"/>
                    </w:rPr>
                  </w:pPr>
                  <w:r>
                    <w:rPr>
                      <w:rFonts w:hint="eastAsia"/>
                      <w:color w:val="auto"/>
                      <w:szCs w:val="21"/>
                      <w:highlight w:val="none"/>
                    </w:rPr>
                    <w:t>0.06</w:t>
                  </w:r>
                </w:p>
              </w:tc>
              <w:tc>
                <w:tcPr>
                  <w:tcW w:w="1065" w:type="dxa"/>
                  <w:tcBorders>
                    <w:left w:val="single" w:color="auto" w:sz="4" w:space="0"/>
                    <w:right w:val="single" w:color="auto" w:sz="4" w:space="0"/>
                  </w:tcBorders>
                  <w:vAlign w:val="center"/>
                </w:tcPr>
                <w:p w14:paraId="641DDA63">
                  <w:pPr>
                    <w:widowControl w:val="0"/>
                    <w:tabs>
                      <w:tab w:val="left" w:pos="2068"/>
                    </w:tabs>
                    <w:adjustRightInd w:val="0"/>
                    <w:snapToGrid w:val="0"/>
                    <w:jc w:val="center"/>
                    <w:rPr>
                      <w:color w:val="auto"/>
                      <w:szCs w:val="21"/>
                      <w:highlight w:val="none"/>
                    </w:rPr>
                  </w:pPr>
                  <w:r>
                    <w:rPr>
                      <w:rFonts w:hint="eastAsia"/>
                      <w:color w:val="auto"/>
                      <w:szCs w:val="21"/>
                      <w:highlight w:val="none"/>
                    </w:rPr>
                    <w:t>脱脂</w:t>
                  </w:r>
                </w:p>
              </w:tc>
              <w:tc>
                <w:tcPr>
                  <w:tcW w:w="1473" w:type="dxa"/>
                  <w:tcBorders>
                    <w:left w:val="single" w:color="auto" w:sz="4" w:space="0"/>
                    <w:right w:val="single" w:color="auto" w:sz="4" w:space="0"/>
                  </w:tcBorders>
                  <w:vAlign w:val="center"/>
                </w:tcPr>
                <w:p w14:paraId="684FED0A">
                  <w:pPr>
                    <w:widowControl w:val="0"/>
                    <w:adjustRightInd w:val="0"/>
                    <w:snapToGrid w:val="0"/>
                    <w:jc w:val="center"/>
                    <w:rPr>
                      <w:color w:val="auto"/>
                      <w:szCs w:val="21"/>
                      <w:highlight w:val="none"/>
                    </w:rPr>
                  </w:pPr>
                  <w:r>
                    <w:rPr>
                      <w:rFonts w:hint="eastAsia"/>
                      <w:color w:val="auto"/>
                      <w:szCs w:val="21"/>
                      <w:highlight w:val="none"/>
                    </w:rPr>
                    <w:t>综合楼3首层</w:t>
                  </w:r>
                </w:p>
              </w:tc>
            </w:tr>
            <w:tr w14:paraId="360A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5235F937">
                  <w:pPr>
                    <w:widowControl w:val="0"/>
                    <w:tabs>
                      <w:tab w:val="left" w:pos="2068"/>
                    </w:tabs>
                    <w:adjustRightInd w:val="0"/>
                    <w:snapToGrid w:val="0"/>
                    <w:jc w:val="center"/>
                    <w:rPr>
                      <w:rFonts w:hint="eastAsia"/>
                      <w:color w:val="auto"/>
                      <w:szCs w:val="21"/>
                      <w:highlight w:val="none"/>
                    </w:rPr>
                  </w:pPr>
                  <w:r>
                    <w:rPr>
                      <w:color w:val="auto"/>
                      <w:szCs w:val="21"/>
                      <w:highlight w:val="none"/>
                    </w:rPr>
                    <w:t>8</w:t>
                  </w:r>
                </w:p>
              </w:tc>
              <w:tc>
                <w:tcPr>
                  <w:tcW w:w="1157" w:type="dxa"/>
                  <w:tcBorders>
                    <w:top w:val="single" w:color="auto" w:sz="4" w:space="0"/>
                    <w:left w:val="single" w:color="auto" w:sz="4" w:space="0"/>
                    <w:bottom w:val="single" w:color="auto" w:sz="4" w:space="0"/>
                    <w:right w:val="single" w:color="auto" w:sz="4" w:space="0"/>
                  </w:tcBorders>
                  <w:vAlign w:val="center"/>
                </w:tcPr>
                <w:p w14:paraId="7BA69309">
                  <w:pPr>
                    <w:jc w:val="center"/>
                    <w:rPr>
                      <w:color w:val="auto"/>
                      <w:szCs w:val="21"/>
                      <w:highlight w:val="none"/>
                    </w:rPr>
                  </w:pPr>
                  <w:r>
                    <w:rPr>
                      <w:rFonts w:hint="eastAsia"/>
                      <w:color w:val="auto"/>
                      <w:szCs w:val="21"/>
                      <w:highlight w:val="none"/>
                    </w:rPr>
                    <w:t>染料</w:t>
                  </w:r>
                </w:p>
              </w:tc>
              <w:tc>
                <w:tcPr>
                  <w:tcW w:w="705" w:type="dxa"/>
                  <w:tcBorders>
                    <w:top w:val="single" w:color="auto" w:sz="4" w:space="0"/>
                    <w:left w:val="single" w:color="auto" w:sz="4" w:space="0"/>
                    <w:bottom w:val="single" w:color="auto" w:sz="4" w:space="0"/>
                    <w:right w:val="single" w:color="auto" w:sz="4" w:space="0"/>
                  </w:tcBorders>
                  <w:vAlign w:val="center"/>
                </w:tcPr>
                <w:p w14:paraId="4063BB3A">
                  <w:pPr>
                    <w:widowControl w:val="0"/>
                    <w:tabs>
                      <w:tab w:val="left" w:pos="2068"/>
                    </w:tabs>
                    <w:adjustRightInd w:val="0"/>
                    <w:snapToGrid w:val="0"/>
                    <w:jc w:val="center"/>
                    <w:rPr>
                      <w:color w:val="auto"/>
                      <w:szCs w:val="21"/>
                      <w:highlight w:val="none"/>
                    </w:rPr>
                  </w:pPr>
                  <w:r>
                    <w:rPr>
                      <w:rFonts w:hint="eastAsia"/>
                      <w:color w:val="auto"/>
                      <w:szCs w:val="21"/>
                      <w:highlight w:val="none"/>
                    </w:rPr>
                    <w:t>粉末</w:t>
                  </w:r>
                </w:p>
              </w:tc>
              <w:tc>
                <w:tcPr>
                  <w:tcW w:w="930" w:type="dxa"/>
                  <w:tcBorders>
                    <w:top w:val="single" w:color="auto" w:sz="4" w:space="0"/>
                    <w:left w:val="single" w:color="auto" w:sz="4" w:space="0"/>
                    <w:bottom w:val="single" w:color="auto" w:sz="4" w:space="0"/>
                    <w:right w:val="single" w:color="auto" w:sz="4" w:space="0"/>
                  </w:tcBorders>
                  <w:vAlign w:val="center"/>
                </w:tcPr>
                <w:p w14:paraId="4D127CC2">
                  <w:pPr>
                    <w:jc w:val="center"/>
                    <w:rPr>
                      <w:color w:val="auto"/>
                      <w:szCs w:val="21"/>
                      <w:highlight w:val="none"/>
                    </w:rPr>
                  </w:pPr>
                  <w:r>
                    <w:rPr>
                      <w:rFonts w:hint="eastAsia"/>
                      <w:color w:val="auto"/>
                      <w:szCs w:val="21"/>
                      <w:highlight w:val="none"/>
                    </w:rPr>
                    <w:t>10kg/罐</w:t>
                  </w:r>
                </w:p>
              </w:tc>
              <w:tc>
                <w:tcPr>
                  <w:tcW w:w="765" w:type="dxa"/>
                  <w:tcBorders>
                    <w:top w:val="single" w:color="auto" w:sz="4" w:space="0"/>
                    <w:left w:val="single" w:color="auto" w:sz="4" w:space="0"/>
                    <w:bottom w:val="single" w:color="auto" w:sz="4" w:space="0"/>
                    <w:right w:val="single" w:color="auto" w:sz="4" w:space="0"/>
                  </w:tcBorders>
                  <w:vAlign w:val="center"/>
                </w:tcPr>
                <w:p w14:paraId="5948EC67">
                  <w:pPr>
                    <w:jc w:val="center"/>
                    <w:rPr>
                      <w:color w:val="auto"/>
                      <w:szCs w:val="21"/>
                      <w:highlight w:val="none"/>
                    </w:rPr>
                  </w:pPr>
                  <w:r>
                    <w:rPr>
                      <w:rFonts w:hint="eastAsia"/>
                      <w:color w:val="auto"/>
                      <w:szCs w:val="21"/>
                      <w:highlight w:val="none"/>
                    </w:rPr>
                    <w:t>0.341</w:t>
                  </w:r>
                </w:p>
              </w:tc>
              <w:tc>
                <w:tcPr>
                  <w:tcW w:w="810" w:type="dxa"/>
                  <w:tcBorders>
                    <w:top w:val="single" w:color="auto" w:sz="4" w:space="0"/>
                    <w:left w:val="single" w:color="auto" w:sz="4" w:space="0"/>
                    <w:bottom w:val="single" w:color="auto" w:sz="4" w:space="0"/>
                    <w:right w:val="single" w:color="auto" w:sz="4" w:space="0"/>
                  </w:tcBorders>
                  <w:vAlign w:val="center"/>
                </w:tcPr>
                <w:p w14:paraId="5DA201A9">
                  <w:pPr>
                    <w:jc w:val="center"/>
                    <w:textAlignment w:val="center"/>
                    <w:rPr>
                      <w:color w:val="auto"/>
                      <w:szCs w:val="21"/>
                      <w:highlight w:val="none"/>
                    </w:rPr>
                  </w:pPr>
                  <w:r>
                    <w:rPr>
                      <w:color w:val="auto"/>
                      <w:kern w:val="0"/>
                      <w:szCs w:val="21"/>
                      <w:highlight w:val="none"/>
                      <w:lang w:bidi="ar"/>
                    </w:rPr>
                    <w:t>-0.031</w:t>
                  </w:r>
                </w:p>
              </w:tc>
              <w:tc>
                <w:tcPr>
                  <w:tcW w:w="690" w:type="dxa"/>
                  <w:tcBorders>
                    <w:top w:val="single" w:color="auto" w:sz="4" w:space="0"/>
                    <w:left w:val="single" w:color="auto" w:sz="4" w:space="0"/>
                    <w:bottom w:val="single" w:color="auto" w:sz="4" w:space="0"/>
                    <w:right w:val="single" w:color="auto" w:sz="4" w:space="0"/>
                  </w:tcBorders>
                  <w:vAlign w:val="center"/>
                </w:tcPr>
                <w:p w14:paraId="2B268CDC">
                  <w:pPr>
                    <w:jc w:val="center"/>
                    <w:rPr>
                      <w:color w:val="auto"/>
                      <w:szCs w:val="21"/>
                      <w:highlight w:val="none"/>
                    </w:rPr>
                  </w:pPr>
                  <w:r>
                    <w:rPr>
                      <w:rFonts w:hint="eastAsia"/>
                      <w:color w:val="auto"/>
                      <w:szCs w:val="21"/>
                      <w:highlight w:val="none"/>
                    </w:rPr>
                    <w:t>0.31</w:t>
                  </w:r>
                </w:p>
              </w:tc>
              <w:tc>
                <w:tcPr>
                  <w:tcW w:w="765" w:type="dxa"/>
                  <w:tcBorders>
                    <w:top w:val="single" w:color="auto" w:sz="4" w:space="0"/>
                    <w:left w:val="single" w:color="auto" w:sz="4" w:space="0"/>
                    <w:bottom w:val="single" w:color="auto" w:sz="4" w:space="0"/>
                    <w:right w:val="single" w:color="auto" w:sz="4" w:space="0"/>
                  </w:tcBorders>
                  <w:vAlign w:val="center"/>
                </w:tcPr>
                <w:p w14:paraId="00F68CF2">
                  <w:pPr>
                    <w:jc w:val="center"/>
                    <w:textAlignment w:val="center"/>
                    <w:rPr>
                      <w:color w:val="auto"/>
                      <w:szCs w:val="21"/>
                      <w:highlight w:val="none"/>
                    </w:rPr>
                  </w:pPr>
                  <w:r>
                    <w:rPr>
                      <w:color w:val="auto"/>
                      <w:kern w:val="0"/>
                      <w:szCs w:val="21"/>
                      <w:highlight w:val="none"/>
                      <w:lang w:bidi="ar"/>
                    </w:rPr>
                    <w:t>-0.031</w:t>
                  </w:r>
                </w:p>
              </w:tc>
              <w:tc>
                <w:tcPr>
                  <w:tcW w:w="750" w:type="dxa"/>
                  <w:tcBorders>
                    <w:top w:val="single" w:color="auto" w:sz="4" w:space="0"/>
                    <w:left w:val="single" w:color="auto" w:sz="4" w:space="0"/>
                    <w:bottom w:val="single" w:color="auto" w:sz="4" w:space="0"/>
                    <w:right w:val="single" w:color="auto" w:sz="4" w:space="0"/>
                  </w:tcBorders>
                  <w:vAlign w:val="center"/>
                </w:tcPr>
                <w:p w14:paraId="0D89DC29">
                  <w:pPr>
                    <w:jc w:val="center"/>
                    <w:rPr>
                      <w:color w:val="auto"/>
                      <w:szCs w:val="21"/>
                      <w:highlight w:val="none"/>
                    </w:rPr>
                  </w:pPr>
                  <w:r>
                    <w:rPr>
                      <w:rFonts w:hint="eastAsia"/>
                      <w:color w:val="auto"/>
                      <w:szCs w:val="21"/>
                      <w:highlight w:val="none"/>
                    </w:rPr>
                    <w:t>0.034</w:t>
                  </w:r>
                </w:p>
              </w:tc>
              <w:tc>
                <w:tcPr>
                  <w:tcW w:w="1065" w:type="dxa"/>
                  <w:tcBorders>
                    <w:left w:val="single" w:color="auto" w:sz="4" w:space="0"/>
                    <w:right w:val="single" w:color="auto" w:sz="4" w:space="0"/>
                  </w:tcBorders>
                  <w:vAlign w:val="center"/>
                </w:tcPr>
                <w:p w14:paraId="7CCFC5DE">
                  <w:pPr>
                    <w:widowControl w:val="0"/>
                    <w:tabs>
                      <w:tab w:val="left" w:pos="2068"/>
                    </w:tabs>
                    <w:adjustRightInd w:val="0"/>
                    <w:snapToGrid w:val="0"/>
                    <w:jc w:val="center"/>
                    <w:rPr>
                      <w:color w:val="auto"/>
                      <w:szCs w:val="21"/>
                      <w:highlight w:val="none"/>
                    </w:rPr>
                  </w:pPr>
                  <w:r>
                    <w:rPr>
                      <w:rFonts w:hint="eastAsia"/>
                      <w:color w:val="auto"/>
                      <w:szCs w:val="21"/>
                      <w:highlight w:val="none"/>
                    </w:rPr>
                    <w:t>着色</w:t>
                  </w:r>
                </w:p>
              </w:tc>
              <w:tc>
                <w:tcPr>
                  <w:tcW w:w="1473" w:type="dxa"/>
                  <w:tcBorders>
                    <w:left w:val="single" w:color="auto" w:sz="4" w:space="0"/>
                    <w:right w:val="single" w:color="auto" w:sz="4" w:space="0"/>
                  </w:tcBorders>
                  <w:vAlign w:val="center"/>
                </w:tcPr>
                <w:p w14:paraId="49E6CB19">
                  <w:pPr>
                    <w:widowControl w:val="0"/>
                    <w:adjustRightInd w:val="0"/>
                    <w:snapToGrid w:val="0"/>
                    <w:jc w:val="center"/>
                    <w:rPr>
                      <w:color w:val="auto"/>
                      <w:szCs w:val="21"/>
                      <w:highlight w:val="none"/>
                    </w:rPr>
                  </w:pPr>
                  <w:r>
                    <w:rPr>
                      <w:rFonts w:hint="eastAsia"/>
                      <w:color w:val="auto"/>
                      <w:szCs w:val="21"/>
                      <w:highlight w:val="none"/>
                    </w:rPr>
                    <w:t>综合楼</w:t>
                  </w:r>
                  <w:r>
                    <w:rPr>
                      <w:rFonts w:hint="eastAsia"/>
                      <w:color w:val="auto"/>
                      <w:szCs w:val="21"/>
                      <w:highlight w:val="none"/>
                      <w:lang w:val="en-US" w:eastAsia="zh-CN"/>
                    </w:rPr>
                    <w:t>1</w:t>
                  </w:r>
                  <w:r>
                    <w:rPr>
                      <w:rFonts w:hint="eastAsia"/>
                      <w:color w:val="auto"/>
                      <w:szCs w:val="21"/>
                      <w:highlight w:val="none"/>
                    </w:rPr>
                    <w:t>首层</w:t>
                  </w:r>
                </w:p>
              </w:tc>
            </w:tr>
            <w:tr w14:paraId="2ACCF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47237BAA">
                  <w:pPr>
                    <w:widowControl w:val="0"/>
                    <w:tabs>
                      <w:tab w:val="left" w:pos="2068"/>
                    </w:tabs>
                    <w:adjustRightInd w:val="0"/>
                    <w:snapToGrid w:val="0"/>
                    <w:jc w:val="center"/>
                    <w:rPr>
                      <w:color w:val="auto"/>
                      <w:szCs w:val="21"/>
                      <w:highlight w:val="none"/>
                    </w:rPr>
                  </w:pPr>
                  <w:r>
                    <w:rPr>
                      <w:rFonts w:hint="eastAsia"/>
                      <w:color w:val="auto"/>
                      <w:szCs w:val="21"/>
                      <w:highlight w:val="none"/>
                    </w:rPr>
                    <w:t>9</w:t>
                  </w:r>
                </w:p>
              </w:tc>
              <w:tc>
                <w:tcPr>
                  <w:tcW w:w="1157" w:type="dxa"/>
                  <w:tcBorders>
                    <w:top w:val="single" w:color="auto" w:sz="4" w:space="0"/>
                    <w:left w:val="single" w:color="auto" w:sz="4" w:space="0"/>
                    <w:bottom w:val="single" w:color="auto" w:sz="4" w:space="0"/>
                    <w:right w:val="single" w:color="auto" w:sz="4" w:space="0"/>
                  </w:tcBorders>
                  <w:vAlign w:val="center"/>
                </w:tcPr>
                <w:p w14:paraId="374BF8B5">
                  <w:pPr>
                    <w:jc w:val="center"/>
                    <w:rPr>
                      <w:color w:val="auto"/>
                      <w:szCs w:val="21"/>
                      <w:highlight w:val="none"/>
                    </w:rPr>
                  </w:pPr>
                  <w:r>
                    <w:rPr>
                      <w:rFonts w:hint="eastAsia"/>
                      <w:color w:val="auto"/>
                      <w:szCs w:val="21"/>
                      <w:highlight w:val="none"/>
                    </w:rPr>
                    <w:t>工业磷酸</w:t>
                  </w:r>
                </w:p>
              </w:tc>
              <w:tc>
                <w:tcPr>
                  <w:tcW w:w="705" w:type="dxa"/>
                  <w:tcBorders>
                    <w:top w:val="single" w:color="auto" w:sz="4" w:space="0"/>
                    <w:left w:val="single" w:color="auto" w:sz="4" w:space="0"/>
                    <w:bottom w:val="single" w:color="auto" w:sz="4" w:space="0"/>
                    <w:right w:val="single" w:color="auto" w:sz="4" w:space="0"/>
                  </w:tcBorders>
                  <w:vAlign w:val="center"/>
                </w:tcPr>
                <w:p w14:paraId="78910A52">
                  <w:pPr>
                    <w:widowControl w:val="0"/>
                    <w:tabs>
                      <w:tab w:val="left" w:pos="2068"/>
                    </w:tabs>
                    <w:adjustRightInd w:val="0"/>
                    <w:snapToGrid w:val="0"/>
                    <w:jc w:val="center"/>
                    <w:rPr>
                      <w:color w:val="auto"/>
                      <w:szCs w:val="21"/>
                      <w:highlight w:val="none"/>
                    </w:rPr>
                  </w:pPr>
                  <w:r>
                    <w:rPr>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vAlign w:val="center"/>
                </w:tcPr>
                <w:p w14:paraId="6F45F26F">
                  <w:pPr>
                    <w:jc w:val="center"/>
                    <w:rPr>
                      <w:color w:val="auto"/>
                      <w:szCs w:val="21"/>
                      <w:highlight w:val="none"/>
                    </w:rPr>
                  </w:pPr>
                  <w:r>
                    <w:rPr>
                      <w:rFonts w:hint="eastAsia"/>
                      <w:color w:val="auto"/>
                      <w:szCs w:val="21"/>
                      <w:highlight w:val="none"/>
                    </w:rPr>
                    <w:t>15kg/桶</w:t>
                  </w:r>
                </w:p>
              </w:tc>
              <w:tc>
                <w:tcPr>
                  <w:tcW w:w="765" w:type="dxa"/>
                  <w:tcBorders>
                    <w:top w:val="single" w:color="auto" w:sz="4" w:space="0"/>
                    <w:left w:val="single" w:color="auto" w:sz="4" w:space="0"/>
                    <w:bottom w:val="single" w:color="auto" w:sz="4" w:space="0"/>
                    <w:right w:val="single" w:color="auto" w:sz="4" w:space="0"/>
                  </w:tcBorders>
                  <w:vAlign w:val="center"/>
                </w:tcPr>
                <w:p w14:paraId="697275E5">
                  <w:pPr>
                    <w:jc w:val="center"/>
                    <w:rPr>
                      <w:color w:val="auto"/>
                      <w:szCs w:val="21"/>
                      <w:highlight w:val="none"/>
                    </w:rPr>
                  </w:pPr>
                  <w:r>
                    <w:rPr>
                      <w:rFonts w:hint="eastAsia"/>
                      <w:color w:val="auto"/>
                      <w:szCs w:val="21"/>
                      <w:highlight w:val="none"/>
                    </w:rPr>
                    <w:t>60</w:t>
                  </w:r>
                </w:p>
              </w:tc>
              <w:tc>
                <w:tcPr>
                  <w:tcW w:w="810" w:type="dxa"/>
                  <w:tcBorders>
                    <w:top w:val="single" w:color="auto" w:sz="4" w:space="0"/>
                    <w:left w:val="single" w:color="auto" w:sz="4" w:space="0"/>
                    <w:bottom w:val="single" w:color="auto" w:sz="4" w:space="0"/>
                    <w:right w:val="single" w:color="auto" w:sz="4" w:space="0"/>
                  </w:tcBorders>
                  <w:vAlign w:val="center"/>
                </w:tcPr>
                <w:p w14:paraId="6721CFD8">
                  <w:pPr>
                    <w:widowControl w:val="0"/>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vAlign w:val="center"/>
                </w:tcPr>
                <w:p w14:paraId="172F82C3">
                  <w:pPr>
                    <w:jc w:val="center"/>
                    <w:rPr>
                      <w:color w:val="auto"/>
                      <w:szCs w:val="21"/>
                      <w:highlight w:val="none"/>
                    </w:rPr>
                  </w:pPr>
                  <w:r>
                    <w:rPr>
                      <w:rFonts w:hint="eastAsia"/>
                      <w:color w:val="auto"/>
                      <w:szCs w:val="21"/>
                      <w:highlight w:val="none"/>
                    </w:rPr>
                    <w:t>60</w:t>
                  </w:r>
                </w:p>
              </w:tc>
              <w:tc>
                <w:tcPr>
                  <w:tcW w:w="765" w:type="dxa"/>
                  <w:tcBorders>
                    <w:top w:val="single" w:color="auto" w:sz="4" w:space="0"/>
                    <w:left w:val="single" w:color="auto" w:sz="4" w:space="0"/>
                    <w:bottom w:val="single" w:color="auto" w:sz="4" w:space="0"/>
                    <w:right w:val="single" w:color="auto" w:sz="4" w:space="0"/>
                  </w:tcBorders>
                  <w:vAlign w:val="center"/>
                </w:tcPr>
                <w:p w14:paraId="14B83EE5">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vAlign w:val="center"/>
                </w:tcPr>
                <w:p w14:paraId="7B5198AD">
                  <w:pPr>
                    <w:jc w:val="center"/>
                    <w:rPr>
                      <w:color w:val="auto"/>
                      <w:szCs w:val="21"/>
                      <w:highlight w:val="none"/>
                    </w:rPr>
                  </w:pPr>
                  <w:r>
                    <w:rPr>
                      <w:rFonts w:hint="eastAsia"/>
                      <w:color w:val="auto"/>
                      <w:szCs w:val="21"/>
                      <w:highlight w:val="none"/>
                    </w:rPr>
                    <w:t>2</w:t>
                  </w:r>
                </w:p>
              </w:tc>
              <w:tc>
                <w:tcPr>
                  <w:tcW w:w="1065" w:type="dxa"/>
                  <w:tcBorders>
                    <w:left w:val="single" w:color="auto" w:sz="4" w:space="0"/>
                    <w:right w:val="single" w:color="auto" w:sz="4" w:space="0"/>
                  </w:tcBorders>
                  <w:vAlign w:val="center"/>
                </w:tcPr>
                <w:p w14:paraId="045B1B9D">
                  <w:pPr>
                    <w:widowControl w:val="0"/>
                    <w:tabs>
                      <w:tab w:val="left" w:pos="2068"/>
                    </w:tabs>
                    <w:adjustRightInd w:val="0"/>
                    <w:snapToGrid w:val="0"/>
                    <w:jc w:val="center"/>
                    <w:rPr>
                      <w:color w:val="auto"/>
                      <w:szCs w:val="21"/>
                      <w:highlight w:val="none"/>
                    </w:rPr>
                  </w:pPr>
                  <w:r>
                    <w:rPr>
                      <w:rFonts w:hint="eastAsia"/>
                      <w:color w:val="auto"/>
                      <w:szCs w:val="21"/>
                      <w:highlight w:val="none"/>
                    </w:rPr>
                    <w:t>化学抛光</w:t>
                  </w:r>
                </w:p>
              </w:tc>
              <w:tc>
                <w:tcPr>
                  <w:tcW w:w="1473" w:type="dxa"/>
                  <w:tcBorders>
                    <w:left w:val="single" w:color="auto" w:sz="4" w:space="0"/>
                    <w:right w:val="single" w:color="auto" w:sz="4" w:space="0"/>
                  </w:tcBorders>
                  <w:vAlign w:val="center"/>
                </w:tcPr>
                <w:p w14:paraId="363F05C4">
                  <w:pPr>
                    <w:widowControl w:val="0"/>
                    <w:adjustRightInd w:val="0"/>
                    <w:snapToGrid w:val="0"/>
                    <w:jc w:val="center"/>
                    <w:rPr>
                      <w:color w:val="auto"/>
                      <w:szCs w:val="21"/>
                      <w:highlight w:val="none"/>
                    </w:rPr>
                  </w:pPr>
                  <w:r>
                    <w:rPr>
                      <w:rFonts w:hint="eastAsia"/>
                      <w:color w:val="auto"/>
                      <w:szCs w:val="21"/>
                      <w:highlight w:val="none"/>
                    </w:rPr>
                    <w:t>综合楼</w:t>
                  </w:r>
                  <w:r>
                    <w:rPr>
                      <w:rFonts w:hint="eastAsia"/>
                      <w:color w:val="auto"/>
                      <w:szCs w:val="21"/>
                      <w:highlight w:val="none"/>
                      <w:lang w:val="en-US" w:eastAsia="zh-CN"/>
                    </w:rPr>
                    <w:t>1</w:t>
                  </w:r>
                  <w:r>
                    <w:rPr>
                      <w:rFonts w:hint="eastAsia"/>
                      <w:color w:val="auto"/>
                      <w:szCs w:val="21"/>
                      <w:highlight w:val="none"/>
                    </w:rPr>
                    <w:t>首层</w:t>
                  </w:r>
                </w:p>
              </w:tc>
            </w:tr>
            <w:tr w14:paraId="20C7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15550D33">
                  <w:pPr>
                    <w:widowControl w:val="0"/>
                    <w:tabs>
                      <w:tab w:val="left" w:pos="2068"/>
                    </w:tabs>
                    <w:adjustRightInd w:val="0"/>
                    <w:snapToGrid w:val="0"/>
                    <w:jc w:val="center"/>
                    <w:rPr>
                      <w:color w:val="auto"/>
                      <w:szCs w:val="21"/>
                      <w:highlight w:val="none"/>
                    </w:rPr>
                  </w:pPr>
                  <w:r>
                    <w:rPr>
                      <w:rFonts w:hint="eastAsia"/>
                      <w:color w:val="auto"/>
                      <w:szCs w:val="21"/>
                      <w:highlight w:val="none"/>
                    </w:rPr>
                    <w:t>10</w:t>
                  </w:r>
                </w:p>
              </w:tc>
              <w:tc>
                <w:tcPr>
                  <w:tcW w:w="1157" w:type="dxa"/>
                  <w:tcBorders>
                    <w:top w:val="single" w:color="auto" w:sz="4" w:space="0"/>
                    <w:left w:val="single" w:color="auto" w:sz="4" w:space="0"/>
                    <w:bottom w:val="single" w:color="auto" w:sz="4" w:space="0"/>
                    <w:right w:val="single" w:color="auto" w:sz="4" w:space="0"/>
                  </w:tcBorders>
                  <w:vAlign w:val="center"/>
                </w:tcPr>
                <w:p w14:paraId="7AE81904">
                  <w:pPr>
                    <w:jc w:val="center"/>
                    <w:rPr>
                      <w:color w:val="auto"/>
                      <w:szCs w:val="21"/>
                      <w:highlight w:val="none"/>
                    </w:rPr>
                  </w:pPr>
                  <w:r>
                    <w:rPr>
                      <w:rFonts w:hint="eastAsia"/>
                      <w:color w:val="auto"/>
                      <w:szCs w:val="21"/>
                      <w:highlight w:val="none"/>
                    </w:rPr>
                    <w:t>工业硫酸</w:t>
                  </w:r>
                </w:p>
              </w:tc>
              <w:tc>
                <w:tcPr>
                  <w:tcW w:w="705" w:type="dxa"/>
                  <w:tcBorders>
                    <w:top w:val="single" w:color="auto" w:sz="4" w:space="0"/>
                    <w:left w:val="single" w:color="auto" w:sz="4" w:space="0"/>
                    <w:bottom w:val="single" w:color="auto" w:sz="4" w:space="0"/>
                    <w:right w:val="single" w:color="auto" w:sz="4" w:space="0"/>
                  </w:tcBorders>
                  <w:vAlign w:val="center"/>
                </w:tcPr>
                <w:p w14:paraId="3514B733">
                  <w:pPr>
                    <w:widowControl w:val="0"/>
                    <w:tabs>
                      <w:tab w:val="left" w:pos="2068"/>
                    </w:tabs>
                    <w:adjustRightInd w:val="0"/>
                    <w:snapToGrid w:val="0"/>
                    <w:jc w:val="center"/>
                    <w:rPr>
                      <w:color w:val="auto"/>
                      <w:szCs w:val="21"/>
                      <w:highlight w:val="none"/>
                    </w:rPr>
                  </w:pPr>
                  <w:r>
                    <w:rPr>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vAlign w:val="center"/>
                </w:tcPr>
                <w:p w14:paraId="76C4E608">
                  <w:pPr>
                    <w:jc w:val="center"/>
                    <w:rPr>
                      <w:color w:val="auto"/>
                      <w:szCs w:val="21"/>
                      <w:highlight w:val="none"/>
                    </w:rPr>
                  </w:pPr>
                  <w:r>
                    <w:rPr>
                      <w:rFonts w:hint="eastAsia"/>
                      <w:color w:val="auto"/>
                      <w:szCs w:val="21"/>
                      <w:highlight w:val="none"/>
                    </w:rPr>
                    <w:t>15kg/桶</w:t>
                  </w:r>
                </w:p>
              </w:tc>
              <w:tc>
                <w:tcPr>
                  <w:tcW w:w="765" w:type="dxa"/>
                  <w:tcBorders>
                    <w:top w:val="single" w:color="auto" w:sz="4" w:space="0"/>
                    <w:left w:val="single" w:color="auto" w:sz="4" w:space="0"/>
                    <w:bottom w:val="single" w:color="auto" w:sz="4" w:space="0"/>
                    <w:right w:val="single" w:color="auto" w:sz="4" w:space="0"/>
                  </w:tcBorders>
                  <w:vAlign w:val="center"/>
                </w:tcPr>
                <w:p w14:paraId="7AB9BE2F">
                  <w:pPr>
                    <w:jc w:val="center"/>
                    <w:rPr>
                      <w:color w:val="auto"/>
                      <w:szCs w:val="21"/>
                      <w:highlight w:val="none"/>
                    </w:rPr>
                  </w:pPr>
                  <w:r>
                    <w:rPr>
                      <w:rFonts w:hint="eastAsia"/>
                      <w:color w:val="auto"/>
                      <w:szCs w:val="21"/>
                      <w:highlight w:val="none"/>
                    </w:rPr>
                    <w:t>12</w:t>
                  </w:r>
                </w:p>
              </w:tc>
              <w:tc>
                <w:tcPr>
                  <w:tcW w:w="810" w:type="dxa"/>
                  <w:tcBorders>
                    <w:top w:val="single" w:color="auto" w:sz="4" w:space="0"/>
                    <w:left w:val="single" w:color="auto" w:sz="4" w:space="0"/>
                    <w:bottom w:val="single" w:color="auto" w:sz="4" w:space="0"/>
                    <w:right w:val="single" w:color="auto" w:sz="4" w:space="0"/>
                  </w:tcBorders>
                  <w:vAlign w:val="center"/>
                </w:tcPr>
                <w:p w14:paraId="42C205E3">
                  <w:pPr>
                    <w:widowControl w:val="0"/>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vAlign w:val="center"/>
                </w:tcPr>
                <w:p w14:paraId="2868B633">
                  <w:pPr>
                    <w:jc w:val="center"/>
                    <w:rPr>
                      <w:color w:val="auto"/>
                      <w:szCs w:val="21"/>
                      <w:highlight w:val="none"/>
                    </w:rPr>
                  </w:pPr>
                  <w:r>
                    <w:rPr>
                      <w:rFonts w:hint="eastAsia"/>
                      <w:color w:val="auto"/>
                      <w:szCs w:val="21"/>
                      <w:highlight w:val="none"/>
                    </w:rPr>
                    <w:t>12</w:t>
                  </w:r>
                </w:p>
              </w:tc>
              <w:tc>
                <w:tcPr>
                  <w:tcW w:w="765" w:type="dxa"/>
                  <w:tcBorders>
                    <w:top w:val="single" w:color="auto" w:sz="4" w:space="0"/>
                    <w:left w:val="single" w:color="auto" w:sz="4" w:space="0"/>
                    <w:bottom w:val="single" w:color="auto" w:sz="4" w:space="0"/>
                    <w:right w:val="single" w:color="auto" w:sz="4" w:space="0"/>
                  </w:tcBorders>
                  <w:vAlign w:val="center"/>
                </w:tcPr>
                <w:p w14:paraId="5422891C">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vAlign w:val="center"/>
                </w:tcPr>
                <w:p w14:paraId="4BF2D50E">
                  <w:pPr>
                    <w:jc w:val="center"/>
                    <w:rPr>
                      <w:color w:val="auto"/>
                      <w:szCs w:val="21"/>
                      <w:highlight w:val="none"/>
                    </w:rPr>
                  </w:pPr>
                  <w:r>
                    <w:rPr>
                      <w:rFonts w:hint="eastAsia"/>
                      <w:color w:val="auto"/>
                      <w:szCs w:val="21"/>
                      <w:highlight w:val="none"/>
                    </w:rPr>
                    <w:t>0.4</w:t>
                  </w:r>
                </w:p>
              </w:tc>
              <w:tc>
                <w:tcPr>
                  <w:tcW w:w="1065" w:type="dxa"/>
                  <w:tcBorders>
                    <w:left w:val="single" w:color="auto" w:sz="4" w:space="0"/>
                    <w:right w:val="single" w:color="auto" w:sz="4" w:space="0"/>
                  </w:tcBorders>
                  <w:vAlign w:val="center"/>
                </w:tcPr>
                <w:p w14:paraId="3DE46AC7">
                  <w:pPr>
                    <w:widowControl w:val="0"/>
                    <w:tabs>
                      <w:tab w:val="left" w:pos="2068"/>
                    </w:tabs>
                    <w:adjustRightInd w:val="0"/>
                    <w:snapToGrid w:val="0"/>
                    <w:jc w:val="center"/>
                    <w:rPr>
                      <w:color w:val="auto"/>
                      <w:szCs w:val="21"/>
                      <w:highlight w:val="none"/>
                    </w:rPr>
                  </w:pPr>
                  <w:r>
                    <w:rPr>
                      <w:rFonts w:hint="eastAsia"/>
                      <w:color w:val="auto"/>
                      <w:szCs w:val="21"/>
                      <w:highlight w:val="none"/>
                    </w:rPr>
                    <w:t>化学抛光、氧化</w:t>
                  </w:r>
                </w:p>
              </w:tc>
              <w:tc>
                <w:tcPr>
                  <w:tcW w:w="1473" w:type="dxa"/>
                  <w:tcBorders>
                    <w:left w:val="single" w:color="auto" w:sz="4" w:space="0"/>
                    <w:right w:val="single" w:color="auto" w:sz="4" w:space="0"/>
                  </w:tcBorders>
                  <w:vAlign w:val="center"/>
                </w:tcPr>
                <w:p w14:paraId="7EE13552">
                  <w:pPr>
                    <w:widowControl w:val="0"/>
                    <w:adjustRightInd w:val="0"/>
                    <w:snapToGrid w:val="0"/>
                    <w:jc w:val="center"/>
                    <w:rPr>
                      <w:color w:val="auto"/>
                      <w:szCs w:val="21"/>
                      <w:highlight w:val="none"/>
                    </w:rPr>
                  </w:pPr>
                  <w:r>
                    <w:rPr>
                      <w:rFonts w:hint="eastAsia"/>
                      <w:color w:val="auto"/>
                      <w:szCs w:val="21"/>
                      <w:highlight w:val="none"/>
                    </w:rPr>
                    <w:t>综合楼</w:t>
                  </w:r>
                  <w:r>
                    <w:rPr>
                      <w:rFonts w:hint="eastAsia"/>
                      <w:color w:val="auto"/>
                      <w:szCs w:val="21"/>
                      <w:highlight w:val="none"/>
                      <w:lang w:val="en-US" w:eastAsia="zh-CN"/>
                    </w:rPr>
                    <w:t>1</w:t>
                  </w:r>
                  <w:r>
                    <w:rPr>
                      <w:rFonts w:hint="eastAsia"/>
                      <w:color w:val="auto"/>
                      <w:szCs w:val="21"/>
                      <w:highlight w:val="none"/>
                    </w:rPr>
                    <w:t>首层</w:t>
                  </w:r>
                </w:p>
              </w:tc>
            </w:tr>
            <w:tr w14:paraId="0E96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2376953A">
                  <w:pPr>
                    <w:widowControl w:val="0"/>
                    <w:tabs>
                      <w:tab w:val="left" w:pos="2068"/>
                    </w:tabs>
                    <w:adjustRightInd w:val="0"/>
                    <w:snapToGrid w:val="0"/>
                    <w:jc w:val="center"/>
                    <w:rPr>
                      <w:color w:val="auto"/>
                      <w:szCs w:val="21"/>
                      <w:highlight w:val="none"/>
                    </w:rPr>
                  </w:pPr>
                  <w:r>
                    <w:rPr>
                      <w:rFonts w:hint="eastAsia"/>
                      <w:color w:val="auto"/>
                      <w:szCs w:val="21"/>
                      <w:highlight w:val="none"/>
                    </w:rPr>
                    <w:t>11</w:t>
                  </w:r>
                </w:p>
              </w:tc>
              <w:tc>
                <w:tcPr>
                  <w:tcW w:w="1157" w:type="dxa"/>
                  <w:tcBorders>
                    <w:top w:val="single" w:color="auto" w:sz="4" w:space="0"/>
                    <w:left w:val="single" w:color="auto" w:sz="4" w:space="0"/>
                    <w:bottom w:val="single" w:color="auto" w:sz="4" w:space="0"/>
                    <w:right w:val="single" w:color="auto" w:sz="4" w:space="0"/>
                  </w:tcBorders>
                  <w:vAlign w:val="center"/>
                </w:tcPr>
                <w:p w14:paraId="17478579">
                  <w:pPr>
                    <w:jc w:val="center"/>
                    <w:rPr>
                      <w:color w:val="auto"/>
                      <w:szCs w:val="21"/>
                      <w:highlight w:val="none"/>
                    </w:rPr>
                  </w:pPr>
                  <w:r>
                    <w:rPr>
                      <w:rFonts w:hint="eastAsia"/>
                      <w:color w:val="auto"/>
                      <w:szCs w:val="21"/>
                      <w:highlight w:val="none"/>
                    </w:rPr>
                    <w:t>工业硝酸98%</w:t>
                  </w:r>
                </w:p>
              </w:tc>
              <w:tc>
                <w:tcPr>
                  <w:tcW w:w="705" w:type="dxa"/>
                  <w:tcBorders>
                    <w:top w:val="single" w:color="auto" w:sz="4" w:space="0"/>
                    <w:left w:val="single" w:color="auto" w:sz="4" w:space="0"/>
                    <w:bottom w:val="single" w:color="auto" w:sz="4" w:space="0"/>
                    <w:right w:val="single" w:color="auto" w:sz="4" w:space="0"/>
                  </w:tcBorders>
                  <w:vAlign w:val="center"/>
                </w:tcPr>
                <w:p w14:paraId="2DD83DA9">
                  <w:pPr>
                    <w:widowControl w:val="0"/>
                    <w:tabs>
                      <w:tab w:val="left" w:pos="2068"/>
                    </w:tabs>
                    <w:adjustRightInd w:val="0"/>
                    <w:snapToGrid w:val="0"/>
                    <w:jc w:val="center"/>
                    <w:rPr>
                      <w:color w:val="auto"/>
                      <w:szCs w:val="21"/>
                      <w:highlight w:val="none"/>
                    </w:rPr>
                  </w:pPr>
                  <w:r>
                    <w:rPr>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vAlign w:val="center"/>
                </w:tcPr>
                <w:p w14:paraId="5BC259E7">
                  <w:pPr>
                    <w:jc w:val="center"/>
                    <w:rPr>
                      <w:color w:val="auto"/>
                      <w:szCs w:val="21"/>
                      <w:highlight w:val="none"/>
                    </w:rPr>
                  </w:pPr>
                  <w:r>
                    <w:rPr>
                      <w:rFonts w:hint="eastAsia"/>
                      <w:color w:val="auto"/>
                      <w:szCs w:val="21"/>
                      <w:highlight w:val="none"/>
                    </w:rPr>
                    <w:t>15kg/桶</w:t>
                  </w:r>
                </w:p>
              </w:tc>
              <w:tc>
                <w:tcPr>
                  <w:tcW w:w="765" w:type="dxa"/>
                  <w:tcBorders>
                    <w:top w:val="single" w:color="auto" w:sz="4" w:space="0"/>
                    <w:left w:val="single" w:color="auto" w:sz="4" w:space="0"/>
                    <w:bottom w:val="single" w:color="auto" w:sz="4" w:space="0"/>
                    <w:right w:val="single" w:color="auto" w:sz="4" w:space="0"/>
                  </w:tcBorders>
                  <w:vAlign w:val="center"/>
                </w:tcPr>
                <w:p w14:paraId="49FFE722">
                  <w:pPr>
                    <w:jc w:val="center"/>
                    <w:rPr>
                      <w:color w:val="auto"/>
                      <w:szCs w:val="21"/>
                      <w:highlight w:val="none"/>
                    </w:rPr>
                  </w:pPr>
                  <w:r>
                    <w:rPr>
                      <w:rFonts w:hint="eastAsia"/>
                      <w:color w:val="auto"/>
                      <w:szCs w:val="21"/>
                      <w:highlight w:val="none"/>
                    </w:rPr>
                    <w:t>4.8</w:t>
                  </w:r>
                </w:p>
              </w:tc>
              <w:tc>
                <w:tcPr>
                  <w:tcW w:w="810" w:type="dxa"/>
                  <w:tcBorders>
                    <w:top w:val="single" w:color="auto" w:sz="4" w:space="0"/>
                    <w:left w:val="single" w:color="auto" w:sz="4" w:space="0"/>
                    <w:bottom w:val="single" w:color="auto" w:sz="4" w:space="0"/>
                    <w:right w:val="single" w:color="auto" w:sz="4" w:space="0"/>
                  </w:tcBorders>
                  <w:vAlign w:val="center"/>
                </w:tcPr>
                <w:p w14:paraId="7952D29F">
                  <w:pPr>
                    <w:widowControl w:val="0"/>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vAlign w:val="center"/>
                </w:tcPr>
                <w:p w14:paraId="796724B4">
                  <w:pPr>
                    <w:jc w:val="center"/>
                    <w:rPr>
                      <w:color w:val="auto"/>
                      <w:szCs w:val="21"/>
                      <w:highlight w:val="none"/>
                    </w:rPr>
                  </w:pPr>
                  <w:r>
                    <w:rPr>
                      <w:rFonts w:hint="eastAsia"/>
                      <w:color w:val="auto"/>
                      <w:szCs w:val="21"/>
                      <w:highlight w:val="none"/>
                    </w:rPr>
                    <w:t>4.8</w:t>
                  </w:r>
                </w:p>
              </w:tc>
              <w:tc>
                <w:tcPr>
                  <w:tcW w:w="765" w:type="dxa"/>
                  <w:tcBorders>
                    <w:top w:val="single" w:color="auto" w:sz="4" w:space="0"/>
                    <w:left w:val="single" w:color="auto" w:sz="4" w:space="0"/>
                    <w:bottom w:val="single" w:color="auto" w:sz="4" w:space="0"/>
                    <w:right w:val="single" w:color="auto" w:sz="4" w:space="0"/>
                  </w:tcBorders>
                  <w:vAlign w:val="center"/>
                </w:tcPr>
                <w:p w14:paraId="04F812D8">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vAlign w:val="center"/>
                </w:tcPr>
                <w:p w14:paraId="3BF788EA">
                  <w:pPr>
                    <w:jc w:val="center"/>
                    <w:rPr>
                      <w:color w:val="auto"/>
                      <w:szCs w:val="21"/>
                      <w:highlight w:val="none"/>
                    </w:rPr>
                  </w:pPr>
                  <w:r>
                    <w:rPr>
                      <w:rFonts w:hint="eastAsia"/>
                      <w:color w:val="auto"/>
                      <w:szCs w:val="21"/>
                      <w:highlight w:val="none"/>
                    </w:rPr>
                    <w:t>0.16</w:t>
                  </w:r>
                </w:p>
              </w:tc>
              <w:tc>
                <w:tcPr>
                  <w:tcW w:w="1065" w:type="dxa"/>
                  <w:tcBorders>
                    <w:left w:val="single" w:color="auto" w:sz="4" w:space="0"/>
                    <w:bottom w:val="single" w:color="auto" w:sz="4" w:space="0"/>
                    <w:right w:val="single" w:color="auto" w:sz="4" w:space="0"/>
                  </w:tcBorders>
                  <w:vAlign w:val="center"/>
                </w:tcPr>
                <w:p w14:paraId="224C4570">
                  <w:pPr>
                    <w:widowControl w:val="0"/>
                    <w:tabs>
                      <w:tab w:val="left" w:pos="2068"/>
                    </w:tabs>
                    <w:adjustRightInd w:val="0"/>
                    <w:snapToGrid w:val="0"/>
                    <w:jc w:val="center"/>
                    <w:rPr>
                      <w:color w:val="auto"/>
                      <w:szCs w:val="21"/>
                      <w:highlight w:val="none"/>
                    </w:rPr>
                  </w:pPr>
                  <w:r>
                    <w:rPr>
                      <w:rFonts w:hint="eastAsia"/>
                      <w:color w:val="auto"/>
                      <w:szCs w:val="21"/>
                      <w:highlight w:val="none"/>
                    </w:rPr>
                    <w:t>酸蚀</w:t>
                  </w:r>
                </w:p>
              </w:tc>
              <w:tc>
                <w:tcPr>
                  <w:tcW w:w="1473" w:type="dxa"/>
                  <w:tcBorders>
                    <w:left w:val="single" w:color="auto" w:sz="4" w:space="0"/>
                    <w:right w:val="single" w:color="auto" w:sz="4" w:space="0"/>
                  </w:tcBorders>
                  <w:vAlign w:val="center"/>
                </w:tcPr>
                <w:p w14:paraId="631097A7">
                  <w:pPr>
                    <w:widowControl w:val="0"/>
                    <w:adjustRightInd w:val="0"/>
                    <w:snapToGrid w:val="0"/>
                    <w:jc w:val="center"/>
                    <w:rPr>
                      <w:color w:val="auto"/>
                      <w:szCs w:val="21"/>
                      <w:highlight w:val="none"/>
                    </w:rPr>
                  </w:pPr>
                  <w:r>
                    <w:rPr>
                      <w:rFonts w:hint="eastAsia"/>
                      <w:color w:val="auto"/>
                      <w:szCs w:val="21"/>
                      <w:highlight w:val="none"/>
                    </w:rPr>
                    <w:t>综合楼</w:t>
                  </w:r>
                  <w:r>
                    <w:rPr>
                      <w:rFonts w:hint="eastAsia"/>
                      <w:color w:val="auto"/>
                      <w:szCs w:val="21"/>
                      <w:highlight w:val="none"/>
                      <w:lang w:val="en-US" w:eastAsia="zh-CN"/>
                    </w:rPr>
                    <w:t>1</w:t>
                  </w:r>
                  <w:r>
                    <w:rPr>
                      <w:rFonts w:hint="eastAsia"/>
                      <w:color w:val="auto"/>
                      <w:szCs w:val="21"/>
                      <w:highlight w:val="none"/>
                    </w:rPr>
                    <w:t>首层</w:t>
                  </w:r>
                </w:p>
              </w:tc>
            </w:tr>
            <w:tr w14:paraId="5BD4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48E34D8B">
                  <w:pPr>
                    <w:widowControl w:val="0"/>
                    <w:tabs>
                      <w:tab w:val="left" w:pos="2068"/>
                    </w:tabs>
                    <w:adjustRightInd w:val="0"/>
                    <w:snapToGrid w:val="0"/>
                    <w:jc w:val="center"/>
                    <w:rPr>
                      <w:rFonts w:hint="eastAsia"/>
                      <w:color w:val="auto"/>
                      <w:szCs w:val="21"/>
                      <w:highlight w:val="none"/>
                    </w:rPr>
                  </w:pPr>
                  <w:r>
                    <w:rPr>
                      <w:color w:val="auto"/>
                      <w:szCs w:val="21"/>
                      <w:highlight w:val="none"/>
                    </w:rPr>
                    <w:t>1</w:t>
                  </w:r>
                  <w:r>
                    <w:rPr>
                      <w:rFonts w:hint="eastAsia"/>
                      <w:color w:val="auto"/>
                      <w:szCs w:val="21"/>
                      <w:highlight w:val="none"/>
                    </w:rPr>
                    <w:t>2</w:t>
                  </w:r>
                </w:p>
              </w:tc>
              <w:tc>
                <w:tcPr>
                  <w:tcW w:w="1157" w:type="dxa"/>
                  <w:tcBorders>
                    <w:top w:val="single" w:color="auto" w:sz="4" w:space="0"/>
                    <w:left w:val="single" w:color="auto" w:sz="4" w:space="0"/>
                    <w:bottom w:val="single" w:color="auto" w:sz="4" w:space="0"/>
                    <w:right w:val="single" w:color="auto" w:sz="4" w:space="0"/>
                  </w:tcBorders>
                  <w:vAlign w:val="center"/>
                </w:tcPr>
                <w:p w14:paraId="5322A9CF">
                  <w:pPr>
                    <w:jc w:val="center"/>
                    <w:rPr>
                      <w:rFonts w:hint="eastAsia"/>
                      <w:color w:val="auto"/>
                      <w:szCs w:val="21"/>
                      <w:highlight w:val="none"/>
                    </w:rPr>
                  </w:pPr>
                  <w:r>
                    <w:rPr>
                      <w:rFonts w:hint="eastAsia"/>
                      <w:color w:val="auto"/>
                      <w:szCs w:val="21"/>
                      <w:highlight w:val="none"/>
                    </w:rPr>
                    <w:t>片碱99%</w:t>
                  </w:r>
                </w:p>
              </w:tc>
              <w:tc>
                <w:tcPr>
                  <w:tcW w:w="705" w:type="dxa"/>
                  <w:tcBorders>
                    <w:top w:val="single" w:color="auto" w:sz="4" w:space="0"/>
                    <w:left w:val="single" w:color="auto" w:sz="4" w:space="0"/>
                    <w:bottom w:val="single" w:color="auto" w:sz="4" w:space="0"/>
                    <w:right w:val="single" w:color="auto" w:sz="4" w:space="0"/>
                  </w:tcBorders>
                  <w:vAlign w:val="center"/>
                </w:tcPr>
                <w:p w14:paraId="73D93BA5">
                  <w:pPr>
                    <w:widowControl w:val="0"/>
                    <w:tabs>
                      <w:tab w:val="left" w:pos="2068"/>
                    </w:tabs>
                    <w:adjustRightInd w:val="0"/>
                    <w:snapToGrid w:val="0"/>
                    <w:jc w:val="center"/>
                    <w:rPr>
                      <w:color w:val="auto"/>
                      <w:szCs w:val="21"/>
                      <w:highlight w:val="none"/>
                    </w:rPr>
                  </w:pPr>
                  <w:r>
                    <w:rPr>
                      <w:rFonts w:hint="eastAsia"/>
                      <w:color w:val="auto"/>
                      <w:szCs w:val="21"/>
                      <w:highlight w:val="none"/>
                    </w:rPr>
                    <w:t>固体</w:t>
                  </w:r>
                </w:p>
              </w:tc>
              <w:tc>
                <w:tcPr>
                  <w:tcW w:w="930" w:type="dxa"/>
                  <w:tcBorders>
                    <w:top w:val="single" w:color="auto" w:sz="4" w:space="0"/>
                    <w:left w:val="single" w:color="auto" w:sz="4" w:space="0"/>
                    <w:bottom w:val="single" w:color="auto" w:sz="4" w:space="0"/>
                    <w:right w:val="single" w:color="auto" w:sz="4" w:space="0"/>
                  </w:tcBorders>
                  <w:vAlign w:val="center"/>
                </w:tcPr>
                <w:p w14:paraId="6FD213C9">
                  <w:pPr>
                    <w:jc w:val="center"/>
                    <w:rPr>
                      <w:rFonts w:hint="eastAsia"/>
                      <w:color w:val="auto"/>
                      <w:szCs w:val="21"/>
                      <w:highlight w:val="none"/>
                    </w:rPr>
                  </w:pPr>
                  <w:r>
                    <w:rPr>
                      <w:rFonts w:hint="eastAsia"/>
                      <w:color w:val="auto"/>
                      <w:szCs w:val="21"/>
                      <w:highlight w:val="none"/>
                    </w:rPr>
                    <w:t>25kg/桶</w:t>
                  </w:r>
                </w:p>
              </w:tc>
              <w:tc>
                <w:tcPr>
                  <w:tcW w:w="765" w:type="dxa"/>
                  <w:tcBorders>
                    <w:top w:val="single" w:color="auto" w:sz="4" w:space="0"/>
                    <w:left w:val="single" w:color="auto" w:sz="4" w:space="0"/>
                    <w:bottom w:val="single" w:color="auto" w:sz="4" w:space="0"/>
                    <w:right w:val="single" w:color="auto" w:sz="4" w:space="0"/>
                  </w:tcBorders>
                  <w:vAlign w:val="center"/>
                </w:tcPr>
                <w:p w14:paraId="694E071E">
                  <w:pPr>
                    <w:jc w:val="center"/>
                    <w:rPr>
                      <w:color w:val="auto"/>
                      <w:szCs w:val="21"/>
                      <w:highlight w:val="none"/>
                    </w:rPr>
                  </w:pPr>
                  <w:r>
                    <w:rPr>
                      <w:rFonts w:hint="eastAsia"/>
                      <w:color w:val="auto"/>
                      <w:szCs w:val="21"/>
                      <w:highlight w:val="none"/>
                    </w:rPr>
                    <w:t>3.6</w:t>
                  </w:r>
                </w:p>
              </w:tc>
              <w:tc>
                <w:tcPr>
                  <w:tcW w:w="810" w:type="dxa"/>
                  <w:tcBorders>
                    <w:top w:val="single" w:color="auto" w:sz="4" w:space="0"/>
                    <w:left w:val="single" w:color="auto" w:sz="4" w:space="0"/>
                    <w:bottom w:val="single" w:color="auto" w:sz="4" w:space="0"/>
                    <w:right w:val="single" w:color="auto" w:sz="4" w:space="0"/>
                  </w:tcBorders>
                  <w:vAlign w:val="center"/>
                </w:tcPr>
                <w:p w14:paraId="717408E6">
                  <w:pPr>
                    <w:widowControl w:val="0"/>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vAlign w:val="center"/>
                </w:tcPr>
                <w:p w14:paraId="0B865B31">
                  <w:pPr>
                    <w:jc w:val="center"/>
                    <w:rPr>
                      <w:color w:val="auto"/>
                      <w:szCs w:val="21"/>
                      <w:highlight w:val="none"/>
                    </w:rPr>
                  </w:pPr>
                  <w:r>
                    <w:rPr>
                      <w:rFonts w:hint="eastAsia"/>
                      <w:color w:val="auto"/>
                      <w:szCs w:val="21"/>
                      <w:highlight w:val="none"/>
                    </w:rPr>
                    <w:t>3.6</w:t>
                  </w:r>
                </w:p>
              </w:tc>
              <w:tc>
                <w:tcPr>
                  <w:tcW w:w="765" w:type="dxa"/>
                  <w:tcBorders>
                    <w:top w:val="single" w:color="auto" w:sz="4" w:space="0"/>
                    <w:left w:val="single" w:color="auto" w:sz="4" w:space="0"/>
                    <w:bottom w:val="single" w:color="auto" w:sz="4" w:space="0"/>
                    <w:right w:val="single" w:color="auto" w:sz="4" w:space="0"/>
                  </w:tcBorders>
                  <w:vAlign w:val="center"/>
                </w:tcPr>
                <w:p w14:paraId="3C650F30">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vAlign w:val="center"/>
                </w:tcPr>
                <w:p w14:paraId="0C047A9C">
                  <w:pPr>
                    <w:jc w:val="center"/>
                    <w:rPr>
                      <w:rFonts w:hint="eastAsia" w:eastAsia="宋体"/>
                      <w:color w:val="auto"/>
                      <w:szCs w:val="21"/>
                      <w:highlight w:val="none"/>
                      <w:lang w:eastAsia="zh-CN"/>
                    </w:rPr>
                  </w:pPr>
                  <w:r>
                    <w:rPr>
                      <w:rFonts w:hint="eastAsia"/>
                      <w:color w:val="auto"/>
                      <w:szCs w:val="21"/>
                      <w:highlight w:val="none"/>
                      <w:lang w:val="en-US" w:eastAsia="zh-CN"/>
                    </w:rPr>
                    <w:t>/</w:t>
                  </w:r>
                </w:p>
              </w:tc>
              <w:tc>
                <w:tcPr>
                  <w:tcW w:w="1065" w:type="dxa"/>
                  <w:tcBorders>
                    <w:left w:val="single" w:color="auto" w:sz="4" w:space="0"/>
                    <w:bottom w:val="single" w:color="auto" w:sz="4" w:space="0"/>
                    <w:right w:val="single" w:color="auto" w:sz="4" w:space="0"/>
                  </w:tcBorders>
                  <w:vAlign w:val="center"/>
                </w:tcPr>
                <w:p w14:paraId="22E061CE">
                  <w:pPr>
                    <w:widowControl w:val="0"/>
                    <w:tabs>
                      <w:tab w:val="left" w:pos="2068"/>
                    </w:tabs>
                    <w:adjustRightInd w:val="0"/>
                    <w:snapToGrid w:val="0"/>
                    <w:jc w:val="center"/>
                    <w:rPr>
                      <w:color w:val="auto"/>
                      <w:szCs w:val="21"/>
                      <w:highlight w:val="none"/>
                    </w:rPr>
                  </w:pPr>
                  <w:r>
                    <w:rPr>
                      <w:rFonts w:hint="eastAsia"/>
                      <w:color w:val="auto"/>
                      <w:szCs w:val="21"/>
                      <w:highlight w:val="none"/>
                    </w:rPr>
                    <w:t>碱蚀</w:t>
                  </w:r>
                </w:p>
              </w:tc>
              <w:tc>
                <w:tcPr>
                  <w:tcW w:w="1473" w:type="dxa"/>
                  <w:tcBorders>
                    <w:left w:val="single" w:color="auto" w:sz="4" w:space="0"/>
                    <w:right w:val="single" w:color="auto" w:sz="4" w:space="0"/>
                  </w:tcBorders>
                  <w:vAlign w:val="center"/>
                </w:tcPr>
                <w:p w14:paraId="1514D8FB">
                  <w:pPr>
                    <w:widowControl w:val="0"/>
                    <w:adjustRightInd w:val="0"/>
                    <w:snapToGrid w:val="0"/>
                    <w:jc w:val="center"/>
                    <w:rPr>
                      <w:rFonts w:hint="eastAsia" w:eastAsia="宋体"/>
                      <w:color w:val="auto"/>
                      <w:szCs w:val="21"/>
                      <w:highlight w:val="none"/>
                      <w:lang w:eastAsia="zh-CN"/>
                    </w:rPr>
                  </w:pPr>
                  <w:r>
                    <w:rPr>
                      <w:rFonts w:hint="eastAsia"/>
                      <w:color w:val="auto"/>
                      <w:szCs w:val="21"/>
                      <w:highlight w:val="none"/>
                      <w:lang w:val="en-US" w:eastAsia="zh-CN"/>
                    </w:rPr>
                    <w:t>/</w:t>
                  </w:r>
                </w:p>
              </w:tc>
            </w:tr>
            <w:tr w14:paraId="7653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0E64BE96">
                  <w:pPr>
                    <w:widowControl w:val="0"/>
                    <w:tabs>
                      <w:tab w:val="left" w:pos="2068"/>
                    </w:tabs>
                    <w:adjustRightInd w:val="0"/>
                    <w:snapToGrid w:val="0"/>
                    <w:jc w:val="center"/>
                    <w:rPr>
                      <w:color w:val="auto"/>
                      <w:szCs w:val="21"/>
                      <w:highlight w:val="none"/>
                    </w:rPr>
                  </w:pPr>
                  <w:r>
                    <w:rPr>
                      <w:rFonts w:hint="eastAsia"/>
                      <w:color w:val="auto"/>
                      <w:szCs w:val="21"/>
                      <w:highlight w:val="none"/>
                    </w:rPr>
                    <w:t>13</w:t>
                  </w:r>
                </w:p>
              </w:tc>
              <w:tc>
                <w:tcPr>
                  <w:tcW w:w="1157" w:type="dxa"/>
                  <w:tcBorders>
                    <w:top w:val="single" w:color="auto" w:sz="4" w:space="0"/>
                    <w:left w:val="single" w:color="auto" w:sz="4" w:space="0"/>
                    <w:bottom w:val="single" w:color="auto" w:sz="4" w:space="0"/>
                    <w:right w:val="single" w:color="auto" w:sz="4" w:space="0"/>
                  </w:tcBorders>
                  <w:vAlign w:val="center"/>
                </w:tcPr>
                <w:p w14:paraId="49F03252">
                  <w:pPr>
                    <w:jc w:val="center"/>
                    <w:rPr>
                      <w:color w:val="auto"/>
                      <w:szCs w:val="21"/>
                      <w:highlight w:val="none"/>
                    </w:rPr>
                  </w:pPr>
                  <w:r>
                    <w:rPr>
                      <w:rFonts w:hint="eastAsia"/>
                      <w:color w:val="auto"/>
                      <w:szCs w:val="21"/>
                      <w:highlight w:val="none"/>
                    </w:rPr>
                    <w:t>化学纯硫酸</w:t>
                  </w:r>
                </w:p>
              </w:tc>
              <w:tc>
                <w:tcPr>
                  <w:tcW w:w="705" w:type="dxa"/>
                  <w:tcBorders>
                    <w:top w:val="single" w:color="auto" w:sz="4" w:space="0"/>
                    <w:left w:val="single" w:color="auto" w:sz="4" w:space="0"/>
                    <w:bottom w:val="single" w:color="auto" w:sz="4" w:space="0"/>
                    <w:right w:val="single" w:color="auto" w:sz="4" w:space="0"/>
                  </w:tcBorders>
                  <w:vAlign w:val="center"/>
                </w:tcPr>
                <w:p w14:paraId="1EC7459D">
                  <w:pPr>
                    <w:widowControl w:val="0"/>
                    <w:tabs>
                      <w:tab w:val="left" w:pos="2068"/>
                    </w:tabs>
                    <w:adjustRightInd w:val="0"/>
                    <w:snapToGrid w:val="0"/>
                    <w:jc w:val="center"/>
                    <w:rPr>
                      <w:color w:val="auto"/>
                      <w:szCs w:val="21"/>
                      <w:highlight w:val="none"/>
                    </w:rPr>
                  </w:pPr>
                  <w:r>
                    <w:rPr>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vAlign w:val="center"/>
                </w:tcPr>
                <w:p w14:paraId="5DC658FF">
                  <w:pPr>
                    <w:jc w:val="center"/>
                    <w:rPr>
                      <w:color w:val="auto"/>
                      <w:szCs w:val="21"/>
                      <w:highlight w:val="none"/>
                    </w:rPr>
                  </w:pPr>
                  <w:r>
                    <w:rPr>
                      <w:rFonts w:hint="eastAsia"/>
                      <w:color w:val="auto"/>
                      <w:szCs w:val="21"/>
                      <w:highlight w:val="none"/>
                    </w:rPr>
                    <w:t>15kg/桶</w:t>
                  </w:r>
                </w:p>
              </w:tc>
              <w:tc>
                <w:tcPr>
                  <w:tcW w:w="765" w:type="dxa"/>
                  <w:tcBorders>
                    <w:top w:val="single" w:color="auto" w:sz="4" w:space="0"/>
                    <w:left w:val="single" w:color="auto" w:sz="4" w:space="0"/>
                    <w:bottom w:val="single" w:color="auto" w:sz="4" w:space="0"/>
                    <w:right w:val="single" w:color="auto" w:sz="4" w:space="0"/>
                  </w:tcBorders>
                  <w:vAlign w:val="center"/>
                </w:tcPr>
                <w:p w14:paraId="1D511AFC">
                  <w:pPr>
                    <w:jc w:val="center"/>
                    <w:rPr>
                      <w:color w:val="auto"/>
                      <w:szCs w:val="21"/>
                      <w:highlight w:val="none"/>
                    </w:rPr>
                  </w:pPr>
                  <w:r>
                    <w:rPr>
                      <w:rFonts w:hint="eastAsia"/>
                      <w:color w:val="auto"/>
                      <w:szCs w:val="21"/>
                      <w:highlight w:val="none"/>
                    </w:rPr>
                    <w:t>18</w:t>
                  </w:r>
                </w:p>
              </w:tc>
              <w:tc>
                <w:tcPr>
                  <w:tcW w:w="810" w:type="dxa"/>
                  <w:tcBorders>
                    <w:top w:val="single" w:color="auto" w:sz="4" w:space="0"/>
                    <w:left w:val="single" w:color="auto" w:sz="4" w:space="0"/>
                    <w:bottom w:val="single" w:color="auto" w:sz="4" w:space="0"/>
                    <w:right w:val="single" w:color="auto" w:sz="4" w:space="0"/>
                  </w:tcBorders>
                  <w:vAlign w:val="center"/>
                </w:tcPr>
                <w:p w14:paraId="4B85020C">
                  <w:pPr>
                    <w:widowControl w:val="0"/>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vAlign w:val="center"/>
                </w:tcPr>
                <w:p w14:paraId="48AC71A8">
                  <w:pPr>
                    <w:jc w:val="center"/>
                    <w:rPr>
                      <w:color w:val="auto"/>
                      <w:szCs w:val="21"/>
                      <w:highlight w:val="none"/>
                    </w:rPr>
                  </w:pPr>
                  <w:r>
                    <w:rPr>
                      <w:rFonts w:hint="eastAsia"/>
                      <w:color w:val="auto"/>
                      <w:szCs w:val="21"/>
                      <w:highlight w:val="none"/>
                    </w:rPr>
                    <w:t>18</w:t>
                  </w:r>
                </w:p>
              </w:tc>
              <w:tc>
                <w:tcPr>
                  <w:tcW w:w="765" w:type="dxa"/>
                  <w:tcBorders>
                    <w:top w:val="single" w:color="auto" w:sz="4" w:space="0"/>
                    <w:left w:val="single" w:color="auto" w:sz="4" w:space="0"/>
                    <w:bottom w:val="single" w:color="auto" w:sz="4" w:space="0"/>
                    <w:right w:val="single" w:color="auto" w:sz="4" w:space="0"/>
                  </w:tcBorders>
                  <w:vAlign w:val="center"/>
                </w:tcPr>
                <w:p w14:paraId="1A911812">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vAlign w:val="center"/>
                </w:tcPr>
                <w:p w14:paraId="4B551C71">
                  <w:pPr>
                    <w:jc w:val="center"/>
                    <w:rPr>
                      <w:color w:val="auto"/>
                      <w:szCs w:val="21"/>
                      <w:highlight w:val="none"/>
                    </w:rPr>
                  </w:pPr>
                  <w:r>
                    <w:rPr>
                      <w:rFonts w:hint="eastAsia"/>
                      <w:color w:val="auto"/>
                      <w:szCs w:val="21"/>
                      <w:highlight w:val="none"/>
                    </w:rPr>
                    <w:t>0.6</w:t>
                  </w:r>
                </w:p>
              </w:tc>
              <w:tc>
                <w:tcPr>
                  <w:tcW w:w="1065" w:type="dxa"/>
                  <w:tcBorders>
                    <w:top w:val="single" w:color="auto" w:sz="4" w:space="0"/>
                    <w:left w:val="single" w:color="auto" w:sz="4" w:space="0"/>
                    <w:bottom w:val="single" w:color="auto" w:sz="4" w:space="0"/>
                    <w:right w:val="single" w:color="auto" w:sz="4" w:space="0"/>
                  </w:tcBorders>
                  <w:vAlign w:val="center"/>
                </w:tcPr>
                <w:p w14:paraId="1B30F3D8">
                  <w:pPr>
                    <w:widowControl w:val="0"/>
                    <w:tabs>
                      <w:tab w:val="left" w:pos="2068"/>
                    </w:tabs>
                    <w:adjustRightInd w:val="0"/>
                    <w:snapToGrid w:val="0"/>
                    <w:jc w:val="center"/>
                    <w:rPr>
                      <w:color w:val="auto"/>
                      <w:szCs w:val="21"/>
                      <w:highlight w:val="none"/>
                    </w:rPr>
                  </w:pPr>
                  <w:r>
                    <w:rPr>
                      <w:rFonts w:hint="eastAsia"/>
                      <w:color w:val="auto"/>
                      <w:szCs w:val="21"/>
                      <w:highlight w:val="none"/>
                    </w:rPr>
                    <w:t>化学抛光</w:t>
                  </w:r>
                </w:p>
              </w:tc>
              <w:tc>
                <w:tcPr>
                  <w:tcW w:w="1473" w:type="dxa"/>
                  <w:tcBorders>
                    <w:left w:val="single" w:color="auto" w:sz="4" w:space="0"/>
                    <w:right w:val="single" w:color="auto" w:sz="4" w:space="0"/>
                  </w:tcBorders>
                  <w:vAlign w:val="center"/>
                </w:tcPr>
                <w:p w14:paraId="40076250">
                  <w:pPr>
                    <w:widowControl w:val="0"/>
                    <w:adjustRightInd w:val="0"/>
                    <w:snapToGrid w:val="0"/>
                    <w:jc w:val="center"/>
                    <w:rPr>
                      <w:color w:val="auto"/>
                      <w:szCs w:val="21"/>
                      <w:highlight w:val="none"/>
                    </w:rPr>
                  </w:pPr>
                  <w:r>
                    <w:rPr>
                      <w:rFonts w:hint="eastAsia"/>
                      <w:color w:val="auto"/>
                      <w:szCs w:val="21"/>
                      <w:highlight w:val="none"/>
                    </w:rPr>
                    <w:t>综合楼</w:t>
                  </w:r>
                  <w:r>
                    <w:rPr>
                      <w:rFonts w:hint="eastAsia"/>
                      <w:color w:val="auto"/>
                      <w:szCs w:val="21"/>
                      <w:highlight w:val="none"/>
                      <w:lang w:val="en-US" w:eastAsia="zh-CN"/>
                    </w:rPr>
                    <w:t>1</w:t>
                  </w:r>
                  <w:r>
                    <w:rPr>
                      <w:rFonts w:hint="eastAsia"/>
                      <w:color w:val="auto"/>
                      <w:szCs w:val="21"/>
                      <w:highlight w:val="none"/>
                    </w:rPr>
                    <w:t>首层</w:t>
                  </w:r>
                </w:p>
              </w:tc>
            </w:tr>
            <w:tr w14:paraId="1ED7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7733C136">
                  <w:pPr>
                    <w:widowControl w:val="0"/>
                    <w:tabs>
                      <w:tab w:val="left" w:pos="2068"/>
                    </w:tabs>
                    <w:adjustRightInd w:val="0"/>
                    <w:snapToGrid w:val="0"/>
                    <w:jc w:val="center"/>
                    <w:rPr>
                      <w:color w:val="auto"/>
                      <w:szCs w:val="21"/>
                      <w:highlight w:val="none"/>
                    </w:rPr>
                  </w:pPr>
                  <w:r>
                    <w:rPr>
                      <w:rFonts w:hint="eastAsia"/>
                      <w:color w:val="auto"/>
                      <w:szCs w:val="21"/>
                      <w:highlight w:val="none"/>
                    </w:rPr>
                    <w:t>14</w:t>
                  </w:r>
                </w:p>
              </w:tc>
              <w:tc>
                <w:tcPr>
                  <w:tcW w:w="1157" w:type="dxa"/>
                  <w:tcBorders>
                    <w:top w:val="single" w:color="auto" w:sz="4" w:space="0"/>
                    <w:left w:val="single" w:color="auto" w:sz="4" w:space="0"/>
                    <w:bottom w:val="single" w:color="auto" w:sz="4" w:space="0"/>
                    <w:right w:val="single" w:color="auto" w:sz="4" w:space="0"/>
                  </w:tcBorders>
                  <w:vAlign w:val="center"/>
                </w:tcPr>
                <w:p w14:paraId="178831D3">
                  <w:pPr>
                    <w:jc w:val="center"/>
                    <w:rPr>
                      <w:color w:val="auto"/>
                      <w:szCs w:val="21"/>
                      <w:highlight w:val="none"/>
                    </w:rPr>
                  </w:pPr>
                  <w:r>
                    <w:rPr>
                      <w:rFonts w:hint="eastAsia"/>
                      <w:color w:val="auto"/>
                      <w:szCs w:val="21"/>
                      <w:highlight w:val="none"/>
                    </w:rPr>
                    <w:t>化学纯醋酸</w:t>
                  </w:r>
                </w:p>
              </w:tc>
              <w:tc>
                <w:tcPr>
                  <w:tcW w:w="705" w:type="dxa"/>
                  <w:tcBorders>
                    <w:top w:val="single" w:color="auto" w:sz="4" w:space="0"/>
                    <w:left w:val="single" w:color="auto" w:sz="4" w:space="0"/>
                    <w:bottom w:val="single" w:color="auto" w:sz="4" w:space="0"/>
                    <w:right w:val="single" w:color="auto" w:sz="4" w:space="0"/>
                  </w:tcBorders>
                  <w:vAlign w:val="center"/>
                </w:tcPr>
                <w:p w14:paraId="5EEC3335">
                  <w:pPr>
                    <w:widowControl w:val="0"/>
                    <w:tabs>
                      <w:tab w:val="left" w:pos="2068"/>
                    </w:tabs>
                    <w:adjustRightInd w:val="0"/>
                    <w:snapToGrid w:val="0"/>
                    <w:jc w:val="center"/>
                    <w:rPr>
                      <w:color w:val="auto"/>
                      <w:szCs w:val="21"/>
                      <w:highlight w:val="none"/>
                    </w:rPr>
                  </w:pPr>
                  <w:r>
                    <w:rPr>
                      <w:rFonts w:hint="eastAsia"/>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vAlign w:val="center"/>
                </w:tcPr>
                <w:p w14:paraId="26756401">
                  <w:pPr>
                    <w:jc w:val="center"/>
                    <w:rPr>
                      <w:color w:val="auto"/>
                      <w:szCs w:val="21"/>
                      <w:highlight w:val="none"/>
                    </w:rPr>
                  </w:pPr>
                  <w:r>
                    <w:rPr>
                      <w:rFonts w:hint="eastAsia"/>
                      <w:color w:val="auto"/>
                      <w:szCs w:val="21"/>
                      <w:highlight w:val="none"/>
                    </w:rPr>
                    <w:t>15kg/桶</w:t>
                  </w:r>
                </w:p>
              </w:tc>
              <w:tc>
                <w:tcPr>
                  <w:tcW w:w="765" w:type="dxa"/>
                  <w:tcBorders>
                    <w:top w:val="single" w:color="auto" w:sz="4" w:space="0"/>
                    <w:left w:val="single" w:color="auto" w:sz="4" w:space="0"/>
                    <w:bottom w:val="single" w:color="auto" w:sz="4" w:space="0"/>
                    <w:right w:val="single" w:color="auto" w:sz="4" w:space="0"/>
                  </w:tcBorders>
                  <w:vAlign w:val="center"/>
                </w:tcPr>
                <w:p w14:paraId="008A357C">
                  <w:pPr>
                    <w:jc w:val="center"/>
                    <w:rPr>
                      <w:color w:val="auto"/>
                      <w:szCs w:val="21"/>
                      <w:highlight w:val="none"/>
                    </w:rPr>
                  </w:pPr>
                  <w:r>
                    <w:rPr>
                      <w:rFonts w:hint="eastAsia"/>
                      <w:color w:val="auto"/>
                      <w:szCs w:val="21"/>
                      <w:highlight w:val="none"/>
                    </w:rPr>
                    <w:t>0.42</w:t>
                  </w:r>
                </w:p>
              </w:tc>
              <w:tc>
                <w:tcPr>
                  <w:tcW w:w="810" w:type="dxa"/>
                  <w:tcBorders>
                    <w:top w:val="single" w:color="auto" w:sz="4" w:space="0"/>
                    <w:left w:val="single" w:color="auto" w:sz="4" w:space="0"/>
                    <w:bottom w:val="single" w:color="auto" w:sz="4" w:space="0"/>
                    <w:right w:val="single" w:color="auto" w:sz="4" w:space="0"/>
                  </w:tcBorders>
                  <w:vAlign w:val="center"/>
                </w:tcPr>
                <w:p w14:paraId="51329596">
                  <w:pPr>
                    <w:widowControl w:val="0"/>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vAlign w:val="center"/>
                </w:tcPr>
                <w:p w14:paraId="1CA17689">
                  <w:pPr>
                    <w:jc w:val="center"/>
                    <w:rPr>
                      <w:color w:val="auto"/>
                      <w:szCs w:val="21"/>
                      <w:highlight w:val="none"/>
                    </w:rPr>
                  </w:pPr>
                  <w:r>
                    <w:rPr>
                      <w:rFonts w:hint="eastAsia"/>
                      <w:color w:val="auto"/>
                      <w:szCs w:val="21"/>
                      <w:highlight w:val="none"/>
                    </w:rPr>
                    <w:t>0.42</w:t>
                  </w:r>
                </w:p>
              </w:tc>
              <w:tc>
                <w:tcPr>
                  <w:tcW w:w="765" w:type="dxa"/>
                  <w:tcBorders>
                    <w:top w:val="single" w:color="auto" w:sz="4" w:space="0"/>
                    <w:left w:val="single" w:color="auto" w:sz="4" w:space="0"/>
                    <w:bottom w:val="single" w:color="auto" w:sz="4" w:space="0"/>
                    <w:right w:val="single" w:color="auto" w:sz="4" w:space="0"/>
                  </w:tcBorders>
                  <w:vAlign w:val="center"/>
                </w:tcPr>
                <w:p w14:paraId="794D18F1">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vAlign w:val="center"/>
                </w:tcPr>
                <w:p w14:paraId="1DC2D814">
                  <w:pPr>
                    <w:jc w:val="center"/>
                    <w:rPr>
                      <w:color w:val="auto"/>
                      <w:szCs w:val="21"/>
                      <w:highlight w:val="none"/>
                    </w:rPr>
                  </w:pPr>
                  <w:r>
                    <w:rPr>
                      <w:rFonts w:hint="eastAsia"/>
                      <w:color w:val="auto"/>
                      <w:szCs w:val="21"/>
                      <w:highlight w:val="none"/>
                    </w:rPr>
                    <w:t>0.042</w:t>
                  </w:r>
                </w:p>
              </w:tc>
              <w:tc>
                <w:tcPr>
                  <w:tcW w:w="1065" w:type="dxa"/>
                  <w:tcBorders>
                    <w:top w:val="single" w:color="auto" w:sz="4" w:space="0"/>
                    <w:left w:val="single" w:color="auto" w:sz="4" w:space="0"/>
                    <w:bottom w:val="single" w:color="auto" w:sz="4" w:space="0"/>
                    <w:right w:val="single" w:color="auto" w:sz="4" w:space="0"/>
                  </w:tcBorders>
                  <w:vAlign w:val="center"/>
                </w:tcPr>
                <w:p w14:paraId="56E83AED">
                  <w:pPr>
                    <w:widowControl w:val="0"/>
                    <w:tabs>
                      <w:tab w:val="left" w:pos="2068"/>
                    </w:tabs>
                    <w:adjustRightInd w:val="0"/>
                    <w:snapToGrid w:val="0"/>
                    <w:jc w:val="center"/>
                    <w:rPr>
                      <w:color w:val="auto"/>
                      <w:szCs w:val="21"/>
                      <w:highlight w:val="none"/>
                    </w:rPr>
                  </w:pPr>
                  <w:r>
                    <w:rPr>
                      <w:rFonts w:hint="eastAsia"/>
                      <w:color w:val="auto"/>
                      <w:szCs w:val="21"/>
                      <w:highlight w:val="none"/>
                    </w:rPr>
                    <w:t>化学抛光</w:t>
                  </w:r>
                </w:p>
              </w:tc>
              <w:tc>
                <w:tcPr>
                  <w:tcW w:w="1473" w:type="dxa"/>
                  <w:tcBorders>
                    <w:left w:val="single" w:color="auto" w:sz="4" w:space="0"/>
                    <w:right w:val="single" w:color="auto" w:sz="4" w:space="0"/>
                  </w:tcBorders>
                  <w:vAlign w:val="center"/>
                </w:tcPr>
                <w:p w14:paraId="262970C3">
                  <w:pPr>
                    <w:widowControl w:val="0"/>
                    <w:adjustRightInd w:val="0"/>
                    <w:snapToGrid w:val="0"/>
                    <w:jc w:val="center"/>
                    <w:rPr>
                      <w:color w:val="auto"/>
                      <w:szCs w:val="21"/>
                      <w:highlight w:val="none"/>
                    </w:rPr>
                  </w:pPr>
                  <w:r>
                    <w:rPr>
                      <w:rFonts w:hint="eastAsia"/>
                      <w:color w:val="auto"/>
                      <w:szCs w:val="21"/>
                      <w:highlight w:val="none"/>
                    </w:rPr>
                    <w:t>综合楼</w:t>
                  </w:r>
                  <w:r>
                    <w:rPr>
                      <w:rFonts w:hint="eastAsia"/>
                      <w:color w:val="auto"/>
                      <w:szCs w:val="21"/>
                      <w:highlight w:val="none"/>
                      <w:lang w:val="en-US" w:eastAsia="zh-CN"/>
                    </w:rPr>
                    <w:t>1</w:t>
                  </w:r>
                  <w:r>
                    <w:rPr>
                      <w:rFonts w:hint="eastAsia"/>
                      <w:color w:val="auto"/>
                      <w:szCs w:val="21"/>
                      <w:highlight w:val="none"/>
                    </w:rPr>
                    <w:t>首层</w:t>
                  </w:r>
                </w:p>
              </w:tc>
            </w:tr>
            <w:tr w14:paraId="7E13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vAlign w:val="center"/>
                </w:tcPr>
                <w:p w14:paraId="55182D1C">
                  <w:pPr>
                    <w:widowControl w:val="0"/>
                    <w:tabs>
                      <w:tab w:val="left" w:pos="2068"/>
                    </w:tabs>
                    <w:adjustRightInd w:val="0"/>
                    <w:snapToGrid w:val="0"/>
                    <w:jc w:val="center"/>
                    <w:rPr>
                      <w:rFonts w:hint="eastAsia"/>
                      <w:color w:val="auto"/>
                      <w:szCs w:val="21"/>
                      <w:highlight w:val="none"/>
                    </w:rPr>
                  </w:pPr>
                  <w:r>
                    <w:rPr>
                      <w:rFonts w:hint="eastAsia"/>
                      <w:color w:val="auto"/>
                      <w:szCs w:val="21"/>
                      <w:highlight w:val="none"/>
                    </w:rPr>
                    <w:t>16</w:t>
                  </w:r>
                </w:p>
              </w:tc>
              <w:tc>
                <w:tcPr>
                  <w:tcW w:w="1157" w:type="dxa"/>
                  <w:tcBorders>
                    <w:top w:val="single" w:color="auto" w:sz="4" w:space="0"/>
                    <w:left w:val="single" w:color="auto" w:sz="4" w:space="0"/>
                    <w:bottom w:val="single" w:color="auto" w:sz="4" w:space="0"/>
                    <w:right w:val="single" w:color="auto" w:sz="4" w:space="0"/>
                  </w:tcBorders>
                  <w:vAlign w:val="center"/>
                </w:tcPr>
                <w:p w14:paraId="1B875D85">
                  <w:pPr>
                    <w:jc w:val="center"/>
                    <w:rPr>
                      <w:color w:val="auto"/>
                      <w:szCs w:val="21"/>
                      <w:highlight w:val="none"/>
                    </w:rPr>
                  </w:pPr>
                  <w:r>
                    <w:rPr>
                      <w:rFonts w:hint="eastAsia"/>
                      <w:color w:val="auto"/>
                      <w:szCs w:val="21"/>
                      <w:highlight w:val="none"/>
                    </w:rPr>
                    <w:t>切削液</w:t>
                  </w:r>
                </w:p>
              </w:tc>
              <w:tc>
                <w:tcPr>
                  <w:tcW w:w="705" w:type="dxa"/>
                  <w:tcBorders>
                    <w:top w:val="single" w:color="auto" w:sz="4" w:space="0"/>
                    <w:left w:val="single" w:color="auto" w:sz="4" w:space="0"/>
                    <w:bottom w:val="single" w:color="auto" w:sz="4" w:space="0"/>
                    <w:right w:val="single" w:color="auto" w:sz="4" w:space="0"/>
                  </w:tcBorders>
                  <w:vAlign w:val="center"/>
                </w:tcPr>
                <w:p w14:paraId="331B82B2">
                  <w:pPr>
                    <w:widowControl w:val="0"/>
                    <w:tabs>
                      <w:tab w:val="left" w:pos="2068"/>
                    </w:tabs>
                    <w:adjustRightInd w:val="0"/>
                    <w:snapToGrid w:val="0"/>
                    <w:jc w:val="center"/>
                    <w:rPr>
                      <w:color w:val="auto"/>
                      <w:szCs w:val="21"/>
                      <w:highlight w:val="none"/>
                    </w:rPr>
                  </w:pPr>
                  <w:r>
                    <w:rPr>
                      <w:rFonts w:hint="eastAsia"/>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vAlign w:val="center"/>
                </w:tcPr>
                <w:p w14:paraId="4171B62A">
                  <w:pPr>
                    <w:jc w:val="center"/>
                    <w:rPr>
                      <w:color w:val="auto"/>
                      <w:szCs w:val="21"/>
                      <w:highlight w:val="none"/>
                    </w:rPr>
                  </w:pPr>
                  <w:r>
                    <w:rPr>
                      <w:rFonts w:hint="eastAsia"/>
                      <w:color w:val="auto"/>
                      <w:szCs w:val="21"/>
                      <w:highlight w:val="none"/>
                    </w:rPr>
                    <w:t>15kg/桶</w:t>
                  </w:r>
                </w:p>
              </w:tc>
              <w:tc>
                <w:tcPr>
                  <w:tcW w:w="765" w:type="dxa"/>
                  <w:tcBorders>
                    <w:top w:val="single" w:color="auto" w:sz="4" w:space="0"/>
                    <w:left w:val="single" w:color="auto" w:sz="4" w:space="0"/>
                    <w:bottom w:val="single" w:color="auto" w:sz="4" w:space="0"/>
                    <w:right w:val="single" w:color="auto" w:sz="4" w:space="0"/>
                  </w:tcBorders>
                  <w:vAlign w:val="center"/>
                </w:tcPr>
                <w:p w14:paraId="42663862">
                  <w:pPr>
                    <w:jc w:val="center"/>
                    <w:rPr>
                      <w:rFonts w:hint="eastAsia" w:eastAsia="宋体"/>
                      <w:color w:val="auto"/>
                      <w:szCs w:val="21"/>
                      <w:highlight w:val="none"/>
                      <w:lang w:eastAsia="zh-CN"/>
                    </w:rPr>
                  </w:pPr>
                  <w:r>
                    <w:rPr>
                      <w:rFonts w:hint="eastAsia"/>
                      <w:color w:val="auto"/>
                      <w:szCs w:val="21"/>
                      <w:highlight w:val="none"/>
                      <w:lang w:val="en-US" w:eastAsia="zh-CN"/>
                    </w:rPr>
                    <w:t>5</w:t>
                  </w:r>
                </w:p>
              </w:tc>
              <w:tc>
                <w:tcPr>
                  <w:tcW w:w="810" w:type="dxa"/>
                  <w:tcBorders>
                    <w:top w:val="single" w:color="auto" w:sz="4" w:space="0"/>
                    <w:left w:val="single" w:color="auto" w:sz="4" w:space="0"/>
                    <w:bottom w:val="single" w:color="auto" w:sz="4" w:space="0"/>
                    <w:right w:val="single" w:color="auto" w:sz="4" w:space="0"/>
                  </w:tcBorders>
                  <w:vAlign w:val="center"/>
                </w:tcPr>
                <w:p w14:paraId="668DDA3F">
                  <w:pPr>
                    <w:widowControl w:val="0"/>
                    <w:adjustRightInd w:val="0"/>
                    <w:snapToGrid w:val="0"/>
                    <w:jc w:val="center"/>
                    <w:rPr>
                      <w:color w:val="auto"/>
                      <w:szCs w:val="21"/>
                      <w:highlight w:val="none"/>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vAlign w:val="center"/>
                </w:tcPr>
                <w:p w14:paraId="6AFA8A23">
                  <w:pPr>
                    <w:jc w:val="center"/>
                    <w:rPr>
                      <w:rFonts w:hint="eastAsia" w:eastAsia="宋体"/>
                      <w:color w:val="auto"/>
                      <w:szCs w:val="21"/>
                      <w:highlight w:val="none"/>
                      <w:lang w:eastAsia="zh-CN"/>
                    </w:rPr>
                  </w:pPr>
                  <w:r>
                    <w:rPr>
                      <w:rFonts w:hint="eastAsia"/>
                      <w:color w:val="auto"/>
                      <w:szCs w:val="21"/>
                      <w:highlight w:val="none"/>
                      <w:lang w:val="en-US" w:eastAsia="zh-CN"/>
                    </w:rPr>
                    <w:t>5</w:t>
                  </w:r>
                </w:p>
              </w:tc>
              <w:tc>
                <w:tcPr>
                  <w:tcW w:w="765" w:type="dxa"/>
                  <w:tcBorders>
                    <w:top w:val="single" w:color="auto" w:sz="4" w:space="0"/>
                    <w:left w:val="single" w:color="auto" w:sz="4" w:space="0"/>
                    <w:bottom w:val="single" w:color="auto" w:sz="4" w:space="0"/>
                    <w:right w:val="single" w:color="auto" w:sz="4" w:space="0"/>
                  </w:tcBorders>
                  <w:vAlign w:val="center"/>
                </w:tcPr>
                <w:p w14:paraId="28924618">
                  <w:pPr>
                    <w:widowControl w:val="0"/>
                    <w:adjustRightInd w:val="0"/>
                    <w:snapToGrid w:val="0"/>
                    <w:jc w:val="center"/>
                    <w:rPr>
                      <w:color w:val="auto"/>
                      <w:szCs w:val="21"/>
                      <w:highlight w:val="none"/>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vAlign w:val="center"/>
                </w:tcPr>
                <w:p w14:paraId="0E97D76B">
                  <w:pPr>
                    <w:jc w:val="center"/>
                    <w:rPr>
                      <w:rFonts w:hint="eastAsia" w:eastAsia="宋体"/>
                      <w:color w:val="auto"/>
                      <w:szCs w:val="21"/>
                      <w:highlight w:val="none"/>
                      <w:lang w:eastAsia="zh-CN"/>
                    </w:rPr>
                  </w:pPr>
                  <w:r>
                    <w:rPr>
                      <w:rFonts w:hint="eastAsia"/>
                      <w:color w:val="auto"/>
                      <w:szCs w:val="21"/>
                      <w:highlight w:val="none"/>
                      <w:lang w:val="en-US" w:eastAsia="zh-CN"/>
                    </w:rPr>
                    <w:t>/</w:t>
                  </w:r>
                </w:p>
              </w:tc>
              <w:tc>
                <w:tcPr>
                  <w:tcW w:w="1065" w:type="dxa"/>
                  <w:tcBorders>
                    <w:top w:val="single" w:color="auto" w:sz="4" w:space="0"/>
                    <w:left w:val="single" w:color="auto" w:sz="4" w:space="0"/>
                    <w:bottom w:val="single" w:color="auto" w:sz="4" w:space="0"/>
                    <w:right w:val="single" w:color="auto" w:sz="4" w:space="0"/>
                  </w:tcBorders>
                  <w:vAlign w:val="center"/>
                </w:tcPr>
                <w:p w14:paraId="722FEF65">
                  <w:pPr>
                    <w:widowControl w:val="0"/>
                    <w:tabs>
                      <w:tab w:val="left" w:pos="2068"/>
                    </w:tabs>
                    <w:adjustRightInd w:val="0"/>
                    <w:snapToGrid w:val="0"/>
                    <w:jc w:val="center"/>
                    <w:rPr>
                      <w:color w:val="auto"/>
                      <w:szCs w:val="21"/>
                      <w:highlight w:val="none"/>
                    </w:rPr>
                  </w:pPr>
                  <w:r>
                    <w:rPr>
                      <w:rFonts w:hint="eastAsia"/>
                      <w:color w:val="auto"/>
                      <w:szCs w:val="21"/>
                      <w:highlight w:val="none"/>
                    </w:rPr>
                    <w:t>机加工</w:t>
                  </w:r>
                </w:p>
              </w:tc>
              <w:tc>
                <w:tcPr>
                  <w:tcW w:w="1473" w:type="dxa"/>
                  <w:tcBorders>
                    <w:left w:val="single" w:color="auto" w:sz="4" w:space="0"/>
                    <w:right w:val="single" w:color="auto" w:sz="4" w:space="0"/>
                  </w:tcBorders>
                  <w:vAlign w:val="center"/>
                </w:tcPr>
                <w:p w14:paraId="33FFF97E">
                  <w:pPr>
                    <w:widowControl w:val="0"/>
                    <w:adjustRightInd w:val="0"/>
                    <w:snapToGrid w:val="0"/>
                    <w:jc w:val="center"/>
                    <w:rPr>
                      <w:rFonts w:hint="eastAsia" w:eastAsia="宋体"/>
                      <w:color w:val="auto"/>
                      <w:szCs w:val="21"/>
                      <w:highlight w:val="none"/>
                      <w:lang w:eastAsia="zh-CN"/>
                    </w:rPr>
                  </w:pPr>
                  <w:r>
                    <w:rPr>
                      <w:rFonts w:hint="eastAsia"/>
                      <w:color w:val="auto"/>
                      <w:szCs w:val="21"/>
                      <w:highlight w:val="none"/>
                      <w:lang w:val="en-US" w:eastAsia="zh-CN"/>
                    </w:rPr>
                    <w:t>/</w:t>
                  </w:r>
                </w:p>
              </w:tc>
            </w:tr>
            <w:tr w14:paraId="1EFD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shd w:val="clear" w:color="auto" w:fill="auto"/>
                  <w:vAlign w:val="center"/>
                </w:tcPr>
                <w:p w14:paraId="3E68694C">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17</w:t>
                  </w:r>
                </w:p>
              </w:tc>
              <w:tc>
                <w:tcPr>
                  <w:tcW w:w="1157" w:type="dxa"/>
                  <w:tcBorders>
                    <w:top w:val="single" w:color="auto" w:sz="4" w:space="0"/>
                    <w:left w:val="single" w:color="auto" w:sz="4" w:space="0"/>
                    <w:bottom w:val="single" w:color="auto" w:sz="4" w:space="0"/>
                    <w:right w:val="single" w:color="auto" w:sz="4" w:space="0"/>
                  </w:tcBorders>
                  <w:vAlign w:val="center"/>
                </w:tcPr>
                <w:p w14:paraId="469C64D9">
                  <w:pPr>
                    <w:jc w:val="center"/>
                    <w:rPr>
                      <w:color w:val="auto"/>
                      <w:szCs w:val="21"/>
                      <w:highlight w:val="none"/>
                    </w:rPr>
                  </w:pPr>
                  <w:r>
                    <w:rPr>
                      <w:rFonts w:hint="eastAsia"/>
                      <w:color w:val="auto"/>
                      <w:szCs w:val="21"/>
                      <w:highlight w:val="none"/>
                      <w:lang w:val="en-US" w:eastAsia="zh-CN"/>
                    </w:rPr>
                    <w:t>脱模剂</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78D5A34F">
                  <w:pPr>
                    <w:widowControl w:val="0"/>
                    <w:tabs>
                      <w:tab w:val="left" w:pos="2068"/>
                    </w:tabs>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36E6FCAB">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15kg/桶</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6780669">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w:t>
                  </w: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559ABF43">
                  <w:pPr>
                    <w:widowControl w:val="0"/>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2CA8545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50B96A9F">
                  <w:pPr>
                    <w:widowControl w:val="0"/>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43C32BF">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w:t>
                  </w:r>
                </w:p>
              </w:tc>
              <w:tc>
                <w:tcPr>
                  <w:tcW w:w="1065" w:type="dxa"/>
                  <w:tcBorders>
                    <w:left w:val="single" w:color="auto" w:sz="4" w:space="0"/>
                    <w:right w:val="single" w:color="auto" w:sz="4" w:space="0"/>
                  </w:tcBorders>
                  <w:shd w:val="clear" w:color="auto" w:fill="auto"/>
                  <w:vAlign w:val="center"/>
                </w:tcPr>
                <w:p w14:paraId="4473B32F">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压铸后脱模</w:t>
                  </w:r>
                </w:p>
              </w:tc>
              <w:tc>
                <w:tcPr>
                  <w:tcW w:w="1473" w:type="dxa"/>
                  <w:tcBorders>
                    <w:left w:val="single" w:color="auto" w:sz="4" w:space="0"/>
                    <w:right w:val="single" w:color="auto" w:sz="4" w:space="0"/>
                  </w:tcBorders>
                  <w:shd w:val="clear" w:color="auto" w:fill="auto"/>
                  <w:vAlign w:val="center"/>
                </w:tcPr>
                <w:p w14:paraId="25ADFE33">
                  <w:pPr>
                    <w:widowControl w:val="0"/>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w:t>
                  </w:r>
                </w:p>
              </w:tc>
            </w:tr>
            <w:tr w14:paraId="6BF8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shd w:val="clear" w:color="auto" w:fill="auto"/>
                  <w:vAlign w:val="center"/>
                </w:tcPr>
                <w:p w14:paraId="034176ED">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18</w:t>
                  </w: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017C18A6">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机油</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10CA54C7">
                  <w:pPr>
                    <w:widowControl w:val="0"/>
                    <w:tabs>
                      <w:tab w:val="left" w:pos="2068"/>
                    </w:tabs>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3D2310C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15kg/桶</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05489699">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w:t>
                  </w: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4CC61684">
                  <w:pPr>
                    <w:widowControl w:val="0"/>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65AA2DD">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E26DB1E">
                  <w:pPr>
                    <w:widowControl w:val="0"/>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73B0D7C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w:t>
                  </w:r>
                </w:p>
              </w:tc>
              <w:tc>
                <w:tcPr>
                  <w:tcW w:w="1065" w:type="dxa"/>
                  <w:tcBorders>
                    <w:left w:val="single" w:color="auto" w:sz="4" w:space="0"/>
                    <w:right w:val="single" w:color="auto" w:sz="4" w:space="0"/>
                  </w:tcBorders>
                  <w:shd w:val="clear" w:color="auto" w:fill="auto"/>
                  <w:vAlign w:val="center"/>
                </w:tcPr>
                <w:p w14:paraId="6252CAE0">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设备保养</w:t>
                  </w:r>
                </w:p>
              </w:tc>
              <w:tc>
                <w:tcPr>
                  <w:tcW w:w="1473" w:type="dxa"/>
                  <w:tcBorders>
                    <w:left w:val="single" w:color="auto" w:sz="4" w:space="0"/>
                    <w:right w:val="single" w:color="auto" w:sz="4" w:space="0"/>
                  </w:tcBorders>
                  <w:shd w:val="clear" w:color="auto" w:fill="auto"/>
                  <w:vAlign w:val="center"/>
                </w:tcPr>
                <w:p w14:paraId="1D3DEEA2">
                  <w:pPr>
                    <w:widowControl w:val="0"/>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w:t>
                  </w:r>
                </w:p>
              </w:tc>
            </w:tr>
            <w:tr w14:paraId="2D76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tcBorders>
                    <w:top w:val="single" w:color="auto" w:sz="4" w:space="0"/>
                    <w:left w:val="single" w:color="auto" w:sz="4" w:space="0"/>
                    <w:bottom w:val="single" w:color="auto" w:sz="4" w:space="0"/>
                    <w:right w:val="single" w:color="auto" w:sz="4" w:space="0"/>
                  </w:tcBorders>
                  <w:shd w:val="clear" w:color="auto" w:fill="auto"/>
                  <w:vAlign w:val="center"/>
                </w:tcPr>
                <w:p w14:paraId="3991C34B">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19</w:t>
                  </w: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27FDF02F">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柴油</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53F4100B">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液体</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55184F1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15kg/罐</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209ED7B6">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266</w:t>
                  </w:r>
                </w:p>
              </w:tc>
              <w:tc>
                <w:tcPr>
                  <w:tcW w:w="810" w:type="dxa"/>
                  <w:tcBorders>
                    <w:top w:val="single" w:color="auto" w:sz="4" w:space="0"/>
                    <w:left w:val="single" w:color="auto" w:sz="4" w:space="0"/>
                    <w:bottom w:val="single" w:color="auto" w:sz="4" w:space="0"/>
                    <w:right w:val="single" w:color="auto" w:sz="4" w:space="0"/>
                  </w:tcBorders>
                  <w:shd w:val="clear" w:color="auto" w:fill="auto"/>
                  <w:vAlign w:val="center"/>
                </w:tcPr>
                <w:p w14:paraId="08C616FF">
                  <w:pPr>
                    <w:widowControl w:val="0"/>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26CD8C1">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266</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14C42CB9">
                  <w:pPr>
                    <w:widowControl w:val="0"/>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4F4690F">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10</w:t>
                  </w:r>
                </w:p>
              </w:tc>
              <w:tc>
                <w:tcPr>
                  <w:tcW w:w="1065" w:type="dxa"/>
                  <w:tcBorders>
                    <w:left w:val="single" w:color="auto" w:sz="4" w:space="0"/>
                    <w:right w:val="single" w:color="auto" w:sz="4" w:space="0"/>
                  </w:tcBorders>
                  <w:shd w:val="clear" w:color="auto" w:fill="auto"/>
                  <w:vAlign w:val="center"/>
                </w:tcPr>
                <w:p w14:paraId="6F6F3299">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发电机</w:t>
                  </w:r>
                </w:p>
              </w:tc>
              <w:tc>
                <w:tcPr>
                  <w:tcW w:w="1473" w:type="dxa"/>
                  <w:tcBorders>
                    <w:left w:val="single" w:color="auto" w:sz="4" w:space="0"/>
                    <w:right w:val="single" w:color="auto" w:sz="4" w:space="0"/>
                  </w:tcBorders>
                  <w:shd w:val="clear" w:color="auto" w:fill="auto"/>
                  <w:vAlign w:val="center"/>
                </w:tcPr>
                <w:p w14:paraId="17F502BB">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发电机房</w:t>
                  </w:r>
                </w:p>
              </w:tc>
            </w:tr>
            <w:tr w14:paraId="4B13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5" w:type="dxa"/>
                  <w:shd w:val="clear" w:color="auto" w:fill="auto"/>
                  <w:vAlign w:val="center"/>
                </w:tcPr>
                <w:p w14:paraId="38862328">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20</w:t>
                  </w:r>
                </w:p>
              </w:tc>
              <w:tc>
                <w:tcPr>
                  <w:tcW w:w="1157" w:type="dxa"/>
                  <w:shd w:val="clear" w:color="auto" w:fill="auto"/>
                  <w:vAlign w:val="center"/>
                </w:tcPr>
                <w:p w14:paraId="0CFF8555">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电泳漆</w:t>
                  </w:r>
                </w:p>
              </w:tc>
              <w:tc>
                <w:tcPr>
                  <w:tcW w:w="705" w:type="dxa"/>
                  <w:shd w:val="clear" w:color="auto" w:fill="auto"/>
                  <w:vAlign w:val="center"/>
                </w:tcPr>
                <w:p w14:paraId="41AAD283">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液体</w:t>
                  </w:r>
                </w:p>
              </w:tc>
              <w:tc>
                <w:tcPr>
                  <w:tcW w:w="930" w:type="dxa"/>
                  <w:shd w:val="clear" w:color="auto" w:fill="auto"/>
                  <w:vAlign w:val="center"/>
                </w:tcPr>
                <w:p w14:paraId="515AD41D">
                  <w:pPr>
                    <w:widowControl w:val="0"/>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15kg/桶</w:t>
                  </w:r>
                </w:p>
              </w:tc>
              <w:tc>
                <w:tcPr>
                  <w:tcW w:w="765" w:type="dxa"/>
                  <w:shd w:val="clear" w:color="auto" w:fill="auto"/>
                  <w:vAlign w:val="center"/>
                </w:tcPr>
                <w:p w14:paraId="24884549">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810" w:type="dxa"/>
                  <w:shd w:val="clear" w:color="auto" w:fill="auto"/>
                  <w:vAlign w:val="center"/>
                </w:tcPr>
                <w:p w14:paraId="1AD6D8D0">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w:t>
                  </w:r>
                  <w:r>
                    <w:rPr>
                      <w:rFonts w:hint="eastAsia"/>
                      <w:color w:val="auto"/>
                      <w:szCs w:val="21"/>
                      <w:highlight w:val="none"/>
                    </w:rPr>
                    <w:t>1.5</w:t>
                  </w:r>
                </w:p>
              </w:tc>
              <w:tc>
                <w:tcPr>
                  <w:tcW w:w="690" w:type="dxa"/>
                  <w:shd w:val="clear" w:color="auto" w:fill="auto"/>
                  <w:vAlign w:val="center"/>
                </w:tcPr>
                <w:p w14:paraId="3F486E7E">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1.5</w:t>
                  </w:r>
                </w:p>
              </w:tc>
              <w:tc>
                <w:tcPr>
                  <w:tcW w:w="765" w:type="dxa"/>
                  <w:shd w:val="clear" w:color="auto" w:fill="auto"/>
                  <w:vAlign w:val="center"/>
                </w:tcPr>
                <w:p w14:paraId="58C3A3D3">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+1.5</w:t>
                  </w:r>
                </w:p>
              </w:tc>
              <w:tc>
                <w:tcPr>
                  <w:tcW w:w="750" w:type="dxa"/>
                  <w:shd w:val="clear" w:color="auto" w:fill="auto"/>
                  <w:vAlign w:val="center"/>
                </w:tcPr>
                <w:p w14:paraId="6470BD80">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0.12</w:t>
                  </w:r>
                </w:p>
              </w:tc>
              <w:tc>
                <w:tcPr>
                  <w:tcW w:w="1065" w:type="dxa"/>
                  <w:shd w:val="clear" w:color="auto" w:fill="auto"/>
                  <w:vAlign w:val="center"/>
                </w:tcPr>
                <w:p w14:paraId="5422CE43">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电泳</w:t>
                  </w:r>
                </w:p>
              </w:tc>
              <w:tc>
                <w:tcPr>
                  <w:tcW w:w="1473" w:type="dxa"/>
                  <w:shd w:val="clear" w:color="auto" w:fill="auto"/>
                  <w:vAlign w:val="center"/>
                </w:tcPr>
                <w:p w14:paraId="564FB65B">
                  <w:pPr>
                    <w:widowControl w:val="0"/>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综合楼</w:t>
                  </w:r>
                  <w:r>
                    <w:rPr>
                      <w:rFonts w:hint="eastAsia"/>
                      <w:color w:val="auto"/>
                      <w:szCs w:val="21"/>
                      <w:highlight w:val="none"/>
                      <w:lang w:val="en-US" w:eastAsia="zh-CN"/>
                    </w:rPr>
                    <w:t>3</w:t>
                  </w:r>
                  <w:r>
                    <w:rPr>
                      <w:rFonts w:hint="eastAsia"/>
                      <w:color w:val="auto"/>
                      <w:szCs w:val="21"/>
                      <w:highlight w:val="none"/>
                    </w:rPr>
                    <w:t>首层</w:t>
                  </w:r>
                </w:p>
              </w:tc>
            </w:tr>
            <w:tr w14:paraId="7BF1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shd w:val="clear" w:color="auto" w:fill="auto"/>
                  <w:vAlign w:val="center"/>
                </w:tcPr>
                <w:p w14:paraId="4A7E7478">
                  <w:pPr>
                    <w:widowControl w:val="0"/>
                    <w:tabs>
                      <w:tab w:val="left" w:pos="2068"/>
                    </w:tabs>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21</w:t>
                  </w:r>
                </w:p>
              </w:tc>
              <w:tc>
                <w:tcPr>
                  <w:tcW w:w="0" w:type="auto"/>
                  <w:shd w:val="clear" w:color="auto" w:fill="auto"/>
                  <w:vAlign w:val="center"/>
                </w:tcPr>
                <w:p w14:paraId="1DB5E286">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稳定剂</w:t>
                  </w:r>
                </w:p>
              </w:tc>
              <w:tc>
                <w:tcPr>
                  <w:tcW w:w="0" w:type="auto"/>
                  <w:shd w:val="clear" w:color="auto" w:fill="auto"/>
                  <w:vAlign w:val="center"/>
                </w:tcPr>
                <w:p w14:paraId="65B97F90">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液体</w:t>
                  </w:r>
                </w:p>
              </w:tc>
              <w:tc>
                <w:tcPr>
                  <w:tcW w:w="0" w:type="auto"/>
                  <w:shd w:val="clear" w:color="auto" w:fill="auto"/>
                  <w:vAlign w:val="center"/>
                </w:tcPr>
                <w:p w14:paraId="30EAE130">
                  <w:pPr>
                    <w:widowControl w:val="0"/>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15kg/桶</w:t>
                  </w:r>
                </w:p>
              </w:tc>
              <w:tc>
                <w:tcPr>
                  <w:tcW w:w="0" w:type="auto"/>
                  <w:shd w:val="clear" w:color="auto" w:fill="auto"/>
                  <w:vAlign w:val="center"/>
                </w:tcPr>
                <w:p w14:paraId="2931AEBE">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0" w:type="auto"/>
                  <w:shd w:val="clear" w:color="auto" w:fill="auto"/>
                  <w:vAlign w:val="center"/>
                </w:tcPr>
                <w:p w14:paraId="2AE351CA">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w:t>
                  </w:r>
                  <w:r>
                    <w:rPr>
                      <w:rFonts w:hint="eastAsia"/>
                      <w:color w:val="auto"/>
                      <w:szCs w:val="21"/>
                      <w:highlight w:val="none"/>
                    </w:rPr>
                    <w:t>0.5</w:t>
                  </w:r>
                </w:p>
              </w:tc>
              <w:tc>
                <w:tcPr>
                  <w:tcW w:w="0" w:type="auto"/>
                  <w:shd w:val="clear" w:color="auto" w:fill="auto"/>
                  <w:vAlign w:val="center"/>
                </w:tcPr>
                <w:p w14:paraId="535B2536">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0.5</w:t>
                  </w:r>
                </w:p>
              </w:tc>
              <w:tc>
                <w:tcPr>
                  <w:tcW w:w="0" w:type="auto"/>
                  <w:shd w:val="clear" w:color="auto" w:fill="auto"/>
                  <w:vAlign w:val="center"/>
                </w:tcPr>
                <w:p w14:paraId="5C290020">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+0.5</w:t>
                  </w:r>
                </w:p>
              </w:tc>
              <w:tc>
                <w:tcPr>
                  <w:tcW w:w="0" w:type="auto"/>
                  <w:shd w:val="clear" w:color="auto" w:fill="auto"/>
                  <w:vAlign w:val="center"/>
                </w:tcPr>
                <w:p w14:paraId="562ACFEB">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0.06</w:t>
                  </w:r>
                </w:p>
              </w:tc>
              <w:tc>
                <w:tcPr>
                  <w:tcW w:w="0" w:type="auto"/>
                  <w:shd w:val="clear" w:color="auto" w:fill="auto"/>
                  <w:vAlign w:val="center"/>
                </w:tcPr>
                <w:p w14:paraId="1FEA3128">
                  <w:pPr>
                    <w:widowControl w:val="0"/>
                    <w:tabs>
                      <w:tab w:val="left" w:pos="2068"/>
                    </w:tabs>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电泳</w:t>
                  </w:r>
                </w:p>
              </w:tc>
              <w:tc>
                <w:tcPr>
                  <w:tcW w:w="0" w:type="auto"/>
                  <w:shd w:val="clear" w:color="auto" w:fill="auto"/>
                  <w:vAlign w:val="center"/>
                </w:tcPr>
                <w:p w14:paraId="0C1D5439">
                  <w:pPr>
                    <w:widowControl w:val="0"/>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综合楼</w:t>
                  </w:r>
                  <w:r>
                    <w:rPr>
                      <w:rFonts w:hint="eastAsia"/>
                      <w:color w:val="auto"/>
                      <w:szCs w:val="21"/>
                      <w:highlight w:val="none"/>
                      <w:lang w:val="en-US" w:eastAsia="zh-CN"/>
                    </w:rPr>
                    <w:t>3</w:t>
                  </w:r>
                  <w:r>
                    <w:rPr>
                      <w:rFonts w:hint="eastAsia"/>
                      <w:color w:val="auto"/>
                      <w:szCs w:val="21"/>
                      <w:highlight w:val="none"/>
                    </w:rPr>
                    <w:t>首层</w:t>
                  </w:r>
                </w:p>
              </w:tc>
            </w:tr>
            <w:tr w14:paraId="6CDC6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65" w:type="dxa"/>
                  <w:gridSpan w:val="11"/>
                  <w:shd w:val="clear" w:color="auto" w:fill="auto"/>
                  <w:vAlign w:val="center"/>
                </w:tcPr>
                <w:p w14:paraId="2E7EA9E4">
                  <w:pPr>
                    <w:widowControl w:val="0"/>
                    <w:adjustRightInd w:val="0"/>
                    <w:snapToGrid w:val="0"/>
                    <w:jc w:val="left"/>
                    <w:rPr>
                      <w:rFonts w:hint="default" w:eastAsia="宋体"/>
                      <w:color w:val="auto"/>
                      <w:szCs w:val="21"/>
                      <w:highlight w:val="none"/>
                      <w:lang w:val="en-US" w:eastAsia="zh-CN"/>
                    </w:rPr>
                  </w:pPr>
                  <w:r>
                    <w:rPr>
                      <w:rFonts w:hint="eastAsia"/>
                      <w:b/>
                      <w:bCs/>
                      <w:color w:val="auto"/>
                      <w:szCs w:val="21"/>
                      <w:highlight w:val="none"/>
                      <w:lang w:val="en-US" w:eastAsia="zh-CN"/>
                    </w:rPr>
                    <w:t>备注：</w:t>
                  </w:r>
                  <w:r>
                    <w:rPr>
                      <w:rFonts w:hint="eastAsia"/>
                      <w:color w:val="auto"/>
                      <w:szCs w:val="21"/>
                      <w:highlight w:val="none"/>
                      <w:lang w:val="en-US" w:eastAsia="zh-CN"/>
                    </w:rPr>
                    <w:t>片碱</w:t>
                  </w:r>
                  <w:r>
                    <w:rPr>
                      <w:rFonts w:hint="eastAsia" w:ascii="Times New Roman" w:hAnsi="Times New Roman" w:eastAsia="宋体" w:cs="Times New Roman"/>
                      <w:color w:val="auto"/>
                      <w:szCs w:val="21"/>
                      <w:highlight w:val="none"/>
                      <w:lang w:val="en-US" w:eastAsia="zh-CN"/>
                    </w:rPr>
                    <w:t>、切削液、脱模剂、机油均根据使用情况即用即外购</w:t>
                  </w:r>
                  <w:r>
                    <w:rPr>
                      <w:rFonts w:hint="eastAsia" w:cs="Times New Roman"/>
                      <w:color w:val="auto"/>
                      <w:szCs w:val="21"/>
                      <w:highlight w:val="none"/>
                      <w:lang w:val="en-US" w:eastAsia="zh-CN"/>
                    </w:rPr>
                    <w:t>，厂区内不储存</w:t>
                  </w:r>
                  <w:r>
                    <w:rPr>
                      <w:rFonts w:hint="eastAsia" w:ascii="Times New Roman" w:hAnsi="Times New Roman" w:eastAsia="宋体" w:cs="Times New Roman"/>
                      <w:color w:val="auto"/>
                      <w:szCs w:val="21"/>
                      <w:highlight w:val="none"/>
                      <w:lang w:val="en-US" w:eastAsia="zh-CN"/>
                    </w:rPr>
                    <w:t>。</w:t>
                  </w:r>
                </w:p>
              </w:tc>
            </w:tr>
          </w:tbl>
          <w:p w14:paraId="4D2C9891">
            <w:pPr>
              <w:widowControl w:val="0"/>
              <w:adjustRightInd w:val="0"/>
              <w:snapToGrid w:val="0"/>
              <w:spacing w:line="240" w:lineRule="auto"/>
              <w:jc w:val="center"/>
              <w:rPr>
                <w:b/>
                <w:color w:val="auto"/>
                <w:szCs w:val="21"/>
                <w:lang w:val="zh-CN"/>
              </w:rPr>
            </w:pPr>
            <w:r>
              <w:rPr>
                <w:b/>
                <w:color w:val="auto"/>
                <w:szCs w:val="21"/>
                <w:lang w:val="zh-CN"/>
              </w:rPr>
              <w:t>表</w:t>
            </w:r>
            <w:r>
              <w:rPr>
                <w:b/>
                <w:color w:val="auto"/>
                <w:szCs w:val="21"/>
              </w:rPr>
              <w:t>2-</w:t>
            </w:r>
            <w:r>
              <w:rPr>
                <w:rFonts w:hint="eastAsia"/>
                <w:b/>
                <w:color w:val="auto"/>
                <w:szCs w:val="21"/>
                <w:lang w:val="en-US" w:eastAsia="zh-CN"/>
              </w:rPr>
              <w:t>10</w:t>
            </w:r>
            <w:r>
              <w:rPr>
                <w:rFonts w:hint="eastAsia"/>
                <w:b/>
                <w:color w:val="auto"/>
                <w:szCs w:val="21"/>
              </w:rPr>
              <w:t xml:space="preserve"> </w:t>
            </w:r>
            <w:r>
              <w:rPr>
                <w:rFonts w:hint="eastAsia"/>
                <w:b/>
                <w:color w:val="auto"/>
                <w:szCs w:val="21"/>
                <w:lang w:val="en-US" w:eastAsia="zh-CN"/>
              </w:rPr>
              <w:t>本项目改建后全厂</w:t>
            </w:r>
            <w:r>
              <w:rPr>
                <w:b/>
                <w:color w:val="auto"/>
                <w:szCs w:val="21"/>
                <w:lang w:val="zh-CN"/>
              </w:rPr>
              <w:t>主要原辅材料理化性质</w:t>
            </w:r>
          </w:p>
          <w:tbl>
            <w:tblPr>
              <w:tblStyle w:val="42"/>
              <w:tblW w:w="9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737"/>
              <w:gridCol w:w="8196"/>
            </w:tblGrid>
            <w:tr w14:paraId="3DA54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tcMar>
                    <w:left w:w="28" w:type="dxa"/>
                    <w:right w:w="28" w:type="dxa"/>
                  </w:tcMar>
                  <w:vAlign w:val="center"/>
                </w:tcPr>
                <w:p w14:paraId="42E5D428">
                  <w:pPr>
                    <w:widowControl w:val="0"/>
                    <w:snapToGrid w:val="0"/>
                    <w:ind w:left="21" w:leftChars="10" w:right="21" w:rightChars="10"/>
                    <w:jc w:val="center"/>
                    <w:rPr>
                      <w:b/>
                      <w:color w:val="auto"/>
                      <w:szCs w:val="21"/>
                    </w:rPr>
                  </w:pPr>
                  <w:r>
                    <w:rPr>
                      <w:b/>
                      <w:color w:val="auto"/>
                      <w:szCs w:val="21"/>
                    </w:rPr>
                    <w:t>序号</w:t>
                  </w:r>
                </w:p>
              </w:tc>
              <w:tc>
                <w:tcPr>
                  <w:tcW w:w="737" w:type="dxa"/>
                  <w:tcMar>
                    <w:left w:w="28" w:type="dxa"/>
                    <w:right w:w="28" w:type="dxa"/>
                  </w:tcMar>
                  <w:vAlign w:val="center"/>
                </w:tcPr>
                <w:p w14:paraId="0608E870">
                  <w:pPr>
                    <w:widowControl w:val="0"/>
                    <w:snapToGrid w:val="0"/>
                    <w:ind w:left="21" w:leftChars="10" w:right="21" w:rightChars="10"/>
                    <w:jc w:val="center"/>
                    <w:rPr>
                      <w:b/>
                      <w:color w:val="auto"/>
                      <w:szCs w:val="21"/>
                    </w:rPr>
                  </w:pPr>
                  <w:r>
                    <w:rPr>
                      <w:b/>
                      <w:color w:val="auto"/>
                      <w:szCs w:val="21"/>
                    </w:rPr>
                    <w:t>名称</w:t>
                  </w:r>
                </w:p>
              </w:tc>
              <w:tc>
                <w:tcPr>
                  <w:tcW w:w="8196" w:type="dxa"/>
                  <w:tcMar>
                    <w:left w:w="28" w:type="dxa"/>
                    <w:right w:w="28" w:type="dxa"/>
                  </w:tcMar>
                  <w:vAlign w:val="center"/>
                </w:tcPr>
                <w:p w14:paraId="1EC9C55D">
                  <w:pPr>
                    <w:widowControl w:val="0"/>
                    <w:snapToGrid w:val="0"/>
                    <w:ind w:left="21" w:leftChars="10" w:right="21" w:rightChars="10"/>
                    <w:jc w:val="center"/>
                    <w:rPr>
                      <w:b/>
                      <w:color w:val="auto"/>
                      <w:szCs w:val="21"/>
                    </w:rPr>
                  </w:pPr>
                  <w:r>
                    <w:rPr>
                      <w:b/>
                      <w:color w:val="auto"/>
                      <w:szCs w:val="21"/>
                    </w:rPr>
                    <w:t>理化性质</w:t>
                  </w:r>
                </w:p>
              </w:tc>
            </w:tr>
            <w:tr w14:paraId="000F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46E19F20">
                  <w:pPr>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b w:val="0"/>
                      <w:bCs w:val="0"/>
                      <w:color w:val="auto"/>
                      <w:szCs w:val="21"/>
                      <w:highlight w:val="none"/>
                      <w:lang w:val="en-US" w:eastAsia="zh-CN"/>
                    </w:rPr>
                    <w:t>1</w:t>
                  </w:r>
                </w:p>
              </w:tc>
              <w:tc>
                <w:tcPr>
                  <w:tcW w:w="737" w:type="dxa"/>
                  <w:tcMar>
                    <w:left w:w="28" w:type="dxa"/>
                    <w:right w:w="28" w:type="dxa"/>
                  </w:tcMar>
                  <w:vAlign w:val="center"/>
                </w:tcPr>
                <w:p w14:paraId="2CFE0ABF">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铝管</w:t>
                  </w:r>
                </w:p>
              </w:tc>
              <w:tc>
                <w:tcPr>
                  <w:tcW w:w="8196" w:type="dxa"/>
                  <w:tcMar>
                    <w:left w:w="28" w:type="dxa"/>
                    <w:right w:w="28" w:type="dxa"/>
                  </w:tcMar>
                  <w:vAlign w:val="center"/>
                </w:tcPr>
                <w:p w14:paraId="06A05984">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rPr>
                    <w:t>是以纯铝或铝合金为原料，经挤压加工制成的中空金属管材，属于有色金属管的一种</w:t>
                  </w:r>
                  <w:r>
                    <w:rPr>
                      <w:rFonts w:hint="default"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rPr>
                    <w:t>密度约2.78g/cm³，</w:t>
                  </w:r>
                  <w:r>
                    <w:rPr>
                      <w:rFonts w:hint="eastAsia" w:ascii="Times New Roman" w:hAnsi="Times New Roman" w:eastAsia="宋体" w:cs="Times New Roman"/>
                      <w:color w:val="auto"/>
                      <w:szCs w:val="21"/>
                      <w:highlight w:val="none"/>
                      <w:lang w:val="en-US" w:eastAsia="zh-CN"/>
                    </w:rPr>
                    <w:t>以铝为基体，占比大于90%，含有锰、镁、硅、锌等微量元素。</w:t>
                  </w:r>
                </w:p>
              </w:tc>
            </w:tr>
            <w:tr w14:paraId="37A1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24FD79C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737" w:type="dxa"/>
                  <w:shd w:val="clear" w:color="auto" w:fill="auto"/>
                  <w:tcMar>
                    <w:left w:w="28" w:type="dxa"/>
                    <w:right w:w="28" w:type="dxa"/>
                  </w:tcMar>
                  <w:vAlign w:val="center"/>
                </w:tcPr>
                <w:p w14:paraId="52364EA1">
                  <w:pPr>
                    <w:jc w:val="center"/>
                    <w:rPr>
                      <w:rFonts w:hint="eastAsia"/>
                      <w:color w:val="auto"/>
                      <w:szCs w:val="21"/>
                      <w:highlight w:val="none"/>
                      <w:lang w:val="en-US" w:eastAsia="zh-CN"/>
                    </w:rPr>
                  </w:pPr>
                  <w:r>
                    <w:rPr>
                      <w:rFonts w:hint="eastAsia"/>
                      <w:color w:val="auto"/>
                      <w:szCs w:val="21"/>
                      <w:highlight w:val="none"/>
                    </w:rPr>
                    <w:t>PP塑料新粒</w:t>
                  </w:r>
                </w:p>
              </w:tc>
              <w:tc>
                <w:tcPr>
                  <w:tcW w:w="8196" w:type="dxa"/>
                  <w:tcMar>
                    <w:left w:w="28" w:type="dxa"/>
                    <w:right w:w="28" w:type="dxa"/>
                  </w:tcMar>
                  <w:vAlign w:val="center"/>
                </w:tcPr>
                <w:p w14:paraId="73763BC9">
                  <w:pPr>
                    <w:jc w:val="center"/>
                    <w:rPr>
                      <w:rFonts w:hint="eastAsia"/>
                      <w:color w:val="auto"/>
                      <w:szCs w:val="21"/>
                      <w:highlight w:val="none"/>
                    </w:rPr>
                  </w:pPr>
                  <w:r>
                    <w:rPr>
                      <w:rFonts w:hint="default" w:ascii="Times New Roman" w:hAnsi="Times New Roman" w:cs="Times New Roman"/>
                      <w:color w:val="auto"/>
                      <w:szCs w:val="21"/>
                      <w:shd w:val="clear" w:color="auto" w:fill="FFFFFF"/>
                    </w:rPr>
                    <w:t>聚丙烯简称PP，是丙烯通过加聚反应而成的聚合物。系白色蜡状材料，外观透明而轻。化学式为(C3H6)n，密度为0.89～0.91g/cm</w:t>
                  </w:r>
                  <w:r>
                    <w:rPr>
                      <w:rFonts w:hint="default" w:ascii="Times New Roman" w:hAnsi="Times New Roman" w:cs="Times New Roman"/>
                      <w:color w:val="auto"/>
                      <w:szCs w:val="21"/>
                      <w:shd w:val="clear" w:color="auto" w:fill="FFFFFF"/>
                      <w:vertAlign w:val="superscript"/>
                    </w:rPr>
                    <w:t>3</w:t>
                  </w:r>
                  <w:r>
                    <w:rPr>
                      <w:rFonts w:hint="default" w:ascii="Times New Roman" w:hAnsi="Times New Roman" w:cs="Times New Roman"/>
                      <w:color w:val="auto"/>
                      <w:szCs w:val="21"/>
                      <w:shd w:val="clear" w:color="auto" w:fill="FFFFFF"/>
                    </w:rPr>
                    <w:t>，易燃，熔点189℃，在155℃左右软化</w:t>
                  </w:r>
                  <w:r>
                    <w:rPr>
                      <w:rFonts w:hint="default" w:ascii="Times New Roman" w:hAnsi="Times New Roman" w:cs="Times New Roman"/>
                      <w:color w:val="auto"/>
                      <w:szCs w:val="21"/>
                      <w:shd w:val="clear" w:color="auto" w:fill="FFFFFF"/>
                      <w:lang w:eastAsia="zh-CN"/>
                    </w:rPr>
                    <w:t>，</w:t>
                  </w:r>
                  <w:r>
                    <w:rPr>
                      <w:rFonts w:hint="default" w:ascii="Times New Roman" w:hAnsi="Times New Roman" w:cs="Times New Roman"/>
                      <w:color w:val="auto"/>
                      <w:szCs w:val="21"/>
                      <w:shd w:val="clear" w:color="auto" w:fill="FFFFFF"/>
                    </w:rPr>
                    <w:t>使用温度范围为-30～140℃。在80℃以下能耐酸、碱、盐液及多种有机溶剂的腐蚀，能在高温和氧化作用下分解。PP注塑温度一般在160~220℃，热裂解温度为270℃以上</w:t>
                  </w:r>
                  <w:r>
                    <w:rPr>
                      <w:rFonts w:hint="eastAsia" w:ascii="Times New Roman" w:hAnsi="Times New Roman" w:cs="Times New Roman"/>
                      <w:color w:val="auto"/>
                      <w:szCs w:val="21"/>
                      <w:shd w:val="clear" w:color="auto" w:fill="FFFFFF"/>
                      <w:lang w:eastAsia="zh-CN"/>
                    </w:rPr>
                    <w:t>。</w:t>
                  </w:r>
                </w:p>
              </w:tc>
            </w:tr>
            <w:tr w14:paraId="3735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4E7BC5D7">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3</w:t>
                  </w:r>
                </w:p>
              </w:tc>
              <w:tc>
                <w:tcPr>
                  <w:tcW w:w="737" w:type="dxa"/>
                  <w:shd w:val="clear" w:color="auto" w:fill="auto"/>
                  <w:tcMar>
                    <w:left w:w="28" w:type="dxa"/>
                    <w:right w:w="28" w:type="dxa"/>
                  </w:tcMar>
                  <w:vAlign w:val="center"/>
                </w:tcPr>
                <w:p w14:paraId="513D81A6">
                  <w:pPr>
                    <w:jc w:val="center"/>
                    <w:rPr>
                      <w:rFonts w:hint="eastAsia"/>
                      <w:color w:val="auto"/>
                      <w:szCs w:val="21"/>
                      <w:highlight w:val="none"/>
                      <w:lang w:val="en-US" w:eastAsia="zh-CN"/>
                    </w:rPr>
                  </w:pPr>
                  <w:r>
                    <w:rPr>
                      <w:rFonts w:hint="eastAsia"/>
                      <w:color w:val="auto"/>
                      <w:szCs w:val="21"/>
                      <w:highlight w:val="none"/>
                    </w:rPr>
                    <w:t>酸性脱脂剂</w:t>
                  </w:r>
                </w:p>
              </w:tc>
              <w:tc>
                <w:tcPr>
                  <w:tcW w:w="8196" w:type="dxa"/>
                  <w:tcMar>
                    <w:left w:w="28" w:type="dxa"/>
                    <w:right w:w="28" w:type="dxa"/>
                  </w:tcMar>
                  <w:vAlign w:val="center"/>
                </w:tcPr>
                <w:p w14:paraId="5CADF16E">
                  <w:pPr>
                    <w:jc w:val="center"/>
                    <w:rPr>
                      <w:rFonts w:hint="eastAsia" w:eastAsia="宋体"/>
                      <w:color w:val="auto"/>
                      <w:szCs w:val="21"/>
                      <w:highlight w:val="none"/>
                      <w:lang w:eastAsia="zh-CN"/>
                    </w:rPr>
                  </w:pPr>
                  <w:r>
                    <w:rPr>
                      <w:rFonts w:hint="eastAsia"/>
                      <w:color w:val="auto"/>
                      <w:szCs w:val="21"/>
                      <w:highlight w:val="none"/>
                    </w:rPr>
                    <w:t>一种高效酸性脱脂剂，具有优良的乳化净洗能力。由乳化活性剂</w:t>
                  </w:r>
                  <w:r>
                    <w:rPr>
                      <w:rFonts w:hint="eastAsia"/>
                      <w:color w:val="auto"/>
                      <w:szCs w:val="21"/>
                      <w:highlight w:val="none"/>
                      <w:lang w:eastAsia="zh-CN"/>
                    </w:rPr>
                    <w:t>、</w:t>
                  </w:r>
                  <w:r>
                    <w:rPr>
                      <w:rFonts w:hint="eastAsia"/>
                      <w:color w:val="auto"/>
                      <w:szCs w:val="21"/>
                      <w:highlight w:val="none"/>
                      <w:lang w:val="en-US" w:eastAsia="zh-CN"/>
                    </w:rPr>
                    <w:t>阴离子表面活性剂或阴离子表面活性剂</w:t>
                  </w:r>
                  <w:r>
                    <w:rPr>
                      <w:rFonts w:hint="eastAsia"/>
                      <w:color w:val="auto"/>
                      <w:szCs w:val="21"/>
                      <w:highlight w:val="none"/>
                    </w:rPr>
                    <w:t>，矿物酸等混合而成。是一种淡黄至无色透明油状液体，略有刺激性气味</w:t>
                  </w:r>
                  <w:r>
                    <w:rPr>
                      <w:rFonts w:hint="eastAsia"/>
                      <w:color w:val="auto"/>
                      <w:szCs w:val="21"/>
                      <w:highlight w:val="none"/>
                      <w:lang w:eastAsia="zh-CN"/>
                    </w:rPr>
                    <w:t>。</w:t>
                  </w:r>
                </w:p>
              </w:tc>
            </w:tr>
            <w:tr w14:paraId="4FCD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67D6468F">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w:t>
                  </w:r>
                </w:p>
              </w:tc>
              <w:tc>
                <w:tcPr>
                  <w:tcW w:w="737" w:type="dxa"/>
                  <w:shd w:val="clear" w:color="auto" w:fill="auto"/>
                  <w:tcMar>
                    <w:left w:w="28" w:type="dxa"/>
                    <w:right w:w="28" w:type="dxa"/>
                  </w:tcMar>
                  <w:vAlign w:val="center"/>
                </w:tcPr>
                <w:p w14:paraId="39466E83">
                  <w:pPr>
                    <w:jc w:val="center"/>
                    <w:rPr>
                      <w:rFonts w:hint="eastAsia"/>
                      <w:color w:val="auto"/>
                      <w:szCs w:val="21"/>
                      <w:highlight w:val="none"/>
                      <w:lang w:val="en-US" w:eastAsia="zh-CN"/>
                    </w:rPr>
                  </w:pPr>
                  <w:r>
                    <w:rPr>
                      <w:rFonts w:hint="eastAsia"/>
                      <w:color w:val="auto"/>
                      <w:szCs w:val="21"/>
                      <w:highlight w:val="none"/>
                    </w:rPr>
                    <w:t>封孔剂DY-103</w:t>
                  </w:r>
                </w:p>
              </w:tc>
              <w:tc>
                <w:tcPr>
                  <w:tcW w:w="8196" w:type="dxa"/>
                  <w:tcMar>
                    <w:left w:w="28" w:type="dxa"/>
                    <w:right w:w="28" w:type="dxa"/>
                  </w:tcMar>
                  <w:vAlign w:val="center"/>
                </w:tcPr>
                <w:p w14:paraId="19CC9976">
                  <w:pPr>
                    <w:jc w:val="center"/>
                    <w:rPr>
                      <w:rFonts w:hint="eastAsia"/>
                      <w:color w:val="auto"/>
                      <w:szCs w:val="21"/>
                      <w:highlight w:val="none"/>
                    </w:rPr>
                  </w:pPr>
                  <w:r>
                    <w:rPr>
                      <w:rFonts w:hint="eastAsia"/>
                      <w:color w:val="auto"/>
                      <w:szCs w:val="21"/>
                      <w:highlight w:val="none"/>
                    </w:rPr>
                    <w:t>采用的封孔剂为醋酸镍，分子式</w:t>
                  </w:r>
                  <w:r>
                    <w:rPr>
                      <w:rFonts w:hint="eastAsia"/>
                      <w:color w:val="auto"/>
                      <w:szCs w:val="21"/>
                      <w:highlight w:val="none"/>
                      <w:lang w:eastAsia="zh-CN"/>
                    </w:rPr>
                    <w:t>：</w:t>
                  </w:r>
                  <w:r>
                    <w:rPr>
                      <w:rFonts w:hint="eastAsia"/>
                      <w:color w:val="auto"/>
                      <w:szCs w:val="21"/>
                      <w:highlight w:val="none"/>
                    </w:rPr>
                    <w:t>Ni(CH</w:t>
                  </w:r>
                  <w:r>
                    <w:rPr>
                      <w:rFonts w:hint="eastAsia"/>
                      <w:color w:val="auto"/>
                      <w:szCs w:val="21"/>
                      <w:highlight w:val="none"/>
                      <w:vertAlign w:val="subscript"/>
                    </w:rPr>
                    <w:t>3</w:t>
                  </w:r>
                  <w:r>
                    <w:rPr>
                      <w:rFonts w:hint="eastAsia"/>
                      <w:color w:val="auto"/>
                      <w:szCs w:val="21"/>
                      <w:highlight w:val="none"/>
                    </w:rPr>
                    <w:t>COO)·4H</w:t>
                  </w:r>
                  <w:r>
                    <w:rPr>
                      <w:rFonts w:hint="eastAsia"/>
                      <w:color w:val="auto"/>
                      <w:szCs w:val="21"/>
                      <w:highlight w:val="none"/>
                      <w:vertAlign w:val="subscript"/>
                    </w:rPr>
                    <w:t>2</w:t>
                  </w:r>
                  <w:r>
                    <w:rPr>
                      <w:rFonts w:hint="eastAsia"/>
                      <w:color w:val="auto"/>
                      <w:szCs w:val="21"/>
                      <w:highlight w:val="none"/>
                    </w:rPr>
                    <w:t>O。性状</w:t>
                  </w:r>
                  <w:r>
                    <w:rPr>
                      <w:rFonts w:hint="eastAsia"/>
                      <w:color w:val="auto"/>
                      <w:szCs w:val="21"/>
                      <w:highlight w:val="none"/>
                      <w:lang w:eastAsia="zh-CN"/>
                    </w:rPr>
                    <w:t>：</w:t>
                  </w:r>
                  <w:r>
                    <w:rPr>
                      <w:rFonts w:hint="eastAsia"/>
                      <w:color w:val="auto"/>
                      <w:szCs w:val="21"/>
                      <w:highlight w:val="none"/>
                    </w:rPr>
                    <w:t>可溶的绿色结晶体或粉末，溶于水和乙醇。用途</w:t>
                  </w:r>
                  <w:r>
                    <w:rPr>
                      <w:rFonts w:hint="eastAsia"/>
                      <w:color w:val="auto"/>
                      <w:szCs w:val="21"/>
                      <w:highlight w:val="none"/>
                      <w:lang w:eastAsia="zh-CN"/>
                    </w:rPr>
                    <w:t>：</w:t>
                  </w:r>
                  <w:r>
                    <w:rPr>
                      <w:rFonts w:hint="eastAsia"/>
                      <w:color w:val="auto"/>
                      <w:szCs w:val="21"/>
                      <w:highlight w:val="none"/>
                    </w:rPr>
                    <w:t>主要用作催化剂，也用作制取油漆涂料的干燥剂、印染剂</w:t>
                  </w:r>
                  <w:r>
                    <w:rPr>
                      <w:rFonts w:hint="eastAsia"/>
                      <w:color w:val="auto"/>
                      <w:szCs w:val="21"/>
                      <w:highlight w:val="none"/>
                      <w:lang w:eastAsia="zh-CN"/>
                    </w:rPr>
                    <w:t>，</w:t>
                  </w:r>
                  <w:r>
                    <w:rPr>
                      <w:rFonts w:hint="eastAsia"/>
                      <w:color w:val="auto"/>
                      <w:szCs w:val="21"/>
                      <w:highlight w:val="none"/>
                    </w:rPr>
                    <w:t>玻璃钢固化促进剂和隐显墨水等。吸入、摄入或经皮肤吸收后对身体有害。对眼睛、皮肤和粘膜有刺激作用。皮肤接触引起皮炎、过敏反应</w:t>
                  </w:r>
                </w:p>
              </w:tc>
            </w:tr>
            <w:tr w14:paraId="4944A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2FD0F1B3">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w:t>
                  </w:r>
                </w:p>
              </w:tc>
              <w:tc>
                <w:tcPr>
                  <w:tcW w:w="737" w:type="dxa"/>
                  <w:shd w:val="clear" w:color="auto" w:fill="auto"/>
                  <w:tcMar>
                    <w:left w:w="28" w:type="dxa"/>
                    <w:right w:w="28" w:type="dxa"/>
                  </w:tcMar>
                  <w:vAlign w:val="center"/>
                </w:tcPr>
                <w:p w14:paraId="50C7543B">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rPr>
                    <w:t>除油粉</w:t>
                  </w:r>
                </w:p>
              </w:tc>
              <w:tc>
                <w:tcPr>
                  <w:tcW w:w="8196" w:type="dxa"/>
                  <w:tcMar>
                    <w:left w:w="28" w:type="dxa"/>
                    <w:right w:w="28" w:type="dxa"/>
                  </w:tcMar>
                  <w:vAlign w:val="center"/>
                </w:tcPr>
                <w:p w14:paraId="482EFCEA">
                  <w:pPr>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rPr>
                    <w:t>由固体盐类配制而成的粉末状清洗剂，外观呈白色粉末，3%水溶液的pH值为11.5-14.0</w:t>
                  </w:r>
                  <w:r>
                    <w:rPr>
                      <w:rFonts w:hint="default" w:ascii="Times New Roman" w:hAnsi="Times New Roman" w:eastAsia="宋体" w:cs="Times New Roman"/>
                      <w:color w:val="auto"/>
                      <w:szCs w:val="21"/>
                      <w:highlight w:val="none"/>
                    </w:rPr>
                    <w:t>。其成分包含</w:t>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"https://baike.baidu.com/item/%E6%B0%A2%E6%B0%A7%E5%8C%96%E9%92%A0/114556?fromModule=lemma_inlink" \t "https://baike.baidu.com/item/%E9%99%A4%E6%B2%B9%E7%B2%89/_blank"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氢氧化钠</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"https://baike.baidu.com/item/%E7%A2%B3%E9%85%B8%E9%92%A0/2193738?fromModule=lemma_inlink" \t "https://baike.baidu.com/item/%E9%99%A4%E6%B2%B9%E7%B2%89/_blank"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碳酸钠</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t>等碱性物质，以及</w:t>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"https://baike.baidu.com/item/%E8%84%82%E8%82%AA%E9%86%87%E8%81%9A%E6%B0%A7%E4%B9%99%E7%83%AF%E9%86%9A/4719345?fromModule=lemma_inlink" \t "https://baike.baidu.com/item/%E9%99%A4%E6%B2%B9%E7%B2%89/_blank"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脂肪醇聚氧乙烯醚</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t>、烷基酚聚氧乙烯醚等表面活性剂，并辅以</w:t>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"https://baike.baidu.com/item/%E7%84%A6%E7%A3%B7%E9%85%B8%E9%92%A0/4386842?fromModule=lemma_inlink" \t "https://baike.baidu.com/item/%E9%99%A4%E6%B2%B9%E7%B2%89/_blank"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焦磷酸钠</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rPr>
                    <w:fldChar w:fldCharType="begin"/>
                  </w:r>
                  <w:r>
                    <w:rPr>
                      <w:rFonts w:hint="default" w:ascii="Times New Roman" w:hAnsi="Times New Roman" w:eastAsia="宋体" w:cs="Times New Roman"/>
                      <w:color w:val="auto"/>
                      <w:szCs w:val="21"/>
                      <w:highlight w:val="none"/>
                    </w:rPr>
                    <w:instrText xml:space="preserve"> HYPERLINK "https://baike.baidu.com/item/%E4%B8%89%E8%81%9A%E7%A3%B7%E9%85%B8%E9%92%A0/3218571?fromModule=lemma_inlink" \t "https://baike.baidu.com/item/%E9%99%A4%E6%B2%B9%E7%B2%89/_blank" </w:instrText>
                  </w:r>
                  <w:r>
                    <w:rPr>
                      <w:rFonts w:hint="default" w:ascii="Times New Roman" w:hAnsi="Times New Roman" w:eastAsia="宋体" w:cs="Times New Roman"/>
                      <w:color w:val="auto"/>
                      <w:szCs w:val="21"/>
                      <w:highlight w:val="none"/>
                    </w:rPr>
                    <w:fldChar w:fldCharType="separate"/>
                  </w:r>
                  <w:r>
                    <w:rPr>
                      <w:rFonts w:hint="default" w:ascii="Times New Roman" w:hAnsi="Times New Roman" w:eastAsia="宋体" w:cs="Times New Roman"/>
                      <w:color w:val="auto"/>
                      <w:szCs w:val="21"/>
                      <w:highlight w:val="none"/>
                    </w:rPr>
                    <w:t>三聚磷酸钠</w:t>
                  </w:r>
                  <w:r>
                    <w:rPr>
                      <w:rFonts w:hint="default" w:ascii="Times New Roman" w:hAnsi="Times New Roman" w:eastAsia="宋体" w:cs="Times New Roman"/>
                      <w:color w:val="auto"/>
                      <w:szCs w:val="21"/>
                      <w:highlight w:val="none"/>
                    </w:rPr>
                    <w:fldChar w:fldCharType="end"/>
                  </w:r>
                  <w:r>
                    <w:rPr>
                      <w:rFonts w:hint="default" w:ascii="Times New Roman" w:hAnsi="Times New Roman" w:eastAsia="宋体" w:cs="Times New Roman"/>
                      <w:color w:val="auto"/>
                      <w:szCs w:val="21"/>
                      <w:highlight w:val="none"/>
                    </w:rPr>
                    <w:t>等助洗剂和缓蚀剂</w:t>
                  </w:r>
                  <w:r>
                    <w:rPr>
                      <w:rFonts w:hint="eastAsia" w:ascii="Times New Roman" w:hAnsi="Times New Roman" w:eastAsia="宋体" w:cs="Times New Roman"/>
                      <w:color w:val="auto"/>
                      <w:szCs w:val="21"/>
                      <w:highlight w:val="none"/>
                      <w:lang w:eastAsia="zh-CN"/>
                    </w:rPr>
                    <w:t>。</w:t>
                  </w:r>
                </w:p>
              </w:tc>
            </w:tr>
            <w:tr w14:paraId="5B2A9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11D29909">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6</w:t>
                  </w:r>
                </w:p>
              </w:tc>
              <w:tc>
                <w:tcPr>
                  <w:tcW w:w="737" w:type="dxa"/>
                  <w:shd w:val="clear" w:color="auto" w:fill="auto"/>
                  <w:tcMar>
                    <w:left w:w="28" w:type="dxa"/>
                    <w:right w:w="28" w:type="dxa"/>
                  </w:tcMar>
                  <w:vAlign w:val="center"/>
                </w:tcPr>
                <w:p w14:paraId="2DF2A022">
                  <w:pPr>
                    <w:jc w:val="center"/>
                    <w:rPr>
                      <w:rFonts w:hint="eastAsia"/>
                      <w:color w:val="auto"/>
                      <w:szCs w:val="21"/>
                      <w:highlight w:val="none"/>
                      <w:lang w:val="en-US" w:eastAsia="zh-CN"/>
                    </w:rPr>
                  </w:pPr>
                  <w:r>
                    <w:rPr>
                      <w:rFonts w:hint="eastAsia"/>
                      <w:color w:val="auto"/>
                      <w:szCs w:val="21"/>
                      <w:highlight w:val="none"/>
                    </w:rPr>
                    <w:t>染料</w:t>
                  </w:r>
                </w:p>
              </w:tc>
              <w:tc>
                <w:tcPr>
                  <w:tcW w:w="8196" w:type="dxa"/>
                  <w:tcMar>
                    <w:left w:w="28" w:type="dxa"/>
                    <w:right w:w="28" w:type="dxa"/>
                  </w:tcMar>
                  <w:vAlign w:val="center"/>
                </w:tcPr>
                <w:p w14:paraId="650F4164">
                  <w:pPr>
                    <w:jc w:val="center"/>
                    <w:rPr>
                      <w:rFonts w:hint="eastAsia"/>
                      <w:color w:val="auto"/>
                      <w:szCs w:val="21"/>
                      <w:highlight w:val="none"/>
                    </w:rPr>
                  </w:pPr>
                  <w:r>
                    <w:rPr>
                      <w:rFonts w:hint="eastAsia"/>
                      <w:color w:val="auto"/>
                      <w:szCs w:val="21"/>
                      <w:highlight w:val="none"/>
                    </w:rPr>
                    <w:t>采用的染料为专门使用于铝及铝合金的表面着色，在常温下呈粉末状，易溶于水，易受潮，水溶液呈弱酸性，主要成份是氨基，羧基和二甲基，是有机化合物。对环境有一定的影响，主要是过量时，是造成水体的上色，对水生物也有一定的危害，量小时，无太大的影响，不易燃不易爆。对人体，如果吸入或误食，可能造成肺部的危害。储存时注意避免高温，强碱，并放置于密闭容器中，保持干燥的。</w:t>
                  </w:r>
                </w:p>
              </w:tc>
            </w:tr>
            <w:tr w14:paraId="2191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1B25F750">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7</w:t>
                  </w:r>
                </w:p>
              </w:tc>
              <w:tc>
                <w:tcPr>
                  <w:tcW w:w="737" w:type="dxa"/>
                  <w:shd w:val="clear" w:color="auto" w:fill="auto"/>
                  <w:tcMar>
                    <w:left w:w="28" w:type="dxa"/>
                    <w:right w:w="28" w:type="dxa"/>
                  </w:tcMar>
                  <w:vAlign w:val="center"/>
                </w:tcPr>
                <w:p w14:paraId="6F2B498E">
                  <w:pPr>
                    <w:jc w:val="center"/>
                    <w:rPr>
                      <w:rFonts w:hint="eastAsia"/>
                      <w:color w:val="auto"/>
                      <w:szCs w:val="21"/>
                      <w:highlight w:val="none"/>
                      <w:lang w:val="en-US" w:eastAsia="zh-CN"/>
                    </w:rPr>
                  </w:pPr>
                  <w:r>
                    <w:rPr>
                      <w:rFonts w:hint="eastAsia"/>
                      <w:color w:val="auto"/>
                      <w:szCs w:val="21"/>
                      <w:highlight w:val="none"/>
                    </w:rPr>
                    <w:t>工业磷酸</w:t>
                  </w:r>
                </w:p>
              </w:tc>
              <w:tc>
                <w:tcPr>
                  <w:tcW w:w="8196" w:type="dxa"/>
                  <w:tcMar>
                    <w:left w:w="28" w:type="dxa"/>
                    <w:right w:w="28" w:type="dxa"/>
                  </w:tcMar>
                  <w:vAlign w:val="center"/>
                </w:tcPr>
                <w:p w14:paraId="3C6BEA40">
                  <w:pPr>
                    <w:jc w:val="center"/>
                    <w:rPr>
                      <w:rFonts w:hint="eastAsia"/>
                      <w:color w:val="auto"/>
                      <w:szCs w:val="21"/>
                      <w:highlight w:val="none"/>
                    </w:rPr>
                  </w:pPr>
                  <w:r>
                    <w:rPr>
                      <w:rFonts w:hint="eastAsia"/>
                      <w:color w:val="auto"/>
                      <w:szCs w:val="21"/>
                      <w:highlight w:val="none"/>
                    </w:rPr>
                    <w:t>分子式</w:t>
                  </w:r>
                  <w:r>
                    <w:rPr>
                      <w:rFonts w:hint="eastAsia"/>
                      <w:color w:val="auto"/>
                      <w:szCs w:val="21"/>
                      <w:highlight w:val="none"/>
                      <w:lang w:eastAsia="zh-CN"/>
                    </w:rPr>
                    <w:t>：</w:t>
                  </w:r>
                  <w:r>
                    <w:rPr>
                      <w:rFonts w:hint="eastAsia"/>
                      <w:color w:val="auto"/>
                      <w:szCs w:val="21"/>
                      <w:highlight w:val="none"/>
                    </w:rPr>
                    <w:t>H</w:t>
                  </w:r>
                  <w:r>
                    <w:rPr>
                      <w:rFonts w:hint="eastAsia"/>
                      <w:color w:val="auto"/>
                      <w:szCs w:val="21"/>
                      <w:highlight w:val="none"/>
                      <w:vertAlign w:val="subscript"/>
                      <w:lang w:val="en-US" w:eastAsia="zh-CN"/>
                    </w:rPr>
                    <w:t>3</w:t>
                  </w:r>
                  <w:r>
                    <w:rPr>
                      <w:rFonts w:hint="eastAsia"/>
                      <w:color w:val="auto"/>
                      <w:szCs w:val="21"/>
                      <w:highlight w:val="none"/>
                    </w:rPr>
                    <w:t>PO</w:t>
                  </w:r>
                  <w:r>
                    <w:rPr>
                      <w:rFonts w:hint="eastAsia"/>
                      <w:color w:val="auto"/>
                      <w:szCs w:val="21"/>
                      <w:highlight w:val="none"/>
                      <w:vertAlign w:val="subscript"/>
                    </w:rPr>
                    <w:t>4</w:t>
                  </w:r>
                  <w:r>
                    <w:rPr>
                      <w:rFonts w:hint="eastAsia"/>
                      <w:color w:val="auto"/>
                      <w:szCs w:val="21"/>
                      <w:highlight w:val="none"/>
                    </w:rPr>
                    <w:t>，属于中强酸，无色透明或略带浅黄色、稠状液体，多用于金属表面处理剂，磷酸盐原料制品，有机反应催化剂，耐火材料添加剂，木质原料制造活性炭的活化剂等。蒸气或雾对眼、鼻、喉有刺激性。口服液体可引起恶心、呕吐、腹痛、血便或休克。皮肤或眼接触可致灼伤。慢性影响</w:t>
                  </w:r>
                  <w:r>
                    <w:rPr>
                      <w:rFonts w:hint="eastAsia"/>
                      <w:color w:val="auto"/>
                      <w:szCs w:val="21"/>
                      <w:highlight w:val="none"/>
                      <w:lang w:eastAsia="zh-CN"/>
                    </w:rPr>
                    <w:t>：</w:t>
                  </w:r>
                  <w:r>
                    <w:rPr>
                      <w:rFonts w:hint="eastAsia"/>
                      <w:color w:val="auto"/>
                      <w:szCs w:val="21"/>
                      <w:highlight w:val="none"/>
                    </w:rPr>
                    <w:t>鼻粘膜萎缩、鼻中隔穿孔。长期反复皮肤接触，可引起皮肤刺激。</w:t>
                  </w:r>
                </w:p>
              </w:tc>
            </w:tr>
            <w:tr w14:paraId="6BF7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53757947">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8</w:t>
                  </w:r>
                </w:p>
              </w:tc>
              <w:tc>
                <w:tcPr>
                  <w:tcW w:w="737" w:type="dxa"/>
                  <w:shd w:val="clear" w:color="auto" w:fill="auto"/>
                  <w:tcMar>
                    <w:left w:w="28" w:type="dxa"/>
                    <w:right w:w="28" w:type="dxa"/>
                  </w:tcMar>
                  <w:vAlign w:val="center"/>
                </w:tcPr>
                <w:p w14:paraId="7F1E1E74">
                  <w:pPr>
                    <w:jc w:val="center"/>
                    <w:rPr>
                      <w:rFonts w:hint="eastAsia"/>
                      <w:color w:val="auto"/>
                      <w:szCs w:val="21"/>
                      <w:highlight w:val="none"/>
                      <w:lang w:val="en-US" w:eastAsia="zh-CN"/>
                    </w:rPr>
                  </w:pPr>
                  <w:r>
                    <w:rPr>
                      <w:rFonts w:hint="eastAsia"/>
                      <w:color w:val="auto"/>
                      <w:szCs w:val="21"/>
                      <w:highlight w:val="none"/>
                    </w:rPr>
                    <w:t>工业硫酸</w:t>
                  </w:r>
                </w:p>
              </w:tc>
              <w:tc>
                <w:tcPr>
                  <w:tcW w:w="8196" w:type="dxa"/>
                  <w:tcMar>
                    <w:left w:w="28" w:type="dxa"/>
                    <w:right w:w="28" w:type="dxa"/>
                  </w:tcMar>
                  <w:vAlign w:val="center"/>
                </w:tcPr>
                <w:p w14:paraId="01B37B49">
                  <w:pPr>
                    <w:jc w:val="center"/>
                    <w:rPr>
                      <w:rFonts w:hint="eastAsia"/>
                      <w:color w:val="auto"/>
                      <w:szCs w:val="21"/>
                      <w:highlight w:val="none"/>
                    </w:rPr>
                  </w:pPr>
                  <w:r>
                    <w:rPr>
                      <w:rFonts w:hint="eastAsia"/>
                      <w:color w:val="auto"/>
                      <w:szCs w:val="21"/>
                      <w:highlight w:val="none"/>
                    </w:rPr>
                    <w:t>硫酸，分子式为H</w:t>
                  </w:r>
                  <w:r>
                    <w:rPr>
                      <w:rFonts w:hint="eastAsia"/>
                      <w:color w:val="auto"/>
                      <w:szCs w:val="21"/>
                      <w:highlight w:val="none"/>
                      <w:vertAlign w:val="subscript"/>
                    </w:rPr>
                    <w:t>2</w:t>
                  </w:r>
                  <w:r>
                    <w:rPr>
                      <w:rFonts w:hint="eastAsia"/>
                      <w:color w:val="auto"/>
                      <w:szCs w:val="21"/>
                      <w:highlight w:val="none"/>
                    </w:rPr>
                    <w:t>SO</w:t>
                  </w:r>
                  <w:r>
                    <w:rPr>
                      <w:rFonts w:hint="eastAsia"/>
                      <w:color w:val="auto"/>
                      <w:szCs w:val="21"/>
                      <w:highlight w:val="none"/>
                      <w:vertAlign w:val="subscript"/>
                    </w:rPr>
                    <w:t>4</w:t>
                  </w:r>
                  <w:r>
                    <w:rPr>
                      <w:rFonts w:hint="eastAsia"/>
                      <w:color w:val="auto"/>
                      <w:szCs w:val="21"/>
                      <w:highlight w:val="none"/>
                    </w:rPr>
                    <w:t>。是一种无色无味油状液体，是一种高沸点难挥发的强酸，易溶于水，能以任意比与水混溶。硫酸是基本化学工业中重要产品之一。它不仅作为许多化工产品的原料，而且还广泛地应用于其他的国民经济部门。</w:t>
                  </w:r>
                </w:p>
              </w:tc>
            </w:tr>
            <w:tr w14:paraId="234E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4B499367">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9</w:t>
                  </w:r>
                </w:p>
              </w:tc>
              <w:tc>
                <w:tcPr>
                  <w:tcW w:w="737" w:type="dxa"/>
                  <w:shd w:val="clear" w:color="auto" w:fill="auto"/>
                  <w:tcMar>
                    <w:left w:w="28" w:type="dxa"/>
                    <w:right w:w="28" w:type="dxa"/>
                  </w:tcMar>
                  <w:vAlign w:val="center"/>
                </w:tcPr>
                <w:p w14:paraId="5CE84F2E">
                  <w:pPr>
                    <w:jc w:val="center"/>
                    <w:rPr>
                      <w:rFonts w:hint="eastAsia"/>
                      <w:color w:val="auto"/>
                      <w:szCs w:val="21"/>
                      <w:highlight w:val="none"/>
                      <w:lang w:val="en-US" w:eastAsia="zh-CN"/>
                    </w:rPr>
                  </w:pPr>
                  <w:r>
                    <w:rPr>
                      <w:rFonts w:hint="eastAsia"/>
                      <w:color w:val="auto"/>
                      <w:szCs w:val="21"/>
                      <w:highlight w:val="none"/>
                    </w:rPr>
                    <w:t>工业硝酸98%</w:t>
                  </w:r>
                </w:p>
              </w:tc>
              <w:tc>
                <w:tcPr>
                  <w:tcW w:w="8196" w:type="dxa"/>
                  <w:tcMar>
                    <w:left w:w="28" w:type="dxa"/>
                    <w:right w:w="28" w:type="dxa"/>
                  </w:tcMar>
                  <w:vAlign w:val="center"/>
                </w:tcPr>
                <w:p w14:paraId="75DC1940">
                  <w:pPr>
                    <w:jc w:val="center"/>
                    <w:rPr>
                      <w:rFonts w:hint="eastAsia"/>
                      <w:color w:val="auto"/>
                      <w:szCs w:val="21"/>
                      <w:highlight w:val="none"/>
                    </w:rPr>
                  </w:pPr>
                  <w:r>
                    <w:rPr>
                      <w:rFonts w:hint="eastAsia"/>
                      <w:color w:val="auto"/>
                      <w:szCs w:val="21"/>
                      <w:highlight w:val="none"/>
                    </w:rPr>
                    <w:t>无色透明液体。熔点-42℃。沸点83℃。密度1.5027g/cm</w:t>
                  </w:r>
                  <w:r>
                    <w:rPr>
                      <w:rFonts w:hint="eastAsia"/>
                      <w:color w:val="auto"/>
                      <w:szCs w:val="21"/>
                      <w:highlight w:val="none"/>
                      <w:vertAlign w:val="superscript"/>
                    </w:rPr>
                    <w:t>3</w:t>
                  </w:r>
                  <w:r>
                    <w:rPr>
                      <w:rFonts w:hint="eastAsia"/>
                      <w:color w:val="auto"/>
                      <w:szCs w:val="21"/>
                      <w:highlight w:val="none"/>
                    </w:rPr>
                    <w:t>(250℃)。能与水以任何比例混合，具有刺激性和强烈的窒息性和腐蚀性。硝酸水溶液具有导电性，会灼伤皮肤。化学性质活泼，常温下能分解出二氧化氮。可与许多金属剧烈反应，是一种无机强酸和强氧化剂。市售稀硝酸含量49%，呈微黄色。发烟硝酸呈红褐色液体，是强氧化剂，能使铝钝化，与有机物、木屑相混能引起燃烧。</w:t>
                  </w:r>
                </w:p>
              </w:tc>
            </w:tr>
            <w:tr w14:paraId="22E0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5D15222F">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11</w:t>
                  </w:r>
                </w:p>
              </w:tc>
              <w:tc>
                <w:tcPr>
                  <w:tcW w:w="737" w:type="dxa"/>
                  <w:shd w:val="clear" w:color="auto" w:fill="auto"/>
                  <w:tcMar>
                    <w:left w:w="28" w:type="dxa"/>
                    <w:right w:w="28" w:type="dxa"/>
                  </w:tcMar>
                  <w:vAlign w:val="center"/>
                </w:tcPr>
                <w:p w14:paraId="11E7E6C3">
                  <w:pPr>
                    <w:jc w:val="center"/>
                    <w:rPr>
                      <w:rFonts w:hint="eastAsia"/>
                      <w:color w:val="auto"/>
                      <w:szCs w:val="21"/>
                      <w:highlight w:val="none"/>
                      <w:lang w:val="en-US" w:eastAsia="zh-CN"/>
                    </w:rPr>
                  </w:pPr>
                  <w:r>
                    <w:rPr>
                      <w:rFonts w:hint="eastAsia"/>
                      <w:color w:val="auto"/>
                      <w:szCs w:val="21"/>
                      <w:highlight w:val="none"/>
                    </w:rPr>
                    <w:t>片碱99%</w:t>
                  </w:r>
                </w:p>
              </w:tc>
              <w:tc>
                <w:tcPr>
                  <w:tcW w:w="8196" w:type="dxa"/>
                  <w:tcMar>
                    <w:left w:w="28" w:type="dxa"/>
                    <w:right w:w="28" w:type="dxa"/>
                  </w:tcMar>
                  <w:vAlign w:val="center"/>
                </w:tcPr>
                <w:p w14:paraId="26F1C9CC">
                  <w:pPr>
                    <w:jc w:val="center"/>
                    <w:rPr>
                      <w:rFonts w:hint="eastAsia"/>
                      <w:color w:val="auto"/>
                      <w:szCs w:val="21"/>
                      <w:highlight w:val="none"/>
                    </w:rPr>
                  </w:pPr>
                  <w:r>
                    <w:rPr>
                      <w:rFonts w:hint="eastAsia"/>
                      <w:color w:val="auto"/>
                      <w:szCs w:val="21"/>
                      <w:highlight w:val="none"/>
                    </w:rPr>
                    <w:t>氢氧化钠(NaOH)，俗称烧碱、火碱、苛性钠，因另一名称caustic soda而在香港称为哥士的</w:t>
                  </w:r>
                  <w:r>
                    <w:rPr>
                      <w:rFonts w:hint="eastAsia"/>
                      <w:color w:val="auto"/>
                      <w:szCs w:val="21"/>
                      <w:highlight w:val="none"/>
                      <w:lang w:eastAsia="zh-CN"/>
                    </w:rPr>
                    <w:t>，</w:t>
                  </w:r>
                  <w:r>
                    <w:rPr>
                      <w:rFonts w:hint="eastAsia"/>
                      <w:color w:val="auto"/>
                      <w:szCs w:val="21"/>
                      <w:highlight w:val="none"/>
                    </w:rPr>
                    <w:t>常温下是一种白色品体，具有强腐蚀性。易溶于水，其水溶液呈强碱性，能使酚酞变红。氢氧化钠是一种极常用的碱，是化学实验室的必备药品之一。它的溶液可以用作洗涤液。</w:t>
                  </w:r>
                </w:p>
              </w:tc>
            </w:tr>
            <w:tr w14:paraId="3160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4EA6559E">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12</w:t>
                  </w:r>
                </w:p>
              </w:tc>
              <w:tc>
                <w:tcPr>
                  <w:tcW w:w="737" w:type="dxa"/>
                  <w:shd w:val="clear" w:color="auto" w:fill="auto"/>
                  <w:tcMar>
                    <w:left w:w="28" w:type="dxa"/>
                    <w:right w:w="28" w:type="dxa"/>
                  </w:tcMar>
                  <w:vAlign w:val="center"/>
                </w:tcPr>
                <w:p w14:paraId="148B6CE6">
                  <w:pPr>
                    <w:jc w:val="center"/>
                    <w:rPr>
                      <w:rFonts w:hint="eastAsia"/>
                      <w:color w:val="auto"/>
                      <w:szCs w:val="21"/>
                      <w:highlight w:val="none"/>
                      <w:lang w:val="en-US" w:eastAsia="zh-CN"/>
                    </w:rPr>
                  </w:pPr>
                  <w:r>
                    <w:rPr>
                      <w:rFonts w:hint="eastAsia"/>
                      <w:color w:val="auto"/>
                      <w:szCs w:val="21"/>
                      <w:highlight w:val="none"/>
                    </w:rPr>
                    <w:t>化学纯醋酸</w:t>
                  </w:r>
                </w:p>
              </w:tc>
              <w:tc>
                <w:tcPr>
                  <w:tcW w:w="8196" w:type="dxa"/>
                  <w:tcMar>
                    <w:left w:w="28" w:type="dxa"/>
                    <w:right w:w="28" w:type="dxa"/>
                  </w:tcMar>
                  <w:vAlign w:val="center"/>
                </w:tcPr>
                <w:p w14:paraId="233C4DF5">
                  <w:pPr>
                    <w:jc w:val="center"/>
                    <w:rPr>
                      <w:rFonts w:hint="eastAsia"/>
                      <w:color w:val="auto"/>
                      <w:szCs w:val="21"/>
                      <w:highlight w:val="none"/>
                    </w:rPr>
                  </w:pPr>
                  <w:r>
                    <w:rPr>
                      <w:rFonts w:hint="eastAsia"/>
                      <w:color w:val="auto"/>
                      <w:szCs w:val="21"/>
                      <w:highlight w:val="none"/>
                    </w:rPr>
                    <w:t>在常温下是一种有强烈刺激性酸味的无色液体。熔点为16.6℃(289.6K)。沸点117.9℃(391.2K)。相对密度1.05，闪点39℃，爆炸极限4%~17%(体积)。纯的醋酸在低于熔点时会冻结成冰状晶体，所以无水乙酸又称为冰醋酸。醋酸易溶于水和乙醇，其水溶液呈弱酸性。吸入后对鼻、喉和呼吸道有刺激性。对眼有强烈刺激作用。皮肤接触，轻者出现红斑，重者引起化学灼伤。</w:t>
                  </w:r>
                </w:p>
              </w:tc>
            </w:tr>
            <w:tr w14:paraId="66F1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3DE52F53">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13</w:t>
                  </w:r>
                </w:p>
              </w:tc>
              <w:tc>
                <w:tcPr>
                  <w:tcW w:w="737" w:type="dxa"/>
                  <w:shd w:val="clear" w:color="auto" w:fill="auto"/>
                  <w:tcMar>
                    <w:left w:w="28" w:type="dxa"/>
                    <w:right w:w="28" w:type="dxa"/>
                  </w:tcMar>
                  <w:vAlign w:val="center"/>
                </w:tcPr>
                <w:p w14:paraId="2409E773">
                  <w:pPr>
                    <w:tabs>
                      <w:tab w:val="left" w:pos="5670"/>
                    </w:tabs>
                    <w:adjustRightInd w:val="0"/>
                    <w:snapToGrid w:val="0"/>
                    <w:ind w:right="37"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切削液</w:t>
                  </w:r>
                </w:p>
              </w:tc>
              <w:tc>
                <w:tcPr>
                  <w:tcW w:w="8196" w:type="dxa"/>
                  <w:shd w:val="clear" w:color="auto" w:fill="auto"/>
                  <w:tcMar>
                    <w:left w:w="28" w:type="dxa"/>
                    <w:right w:w="28" w:type="dxa"/>
                  </w:tcMar>
                  <w:vAlign w:val="center"/>
                </w:tcPr>
                <w:p w14:paraId="4B346477">
                  <w:pPr>
                    <w:tabs>
                      <w:tab w:val="left" w:pos="5670"/>
                    </w:tabs>
                    <w:adjustRightInd w:val="0"/>
                    <w:snapToGrid w:val="0"/>
                    <w:ind w:right="37"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切削液是一种用在金属切削、磨加工过程中，用来冷却和润滑刀具和加工件的工业用液体，切削液由多种超强功能助剂经科学复合配合而成，同时具备良好的冷却性能、润滑性能、防锈性能、除油清洗功能、防腐功能、易稀释特点，是以稳定状态存在（不上浮，不凝聚）的微小油粒，粒径约在</w:t>
                  </w:r>
                  <w:r>
                    <w:rPr>
                      <w:rFonts w:hint="default" w:ascii="Times New Roman" w:hAnsi="Times New Roman" w:eastAsia="宋体" w:cs="Times New Roman"/>
                      <w:color w:val="auto"/>
                      <w:sz w:val="21"/>
                      <w:szCs w:val="21"/>
                      <w:lang w:val="en-US" w:eastAsia="zh-CN"/>
                    </w:rPr>
                    <w:t>0.5</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 xml:space="preserve">25μm </w:t>
                  </w:r>
                  <w:r>
                    <w:rPr>
                      <w:rFonts w:hint="eastAsia" w:ascii="Times New Roman" w:hAnsi="Times New Roman" w:eastAsia="宋体" w:cs="Times New Roman"/>
                      <w:color w:val="auto"/>
                      <w:sz w:val="21"/>
                      <w:szCs w:val="21"/>
                      <w:lang w:val="en-US" w:eastAsia="zh-CN"/>
                    </w:rPr>
                    <w:t>之间，为淡褐色至深褐色液体或半固体，属于金属切削液的一类。用于铣削平面、沟槽、轮齿、螺纹等金属机加工。</w:t>
                  </w:r>
                </w:p>
              </w:tc>
            </w:tr>
            <w:tr w14:paraId="7361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2E00AC93">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14</w:t>
                  </w:r>
                </w:p>
              </w:tc>
              <w:tc>
                <w:tcPr>
                  <w:tcW w:w="737" w:type="dxa"/>
                  <w:shd w:val="clear" w:color="auto" w:fill="auto"/>
                  <w:tcMar>
                    <w:left w:w="28" w:type="dxa"/>
                    <w:right w:w="28" w:type="dxa"/>
                  </w:tcMar>
                  <w:vAlign w:val="center"/>
                </w:tcPr>
                <w:p w14:paraId="7F244344">
                  <w:pPr>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脱模剂</w:t>
                  </w:r>
                </w:p>
              </w:tc>
              <w:tc>
                <w:tcPr>
                  <w:tcW w:w="8196" w:type="dxa"/>
                  <w:shd w:val="clear" w:color="auto" w:fill="auto"/>
                  <w:tcMar>
                    <w:left w:w="28" w:type="dxa"/>
                    <w:right w:w="28" w:type="dxa"/>
                  </w:tcMar>
                  <w:vAlign w:val="center"/>
                </w:tcPr>
                <w:p w14:paraId="0C81A84C">
                  <w:pPr>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乳白色液体，无刺激性气味，与水的相对密度为1.04，水中易溶，主要成分为硅油25~35%、苯基磺酸2~5%、脂肪醇5~10%、甲基三乙氧基硅烷5~10%，其余为水</w:t>
                  </w:r>
                  <w:r>
                    <w:rPr>
                      <w:rFonts w:hint="default" w:ascii="Times New Roman" w:hAnsi="Times New Roman" w:eastAsia="宋体" w:cs="Times New Roman"/>
                      <w:color w:val="auto"/>
                      <w:kern w:val="0"/>
                      <w:sz w:val="21"/>
                      <w:szCs w:val="21"/>
                      <w:highlight w:val="none"/>
                    </w:rPr>
                    <w:t>。</w:t>
                  </w:r>
                </w:p>
              </w:tc>
            </w:tr>
            <w:tr w14:paraId="482B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66D0A5C2">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15</w:t>
                  </w:r>
                </w:p>
              </w:tc>
              <w:tc>
                <w:tcPr>
                  <w:tcW w:w="737" w:type="dxa"/>
                  <w:shd w:val="clear" w:color="auto" w:fill="auto"/>
                  <w:tcMar>
                    <w:left w:w="28" w:type="dxa"/>
                    <w:right w:w="28" w:type="dxa"/>
                  </w:tcMar>
                  <w:vAlign w:val="center"/>
                </w:tcPr>
                <w:p w14:paraId="3728A3B1">
                  <w:pPr>
                    <w:jc w:val="center"/>
                    <w:rPr>
                      <w:rFonts w:hint="eastAsia"/>
                      <w:color w:val="auto"/>
                      <w:szCs w:val="21"/>
                      <w:highlight w:val="none"/>
                      <w:lang w:val="en-US" w:eastAsia="zh-CN"/>
                    </w:rPr>
                  </w:pPr>
                  <w:r>
                    <w:rPr>
                      <w:rFonts w:hint="eastAsia"/>
                      <w:color w:val="auto"/>
                      <w:szCs w:val="21"/>
                      <w:highlight w:val="none"/>
                    </w:rPr>
                    <w:t>机油</w:t>
                  </w:r>
                </w:p>
              </w:tc>
              <w:tc>
                <w:tcPr>
                  <w:tcW w:w="8196" w:type="dxa"/>
                  <w:tcMar>
                    <w:left w:w="28" w:type="dxa"/>
                    <w:right w:w="28" w:type="dxa"/>
                  </w:tcMar>
                  <w:vAlign w:val="center"/>
                </w:tcPr>
                <w:p w14:paraId="76845CAA">
                  <w:pPr>
                    <w:jc w:val="center"/>
                    <w:rPr>
                      <w:rFonts w:hint="eastAsia" w:eastAsia="宋体"/>
                      <w:color w:val="auto"/>
                      <w:szCs w:val="21"/>
                      <w:highlight w:val="none"/>
                      <w:lang w:eastAsia="zh-CN"/>
                    </w:rPr>
                  </w:pPr>
                  <w:r>
                    <w:rPr>
                      <w:color w:val="auto"/>
                    </w:rPr>
                    <w:t>淡黄色粘稠液体，相对密度（水=1）</w:t>
                  </w:r>
                  <w:r>
                    <w:rPr>
                      <w:rFonts w:hint="eastAsia"/>
                      <w:color w:val="auto"/>
                    </w:rPr>
                    <w:t>0.</w:t>
                  </w:r>
                  <w:r>
                    <w:rPr>
                      <w:color w:val="auto"/>
                    </w:rPr>
                    <w:t>93。可燃液体，火灾危险性为丙B类，遇明火、高热可燃，闪点&gt;200℃，燃烧分解一氧化碳、二氧化碳等气体。</w:t>
                  </w:r>
                  <w:r>
                    <w:rPr>
                      <w:color w:val="auto"/>
                      <w:szCs w:val="21"/>
                      <w:shd w:val="clear" w:color="auto" w:fill="FFFFFF"/>
                    </w:rPr>
                    <w:t>润滑油是用在各种类型汽车、机械设备上以减少摩擦，保护机械及加工件的液体或半固体润滑剂，主要起润滑、冷却、防锈、清洁、密封和缓冲等作用</w:t>
                  </w:r>
                  <w:r>
                    <w:rPr>
                      <w:rFonts w:hint="eastAsia"/>
                      <w:color w:val="auto"/>
                      <w:szCs w:val="21"/>
                      <w:shd w:val="clear" w:color="auto" w:fill="FFFFFF"/>
                      <w:lang w:eastAsia="zh-CN"/>
                    </w:rPr>
                    <w:t>。</w:t>
                  </w:r>
                </w:p>
              </w:tc>
            </w:tr>
            <w:tr w14:paraId="01C2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5711C196">
                  <w:pPr>
                    <w:widowControl w:val="0"/>
                    <w:snapToGrid w:val="0"/>
                    <w:ind w:left="21" w:leftChars="10" w:right="21" w:rightChars="10"/>
                    <w:jc w:val="center"/>
                    <w:rPr>
                      <w:rFonts w:hint="default" w:ascii="Times New Roman" w:hAnsi="Times New Roman" w:eastAsia="宋体" w:cs="Times New Roman"/>
                      <w:color w:val="auto"/>
                      <w:kern w:val="2"/>
                      <w:sz w:val="21"/>
                      <w:szCs w:val="21"/>
                      <w:lang w:val="en-US" w:eastAsia="zh-CN" w:bidi="ar-SA"/>
                    </w:rPr>
                  </w:pPr>
                  <w:r>
                    <w:rPr>
                      <w:color w:val="auto"/>
                      <w:szCs w:val="21"/>
                    </w:rPr>
                    <w:t>1</w:t>
                  </w:r>
                  <w:r>
                    <w:rPr>
                      <w:rFonts w:hint="eastAsia"/>
                      <w:color w:val="auto"/>
                      <w:szCs w:val="21"/>
                      <w:lang w:val="en-US" w:eastAsia="zh-CN"/>
                    </w:rPr>
                    <w:t>6</w:t>
                  </w:r>
                </w:p>
              </w:tc>
              <w:tc>
                <w:tcPr>
                  <w:tcW w:w="737" w:type="dxa"/>
                  <w:shd w:val="clear" w:color="auto" w:fill="auto"/>
                  <w:tcMar>
                    <w:left w:w="28" w:type="dxa"/>
                    <w:right w:w="28" w:type="dxa"/>
                  </w:tcMar>
                  <w:vAlign w:val="center"/>
                </w:tcPr>
                <w:p w14:paraId="4D4B0E26">
                  <w:pPr>
                    <w:jc w:val="center"/>
                    <w:textAlignment w:val="center"/>
                    <w:rPr>
                      <w:rFonts w:hint="eastAsia" w:ascii="Times New Roman" w:hAnsi="Times New Roman" w:eastAsia="宋体" w:cs="Times New Roman"/>
                      <w:color w:val="auto"/>
                      <w:kern w:val="0"/>
                      <w:sz w:val="21"/>
                      <w:szCs w:val="21"/>
                      <w:lang w:val="en-US" w:eastAsia="zh-CN" w:bidi="ar"/>
                    </w:rPr>
                  </w:pPr>
                  <w:r>
                    <w:rPr>
                      <w:color w:val="auto"/>
                      <w:kern w:val="0"/>
                      <w:szCs w:val="21"/>
                      <w:lang w:bidi="ar"/>
                    </w:rPr>
                    <w:t>柴油</w:t>
                  </w:r>
                </w:p>
              </w:tc>
              <w:tc>
                <w:tcPr>
                  <w:tcW w:w="8196" w:type="dxa"/>
                  <w:shd w:val="clear" w:color="auto" w:fill="auto"/>
                  <w:tcMar>
                    <w:left w:w="28" w:type="dxa"/>
                    <w:right w:w="28" w:type="dxa"/>
                  </w:tcMar>
                  <w:vAlign w:val="center"/>
                </w:tcPr>
                <w:p w14:paraId="74532A8F">
                  <w:pPr>
                    <w:jc w:val="center"/>
                    <w:textAlignment w:val="center"/>
                    <w:rPr>
                      <w:rFonts w:hint="eastAsia" w:ascii="Times New Roman" w:hAnsi="Times New Roman" w:eastAsia="宋体" w:cs="Times New Roman"/>
                      <w:color w:val="auto"/>
                      <w:kern w:val="2"/>
                      <w:sz w:val="21"/>
                      <w:szCs w:val="24"/>
                      <w:lang w:val="en-US" w:eastAsia="zh-CN" w:bidi="ar-SA"/>
                    </w:rPr>
                  </w:pPr>
                  <w:r>
                    <w:rPr>
                      <w:color w:val="auto"/>
                    </w:rPr>
                    <w:t>是轻质石油产品，复杂烃类（碳原子数约10~22）混合物，分为轻柴油（沸点范围约180~370℃）和重柴油（沸点范围约350~410℃）两大类。本项目使用的0#柴油密度在标准温度20℃一般是0.84~0.86g/cm</w:t>
                  </w:r>
                  <w:r>
                    <w:rPr>
                      <w:color w:val="auto"/>
                      <w:vertAlign w:val="superscript"/>
                    </w:rPr>
                    <w:t>3</w:t>
                  </w:r>
                  <w:r>
                    <w:rPr>
                      <w:color w:val="auto"/>
                    </w:rPr>
                    <w:t>，热值为3.3×10</w:t>
                  </w:r>
                  <w:r>
                    <w:rPr>
                      <w:color w:val="auto"/>
                      <w:vertAlign w:val="superscript"/>
                    </w:rPr>
                    <w:t>7</w:t>
                  </w:r>
                  <w:r>
                    <w:rPr>
                      <w:color w:val="auto"/>
                    </w:rPr>
                    <w:t>J/L，易燃易挥发，不溶于水，易溶于醇和其他有机溶剂。</w:t>
                  </w:r>
                </w:p>
              </w:tc>
            </w:tr>
            <w:tr w14:paraId="0F25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shd w:val="clear" w:color="auto" w:fill="auto"/>
                  <w:tcMar>
                    <w:left w:w="28" w:type="dxa"/>
                    <w:right w:w="28" w:type="dxa"/>
                  </w:tcMar>
                  <w:vAlign w:val="center"/>
                </w:tcPr>
                <w:p w14:paraId="09CF321B">
                  <w:pPr>
                    <w:widowControl w:val="0"/>
                    <w:snapToGrid w:val="0"/>
                    <w:ind w:left="21" w:leftChars="10" w:right="21" w:rightChars="1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17</w:t>
                  </w:r>
                </w:p>
              </w:tc>
              <w:tc>
                <w:tcPr>
                  <w:tcW w:w="737" w:type="dxa"/>
                  <w:tcMar>
                    <w:left w:w="28" w:type="dxa"/>
                    <w:right w:w="28" w:type="dxa"/>
                  </w:tcMar>
                  <w:vAlign w:val="center"/>
                </w:tcPr>
                <w:p w14:paraId="6CC1E3AA">
                  <w:pPr>
                    <w:widowControl w:val="0"/>
                    <w:snapToGrid w:val="0"/>
                    <w:ind w:left="21" w:leftChars="10" w:right="21" w:rightChars="10"/>
                    <w:jc w:val="center"/>
                    <w:rPr>
                      <w:color w:val="auto"/>
                      <w:szCs w:val="21"/>
                    </w:rPr>
                  </w:pPr>
                  <w:r>
                    <w:rPr>
                      <w:rFonts w:hint="eastAsia"/>
                      <w:color w:val="auto"/>
                      <w:szCs w:val="21"/>
                    </w:rPr>
                    <w:t>电泳漆</w:t>
                  </w:r>
                </w:p>
              </w:tc>
              <w:tc>
                <w:tcPr>
                  <w:tcW w:w="8196" w:type="dxa"/>
                  <w:tcMar>
                    <w:left w:w="28" w:type="dxa"/>
                    <w:right w:w="28" w:type="dxa"/>
                  </w:tcMar>
                  <w:vAlign w:val="center"/>
                </w:tcPr>
                <w:p w14:paraId="6547D0E4">
                  <w:pPr>
                    <w:widowControl w:val="0"/>
                    <w:tabs>
                      <w:tab w:val="left" w:pos="2068"/>
                    </w:tabs>
                    <w:adjustRightInd w:val="0"/>
                    <w:snapToGrid w:val="0"/>
                    <w:jc w:val="center"/>
                    <w:rPr>
                      <w:color w:val="auto"/>
                      <w:szCs w:val="21"/>
                    </w:rPr>
                  </w:pPr>
                  <w:r>
                    <w:rPr>
                      <w:bCs/>
                      <w:color w:val="auto"/>
                      <w:kern w:val="24"/>
                      <w:szCs w:val="21"/>
                    </w:rPr>
                    <w:t>主要成分为环氧树脂10-14%、聚酰胺树脂6-8%、聚氨酯树脂6-8%、碳黑4-8%、高岭土14-18%、二乙二醇己醚0-0.6%、水40-60%、</w:t>
                  </w:r>
                  <w:r>
                    <w:rPr>
                      <w:rFonts w:hint="eastAsia"/>
                      <w:bCs/>
                      <w:color w:val="auto"/>
                      <w:kern w:val="24"/>
                      <w:szCs w:val="21"/>
                    </w:rPr>
                    <w:t>丁酮＜0.01%、异丙酮＜0.01%、二乙醇胺＜0.01%、</w:t>
                  </w:r>
                  <w:r>
                    <w:rPr>
                      <w:bCs/>
                      <w:color w:val="auto"/>
                      <w:kern w:val="24"/>
                      <w:szCs w:val="21"/>
                    </w:rPr>
                    <w:t>有机酸（醋酸）0.5-0.8%。黑色粘稠混合液体，有轻微的刺激气味。熔点约0℃，与水接近，沸点约100℃，与水接近，相对密度（水=1）约1.15，不可燃</w:t>
                  </w:r>
                  <w:r>
                    <w:rPr>
                      <w:rFonts w:hint="eastAsia"/>
                      <w:bCs/>
                      <w:color w:val="auto"/>
                      <w:kern w:val="24"/>
                      <w:szCs w:val="21"/>
                    </w:rPr>
                    <w:t>，与水任意比例混溶。0-35</w:t>
                  </w:r>
                  <w:r>
                    <w:rPr>
                      <w:bCs/>
                      <w:color w:val="auto"/>
                      <w:kern w:val="24"/>
                      <w:szCs w:val="21"/>
                    </w:rPr>
                    <w:t>℃</w:t>
                  </w:r>
                  <w:r>
                    <w:rPr>
                      <w:rFonts w:hint="eastAsia"/>
                      <w:bCs/>
                      <w:color w:val="auto"/>
                      <w:kern w:val="24"/>
                      <w:szCs w:val="21"/>
                    </w:rPr>
                    <w:t>储存6个月，允许轻微沉淀，禁配物为强氧化剂。避免与油污或其它有机物接触，防止被污染而影响使用。不聚合。遇碱性物质易沉淀分层。</w:t>
                  </w:r>
                  <w:r>
                    <w:rPr>
                      <w:bCs/>
                      <w:color w:val="auto"/>
                      <w:kern w:val="24"/>
                      <w:szCs w:val="21"/>
                    </w:rPr>
                    <w:t>按环氧树脂、聚酰胺树脂、聚氨酯树脂、碳黑、高岭土的中间</w:t>
                  </w:r>
                  <w:r>
                    <w:rPr>
                      <w:rFonts w:hint="eastAsia"/>
                      <w:bCs/>
                      <w:color w:val="auto"/>
                      <w:kern w:val="24"/>
                      <w:szCs w:val="21"/>
                    </w:rPr>
                    <w:t>值计算</w:t>
                  </w:r>
                  <w:r>
                    <w:rPr>
                      <w:bCs/>
                      <w:color w:val="auto"/>
                      <w:kern w:val="24"/>
                      <w:szCs w:val="21"/>
                    </w:rPr>
                    <w:t>固含量</w:t>
                  </w:r>
                  <w:r>
                    <w:rPr>
                      <w:rFonts w:hint="eastAsia"/>
                      <w:bCs/>
                      <w:color w:val="auto"/>
                      <w:kern w:val="24"/>
                      <w:szCs w:val="21"/>
                    </w:rPr>
                    <w:t>为</w:t>
                  </w:r>
                  <w:r>
                    <w:rPr>
                      <w:bCs/>
                      <w:color w:val="auto"/>
                      <w:kern w:val="24"/>
                      <w:szCs w:val="21"/>
                    </w:rPr>
                    <w:t>48%</w:t>
                  </w:r>
                  <w:r>
                    <w:rPr>
                      <w:color w:val="auto"/>
                      <w:szCs w:val="21"/>
                    </w:rPr>
                    <w:t>。</w:t>
                  </w:r>
                  <w:r>
                    <w:rPr>
                      <w:rFonts w:hint="eastAsia"/>
                      <w:color w:val="auto"/>
                      <w:szCs w:val="21"/>
                    </w:rPr>
                    <w:t>挥发性有机化合物（VOC）含量为134g/L，见附件11。</w:t>
                  </w:r>
                </w:p>
              </w:tc>
            </w:tr>
            <w:tr w14:paraId="2EC7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6" w:type="dxa"/>
                  <w:tcMar>
                    <w:left w:w="28" w:type="dxa"/>
                    <w:right w:w="28" w:type="dxa"/>
                  </w:tcMar>
                  <w:vAlign w:val="center"/>
                </w:tcPr>
                <w:p w14:paraId="300A32B1">
                  <w:pPr>
                    <w:widowControl w:val="0"/>
                    <w:snapToGrid w:val="0"/>
                    <w:ind w:left="21" w:leftChars="10" w:right="21" w:rightChars="10"/>
                    <w:jc w:val="center"/>
                    <w:rPr>
                      <w:rFonts w:hint="default" w:eastAsia="宋体"/>
                      <w:color w:val="auto"/>
                      <w:szCs w:val="21"/>
                      <w:lang w:val="en-US" w:eastAsia="zh-CN"/>
                    </w:rPr>
                  </w:pPr>
                  <w:r>
                    <w:rPr>
                      <w:rFonts w:hint="eastAsia"/>
                      <w:color w:val="auto"/>
                      <w:szCs w:val="21"/>
                      <w:lang w:val="en-US" w:eastAsia="zh-CN"/>
                    </w:rPr>
                    <w:t>18</w:t>
                  </w:r>
                </w:p>
              </w:tc>
              <w:tc>
                <w:tcPr>
                  <w:tcW w:w="737" w:type="dxa"/>
                  <w:tcMar>
                    <w:left w:w="28" w:type="dxa"/>
                    <w:right w:w="28" w:type="dxa"/>
                  </w:tcMar>
                  <w:vAlign w:val="center"/>
                </w:tcPr>
                <w:p w14:paraId="12477384">
                  <w:pPr>
                    <w:widowControl w:val="0"/>
                    <w:snapToGrid w:val="0"/>
                    <w:ind w:left="21" w:leftChars="10" w:right="21" w:rightChars="10"/>
                    <w:jc w:val="center"/>
                    <w:rPr>
                      <w:color w:val="auto"/>
                      <w:szCs w:val="21"/>
                    </w:rPr>
                  </w:pPr>
                  <w:r>
                    <w:rPr>
                      <w:rFonts w:hint="eastAsia"/>
                      <w:color w:val="auto"/>
                      <w:szCs w:val="21"/>
                    </w:rPr>
                    <w:t>稳定剂</w:t>
                  </w:r>
                </w:p>
              </w:tc>
              <w:tc>
                <w:tcPr>
                  <w:tcW w:w="8196" w:type="dxa"/>
                  <w:tcMar>
                    <w:left w:w="28" w:type="dxa"/>
                    <w:right w:w="28" w:type="dxa"/>
                  </w:tcMar>
                  <w:vAlign w:val="center"/>
                </w:tcPr>
                <w:p w14:paraId="5A273FCE">
                  <w:pPr>
                    <w:widowControl w:val="0"/>
                    <w:tabs>
                      <w:tab w:val="left" w:pos="2068"/>
                    </w:tabs>
                    <w:adjustRightInd w:val="0"/>
                    <w:snapToGrid w:val="0"/>
                    <w:jc w:val="center"/>
                    <w:rPr>
                      <w:color w:val="auto"/>
                      <w:szCs w:val="21"/>
                    </w:rPr>
                  </w:pPr>
                  <w:r>
                    <w:rPr>
                      <w:rFonts w:hint="eastAsia"/>
                      <w:color w:val="auto"/>
                      <w:szCs w:val="21"/>
                    </w:rPr>
                    <w:t>主要成分为乙二醇丁醚50%、脂肪醇化合物15%、多官能团化合物35%</w:t>
                  </w:r>
                  <w:r>
                    <w:rPr>
                      <w:color w:val="auto"/>
                      <w:szCs w:val="21"/>
                    </w:rPr>
                    <w:t>。</w:t>
                  </w:r>
                  <w:r>
                    <w:rPr>
                      <w:rFonts w:hint="eastAsia"/>
                      <w:color w:val="auto"/>
                      <w:szCs w:val="21"/>
                    </w:rPr>
                    <w:t>无色透明，具有特殊醇类的无色液体，</w:t>
                  </w:r>
                  <w:r>
                    <w:rPr>
                      <w:bCs/>
                      <w:color w:val="auto"/>
                      <w:kern w:val="24"/>
                      <w:szCs w:val="21"/>
                    </w:rPr>
                    <w:t>熔点</w:t>
                  </w:r>
                  <w:r>
                    <w:rPr>
                      <w:rFonts w:hint="eastAsia"/>
                      <w:bCs/>
                      <w:color w:val="auto"/>
                      <w:kern w:val="24"/>
                      <w:szCs w:val="21"/>
                    </w:rPr>
                    <w:t>-78.5</w:t>
                  </w:r>
                  <w:r>
                    <w:rPr>
                      <w:bCs/>
                      <w:color w:val="auto"/>
                      <w:kern w:val="24"/>
                      <w:szCs w:val="21"/>
                    </w:rPr>
                    <w:t>℃，沸点约</w:t>
                  </w:r>
                  <w:r>
                    <w:rPr>
                      <w:rFonts w:hint="eastAsia"/>
                      <w:bCs/>
                      <w:color w:val="auto"/>
                      <w:kern w:val="24"/>
                      <w:szCs w:val="21"/>
                    </w:rPr>
                    <w:t>175</w:t>
                  </w:r>
                  <w:r>
                    <w:rPr>
                      <w:bCs/>
                      <w:color w:val="auto"/>
                      <w:kern w:val="24"/>
                      <w:szCs w:val="21"/>
                    </w:rPr>
                    <w:t>℃</w:t>
                  </w:r>
                  <w:r>
                    <w:rPr>
                      <w:rFonts w:hint="eastAsia"/>
                      <w:bCs/>
                      <w:color w:val="auto"/>
                      <w:kern w:val="24"/>
                      <w:szCs w:val="21"/>
                    </w:rPr>
                    <w:t>，相对密度（水=1）0.92，相对蒸汽密度（空气=1）4.24，饱和蒸气压0.12kPa（20</w:t>
                  </w:r>
                  <w:r>
                    <w:rPr>
                      <w:bCs/>
                      <w:color w:val="auto"/>
                      <w:kern w:val="24"/>
                      <w:szCs w:val="21"/>
                    </w:rPr>
                    <w:t>℃</w:t>
                  </w:r>
                  <w:r>
                    <w:rPr>
                      <w:rFonts w:hint="eastAsia"/>
                      <w:bCs/>
                      <w:color w:val="auto"/>
                      <w:kern w:val="24"/>
                      <w:szCs w:val="21"/>
                    </w:rPr>
                    <w:t>），闪点（闭杯）62</w:t>
                  </w:r>
                  <w:r>
                    <w:rPr>
                      <w:bCs/>
                      <w:color w:val="auto"/>
                      <w:kern w:val="24"/>
                      <w:szCs w:val="21"/>
                    </w:rPr>
                    <w:t>℃</w:t>
                  </w:r>
                  <w:r>
                    <w:rPr>
                      <w:rFonts w:hint="eastAsia"/>
                      <w:bCs/>
                      <w:color w:val="auto"/>
                      <w:kern w:val="24"/>
                      <w:szCs w:val="21"/>
                    </w:rPr>
                    <w:t>，爆炸（上限/下限）10.8%/1.1%，引燃温度258</w:t>
                  </w:r>
                  <w:r>
                    <w:rPr>
                      <w:bCs/>
                      <w:color w:val="auto"/>
                      <w:kern w:val="24"/>
                      <w:szCs w:val="21"/>
                    </w:rPr>
                    <w:t>℃</w:t>
                  </w:r>
                  <w:r>
                    <w:rPr>
                      <w:rFonts w:hint="eastAsia"/>
                      <w:color w:val="auto"/>
                      <w:szCs w:val="21"/>
                    </w:rPr>
                    <w:t>。溶于20倍的水，46</w:t>
                  </w:r>
                  <w:r>
                    <w:rPr>
                      <w:bCs/>
                      <w:color w:val="auto"/>
                      <w:kern w:val="24"/>
                      <w:szCs w:val="21"/>
                    </w:rPr>
                    <w:t>℃</w:t>
                  </w:r>
                  <w:r>
                    <w:rPr>
                      <w:rFonts w:hint="eastAsia"/>
                      <w:bCs/>
                      <w:color w:val="auto"/>
                      <w:kern w:val="24"/>
                      <w:szCs w:val="21"/>
                    </w:rPr>
                    <w:t>与完全水混溶，溶于大多数有机溶剂与矿物油。禁配物为强氧化剂、强还原剂、强碱、铝、镁。</w:t>
                  </w:r>
                  <w:r>
                    <w:rPr>
                      <w:rFonts w:hint="eastAsia"/>
                      <w:color w:val="auto"/>
                      <w:szCs w:val="21"/>
                    </w:rPr>
                    <w:t>挥发性有机化合物（VOC）含量为1105g/L，见附件11。</w:t>
                  </w:r>
                </w:p>
              </w:tc>
            </w:tr>
          </w:tbl>
          <w:p w14:paraId="5E588973">
            <w:pPr>
              <w:adjustRightInd w:val="0"/>
              <w:spacing w:line="360" w:lineRule="auto"/>
              <w:ind w:firstLine="498" w:firstLineChars="200"/>
              <w:textAlignment w:val="baseline"/>
              <w:rPr>
                <w:rFonts w:hint="default" w:ascii="Times New Roman" w:hAnsi="Times New Roman" w:eastAsia="宋体" w:cs="Times New Roman"/>
                <w:b/>
                <w:bCs/>
                <w:color w:val="auto"/>
                <w:spacing w:val="4"/>
                <w:sz w:val="24"/>
                <w:lang w:val="en-US" w:eastAsia="zh-CN"/>
              </w:rPr>
            </w:pPr>
            <w:r>
              <w:rPr>
                <w:rFonts w:hint="eastAsia" w:cs="Times New Roman"/>
                <w:b/>
                <w:bCs/>
                <w:color w:val="auto"/>
                <w:spacing w:val="4"/>
                <w:sz w:val="24"/>
                <w:lang w:val="en-US" w:eastAsia="zh-CN"/>
              </w:rPr>
              <w:t>调配后的</w:t>
            </w:r>
            <w:r>
              <w:rPr>
                <w:rFonts w:hint="default" w:ascii="Times New Roman" w:hAnsi="Times New Roman" w:eastAsia="宋体" w:cs="Times New Roman"/>
                <w:b/>
                <w:bCs/>
                <w:color w:val="auto"/>
                <w:spacing w:val="4"/>
                <w:sz w:val="24"/>
                <w:lang w:val="en-US" w:eastAsia="zh-CN"/>
              </w:rPr>
              <w:t>电泳漆用量核算：</w:t>
            </w:r>
          </w:p>
          <w:p w14:paraId="3F17149D">
            <w:pPr>
              <w:jc w:val="center"/>
              <w:rPr>
                <w:rFonts w:hint="default" w:ascii="Times New Roman" w:hAnsi="Times New Roman" w:cs="Times New Roman"/>
                <w:b/>
                <w:color w:val="auto"/>
                <w:szCs w:val="21"/>
                <w:highlight w:val="none"/>
              </w:rPr>
            </w:pPr>
          </w:p>
          <w:p w14:paraId="0234E055">
            <w:pPr>
              <w:jc w:val="center"/>
              <w:rPr>
                <w:rFonts w:hint="default" w:ascii="Times New Roman" w:hAnsi="Times New Roman" w:cs="Times New Roman"/>
                <w:b/>
                <w:color w:val="auto"/>
                <w:szCs w:val="21"/>
                <w:highlight w:val="none"/>
              </w:rPr>
            </w:pPr>
          </w:p>
          <w:p w14:paraId="7D429E8F">
            <w:pPr>
              <w:jc w:val="center"/>
              <w:rPr>
                <w:rFonts w:hint="default" w:ascii="Times New Roman" w:hAnsi="Times New Roman" w:cs="Times New Roman"/>
                <w:b/>
                <w:color w:val="auto"/>
                <w:szCs w:val="21"/>
                <w:highlight w:val="none"/>
              </w:rPr>
            </w:pPr>
          </w:p>
          <w:p w14:paraId="562C0971">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表2-</w:t>
            </w:r>
            <w:r>
              <w:rPr>
                <w:rFonts w:hint="eastAsia" w:cs="Times New Roman"/>
                <w:b/>
                <w:color w:val="auto"/>
                <w:szCs w:val="21"/>
                <w:highlight w:val="none"/>
                <w:lang w:val="en-US" w:eastAsia="zh-CN"/>
              </w:rPr>
              <w:t>11</w:t>
            </w:r>
            <w:r>
              <w:rPr>
                <w:rFonts w:hint="default" w:ascii="Times New Roman" w:hAnsi="Times New Roman" w:cs="Times New Roman"/>
                <w:b/>
                <w:color w:val="auto"/>
                <w:szCs w:val="21"/>
                <w:highlight w:val="none"/>
              </w:rPr>
              <w:t xml:space="preserve">  项目电泳漆用量核算一览表</w:t>
            </w:r>
          </w:p>
          <w:tbl>
            <w:tblPr>
              <w:tblStyle w:val="42"/>
              <w:tblW w:w="9524"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881"/>
              <w:gridCol w:w="1271"/>
              <w:gridCol w:w="1243"/>
              <w:gridCol w:w="1117"/>
              <w:gridCol w:w="873"/>
              <w:gridCol w:w="1092"/>
              <w:gridCol w:w="873"/>
              <w:gridCol w:w="1013"/>
            </w:tblGrid>
            <w:tr w14:paraId="15A9958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jc w:val="center"/>
              </w:trPr>
              <w:tc>
                <w:tcPr>
                  <w:tcW w:w="1161" w:type="dxa"/>
                  <w:tcBorders>
                    <w:tl2br w:val="nil"/>
                    <w:tr2bl w:val="nil"/>
                  </w:tcBorders>
                  <w:noWrap w:val="0"/>
                  <w:vAlign w:val="center"/>
                </w:tcPr>
                <w:p w14:paraId="48B28E3D">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物料名称</w:t>
                  </w:r>
                </w:p>
              </w:tc>
              <w:tc>
                <w:tcPr>
                  <w:tcW w:w="881" w:type="dxa"/>
                  <w:tcBorders>
                    <w:tl2br w:val="nil"/>
                    <w:tr2bl w:val="nil"/>
                  </w:tcBorders>
                  <w:noWrap w:val="0"/>
                  <w:vAlign w:val="center"/>
                </w:tcPr>
                <w:p w14:paraId="49A0E047">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处理产品</w:t>
                  </w:r>
                </w:p>
              </w:tc>
              <w:tc>
                <w:tcPr>
                  <w:tcW w:w="1271" w:type="dxa"/>
                  <w:tcBorders>
                    <w:tl2br w:val="nil"/>
                    <w:tr2bl w:val="nil"/>
                  </w:tcBorders>
                  <w:noWrap w:val="0"/>
                  <w:vAlign w:val="center"/>
                </w:tcPr>
                <w:p w14:paraId="79CB2C28">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年</w:t>
                  </w:r>
                  <w:r>
                    <w:rPr>
                      <w:rFonts w:hint="eastAsia" w:cs="Times New Roman"/>
                      <w:b/>
                      <w:color w:val="auto"/>
                      <w:kern w:val="0"/>
                      <w:szCs w:val="21"/>
                      <w:highlight w:val="none"/>
                      <w:lang w:val="en-US" w:eastAsia="zh-CN"/>
                    </w:rPr>
                    <w:t>加工</w:t>
                  </w:r>
                  <w:r>
                    <w:rPr>
                      <w:rFonts w:hint="default" w:ascii="Times New Roman" w:hAnsi="Times New Roman" w:cs="Times New Roman"/>
                      <w:b/>
                      <w:color w:val="auto"/>
                      <w:kern w:val="0"/>
                      <w:szCs w:val="21"/>
                      <w:highlight w:val="none"/>
                    </w:rPr>
                    <w:t>件数（万件）</w:t>
                  </w:r>
                </w:p>
              </w:tc>
              <w:tc>
                <w:tcPr>
                  <w:tcW w:w="1243" w:type="dxa"/>
                  <w:tcBorders>
                    <w:tl2br w:val="nil"/>
                    <w:tr2bl w:val="nil"/>
                  </w:tcBorders>
                  <w:noWrap w:val="0"/>
                  <w:vAlign w:val="center"/>
                </w:tcPr>
                <w:p w14:paraId="6EDE6B09">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平均单件面积m</w:t>
                  </w:r>
                  <w:r>
                    <w:rPr>
                      <w:rFonts w:hint="default" w:ascii="Times New Roman" w:hAnsi="Times New Roman" w:cs="Times New Roman"/>
                      <w:b/>
                      <w:color w:val="auto"/>
                      <w:kern w:val="0"/>
                      <w:szCs w:val="21"/>
                      <w:highlight w:val="none"/>
                      <w:vertAlign w:val="superscript"/>
                    </w:rPr>
                    <w:t>2</w:t>
                  </w:r>
                </w:p>
              </w:tc>
              <w:tc>
                <w:tcPr>
                  <w:tcW w:w="1117" w:type="dxa"/>
                  <w:tcBorders>
                    <w:tl2br w:val="nil"/>
                    <w:tr2bl w:val="nil"/>
                  </w:tcBorders>
                  <w:noWrap w:val="0"/>
                  <w:vAlign w:val="center"/>
                </w:tcPr>
                <w:p w14:paraId="7FED3C5D">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膜厚度μm</w:t>
                  </w:r>
                </w:p>
              </w:tc>
              <w:tc>
                <w:tcPr>
                  <w:tcW w:w="873" w:type="dxa"/>
                  <w:tcBorders>
                    <w:tl2br w:val="nil"/>
                    <w:tr2bl w:val="nil"/>
                  </w:tcBorders>
                  <w:noWrap w:val="0"/>
                  <w:vAlign w:val="center"/>
                </w:tcPr>
                <w:p w14:paraId="02D95ED4">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密度g/cm</w:t>
                  </w:r>
                  <w:r>
                    <w:rPr>
                      <w:rFonts w:hint="default" w:ascii="Times New Roman" w:hAnsi="Times New Roman" w:cs="Times New Roman"/>
                      <w:b/>
                      <w:color w:val="auto"/>
                      <w:kern w:val="0"/>
                      <w:szCs w:val="21"/>
                      <w:highlight w:val="none"/>
                      <w:vertAlign w:val="superscript"/>
                    </w:rPr>
                    <w:t>3</w:t>
                  </w:r>
                </w:p>
              </w:tc>
              <w:tc>
                <w:tcPr>
                  <w:tcW w:w="1092" w:type="dxa"/>
                  <w:tcBorders>
                    <w:tl2br w:val="nil"/>
                    <w:tr2bl w:val="nil"/>
                  </w:tcBorders>
                  <w:noWrap w:val="0"/>
                  <w:vAlign w:val="center"/>
                </w:tcPr>
                <w:p w14:paraId="033D00DB">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涂料固含量%</w:t>
                  </w:r>
                </w:p>
              </w:tc>
              <w:tc>
                <w:tcPr>
                  <w:tcW w:w="873" w:type="dxa"/>
                  <w:tcBorders>
                    <w:tl2br w:val="nil"/>
                    <w:tr2bl w:val="nil"/>
                  </w:tcBorders>
                  <w:noWrap w:val="0"/>
                  <w:vAlign w:val="center"/>
                </w:tcPr>
                <w:p w14:paraId="654B666D">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利用率%</w:t>
                  </w:r>
                </w:p>
              </w:tc>
              <w:tc>
                <w:tcPr>
                  <w:tcW w:w="1013" w:type="dxa"/>
                  <w:tcBorders>
                    <w:tl2br w:val="nil"/>
                    <w:tr2bl w:val="nil"/>
                  </w:tcBorders>
                  <w:noWrap w:val="0"/>
                  <w:vAlign w:val="center"/>
                </w:tcPr>
                <w:p w14:paraId="58D53934">
                  <w:pPr>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年用量t/a</w:t>
                  </w:r>
                </w:p>
              </w:tc>
            </w:tr>
            <w:tr w14:paraId="35AB449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1" w:type="dxa"/>
                  <w:tcBorders>
                    <w:tl2br w:val="nil"/>
                    <w:tr2bl w:val="nil"/>
                  </w:tcBorders>
                  <w:noWrap w:val="0"/>
                  <w:vAlign w:val="center"/>
                </w:tcPr>
                <w:p w14:paraId="5885267A">
                  <w:pPr>
                    <w:jc w:val="center"/>
                    <w:rPr>
                      <w:rFonts w:hint="default" w:ascii="Times New Roman" w:hAnsi="Times New Roman" w:eastAsia="宋体" w:cs="Times New Roman"/>
                      <w:color w:val="auto"/>
                      <w:kern w:val="0"/>
                      <w:szCs w:val="21"/>
                      <w:highlight w:val="none"/>
                      <w:lang w:eastAsia="zh-CN"/>
                    </w:rPr>
                  </w:pPr>
                  <w:r>
                    <w:rPr>
                      <w:rFonts w:hint="eastAsia" w:cs="Times New Roman"/>
                      <w:color w:val="auto"/>
                      <w:kern w:val="0"/>
                      <w:szCs w:val="21"/>
                      <w:highlight w:val="none"/>
                      <w:lang w:val="en-US" w:eastAsia="zh-CN"/>
                    </w:rPr>
                    <w:t>调配后的</w:t>
                  </w:r>
                  <w:r>
                    <w:rPr>
                      <w:rFonts w:hint="default" w:ascii="Times New Roman" w:hAnsi="Times New Roman" w:cs="Times New Roman"/>
                      <w:color w:val="auto"/>
                      <w:kern w:val="0"/>
                      <w:szCs w:val="21"/>
                      <w:highlight w:val="none"/>
                      <w:lang w:val="en-US" w:eastAsia="zh-CN"/>
                    </w:rPr>
                    <w:t>电泳漆</w:t>
                  </w:r>
                </w:p>
              </w:tc>
              <w:tc>
                <w:tcPr>
                  <w:tcW w:w="881" w:type="dxa"/>
                  <w:tcBorders>
                    <w:tl2br w:val="nil"/>
                    <w:tr2bl w:val="nil"/>
                  </w:tcBorders>
                  <w:noWrap w:val="0"/>
                  <w:vAlign w:val="center"/>
                </w:tcPr>
                <w:p w14:paraId="7E072BD6">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铝产品</w:t>
                  </w:r>
                </w:p>
              </w:tc>
              <w:tc>
                <w:tcPr>
                  <w:tcW w:w="1271" w:type="dxa"/>
                  <w:tcBorders>
                    <w:tl2br w:val="nil"/>
                    <w:tr2bl w:val="nil"/>
                  </w:tcBorders>
                  <w:noWrap w:val="0"/>
                  <w:vAlign w:val="center"/>
                </w:tcPr>
                <w:p w14:paraId="0EDDB0E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250</w:t>
                  </w:r>
                </w:p>
              </w:tc>
              <w:tc>
                <w:tcPr>
                  <w:tcW w:w="1243" w:type="dxa"/>
                  <w:tcBorders>
                    <w:tl2br w:val="nil"/>
                    <w:tr2bl w:val="nil"/>
                  </w:tcBorders>
                  <w:noWrap w:val="0"/>
                  <w:vAlign w:val="center"/>
                </w:tcPr>
                <w:p w14:paraId="43E600E2">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0.04</w:t>
                  </w:r>
                </w:p>
              </w:tc>
              <w:tc>
                <w:tcPr>
                  <w:tcW w:w="1117" w:type="dxa"/>
                  <w:tcBorders>
                    <w:tl2br w:val="nil"/>
                    <w:tr2bl w:val="nil"/>
                  </w:tcBorders>
                  <w:noWrap w:val="0"/>
                  <w:vAlign w:val="center"/>
                </w:tcPr>
                <w:p w14:paraId="002421F4">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6</w:t>
                  </w:r>
                </w:p>
              </w:tc>
              <w:tc>
                <w:tcPr>
                  <w:tcW w:w="873" w:type="dxa"/>
                  <w:tcBorders>
                    <w:tl2br w:val="nil"/>
                    <w:tr2bl w:val="nil"/>
                  </w:tcBorders>
                  <w:noWrap w:val="0"/>
                  <w:vAlign w:val="center"/>
                </w:tcPr>
                <w:p w14:paraId="0B26EF64">
                  <w:pPr>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1.0824</w:t>
                  </w:r>
                </w:p>
              </w:tc>
              <w:tc>
                <w:tcPr>
                  <w:tcW w:w="1092" w:type="dxa"/>
                  <w:tcBorders>
                    <w:tl2br w:val="nil"/>
                    <w:tr2bl w:val="nil"/>
                  </w:tcBorders>
                  <w:noWrap w:val="0"/>
                  <w:vAlign w:val="center"/>
                </w:tcPr>
                <w:p w14:paraId="225B6E24">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36</w:t>
                  </w:r>
                </w:p>
              </w:tc>
              <w:tc>
                <w:tcPr>
                  <w:tcW w:w="873" w:type="dxa"/>
                  <w:tcBorders>
                    <w:tl2br w:val="nil"/>
                    <w:tr2bl w:val="nil"/>
                  </w:tcBorders>
                  <w:noWrap w:val="0"/>
                  <w:vAlign w:val="center"/>
                </w:tcPr>
                <w:p w14:paraId="2F8D707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w:t>
                  </w:r>
                </w:p>
              </w:tc>
              <w:tc>
                <w:tcPr>
                  <w:tcW w:w="1013" w:type="dxa"/>
                  <w:tcBorders>
                    <w:tl2br w:val="nil"/>
                    <w:tr2bl w:val="nil"/>
                  </w:tcBorders>
                  <w:noWrap w:val="0"/>
                  <w:vAlign w:val="center"/>
                </w:tcPr>
                <w:p w14:paraId="717A4181">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w:t>
                  </w:r>
                </w:p>
              </w:tc>
            </w:tr>
            <w:tr w14:paraId="1CC4B96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24" w:type="dxa"/>
                  <w:gridSpan w:val="9"/>
                  <w:tcBorders>
                    <w:tl2br w:val="nil"/>
                    <w:tr2bl w:val="nil"/>
                  </w:tcBorders>
                  <w:noWrap w:val="0"/>
                  <w:vAlign w:val="center"/>
                </w:tcPr>
                <w:p w14:paraId="0B222A0E">
                  <w:pP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备注：</w:t>
                  </w:r>
                  <w:r>
                    <w:rPr>
                      <w:rFonts w:hint="default" w:ascii="Times New Roman" w:hAnsi="Times New Roman" w:cs="Times New Roman"/>
                      <w:color w:val="auto"/>
                      <w:szCs w:val="21"/>
                      <w:highlight w:val="none"/>
                    </w:rPr>
                    <w:t>①</w:t>
                  </w:r>
                  <w:r>
                    <w:rPr>
                      <w:rFonts w:hint="default" w:ascii="Times New Roman" w:hAnsi="Times New Roman" w:cs="Times New Roman"/>
                      <w:color w:val="auto"/>
                      <w:szCs w:val="21"/>
                      <w:highlight w:val="none"/>
                      <w:lang w:val="en-US" w:eastAsia="zh-CN"/>
                    </w:rPr>
                    <w:t>漆料</w:t>
                  </w:r>
                  <w:r>
                    <w:rPr>
                      <w:rFonts w:hint="default" w:ascii="Times New Roman" w:hAnsi="Times New Roman" w:cs="Times New Roman"/>
                      <w:color w:val="auto"/>
                      <w:szCs w:val="21"/>
                      <w:highlight w:val="none"/>
                    </w:rPr>
                    <w:t>消耗量（t）=密度（</w:t>
                  </w:r>
                  <w:r>
                    <w:rPr>
                      <w:rFonts w:hint="default" w:ascii="Times New Roman" w:hAnsi="Times New Roman" w:cs="Times New Roman"/>
                      <w:color w:val="auto"/>
                      <w:kern w:val="0"/>
                      <w:szCs w:val="21"/>
                      <w:highlight w:val="none"/>
                    </w:rPr>
                    <w:t>g/cm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szCs w:val="21"/>
                      <w:highlight w:val="none"/>
                    </w:rPr>
                    <w:t>）×膜厚度（</w:t>
                  </w:r>
                  <w:r>
                    <w:rPr>
                      <w:rFonts w:hint="default" w:ascii="Times New Roman" w:hAnsi="Times New Roman" w:cs="Times New Roman"/>
                      <w:color w:val="auto"/>
                      <w:kern w:val="0"/>
                      <w:szCs w:val="21"/>
                      <w:highlight w:val="none"/>
                    </w:rPr>
                    <w:t>μm</w:t>
                  </w:r>
                  <w:r>
                    <w:rPr>
                      <w:rFonts w:hint="default" w:ascii="Times New Roman" w:hAnsi="Times New Roman" w:cs="Times New Roman"/>
                      <w:color w:val="auto"/>
                      <w:szCs w:val="21"/>
                      <w:highlight w:val="none"/>
                    </w:rPr>
                    <w:t>）×</w:t>
                  </w:r>
                  <w:r>
                    <w:rPr>
                      <w:rFonts w:hint="default" w:ascii="Times New Roman" w:hAnsi="Times New Roman" w:cs="Times New Roman"/>
                      <w:color w:val="auto"/>
                      <w:kern w:val="0"/>
                      <w:szCs w:val="21"/>
                      <w:highlight w:val="none"/>
                    </w:rPr>
                    <w:t>平均单件面积</w:t>
                  </w:r>
                  <w:r>
                    <w:rPr>
                      <w:rFonts w:hint="default" w:ascii="Times New Roman" w:hAnsi="Times New Roman" w:cs="Times New Roman"/>
                      <w:color w:val="auto"/>
                      <w:szCs w:val="21"/>
                      <w:highlight w:val="none"/>
                    </w:rPr>
                    <w:t>（</w:t>
                  </w: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r>
                    <w:rPr>
                      <w:rFonts w:hint="default" w:ascii="Times New Roman" w:hAnsi="Times New Roman" w:cs="Times New Roman"/>
                      <w:color w:val="auto"/>
                      <w:szCs w:val="21"/>
                      <w:highlight w:val="none"/>
                    </w:rPr>
                    <w:t>）×</w:t>
                  </w:r>
                  <w:r>
                    <w:rPr>
                      <w:rFonts w:hint="default" w:ascii="Times New Roman" w:hAnsi="Times New Roman" w:cs="Times New Roman"/>
                      <w:color w:val="auto"/>
                      <w:kern w:val="0"/>
                      <w:szCs w:val="21"/>
                      <w:highlight w:val="none"/>
                    </w:rPr>
                    <w:t>年</w:t>
                  </w:r>
                  <w:r>
                    <w:rPr>
                      <w:rFonts w:hint="eastAsia" w:cs="Times New Roman"/>
                      <w:color w:val="auto"/>
                      <w:kern w:val="0"/>
                      <w:szCs w:val="21"/>
                      <w:highlight w:val="none"/>
                      <w:lang w:val="en-US" w:eastAsia="zh-CN"/>
                    </w:rPr>
                    <w:t>加工</w:t>
                  </w:r>
                  <w:r>
                    <w:rPr>
                      <w:rFonts w:hint="default" w:ascii="Times New Roman" w:hAnsi="Times New Roman" w:cs="Times New Roman"/>
                      <w:color w:val="auto"/>
                      <w:kern w:val="0"/>
                      <w:szCs w:val="21"/>
                      <w:highlight w:val="none"/>
                    </w:rPr>
                    <w:t>件数</w:t>
                  </w:r>
                  <w:r>
                    <w:rPr>
                      <w:rFonts w:hint="default" w:ascii="Times New Roman" w:hAnsi="Times New Roman" w:cs="Times New Roman"/>
                      <w:color w:val="auto"/>
                      <w:szCs w:val="21"/>
                      <w:highlight w:val="none"/>
                    </w:rPr>
                    <w:t>÷固含量（%）÷利用率（%）÷10</w:t>
                  </w:r>
                  <w:r>
                    <w:rPr>
                      <w:rFonts w:hint="default" w:ascii="Times New Roman" w:hAnsi="Times New Roman" w:cs="Times New Roman"/>
                      <w:color w:val="auto"/>
                      <w:szCs w:val="21"/>
                      <w:highlight w:val="none"/>
                      <w:vertAlign w:val="superscript"/>
                    </w:rPr>
                    <w:t>6</w:t>
                  </w:r>
                  <w:r>
                    <w:rPr>
                      <w:rFonts w:hint="default" w:ascii="Times New Roman" w:hAnsi="Times New Roman" w:cs="Times New Roman"/>
                      <w:color w:val="auto"/>
                      <w:szCs w:val="21"/>
                      <w:highlight w:val="none"/>
                    </w:rPr>
                    <w:t>。</w:t>
                  </w:r>
                </w:p>
                <w:p w14:paraId="0AF8322D">
                  <w:pPr>
                    <w:pStyle w:val="50"/>
                    <w:ind w:firstLine="630" w:firstLineChars="30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②电泳漆利用率根据《涂装工艺学》（化学工业出版社，2017年9月）及同类项目类比。</w:t>
                  </w:r>
                </w:p>
                <w:p w14:paraId="27CE389D">
                  <w:pPr>
                    <w:pStyle w:val="50"/>
                    <w:ind w:firstLine="630" w:firstLineChars="300"/>
                    <w:rPr>
                      <w:rFonts w:hint="default"/>
                      <w:color w:val="auto"/>
                      <w:lang w:val="en-US" w:eastAsia="zh-CN"/>
                    </w:rPr>
                  </w:pPr>
                  <w:r>
                    <w:rPr>
                      <w:rFonts w:hint="eastAsia" w:ascii="Times New Roman" w:hAnsi="Times New Roman" w:eastAsia="宋体" w:cs="Times New Roman"/>
                      <w:color w:val="auto"/>
                      <w:kern w:val="2"/>
                      <w:sz w:val="21"/>
                      <w:szCs w:val="21"/>
                      <w:highlight w:val="none"/>
                      <w:lang w:val="en-US" w:eastAsia="zh-CN" w:bidi="ar-SA"/>
                    </w:rPr>
                    <w:t>③电泳漆的主要成分为</w:t>
                  </w:r>
                  <w:r>
                    <w:rPr>
                      <w:rFonts w:hint="default" w:ascii="Times New Roman" w:hAnsi="Times New Roman" w:eastAsia="宋体" w:cs="Times New Roman"/>
                      <w:color w:val="auto"/>
                      <w:kern w:val="2"/>
                      <w:sz w:val="21"/>
                      <w:szCs w:val="21"/>
                      <w:highlight w:val="none"/>
                      <w:lang w:val="en-US" w:eastAsia="zh-CN" w:bidi="ar-SA"/>
                    </w:rPr>
                    <w:t>环氧树脂10-14%、聚酰胺树脂6-8%、聚氨酯树脂6-8%、碳黑4-8%、高岭土14-18%、二乙二醇己醚0-0.6%、水40-60%、</w:t>
                  </w:r>
                  <w:r>
                    <w:rPr>
                      <w:rFonts w:hint="eastAsia" w:ascii="Times New Roman" w:hAnsi="Times New Roman" w:eastAsia="宋体" w:cs="Times New Roman"/>
                      <w:color w:val="auto"/>
                      <w:kern w:val="2"/>
                      <w:sz w:val="21"/>
                      <w:szCs w:val="21"/>
                      <w:highlight w:val="none"/>
                      <w:lang w:val="en-US" w:eastAsia="zh-CN" w:bidi="ar-SA"/>
                    </w:rPr>
                    <w:t>丁酮＜0.01%、异丙酮＜0.01%、二乙醇胺＜0.01%、</w:t>
                  </w:r>
                  <w:r>
                    <w:rPr>
                      <w:rFonts w:hint="default" w:ascii="Times New Roman" w:hAnsi="Times New Roman" w:eastAsia="宋体" w:cs="Times New Roman"/>
                      <w:color w:val="auto"/>
                      <w:kern w:val="2"/>
                      <w:sz w:val="21"/>
                      <w:szCs w:val="21"/>
                      <w:highlight w:val="none"/>
                      <w:lang w:val="en-US" w:eastAsia="zh-CN" w:bidi="ar-SA"/>
                    </w:rPr>
                    <w:t>有机酸（醋酸）0.5-0.8%</w:t>
                  </w:r>
                  <w:r>
                    <w:rPr>
                      <w:rFonts w:hint="eastAsia" w:ascii="Times New Roman" w:hAnsi="Times New Roman" w:eastAsia="宋体" w:cs="Times New Roman"/>
                      <w:color w:val="auto"/>
                      <w:kern w:val="2"/>
                      <w:sz w:val="21"/>
                      <w:szCs w:val="21"/>
                      <w:highlight w:val="none"/>
                      <w:lang w:val="en-US" w:eastAsia="zh-CN" w:bidi="ar-SA"/>
                    </w:rPr>
                    <w:t>，固体成分为环氧树脂、</w:t>
                  </w:r>
                  <w:r>
                    <w:rPr>
                      <w:rFonts w:hint="default" w:ascii="Times New Roman" w:hAnsi="Times New Roman" w:eastAsia="宋体" w:cs="Times New Roman"/>
                      <w:color w:val="auto"/>
                      <w:kern w:val="2"/>
                      <w:sz w:val="21"/>
                      <w:szCs w:val="21"/>
                      <w:highlight w:val="none"/>
                      <w:lang w:val="en-US" w:eastAsia="zh-CN" w:bidi="ar-SA"/>
                    </w:rPr>
                    <w:t>聚酰胺树脂</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聚氨酯树脂</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碳黑</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高岭土</w:t>
                  </w:r>
                  <w:r>
                    <w:rPr>
                      <w:rFonts w:hint="eastAsia" w:ascii="Times New Roman" w:hAnsi="Times New Roman" w:eastAsia="宋体" w:cs="Times New Roman"/>
                      <w:color w:val="auto"/>
                      <w:kern w:val="2"/>
                      <w:sz w:val="21"/>
                      <w:szCs w:val="21"/>
                      <w:highlight w:val="none"/>
                      <w:lang w:val="en-US" w:eastAsia="zh-CN" w:bidi="ar-SA"/>
                    </w:rPr>
                    <w:t>，按其占比取中间值计算固含量为48%；稳定剂的主要成分为乙二醇丁醚50%、脂肪醇化合物15%、多官能团化合物35%，其固含量为0。电泳漆：稳定剂的调配比例=3:1，各自质量占比为75%、25%，则调配后的电泳</w:t>
                  </w:r>
                  <w:r>
                    <w:rPr>
                      <w:rFonts w:hint="default" w:ascii="Times New Roman" w:hAnsi="Times New Roman" w:eastAsia="宋体" w:cs="Times New Roman"/>
                      <w:color w:val="auto"/>
                      <w:kern w:val="2"/>
                      <w:sz w:val="21"/>
                      <w:szCs w:val="21"/>
                      <w:highlight w:val="none"/>
                      <w:lang w:val="en-US" w:eastAsia="zh-CN" w:bidi="ar-SA"/>
                    </w:rPr>
                    <w:t>涂层的固含量=</w:t>
                  </w:r>
                  <w:r>
                    <w:rPr>
                      <w:rFonts w:hint="eastAsia" w:ascii="Times New Roman" w:hAnsi="Times New Roman" w:eastAsia="宋体" w:cs="Times New Roman"/>
                      <w:color w:val="auto"/>
                      <w:kern w:val="2"/>
                      <w:sz w:val="21"/>
                      <w:szCs w:val="21"/>
                      <w:highlight w:val="none"/>
                      <w:lang w:val="en-US" w:eastAsia="zh-CN" w:bidi="ar-SA"/>
                    </w:rPr>
                    <w:t>48</w:t>
                  </w:r>
                  <w:r>
                    <w:rPr>
                      <w:rFonts w:hint="default" w:ascii="Times New Roman" w:hAnsi="Times New Roman" w:eastAsia="宋体" w:cs="Times New Roman"/>
                      <w:color w:val="auto"/>
                      <w:kern w:val="2"/>
                      <w:sz w:val="21"/>
                      <w:szCs w:val="21"/>
                      <w:highlight w:val="none"/>
                      <w:lang w:val="en-US" w:eastAsia="zh-CN" w:bidi="ar-SA"/>
                    </w:rPr>
                    <w:t>%×7</w:t>
                  </w:r>
                  <w:r>
                    <w:rPr>
                      <w:rFonts w:hint="eastAsia" w:ascii="Times New Roman" w:hAnsi="Times New Roman" w:eastAsia="宋体" w:cs="Times New Roman"/>
                      <w:color w:val="auto"/>
                      <w:kern w:val="2"/>
                      <w:sz w:val="21"/>
                      <w:szCs w:val="21"/>
                      <w:highlight w:val="none"/>
                      <w:lang w:val="en-US" w:eastAsia="zh-CN" w:bidi="ar-SA"/>
                    </w:rPr>
                    <w:t>5</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25</w:t>
                  </w:r>
                  <w:r>
                    <w:rPr>
                      <w:rFonts w:hint="default" w:ascii="Times New Roman" w:hAnsi="Times New Roman" w:eastAsia="宋体" w:cs="Times New Roman"/>
                      <w:color w:val="auto"/>
                      <w:kern w:val="2"/>
                      <w:sz w:val="21"/>
                      <w:szCs w:val="21"/>
                      <w:highlight w:val="none"/>
                      <w:lang w:val="en-US" w:eastAsia="zh-CN" w:bidi="ar-SA"/>
                    </w:rPr>
                    <w:t>%×0=</w:t>
                  </w:r>
                  <w:r>
                    <w:rPr>
                      <w:rFonts w:hint="eastAsia" w:ascii="Times New Roman" w:hAnsi="Times New Roman" w:eastAsia="宋体" w:cs="Times New Roman"/>
                      <w:color w:val="auto"/>
                      <w:kern w:val="2"/>
                      <w:sz w:val="21"/>
                      <w:szCs w:val="21"/>
                      <w:highlight w:val="none"/>
                      <w:lang w:val="en-US" w:eastAsia="zh-CN" w:bidi="ar-SA"/>
                    </w:rPr>
                    <w:t>36</w:t>
                  </w:r>
                  <w:r>
                    <w:rPr>
                      <w:rFonts w:hint="default" w:ascii="Times New Roman" w:hAnsi="Times New Roman" w:eastAsia="宋体" w:cs="Times New Roman"/>
                      <w:color w:val="auto"/>
                      <w:kern w:val="2"/>
                      <w:sz w:val="21"/>
                      <w:szCs w:val="21"/>
                      <w:highlight w:val="none"/>
                      <w:lang w:val="en-US" w:eastAsia="zh-CN" w:bidi="ar-SA"/>
                    </w:rPr>
                    <w:t>%。调配后的体积=</w:t>
                  </w:r>
                  <w:r>
                    <w:rPr>
                      <w:rFonts w:hint="eastAsia" w:ascii="Times New Roman" w:hAnsi="Times New Roman" w:eastAsia="宋体" w:cs="Times New Roman"/>
                      <w:color w:val="auto"/>
                      <w:kern w:val="2"/>
                      <w:sz w:val="21"/>
                      <w:szCs w:val="21"/>
                      <w:highlight w:val="none"/>
                      <w:lang w:val="en-US" w:eastAsia="zh-CN" w:bidi="ar-SA"/>
                    </w:rPr>
                    <w:t>75</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1.15</w:t>
                  </w:r>
                  <w:r>
                    <w:rPr>
                      <w:rFonts w:hint="default" w:ascii="Times New Roman" w:hAnsi="Times New Roman" w:eastAsia="宋体" w:cs="Times New Roman"/>
                      <w:color w:val="auto"/>
                      <w:kern w:val="2"/>
                      <w:sz w:val="21"/>
                      <w:szCs w:val="21"/>
                      <w:highlight w:val="none"/>
                      <w:lang w:val="en-US" w:eastAsia="zh-CN" w:bidi="ar-SA"/>
                    </w:rPr>
                    <w:t>g/cm</w:t>
                  </w:r>
                  <w:r>
                    <w:rPr>
                      <w:rFonts w:hint="default" w:ascii="Times New Roman" w:hAnsi="Times New Roman" w:eastAsia="宋体" w:cs="Times New Roman"/>
                      <w:color w:val="auto"/>
                      <w:kern w:val="2"/>
                      <w:sz w:val="21"/>
                      <w:szCs w:val="21"/>
                      <w:highlight w:val="none"/>
                      <w:vertAlign w:val="superscript"/>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25</w:t>
                  </w:r>
                  <w:r>
                    <w:rPr>
                      <w:rFonts w:hint="default" w:ascii="Times New Roman" w:hAnsi="Times New Roman" w:eastAsia="宋体" w:cs="Times New Roman"/>
                      <w:color w:val="auto"/>
                      <w:kern w:val="2"/>
                      <w:sz w:val="21"/>
                      <w:szCs w:val="21"/>
                      <w:highlight w:val="none"/>
                      <w:lang w:val="en-US" w:eastAsia="zh-CN" w:bidi="ar-SA"/>
                    </w:rPr>
                    <w:t>%÷0.</w:t>
                  </w:r>
                  <w:r>
                    <w:rPr>
                      <w:rFonts w:hint="eastAsia" w:ascii="Times New Roman" w:hAnsi="Times New Roman" w:eastAsia="宋体" w:cs="Times New Roman"/>
                      <w:color w:val="auto"/>
                      <w:kern w:val="2"/>
                      <w:sz w:val="21"/>
                      <w:szCs w:val="21"/>
                      <w:highlight w:val="none"/>
                      <w:lang w:val="en-US" w:eastAsia="zh-CN" w:bidi="ar-SA"/>
                    </w:rPr>
                    <w:t>92</w:t>
                  </w:r>
                  <w:r>
                    <w:rPr>
                      <w:rFonts w:hint="default" w:ascii="Times New Roman" w:hAnsi="Times New Roman" w:eastAsia="宋体" w:cs="Times New Roman"/>
                      <w:color w:val="auto"/>
                      <w:kern w:val="2"/>
                      <w:sz w:val="21"/>
                      <w:szCs w:val="21"/>
                      <w:highlight w:val="none"/>
                      <w:lang w:val="en-US" w:eastAsia="zh-CN" w:bidi="ar-SA"/>
                    </w:rPr>
                    <w:t>g/cm</w:t>
                  </w:r>
                  <w:r>
                    <w:rPr>
                      <w:rFonts w:hint="default" w:ascii="Times New Roman" w:hAnsi="Times New Roman" w:eastAsia="宋体" w:cs="Times New Roman"/>
                      <w:color w:val="auto"/>
                      <w:kern w:val="2"/>
                      <w:sz w:val="21"/>
                      <w:szCs w:val="21"/>
                      <w:highlight w:val="none"/>
                      <w:vertAlign w:val="superscript"/>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0.9239</w:t>
                  </w:r>
                  <w:r>
                    <w:rPr>
                      <w:rFonts w:hint="default" w:ascii="Times New Roman" w:hAnsi="Times New Roman" w:eastAsia="宋体" w:cs="Times New Roman"/>
                      <w:color w:val="auto"/>
                      <w:kern w:val="2"/>
                      <w:sz w:val="21"/>
                      <w:szCs w:val="21"/>
                      <w:highlight w:val="none"/>
                      <w:lang w:val="en-US" w:eastAsia="zh-CN" w:bidi="ar-SA"/>
                    </w:rPr>
                    <w:t>%/cm</w:t>
                  </w:r>
                  <w:r>
                    <w:rPr>
                      <w:rFonts w:hint="default" w:ascii="Times New Roman" w:hAnsi="Times New Roman" w:eastAsia="宋体" w:cs="Times New Roman"/>
                      <w:color w:val="auto"/>
                      <w:kern w:val="2"/>
                      <w:sz w:val="21"/>
                      <w:szCs w:val="21"/>
                      <w:highlight w:val="none"/>
                      <w:vertAlign w:val="superscript"/>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/g，因此调配后的密度=100%÷</w:t>
                  </w:r>
                  <w:r>
                    <w:rPr>
                      <w:rFonts w:hint="eastAsia" w:ascii="Times New Roman" w:hAnsi="Times New Roman" w:eastAsia="宋体" w:cs="Times New Roman"/>
                      <w:color w:val="auto"/>
                      <w:kern w:val="2"/>
                      <w:sz w:val="21"/>
                      <w:szCs w:val="21"/>
                      <w:highlight w:val="none"/>
                      <w:lang w:val="en-US" w:eastAsia="zh-CN" w:bidi="ar-SA"/>
                    </w:rPr>
                    <w:t>0.9239</w:t>
                  </w:r>
                  <w:r>
                    <w:rPr>
                      <w:rFonts w:hint="default" w:ascii="Times New Roman" w:hAnsi="Times New Roman" w:eastAsia="宋体" w:cs="Times New Roman"/>
                      <w:color w:val="auto"/>
                      <w:kern w:val="2"/>
                      <w:sz w:val="21"/>
                      <w:szCs w:val="21"/>
                      <w:highlight w:val="none"/>
                      <w:lang w:val="en-US" w:eastAsia="zh-CN" w:bidi="ar-SA"/>
                    </w:rPr>
                    <w:t>%/cm</w:t>
                  </w:r>
                  <w:r>
                    <w:rPr>
                      <w:rFonts w:hint="default" w:ascii="Times New Roman" w:hAnsi="Times New Roman" w:eastAsia="宋体" w:cs="Times New Roman"/>
                      <w:color w:val="auto"/>
                      <w:kern w:val="2"/>
                      <w:sz w:val="21"/>
                      <w:szCs w:val="21"/>
                      <w:highlight w:val="none"/>
                      <w:vertAlign w:val="superscript"/>
                      <w:lang w:val="en-US" w:eastAsia="zh-CN" w:bidi="ar-SA"/>
                    </w:rPr>
                    <w:t>3</w:t>
                  </w:r>
                  <w:r>
                    <w:rPr>
                      <w:rFonts w:hint="default" w:ascii="Times New Roman" w:hAnsi="Times New Roman" w:eastAsia="宋体" w:cs="Times New Roman"/>
                      <w:color w:val="auto"/>
                      <w:kern w:val="2"/>
                      <w:sz w:val="21"/>
                      <w:szCs w:val="21"/>
                      <w:highlight w:val="none"/>
                      <w:lang w:val="en-US" w:eastAsia="zh-CN" w:bidi="ar-SA"/>
                    </w:rPr>
                    <w:t>/g=</w:t>
                  </w:r>
                  <w:r>
                    <w:rPr>
                      <w:rFonts w:hint="eastAsia" w:ascii="Times New Roman" w:hAnsi="Times New Roman" w:eastAsia="宋体" w:cs="Times New Roman"/>
                      <w:color w:val="auto"/>
                      <w:kern w:val="2"/>
                      <w:sz w:val="21"/>
                      <w:szCs w:val="21"/>
                      <w:highlight w:val="none"/>
                      <w:lang w:val="en-US" w:eastAsia="zh-CN" w:bidi="ar-SA"/>
                    </w:rPr>
                    <w:t>1.0824</w:t>
                  </w:r>
                  <w:r>
                    <w:rPr>
                      <w:rFonts w:hint="default" w:ascii="Times New Roman" w:hAnsi="Times New Roman" w:eastAsia="宋体" w:cs="Times New Roman"/>
                      <w:color w:val="auto"/>
                      <w:kern w:val="2"/>
                      <w:sz w:val="21"/>
                      <w:szCs w:val="21"/>
                      <w:highlight w:val="none"/>
                      <w:lang w:val="en-US" w:eastAsia="zh-CN" w:bidi="ar-SA"/>
                    </w:rPr>
                    <w:t>g/cm</w:t>
                  </w:r>
                  <w:r>
                    <w:rPr>
                      <w:rFonts w:hint="default" w:ascii="Times New Roman" w:hAnsi="Times New Roman" w:eastAsia="宋体" w:cs="Times New Roman"/>
                      <w:color w:val="auto"/>
                      <w:kern w:val="2"/>
                      <w:sz w:val="21"/>
                      <w:szCs w:val="21"/>
                      <w:highlight w:val="none"/>
                      <w:vertAlign w:val="superscript"/>
                      <w:lang w:val="en-US" w:eastAsia="zh-CN" w:bidi="ar-SA"/>
                    </w:rPr>
                    <w:t>3</w:t>
                  </w:r>
                  <w:r>
                    <w:rPr>
                      <w:rFonts w:hint="eastAsia" w:ascii="Times New Roman" w:hAnsi="Times New Roman" w:eastAsia="宋体" w:cs="Times New Roman"/>
                      <w:color w:val="auto"/>
                      <w:kern w:val="2"/>
                      <w:sz w:val="21"/>
                      <w:szCs w:val="21"/>
                      <w:highlight w:val="none"/>
                      <w:lang w:val="en-US" w:eastAsia="zh-CN" w:bidi="ar-SA"/>
                    </w:rPr>
                    <w:t>。</w:t>
                  </w:r>
                </w:p>
              </w:tc>
            </w:tr>
          </w:tbl>
          <w:p w14:paraId="0A61EFCF">
            <w:pPr>
              <w:adjustRightInd w:val="0"/>
              <w:spacing w:line="360" w:lineRule="auto"/>
              <w:ind w:firstLine="496" w:firstLineChars="200"/>
              <w:textAlignment w:val="baseline"/>
              <w:rPr>
                <w:rFonts w:hint="default" w:ascii="Times New Roman" w:hAnsi="Times New Roman" w:eastAsia="宋体" w:cs="Times New Roman"/>
                <w:color w:val="auto"/>
                <w:spacing w:val="4"/>
                <w:sz w:val="24"/>
                <w:lang w:val="en-US" w:eastAsia="zh-CN"/>
              </w:rPr>
            </w:pPr>
            <w:r>
              <w:rPr>
                <w:rFonts w:hint="default" w:ascii="Times New Roman" w:hAnsi="Times New Roman" w:eastAsia="宋体" w:cs="Times New Roman"/>
                <w:color w:val="auto"/>
                <w:spacing w:val="4"/>
                <w:sz w:val="24"/>
                <w:lang w:val="en-US" w:eastAsia="zh-CN"/>
              </w:rPr>
              <w:t>根据上表核算结果，本项目</w:t>
            </w:r>
            <w:r>
              <w:rPr>
                <w:rFonts w:hint="eastAsia" w:ascii="Times New Roman" w:hAnsi="Times New Roman" w:eastAsia="宋体" w:cs="Times New Roman"/>
                <w:color w:val="auto"/>
                <w:spacing w:val="4"/>
                <w:sz w:val="24"/>
                <w:lang w:val="en-US" w:eastAsia="zh-CN"/>
              </w:rPr>
              <w:t>调配后的</w:t>
            </w:r>
            <w:r>
              <w:rPr>
                <w:rFonts w:hint="default" w:ascii="Times New Roman" w:hAnsi="Times New Roman" w:eastAsia="宋体" w:cs="Times New Roman"/>
                <w:color w:val="auto"/>
                <w:spacing w:val="4"/>
                <w:sz w:val="24"/>
                <w:lang w:val="en-US" w:eastAsia="zh-CN"/>
              </w:rPr>
              <w:t>电泳漆年用总量为</w:t>
            </w:r>
            <w:r>
              <w:rPr>
                <w:rFonts w:hint="eastAsia" w:ascii="Times New Roman" w:hAnsi="Times New Roman" w:eastAsia="宋体" w:cs="Times New Roman"/>
                <w:color w:val="auto"/>
                <w:spacing w:val="4"/>
                <w:sz w:val="24"/>
                <w:lang w:val="en-US" w:eastAsia="zh-CN"/>
              </w:rPr>
              <w:t>2</w:t>
            </w:r>
            <w:r>
              <w:rPr>
                <w:rFonts w:hint="default" w:ascii="Times New Roman" w:hAnsi="Times New Roman" w:eastAsia="宋体" w:cs="Times New Roman"/>
                <w:color w:val="auto"/>
                <w:spacing w:val="4"/>
                <w:sz w:val="24"/>
                <w:lang w:val="en-US" w:eastAsia="zh-CN"/>
              </w:rPr>
              <w:t>吨</w:t>
            </w:r>
            <w:r>
              <w:rPr>
                <w:rFonts w:hint="eastAsia" w:ascii="Times New Roman" w:hAnsi="Times New Roman" w:eastAsia="宋体" w:cs="Times New Roman"/>
                <w:color w:val="auto"/>
                <w:spacing w:val="4"/>
                <w:sz w:val="24"/>
                <w:lang w:val="en-US" w:eastAsia="zh-CN"/>
              </w:rPr>
              <w:t>，其中电泳漆用量为1.5t/a、稳定剂用量为0.5t/a</w:t>
            </w:r>
            <w:r>
              <w:rPr>
                <w:rFonts w:hint="default" w:ascii="Times New Roman" w:hAnsi="Times New Roman" w:eastAsia="宋体" w:cs="Times New Roman"/>
                <w:color w:val="auto"/>
                <w:spacing w:val="4"/>
                <w:sz w:val="24"/>
                <w:lang w:val="en-US" w:eastAsia="zh-CN"/>
              </w:rPr>
              <w:t>，故</w:t>
            </w:r>
            <w:r>
              <w:rPr>
                <w:rFonts w:hint="eastAsia" w:ascii="Times New Roman" w:hAnsi="Times New Roman" w:eastAsia="宋体" w:cs="Times New Roman"/>
                <w:color w:val="auto"/>
                <w:spacing w:val="4"/>
                <w:sz w:val="24"/>
                <w:lang w:val="en-US" w:eastAsia="zh-CN"/>
              </w:rPr>
              <w:t>调配后的</w:t>
            </w:r>
            <w:r>
              <w:rPr>
                <w:rFonts w:hint="default" w:ascii="Times New Roman" w:hAnsi="Times New Roman" w:eastAsia="宋体" w:cs="Times New Roman"/>
                <w:color w:val="auto"/>
                <w:spacing w:val="4"/>
                <w:sz w:val="24"/>
                <w:lang w:val="en-US" w:eastAsia="zh-CN"/>
              </w:rPr>
              <w:t>电泳漆用量与产能相匹配。</w:t>
            </w:r>
          </w:p>
          <w:p w14:paraId="3D247111">
            <w:pPr>
              <w:adjustRightInd w:val="0"/>
              <w:spacing w:line="360" w:lineRule="auto"/>
              <w:ind w:firstLine="482" w:firstLineChars="200"/>
              <w:textAlignment w:val="baseline"/>
              <w:rPr>
                <w:color w:val="auto"/>
                <w:spacing w:val="4"/>
                <w:sz w:val="24"/>
              </w:rPr>
            </w:pPr>
            <w:r>
              <w:rPr>
                <w:b/>
                <w:bCs/>
                <w:color w:val="auto"/>
                <w:sz w:val="24"/>
              </w:rPr>
              <w:t>本项目</w:t>
            </w:r>
            <w:r>
              <w:rPr>
                <w:rFonts w:hint="eastAsia"/>
                <w:b/>
                <w:bCs/>
                <w:color w:val="auto"/>
                <w:sz w:val="24"/>
              </w:rPr>
              <w:t>电泳</w:t>
            </w:r>
            <w:r>
              <w:rPr>
                <w:b/>
                <w:bCs/>
                <w:color w:val="auto"/>
                <w:sz w:val="24"/>
              </w:rPr>
              <w:t>漆需调配</w:t>
            </w:r>
            <w:r>
              <w:rPr>
                <w:rFonts w:hint="eastAsia"/>
                <w:b/>
                <w:bCs/>
                <w:color w:val="auto"/>
                <w:sz w:val="24"/>
              </w:rPr>
              <w:t>溶剂型稳定剂</w:t>
            </w:r>
            <w:r>
              <w:rPr>
                <w:b/>
                <w:bCs/>
                <w:color w:val="auto"/>
                <w:sz w:val="24"/>
              </w:rPr>
              <w:t>使用，</w:t>
            </w:r>
            <w:r>
              <w:rPr>
                <w:rFonts w:hint="eastAsia"/>
                <w:b/>
                <w:bCs/>
                <w:color w:val="auto"/>
                <w:sz w:val="24"/>
              </w:rPr>
              <w:t>因此VOC含量限值对标溶剂型涂料分析其符合性：</w:t>
            </w:r>
          </w:p>
          <w:p w14:paraId="3A1280A7">
            <w:pPr>
              <w:adjustRightInd w:val="0"/>
              <w:spacing w:line="360" w:lineRule="auto"/>
              <w:ind w:firstLine="496" w:firstLineChars="200"/>
              <w:textAlignment w:val="baseline"/>
              <w:rPr>
                <w:color w:val="auto"/>
                <w:sz w:val="24"/>
              </w:rPr>
            </w:pPr>
            <w:r>
              <w:rPr>
                <w:color w:val="auto"/>
                <w:spacing w:val="4"/>
                <w:sz w:val="24"/>
              </w:rPr>
              <w:t>根据</w:t>
            </w:r>
            <w:r>
              <w:rPr>
                <w:rFonts w:hint="default" w:ascii="Times New Roman" w:hAnsi="Times New Roman" w:eastAsia="宋体" w:cs="Times New Roman"/>
                <w:color w:val="auto"/>
                <w:spacing w:val="4"/>
                <w:sz w:val="24"/>
                <w:szCs w:val="24"/>
                <w:highlight w:val="none"/>
                <w:lang w:val="en-US" w:eastAsia="zh-CN"/>
              </w:rPr>
              <w:t>《涂料中有害物质限量 第2部分：工业涂料》（GB30981.2-2025）</w:t>
            </w:r>
            <w:r>
              <w:rPr>
                <w:color w:val="auto"/>
                <w:spacing w:val="4"/>
                <w:sz w:val="24"/>
              </w:rPr>
              <w:t>文件要求：</w:t>
            </w:r>
            <w:r>
              <w:rPr>
                <w:rFonts w:hint="default" w:ascii="Times New Roman" w:hAnsi="Times New Roman" w:eastAsia="宋体" w:cs="Times New Roman"/>
                <w:color w:val="auto"/>
                <w:spacing w:val="4"/>
                <w:sz w:val="24"/>
                <w:szCs w:val="24"/>
                <w:highlight w:val="none"/>
                <w:lang w:val="en-US" w:eastAsia="zh-CN"/>
              </w:rPr>
              <w:t>除电泳涂料外</w:t>
            </w:r>
            <w:r>
              <w:rPr>
                <w:rFonts w:hint="eastAsia" w:ascii="Times New Roman" w:hAnsi="Times New Roman" w:eastAsia="宋体" w:cs="Times New Roman"/>
                <w:color w:val="auto"/>
                <w:spacing w:val="4"/>
                <w:sz w:val="24"/>
                <w:szCs w:val="24"/>
                <w:highlight w:val="none"/>
                <w:lang w:val="en-US" w:eastAsia="zh-CN"/>
              </w:rPr>
              <w:t>，</w:t>
            </w:r>
            <w:r>
              <w:rPr>
                <w:rFonts w:hint="default" w:ascii="Times New Roman" w:hAnsi="Times New Roman" w:eastAsia="宋体" w:cs="Times New Roman"/>
                <w:color w:val="auto"/>
                <w:spacing w:val="4"/>
                <w:sz w:val="24"/>
                <w:szCs w:val="24"/>
                <w:highlight w:val="none"/>
                <w:lang w:val="en-US" w:eastAsia="zh-CN"/>
              </w:rPr>
              <w:t>水性涂料和水性辐射固化涂料的VOC含量项目均不考虑水的稀释比例</w:t>
            </w:r>
            <w:r>
              <w:rPr>
                <w:rFonts w:hint="eastAsia" w:ascii="Times New Roman" w:hAnsi="Times New Roman" w:eastAsia="宋体" w:cs="Times New Roman"/>
                <w:color w:val="auto"/>
                <w:spacing w:val="4"/>
                <w:sz w:val="24"/>
                <w:szCs w:val="24"/>
                <w:highlight w:val="none"/>
                <w:lang w:val="en-US" w:eastAsia="zh-CN"/>
              </w:rPr>
              <w:t>；</w:t>
            </w:r>
            <w:r>
              <w:rPr>
                <w:rFonts w:hint="default" w:ascii="Times New Roman" w:hAnsi="Times New Roman" w:eastAsia="宋体" w:cs="Times New Roman"/>
                <w:color w:val="auto"/>
                <w:spacing w:val="4"/>
                <w:sz w:val="24"/>
                <w:szCs w:val="24"/>
                <w:highlight w:val="none"/>
                <w:lang w:val="en-US" w:eastAsia="zh-CN"/>
              </w:rPr>
              <w:t>其他类型涂料按产品明示的施工状态下的施工配比混合后测试</w:t>
            </w:r>
            <w:r>
              <w:rPr>
                <w:rFonts w:hint="eastAsia" w:ascii="Times New Roman" w:hAnsi="Times New Roman" w:eastAsia="宋体" w:cs="Times New Roman"/>
                <w:color w:val="auto"/>
                <w:spacing w:val="4"/>
                <w:sz w:val="24"/>
                <w:szCs w:val="24"/>
                <w:highlight w:val="none"/>
                <w:lang w:val="en-US" w:eastAsia="zh-CN"/>
              </w:rPr>
              <w:t>，</w:t>
            </w:r>
            <w:r>
              <w:rPr>
                <w:rFonts w:hint="default" w:ascii="Times New Roman" w:hAnsi="Times New Roman" w:eastAsia="宋体" w:cs="Times New Roman"/>
                <w:color w:val="auto"/>
                <w:spacing w:val="4"/>
                <w:sz w:val="24"/>
                <w:szCs w:val="24"/>
                <w:highlight w:val="none"/>
                <w:lang w:val="en-US" w:eastAsia="zh-CN"/>
              </w:rPr>
              <w:t>如多组分中某组分使用量为某一范围时</w:t>
            </w:r>
            <w:r>
              <w:rPr>
                <w:rFonts w:hint="eastAsia" w:ascii="Times New Roman" w:hAnsi="Times New Roman" w:eastAsia="宋体" w:cs="Times New Roman"/>
                <w:color w:val="auto"/>
                <w:spacing w:val="4"/>
                <w:sz w:val="24"/>
                <w:szCs w:val="24"/>
                <w:highlight w:val="none"/>
                <w:lang w:val="en-US" w:eastAsia="zh-CN"/>
              </w:rPr>
              <w:t>，</w:t>
            </w:r>
            <w:r>
              <w:rPr>
                <w:rFonts w:hint="default" w:ascii="Times New Roman" w:hAnsi="Times New Roman" w:eastAsia="宋体" w:cs="Times New Roman"/>
                <w:color w:val="auto"/>
                <w:spacing w:val="4"/>
                <w:sz w:val="24"/>
                <w:szCs w:val="24"/>
                <w:highlight w:val="none"/>
                <w:lang w:val="en-US" w:eastAsia="zh-CN"/>
              </w:rPr>
              <w:t>应按照产品施工状态下的施工配比规定的最大比例混合后进行测试</w:t>
            </w:r>
            <w:r>
              <w:rPr>
                <w:color w:val="auto"/>
                <w:spacing w:val="4"/>
                <w:sz w:val="24"/>
              </w:rPr>
              <w:t>，</w:t>
            </w:r>
            <w:r>
              <w:rPr>
                <w:color w:val="auto"/>
                <w:sz w:val="24"/>
              </w:rPr>
              <w:t>“表2溶剂型涂料中VOC含量的限量值要求—</w:t>
            </w:r>
            <w:r>
              <w:rPr>
                <w:rFonts w:hint="eastAsia"/>
                <w:color w:val="auto"/>
                <w:spacing w:val="4"/>
                <w:sz w:val="24"/>
                <w:lang w:val="en-US" w:eastAsia="zh-CN"/>
              </w:rPr>
              <w:t>五金制品涂料、工艺品涂料</w:t>
            </w:r>
            <w:r>
              <w:rPr>
                <w:color w:val="auto"/>
                <w:spacing w:val="4"/>
                <w:sz w:val="24"/>
              </w:rPr>
              <w:t>—底漆的限量值为</w:t>
            </w:r>
            <w:r>
              <w:rPr>
                <w:color w:val="auto"/>
                <w:sz w:val="24"/>
              </w:rPr>
              <w:t>≤</w:t>
            </w:r>
            <w:r>
              <w:rPr>
                <w:rFonts w:hint="eastAsia"/>
                <w:color w:val="auto"/>
                <w:sz w:val="24"/>
                <w:lang w:val="en-US" w:eastAsia="zh-CN"/>
              </w:rPr>
              <w:t>67</w:t>
            </w:r>
            <w:r>
              <w:rPr>
                <w:color w:val="auto"/>
                <w:sz w:val="24"/>
              </w:rPr>
              <w:t>0g/L”。</w:t>
            </w:r>
          </w:p>
          <w:p w14:paraId="72DE5A96">
            <w:pPr>
              <w:adjustRightInd w:val="0"/>
              <w:spacing w:line="360" w:lineRule="auto"/>
              <w:ind w:firstLine="496" w:firstLineChars="200"/>
              <w:textAlignment w:val="baseline"/>
              <w:rPr>
                <w:color w:val="auto"/>
                <w:spacing w:val="4"/>
                <w:sz w:val="24"/>
              </w:rPr>
            </w:pPr>
            <w:r>
              <w:rPr>
                <w:color w:val="auto"/>
                <w:spacing w:val="4"/>
                <w:sz w:val="24"/>
              </w:rPr>
              <w:t>根据《低挥发性有机化合物含量涂料产品技术要求》（GB/T38597-2020）文件要求：水性涂料和水性辐射固化涂料均不考虑水的稀释比例。其他类型涂料按产品明示的施工状态下的施工配比混合后测定。如多组分的某组分使用量为某一范围时，按照产品施工状态下的施工配比规定的最大比例混合后进行测定。当涂料产品适用于多种场合时，按最严格的限量值执行，</w:t>
            </w:r>
            <w:r>
              <w:rPr>
                <w:color w:val="auto"/>
                <w:sz w:val="24"/>
              </w:rPr>
              <w:t>“表2溶剂型涂料中VOC含量的要求—工业防护涂料—机械设备涂料—工程机械和农业机械涂料（含零部件涂料）底漆的限量值≤420g/L”。</w:t>
            </w:r>
          </w:p>
          <w:p w14:paraId="5746171D">
            <w:pPr>
              <w:adjustRightInd w:val="0"/>
              <w:spacing w:line="360" w:lineRule="auto"/>
              <w:ind w:firstLine="480" w:firstLineChars="200"/>
              <w:textAlignment w:val="baseline"/>
              <w:rPr>
                <w:color w:val="auto"/>
                <w:spacing w:val="4"/>
                <w:sz w:val="24"/>
              </w:rPr>
            </w:pPr>
            <w:r>
              <w:rPr>
                <w:rFonts w:hint="eastAsia"/>
                <w:color w:val="auto"/>
                <w:sz w:val="24"/>
              </w:rPr>
              <w:t>本项目电泳原漆</w:t>
            </w:r>
            <w:r>
              <w:rPr>
                <w:color w:val="auto"/>
                <w:sz w:val="24"/>
              </w:rPr>
              <w:t>：</w:t>
            </w:r>
            <w:r>
              <w:rPr>
                <w:rFonts w:hint="eastAsia"/>
                <w:color w:val="auto"/>
                <w:sz w:val="24"/>
              </w:rPr>
              <w:t>稳定</w:t>
            </w:r>
            <w:r>
              <w:rPr>
                <w:color w:val="auto"/>
                <w:sz w:val="24"/>
              </w:rPr>
              <w:t>剂=</w:t>
            </w:r>
            <w:r>
              <w:rPr>
                <w:rFonts w:hint="eastAsia"/>
                <w:color w:val="auto"/>
                <w:sz w:val="24"/>
              </w:rPr>
              <w:t>3</w:t>
            </w:r>
            <w:r>
              <w:rPr>
                <w:color w:val="auto"/>
                <w:sz w:val="24"/>
              </w:rPr>
              <w:t>:</w:t>
            </w:r>
            <w:r>
              <w:rPr>
                <w:rFonts w:hint="eastAsia"/>
                <w:color w:val="auto"/>
                <w:sz w:val="24"/>
              </w:rPr>
              <w:t>1</w:t>
            </w:r>
            <w:r>
              <w:rPr>
                <w:color w:val="auto"/>
                <w:sz w:val="24"/>
              </w:rPr>
              <w:t>，因此质量比例</w:t>
            </w:r>
            <w:r>
              <w:rPr>
                <w:rFonts w:hint="eastAsia"/>
                <w:color w:val="auto"/>
                <w:sz w:val="24"/>
              </w:rPr>
              <w:t>电泳原漆75</w:t>
            </w:r>
            <w:r>
              <w:rPr>
                <w:color w:val="auto"/>
                <w:sz w:val="24"/>
              </w:rPr>
              <w:t>%，</w:t>
            </w:r>
            <w:r>
              <w:rPr>
                <w:rFonts w:hint="eastAsia"/>
                <w:color w:val="auto"/>
                <w:sz w:val="24"/>
              </w:rPr>
              <w:t>稳定剂25</w:t>
            </w:r>
            <w:r>
              <w:rPr>
                <w:color w:val="auto"/>
                <w:sz w:val="24"/>
              </w:rPr>
              <w:t>%，根据其</w:t>
            </w:r>
            <w:r>
              <w:rPr>
                <w:rFonts w:hint="eastAsia"/>
                <w:color w:val="auto"/>
                <w:sz w:val="24"/>
              </w:rPr>
              <w:t>VOC含量检测</w:t>
            </w:r>
            <w:r>
              <w:rPr>
                <w:color w:val="auto"/>
                <w:sz w:val="24"/>
              </w:rPr>
              <w:t>报告，</w:t>
            </w:r>
            <w:r>
              <w:rPr>
                <w:rFonts w:hint="eastAsia"/>
                <w:color w:val="auto"/>
                <w:sz w:val="24"/>
              </w:rPr>
              <w:t>电泳原漆、稳定剂的VOC含量分别为134g/L、1105g/L，</w:t>
            </w:r>
            <w:r>
              <w:rPr>
                <w:color w:val="auto"/>
                <w:sz w:val="24"/>
              </w:rPr>
              <w:t>则</w:t>
            </w:r>
            <w:r>
              <w:rPr>
                <w:rFonts w:hint="eastAsia"/>
                <w:color w:val="auto"/>
                <w:sz w:val="24"/>
              </w:rPr>
              <w:t>电泳漆调配后</w:t>
            </w:r>
            <w:r>
              <w:rPr>
                <w:color w:val="auto"/>
                <w:sz w:val="24"/>
              </w:rPr>
              <w:t>的</w:t>
            </w:r>
            <w:r>
              <w:rPr>
                <w:rFonts w:hint="eastAsia"/>
                <w:color w:val="auto"/>
                <w:sz w:val="24"/>
              </w:rPr>
              <w:t>状态下</w:t>
            </w:r>
            <w:r>
              <w:rPr>
                <w:color w:val="auto"/>
                <w:sz w:val="24"/>
              </w:rPr>
              <w:t>VOCs含量=</w:t>
            </w:r>
            <w:r>
              <w:rPr>
                <w:rFonts w:hint="eastAsia"/>
                <w:color w:val="auto"/>
                <w:sz w:val="24"/>
              </w:rPr>
              <w:t>75</w:t>
            </w:r>
            <w:r>
              <w:rPr>
                <w:color w:val="auto"/>
                <w:sz w:val="24"/>
              </w:rPr>
              <w:t>%×</w:t>
            </w:r>
            <w:r>
              <w:rPr>
                <w:rFonts w:hint="eastAsia"/>
                <w:color w:val="auto"/>
                <w:sz w:val="24"/>
              </w:rPr>
              <w:t>134g/L</w:t>
            </w:r>
            <w:r>
              <w:rPr>
                <w:color w:val="auto"/>
                <w:sz w:val="24"/>
              </w:rPr>
              <w:t>+</w:t>
            </w:r>
            <w:r>
              <w:rPr>
                <w:rFonts w:hint="eastAsia"/>
                <w:color w:val="auto"/>
                <w:sz w:val="24"/>
              </w:rPr>
              <w:t>25%</w:t>
            </w:r>
            <w:r>
              <w:rPr>
                <w:color w:val="auto"/>
                <w:sz w:val="24"/>
              </w:rPr>
              <w:t>×</w:t>
            </w:r>
            <w:r>
              <w:rPr>
                <w:rFonts w:hint="eastAsia"/>
                <w:color w:val="auto"/>
                <w:sz w:val="24"/>
              </w:rPr>
              <w:t>1105g/L</w:t>
            </w:r>
            <w:r>
              <w:rPr>
                <w:color w:val="auto"/>
                <w:sz w:val="24"/>
              </w:rPr>
              <w:t>=3</w:t>
            </w:r>
            <w:r>
              <w:rPr>
                <w:rFonts w:hint="eastAsia"/>
                <w:color w:val="auto"/>
                <w:sz w:val="24"/>
              </w:rPr>
              <w:t>77</w:t>
            </w:r>
            <w:r>
              <w:rPr>
                <w:color w:val="auto"/>
                <w:sz w:val="24"/>
              </w:rPr>
              <w:t>g/L，少于限量值420g/L。</w:t>
            </w:r>
          </w:p>
          <w:p w14:paraId="36F19FA8">
            <w:pPr>
              <w:spacing w:line="360" w:lineRule="auto"/>
              <w:ind w:firstLine="480" w:firstLineChars="200"/>
              <w:rPr>
                <w:b/>
                <w:color w:val="auto"/>
                <w:sz w:val="24"/>
              </w:rPr>
            </w:pPr>
            <w:r>
              <w:rPr>
                <w:color w:val="auto"/>
                <w:sz w:val="24"/>
              </w:rPr>
              <w:t>综合上述可知，本项目使用的</w:t>
            </w:r>
            <w:r>
              <w:rPr>
                <w:rFonts w:hint="eastAsia"/>
                <w:color w:val="auto"/>
                <w:sz w:val="24"/>
              </w:rPr>
              <w:t>调配状态下的电泳漆</w:t>
            </w:r>
            <w:r>
              <w:rPr>
                <w:color w:val="auto"/>
                <w:sz w:val="24"/>
              </w:rPr>
              <w:t>符合</w:t>
            </w:r>
            <w:r>
              <w:rPr>
                <w:rFonts w:hint="default" w:ascii="Times New Roman" w:hAnsi="Times New Roman" w:eastAsia="宋体" w:cs="Times New Roman"/>
                <w:color w:val="auto"/>
                <w:spacing w:val="4"/>
                <w:sz w:val="24"/>
                <w:szCs w:val="24"/>
                <w:highlight w:val="none"/>
                <w:lang w:val="en-US" w:eastAsia="zh-CN"/>
              </w:rPr>
              <w:t>《涂料中有害物质限量 第2部分：工业涂料》（GB30981.2-2025）</w:t>
            </w:r>
            <w:r>
              <w:rPr>
                <w:color w:val="auto"/>
                <w:sz w:val="24"/>
              </w:rPr>
              <w:t>和《低挥发性有机化合物含量涂料产品技术要求》（GB/T38597-2020）文件要求。</w:t>
            </w:r>
          </w:p>
          <w:p w14:paraId="6E86CDFD">
            <w:pPr>
              <w:spacing w:line="360" w:lineRule="auto"/>
              <w:ind w:firstLine="482" w:firstLineChars="200"/>
              <w:rPr>
                <w:b/>
                <w:color w:val="auto"/>
                <w:sz w:val="24"/>
              </w:rPr>
            </w:pPr>
            <w:r>
              <w:rPr>
                <w:b/>
                <w:color w:val="auto"/>
                <w:sz w:val="24"/>
              </w:rPr>
              <w:t>（</w:t>
            </w:r>
            <w:r>
              <w:rPr>
                <w:rFonts w:hint="eastAsia"/>
                <w:b/>
                <w:color w:val="auto"/>
                <w:sz w:val="24"/>
              </w:rPr>
              <w:t>八</w:t>
            </w:r>
            <w:r>
              <w:rPr>
                <w:b/>
                <w:color w:val="auto"/>
                <w:sz w:val="24"/>
              </w:rPr>
              <w:t>）劳动定员及工作制度</w:t>
            </w:r>
          </w:p>
          <w:p w14:paraId="44995A92">
            <w:pPr>
              <w:spacing w:line="360" w:lineRule="auto"/>
              <w:ind w:firstLine="480" w:firstLineChars="200"/>
              <w:rPr>
                <w:bCs/>
                <w:color w:val="auto"/>
                <w:sz w:val="24"/>
              </w:rPr>
            </w:pPr>
            <w:r>
              <w:rPr>
                <w:rFonts w:hint="eastAsia"/>
                <w:bCs/>
                <w:color w:val="auto"/>
                <w:sz w:val="24"/>
              </w:rPr>
              <w:t>现有</w:t>
            </w:r>
            <w:r>
              <w:rPr>
                <w:bCs/>
                <w:color w:val="auto"/>
                <w:sz w:val="24"/>
              </w:rPr>
              <w:t>项目劳动定员</w:t>
            </w:r>
            <w:r>
              <w:rPr>
                <w:rFonts w:hint="eastAsia"/>
                <w:bCs/>
                <w:color w:val="auto"/>
                <w:sz w:val="24"/>
                <w:lang w:val="en-US" w:eastAsia="zh-CN"/>
              </w:rPr>
              <w:t>50</w:t>
            </w:r>
            <w:r>
              <w:rPr>
                <w:rFonts w:hint="eastAsia"/>
                <w:bCs/>
                <w:color w:val="auto"/>
                <w:sz w:val="24"/>
              </w:rPr>
              <w:t>0</w:t>
            </w:r>
            <w:r>
              <w:rPr>
                <w:bCs/>
                <w:color w:val="auto"/>
                <w:sz w:val="24"/>
              </w:rPr>
              <w:t>人，</w:t>
            </w:r>
            <w:r>
              <w:rPr>
                <w:rFonts w:hint="eastAsia"/>
                <w:bCs/>
                <w:color w:val="auto"/>
                <w:sz w:val="24"/>
              </w:rPr>
              <w:t>均在厂内用餐（配有厨房），不在厂内住宿</w:t>
            </w:r>
            <w:r>
              <w:rPr>
                <w:bCs/>
                <w:color w:val="auto"/>
                <w:sz w:val="24"/>
              </w:rPr>
              <w:t>劳动制度为每年工作300天，每天</w:t>
            </w:r>
            <w:r>
              <w:rPr>
                <w:rFonts w:hint="eastAsia"/>
                <w:bCs/>
                <w:color w:val="auto"/>
                <w:sz w:val="24"/>
                <w:lang w:val="en-US" w:eastAsia="zh-CN"/>
              </w:rPr>
              <w:t>1</w:t>
            </w:r>
            <w:r>
              <w:rPr>
                <w:bCs/>
                <w:color w:val="auto"/>
                <w:sz w:val="24"/>
              </w:rPr>
              <w:t>班制，每班工作8小时，年运行</w:t>
            </w:r>
            <w:r>
              <w:rPr>
                <w:rFonts w:hint="eastAsia"/>
                <w:bCs/>
                <w:color w:val="auto"/>
                <w:sz w:val="24"/>
                <w:lang w:val="en-US" w:eastAsia="zh-CN"/>
              </w:rPr>
              <w:t>24</w:t>
            </w:r>
            <w:r>
              <w:rPr>
                <w:bCs/>
                <w:color w:val="auto"/>
                <w:sz w:val="24"/>
              </w:rPr>
              <w:t>00小时。</w:t>
            </w:r>
          </w:p>
          <w:p w14:paraId="4A347006">
            <w:pPr>
              <w:spacing w:line="360" w:lineRule="auto"/>
              <w:ind w:firstLine="480" w:firstLineChars="200"/>
              <w:rPr>
                <w:bCs/>
                <w:color w:val="auto"/>
                <w:sz w:val="24"/>
              </w:rPr>
            </w:pPr>
            <w:r>
              <w:rPr>
                <w:rFonts w:hint="eastAsia"/>
                <w:bCs/>
                <w:color w:val="auto"/>
                <w:sz w:val="24"/>
                <w:lang w:eastAsia="zh-CN"/>
              </w:rPr>
              <w:t>改建</w:t>
            </w:r>
            <w:r>
              <w:rPr>
                <w:bCs/>
                <w:color w:val="auto"/>
                <w:sz w:val="24"/>
              </w:rPr>
              <w:t>项目</w:t>
            </w:r>
            <w:r>
              <w:rPr>
                <w:rFonts w:hint="eastAsia"/>
                <w:bCs/>
                <w:color w:val="auto"/>
                <w:sz w:val="24"/>
              </w:rPr>
              <w:t>无需新增员工</w:t>
            </w:r>
            <w:r>
              <w:rPr>
                <w:bCs/>
                <w:color w:val="auto"/>
                <w:sz w:val="24"/>
              </w:rPr>
              <w:t>，工作制度不变。</w:t>
            </w:r>
          </w:p>
          <w:p w14:paraId="58BA7FFA">
            <w:pPr>
              <w:spacing w:line="360" w:lineRule="auto"/>
              <w:ind w:firstLine="480" w:firstLineChars="200"/>
              <w:rPr>
                <w:bCs/>
                <w:color w:val="auto"/>
                <w:sz w:val="24"/>
              </w:rPr>
            </w:pPr>
            <w:r>
              <w:rPr>
                <w:rFonts w:hint="eastAsia"/>
                <w:bCs/>
                <w:color w:val="auto"/>
                <w:sz w:val="24"/>
                <w:lang w:eastAsia="zh-CN"/>
              </w:rPr>
              <w:t>改建</w:t>
            </w:r>
            <w:r>
              <w:rPr>
                <w:bCs/>
                <w:color w:val="auto"/>
                <w:sz w:val="24"/>
              </w:rPr>
              <w:t>后全厂劳动定员</w:t>
            </w:r>
            <w:r>
              <w:rPr>
                <w:rFonts w:hint="eastAsia"/>
                <w:bCs/>
                <w:color w:val="auto"/>
                <w:sz w:val="24"/>
                <w:lang w:val="en-US" w:eastAsia="zh-CN"/>
              </w:rPr>
              <w:t>50</w:t>
            </w:r>
            <w:r>
              <w:rPr>
                <w:rFonts w:hint="eastAsia"/>
                <w:bCs/>
                <w:color w:val="auto"/>
                <w:sz w:val="24"/>
              </w:rPr>
              <w:t>0</w:t>
            </w:r>
            <w:r>
              <w:rPr>
                <w:bCs/>
                <w:color w:val="auto"/>
                <w:sz w:val="24"/>
              </w:rPr>
              <w:t>人，</w:t>
            </w:r>
            <w:r>
              <w:rPr>
                <w:rFonts w:hint="eastAsia"/>
                <w:bCs/>
                <w:color w:val="auto"/>
                <w:sz w:val="24"/>
              </w:rPr>
              <w:t>均在厂内用餐（配有厨房），不在厂内住宿</w:t>
            </w:r>
            <w:r>
              <w:rPr>
                <w:bCs/>
                <w:color w:val="auto"/>
                <w:sz w:val="24"/>
              </w:rPr>
              <w:t>，劳动制度为每年工作300天，每天</w:t>
            </w:r>
            <w:r>
              <w:rPr>
                <w:rFonts w:hint="eastAsia"/>
                <w:bCs/>
                <w:color w:val="auto"/>
                <w:sz w:val="24"/>
                <w:lang w:val="en-US" w:eastAsia="zh-CN"/>
              </w:rPr>
              <w:t>1</w:t>
            </w:r>
            <w:r>
              <w:rPr>
                <w:bCs/>
                <w:color w:val="auto"/>
                <w:sz w:val="24"/>
              </w:rPr>
              <w:t>班制，每班工作8小时，年运行</w:t>
            </w:r>
            <w:r>
              <w:rPr>
                <w:rFonts w:hint="eastAsia"/>
                <w:bCs/>
                <w:color w:val="auto"/>
                <w:sz w:val="24"/>
                <w:lang w:val="en-US" w:eastAsia="zh-CN"/>
              </w:rPr>
              <w:t>24</w:t>
            </w:r>
            <w:r>
              <w:rPr>
                <w:bCs/>
                <w:color w:val="auto"/>
                <w:sz w:val="24"/>
              </w:rPr>
              <w:t>00小时。</w:t>
            </w:r>
          </w:p>
          <w:p w14:paraId="05CC85F2">
            <w:pPr>
              <w:spacing w:line="360" w:lineRule="auto"/>
              <w:ind w:firstLine="482" w:firstLineChars="200"/>
              <w:rPr>
                <w:b/>
                <w:color w:val="auto"/>
                <w:sz w:val="24"/>
                <w:lang w:val="en-GB"/>
              </w:rPr>
            </w:pPr>
            <w:r>
              <w:rPr>
                <w:b/>
                <w:color w:val="auto"/>
                <w:sz w:val="24"/>
              </w:rPr>
              <w:t>（</w:t>
            </w:r>
            <w:r>
              <w:rPr>
                <w:rFonts w:hint="eastAsia"/>
                <w:b/>
                <w:color w:val="auto"/>
                <w:sz w:val="24"/>
              </w:rPr>
              <w:t>九</w:t>
            </w:r>
            <w:r>
              <w:rPr>
                <w:b/>
                <w:color w:val="auto"/>
                <w:sz w:val="24"/>
              </w:rPr>
              <w:t>）</w:t>
            </w:r>
            <w:r>
              <w:rPr>
                <w:b/>
                <w:color w:val="auto"/>
                <w:sz w:val="24"/>
                <w:lang w:val="en-GB"/>
              </w:rPr>
              <w:t>公用</w:t>
            </w:r>
            <w:r>
              <w:rPr>
                <w:b/>
                <w:color w:val="auto"/>
                <w:sz w:val="24"/>
              </w:rPr>
              <w:t>及</w:t>
            </w:r>
            <w:r>
              <w:rPr>
                <w:b/>
                <w:color w:val="auto"/>
                <w:sz w:val="24"/>
                <w:lang w:val="en-GB"/>
              </w:rPr>
              <w:t>配套工程</w:t>
            </w:r>
          </w:p>
          <w:p w14:paraId="123B4C84">
            <w:pPr>
              <w:spacing w:line="360" w:lineRule="auto"/>
              <w:ind w:firstLine="482" w:firstLineChars="200"/>
              <w:rPr>
                <w:b/>
                <w:color w:val="auto"/>
                <w:sz w:val="24"/>
              </w:rPr>
            </w:pPr>
            <w:r>
              <w:rPr>
                <w:b/>
                <w:color w:val="auto"/>
                <w:sz w:val="24"/>
              </w:rPr>
              <w:t>1、</w:t>
            </w:r>
            <w:r>
              <w:rPr>
                <w:rFonts w:hint="eastAsia"/>
                <w:b/>
                <w:color w:val="auto"/>
                <w:sz w:val="24"/>
              </w:rPr>
              <w:t>给排水</w:t>
            </w:r>
          </w:p>
          <w:p w14:paraId="07F30EE4">
            <w:pPr>
              <w:pStyle w:val="34"/>
              <w:spacing w:after="0" w:line="360" w:lineRule="auto"/>
              <w:ind w:left="21" w:leftChars="10" w:right="21" w:rightChars="10" w:firstLine="482" w:firstLineChars="200"/>
              <w:rPr>
                <w:rFonts w:hint="eastAsia"/>
                <w:bCs/>
                <w:color w:val="auto"/>
                <w:sz w:val="24"/>
              </w:rPr>
            </w:pPr>
            <w:r>
              <w:rPr>
                <w:rFonts w:hint="eastAsia"/>
                <w:b/>
                <w:bCs w:val="0"/>
                <w:color w:val="auto"/>
                <w:sz w:val="24"/>
                <w:lang w:val="en-US" w:eastAsia="zh-CN"/>
              </w:rPr>
              <w:t>给水：</w:t>
            </w:r>
            <w:r>
              <w:rPr>
                <w:rFonts w:hint="eastAsia"/>
                <w:bCs/>
                <w:color w:val="auto"/>
                <w:sz w:val="24"/>
                <w:lang w:eastAsia="zh-CN"/>
              </w:rPr>
              <w:t>改建</w:t>
            </w:r>
            <w:r>
              <w:rPr>
                <w:rFonts w:hint="eastAsia"/>
                <w:bCs/>
                <w:color w:val="auto"/>
                <w:sz w:val="24"/>
              </w:rPr>
              <w:t>前后项目用水均由市政供水管网供给，现有项目用水包括员工生活用水、生产用水（阳极氧化线的脱脂用水及清洗用水、酸蚀用水及清洗用水、碱蚀用水及清洗用水、阳极氧化用水及清洗用水、着色用水及清洗用水、封孔用水及清洗用水、注塑设备冷却用水、</w:t>
            </w:r>
            <w:r>
              <w:rPr>
                <w:rFonts w:hint="eastAsia"/>
                <w:bCs/>
                <w:color w:val="auto"/>
                <w:sz w:val="24"/>
                <w:lang w:val="en-US" w:eastAsia="zh-CN"/>
              </w:rPr>
              <w:t>注塑废气水喷淋塔用水、</w:t>
            </w:r>
            <w:r>
              <w:rPr>
                <w:rFonts w:hint="eastAsia"/>
                <w:bCs/>
                <w:color w:val="auto"/>
                <w:sz w:val="24"/>
              </w:rPr>
              <w:t>除尘水喷淋塔用水、酸雾及碱雾喷淋塔用水）。</w:t>
            </w:r>
          </w:p>
          <w:p w14:paraId="128EF761">
            <w:pPr>
              <w:pStyle w:val="34"/>
              <w:spacing w:after="0" w:line="360" w:lineRule="auto"/>
              <w:ind w:left="21" w:leftChars="10" w:right="21" w:rightChars="10" w:firstLine="480" w:firstLineChars="200"/>
              <w:rPr>
                <w:rFonts w:hint="eastAsia"/>
                <w:bCs/>
                <w:color w:val="auto"/>
                <w:sz w:val="24"/>
              </w:rPr>
            </w:pPr>
            <w:r>
              <w:rPr>
                <w:rFonts w:hint="eastAsia"/>
                <w:bCs/>
                <w:color w:val="auto"/>
                <w:sz w:val="24"/>
              </w:rPr>
              <w:t>本</w:t>
            </w:r>
            <w:r>
              <w:rPr>
                <w:rFonts w:hint="eastAsia"/>
                <w:bCs/>
                <w:color w:val="auto"/>
                <w:sz w:val="24"/>
                <w:lang w:eastAsia="zh-CN"/>
              </w:rPr>
              <w:t>改建</w:t>
            </w:r>
            <w:r>
              <w:rPr>
                <w:rFonts w:hint="eastAsia"/>
                <w:bCs/>
                <w:color w:val="auto"/>
                <w:sz w:val="24"/>
              </w:rPr>
              <w:t>项目新增电泳漆涂装用水及前后清洗用水</w:t>
            </w:r>
            <w:r>
              <w:rPr>
                <w:rFonts w:hint="eastAsia"/>
                <w:bCs/>
                <w:color w:val="auto"/>
                <w:sz w:val="24"/>
                <w:lang w:eastAsia="zh-CN"/>
              </w:rPr>
              <w:t>，</w:t>
            </w:r>
            <w:r>
              <w:rPr>
                <w:rFonts w:hint="eastAsia"/>
                <w:bCs/>
                <w:color w:val="auto"/>
                <w:sz w:val="24"/>
                <w:lang w:val="en-US" w:eastAsia="zh-CN"/>
              </w:rPr>
              <w:t>主要通过减少阳极氧化线的用水，因此本项目改建后全厂无需新增用水</w:t>
            </w:r>
            <w:r>
              <w:rPr>
                <w:rFonts w:hint="eastAsia"/>
                <w:bCs/>
                <w:color w:val="auto"/>
                <w:sz w:val="24"/>
              </w:rPr>
              <w:t>。</w:t>
            </w:r>
          </w:p>
          <w:p w14:paraId="11B500B5">
            <w:pPr>
              <w:pStyle w:val="34"/>
              <w:spacing w:after="0" w:line="360" w:lineRule="auto"/>
              <w:ind w:left="21" w:leftChars="10" w:right="21" w:rightChars="10" w:firstLine="480" w:firstLineChars="200"/>
              <w:rPr>
                <w:rFonts w:hint="eastAsia"/>
                <w:bCs/>
                <w:color w:val="auto"/>
                <w:sz w:val="24"/>
              </w:rPr>
            </w:pPr>
            <w:r>
              <w:rPr>
                <w:rFonts w:hint="eastAsia"/>
                <w:bCs/>
                <w:color w:val="auto"/>
                <w:sz w:val="24"/>
              </w:rPr>
              <w:t>本次</w:t>
            </w:r>
            <w:r>
              <w:rPr>
                <w:rFonts w:hint="eastAsia"/>
                <w:bCs/>
                <w:color w:val="auto"/>
                <w:sz w:val="24"/>
                <w:lang w:eastAsia="zh-CN"/>
              </w:rPr>
              <w:t>改建</w:t>
            </w:r>
            <w:r>
              <w:rPr>
                <w:rFonts w:hint="eastAsia"/>
                <w:bCs/>
                <w:color w:val="auto"/>
                <w:sz w:val="24"/>
              </w:rPr>
              <w:t>后全厂用水包括员工生活用水、生产用水（阳极氧化线的脱脂用水及清洗用水、酸蚀用水及清洗用水、碱蚀用水及清洗用水、阳极氧化用水及清洗用水、着色用水及清洗用水、封孔用水及清洗用水、注塑设备冷却用水、电泳漆涂装用水及前后清洗用水、</w:t>
            </w:r>
            <w:r>
              <w:rPr>
                <w:rFonts w:hint="eastAsia"/>
                <w:bCs/>
                <w:color w:val="auto"/>
                <w:sz w:val="24"/>
                <w:lang w:val="en-US" w:eastAsia="zh-CN"/>
              </w:rPr>
              <w:t>注塑废气水喷淋塔用水、</w:t>
            </w:r>
            <w:r>
              <w:rPr>
                <w:rFonts w:hint="eastAsia"/>
                <w:bCs/>
                <w:color w:val="auto"/>
                <w:sz w:val="24"/>
              </w:rPr>
              <w:t>除尘水喷淋塔用水、酸雾及碱雾喷淋塔用水）。</w:t>
            </w:r>
          </w:p>
          <w:p w14:paraId="289BB0D6">
            <w:pPr>
              <w:pStyle w:val="34"/>
              <w:spacing w:after="0" w:line="360" w:lineRule="auto"/>
              <w:ind w:left="21" w:leftChars="10" w:right="21" w:rightChars="10" w:firstLine="482" w:firstLineChars="200"/>
              <w:rPr>
                <w:rFonts w:hint="eastAsia"/>
                <w:bCs/>
                <w:color w:val="auto"/>
                <w:sz w:val="24"/>
              </w:rPr>
            </w:pPr>
            <w:r>
              <w:rPr>
                <w:rFonts w:hint="eastAsia"/>
                <w:b/>
                <w:bCs w:val="0"/>
                <w:color w:val="auto"/>
                <w:sz w:val="24"/>
                <w:lang w:val="en-US" w:eastAsia="zh-CN"/>
              </w:rPr>
              <w:t>排水：</w:t>
            </w:r>
            <w:r>
              <w:rPr>
                <w:rFonts w:hint="eastAsia"/>
                <w:bCs/>
                <w:color w:val="auto"/>
                <w:sz w:val="24"/>
              </w:rPr>
              <w:t>现有项目产生的废水主要包括生活污水、生产废水（脱脂后清洗废水，酸蚀、碱蚀和化学抛光后清洗废水，氧化后清洗废水，着色后清洗废水，封孔后清洗废水），其中封孔后清洗废水采用</w:t>
            </w:r>
            <w:r>
              <w:rPr>
                <w:rFonts w:hint="eastAsia"/>
                <w:bCs/>
                <w:color w:val="auto"/>
                <w:sz w:val="24"/>
                <w:lang w:eastAsia="zh-CN"/>
              </w:rPr>
              <w:t>单独自建一套废水回用处理设施</w:t>
            </w:r>
            <w:r>
              <w:rPr>
                <w:rFonts w:hint="eastAsia"/>
                <w:bCs/>
                <w:color w:val="auto"/>
                <w:sz w:val="24"/>
                <w:lang w:val="en-US" w:eastAsia="zh-CN"/>
              </w:rPr>
              <w:t>处理</w:t>
            </w:r>
            <w:r>
              <w:rPr>
                <w:rFonts w:hint="eastAsia"/>
                <w:bCs/>
                <w:color w:val="auto"/>
                <w:sz w:val="24"/>
              </w:rPr>
              <w:t>后回用至封孔</w:t>
            </w:r>
            <w:r>
              <w:rPr>
                <w:rFonts w:hint="eastAsia"/>
                <w:bCs/>
                <w:color w:val="auto"/>
                <w:sz w:val="24"/>
                <w:lang w:val="en-US" w:eastAsia="zh-CN"/>
              </w:rPr>
              <w:t>清洗</w:t>
            </w:r>
            <w:r>
              <w:rPr>
                <w:rFonts w:hint="eastAsia"/>
                <w:bCs/>
                <w:color w:val="auto"/>
                <w:sz w:val="24"/>
              </w:rPr>
              <w:t>槽，不外排。脱脂后清洗废水，酸蚀、碱蚀和化学抛光后清洗废水，氧化后清洗废水</w:t>
            </w:r>
            <w:r>
              <w:rPr>
                <w:rFonts w:hint="eastAsia"/>
                <w:bCs/>
                <w:color w:val="auto"/>
                <w:sz w:val="24"/>
                <w:lang w:val="en-US" w:eastAsia="zh-CN"/>
              </w:rPr>
              <w:t>经自建综合废水处理站处理达标后约70%回用，30%排入市政污水管网</w:t>
            </w:r>
            <w:r>
              <w:rPr>
                <w:rFonts w:hint="eastAsia"/>
                <w:bCs/>
                <w:color w:val="auto"/>
                <w:sz w:val="24"/>
                <w:lang w:eastAsia="zh-CN"/>
              </w:rPr>
              <w:t>。</w:t>
            </w:r>
            <w:r>
              <w:rPr>
                <w:rFonts w:hint="eastAsia"/>
                <w:bCs/>
                <w:color w:val="auto"/>
                <w:sz w:val="24"/>
              </w:rPr>
              <w:t>厨房含油废水通过隔油隔渣池预处理、其他生活污水经三级化粪池预处理后排入市政</w:t>
            </w:r>
            <w:r>
              <w:rPr>
                <w:rFonts w:hint="eastAsia"/>
                <w:bCs/>
                <w:color w:val="auto"/>
                <w:sz w:val="24"/>
                <w:lang w:val="en-US" w:eastAsia="zh-CN"/>
              </w:rPr>
              <w:t>污水</w:t>
            </w:r>
            <w:r>
              <w:rPr>
                <w:rFonts w:hint="eastAsia"/>
                <w:bCs/>
                <w:color w:val="auto"/>
                <w:sz w:val="24"/>
              </w:rPr>
              <w:t>管网。</w:t>
            </w:r>
          </w:p>
          <w:p w14:paraId="7EEACF83">
            <w:pPr>
              <w:pStyle w:val="34"/>
              <w:spacing w:after="0" w:line="360" w:lineRule="auto"/>
              <w:ind w:left="21" w:leftChars="10" w:right="21" w:rightChars="10" w:firstLine="480" w:firstLineChars="200"/>
              <w:rPr>
                <w:rFonts w:hint="default" w:eastAsia="宋体"/>
                <w:bCs/>
                <w:color w:val="auto"/>
                <w:sz w:val="24"/>
                <w:lang w:val="en-US" w:eastAsia="zh-CN"/>
              </w:rPr>
            </w:pPr>
            <w:r>
              <w:rPr>
                <w:rFonts w:hint="eastAsia"/>
                <w:bCs/>
                <w:color w:val="auto"/>
                <w:sz w:val="24"/>
                <w:lang w:val="en-US" w:eastAsia="zh-CN"/>
              </w:rPr>
              <w:t>本改建项目新增电泳漆涂装前后清洗废水，主要通过减少阳极氧化线的废水，因此本项目改建后全厂无新增废水产生及排放量。</w:t>
            </w:r>
          </w:p>
          <w:p w14:paraId="67E8E9A2">
            <w:pPr>
              <w:pStyle w:val="34"/>
              <w:spacing w:after="0" w:line="360" w:lineRule="auto"/>
              <w:ind w:left="21" w:leftChars="10" w:right="21" w:rightChars="10" w:firstLine="480" w:firstLineChars="200"/>
              <w:rPr>
                <w:bCs/>
                <w:color w:val="auto"/>
                <w:sz w:val="24"/>
              </w:rPr>
            </w:pPr>
            <w:r>
              <w:rPr>
                <w:rFonts w:hint="eastAsia"/>
                <w:bCs/>
                <w:color w:val="auto"/>
                <w:sz w:val="24"/>
                <w:lang w:val="en-US" w:eastAsia="zh-CN"/>
              </w:rPr>
              <w:t>本次改建后全厂产生的废水主要包括生活污水、</w:t>
            </w:r>
            <w:r>
              <w:rPr>
                <w:rFonts w:hint="eastAsia"/>
                <w:bCs/>
                <w:color w:val="auto"/>
                <w:sz w:val="24"/>
              </w:rPr>
              <w:t>生产废水（脱脂后清洗废水，酸蚀、碱蚀和化学抛光后清洗废水，氧化后清洗废水，着色后清洗废水，封孔后清洗废水</w:t>
            </w:r>
            <w:r>
              <w:rPr>
                <w:rFonts w:hint="eastAsia"/>
                <w:bCs/>
                <w:color w:val="auto"/>
                <w:sz w:val="24"/>
                <w:lang w:eastAsia="zh-CN"/>
              </w:rPr>
              <w:t>，</w:t>
            </w:r>
            <w:r>
              <w:rPr>
                <w:rFonts w:hint="eastAsia"/>
                <w:bCs/>
                <w:color w:val="auto"/>
                <w:sz w:val="24"/>
                <w:lang w:val="en-US" w:eastAsia="zh-CN"/>
              </w:rPr>
              <w:t>电泳漆涂装前后清洗废水</w:t>
            </w:r>
            <w:r>
              <w:rPr>
                <w:rFonts w:hint="eastAsia"/>
                <w:bCs/>
                <w:color w:val="auto"/>
                <w:sz w:val="24"/>
              </w:rPr>
              <w:t>），其中封孔后清洗废水采用</w:t>
            </w:r>
            <w:r>
              <w:rPr>
                <w:rFonts w:hint="eastAsia"/>
                <w:bCs/>
                <w:color w:val="auto"/>
                <w:sz w:val="24"/>
                <w:lang w:eastAsia="zh-CN"/>
              </w:rPr>
              <w:t>单独自建一套废水回用处理设施</w:t>
            </w:r>
            <w:r>
              <w:rPr>
                <w:rFonts w:hint="eastAsia"/>
                <w:bCs/>
                <w:color w:val="auto"/>
                <w:sz w:val="24"/>
                <w:lang w:val="en-US" w:eastAsia="zh-CN"/>
              </w:rPr>
              <w:t>处理</w:t>
            </w:r>
            <w:r>
              <w:rPr>
                <w:rFonts w:hint="eastAsia"/>
                <w:bCs/>
                <w:color w:val="auto"/>
                <w:sz w:val="24"/>
              </w:rPr>
              <w:t>后回用至封孔</w:t>
            </w:r>
            <w:r>
              <w:rPr>
                <w:rFonts w:hint="eastAsia"/>
                <w:bCs/>
                <w:color w:val="auto"/>
                <w:sz w:val="24"/>
                <w:lang w:val="en-US" w:eastAsia="zh-CN"/>
              </w:rPr>
              <w:t>清洗</w:t>
            </w:r>
            <w:r>
              <w:rPr>
                <w:rFonts w:hint="eastAsia"/>
                <w:bCs/>
                <w:color w:val="auto"/>
                <w:sz w:val="24"/>
              </w:rPr>
              <w:t>槽，不外排。脱脂后清洗废水，酸蚀、碱蚀和化学抛光后清洗废水，氧化后清洗废水</w:t>
            </w:r>
            <w:r>
              <w:rPr>
                <w:rFonts w:hint="eastAsia"/>
                <w:bCs/>
                <w:color w:val="auto"/>
                <w:sz w:val="24"/>
                <w:lang w:eastAsia="zh-CN"/>
              </w:rPr>
              <w:t>，</w:t>
            </w:r>
            <w:r>
              <w:rPr>
                <w:rFonts w:hint="eastAsia"/>
                <w:bCs/>
                <w:color w:val="auto"/>
                <w:sz w:val="24"/>
                <w:lang w:val="en-US" w:eastAsia="zh-CN"/>
              </w:rPr>
              <w:t>电泳漆涂装前后清洗废水经自建综合废水处理站处理达标后约70%回用，30%排入市政污水管网</w:t>
            </w:r>
            <w:r>
              <w:rPr>
                <w:rFonts w:hint="eastAsia"/>
                <w:bCs/>
                <w:color w:val="auto"/>
                <w:sz w:val="24"/>
                <w:lang w:eastAsia="zh-CN"/>
              </w:rPr>
              <w:t>。</w:t>
            </w:r>
            <w:r>
              <w:rPr>
                <w:rFonts w:hint="eastAsia"/>
                <w:bCs/>
                <w:color w:val="auto"/>
                <w:sz w:val="24"/>
              </w:rPr>
              <w:t>厨房含油废水通过隔油隔渣池预处理、其他生活污水经三级化粪池预处理后排入市政</w:t>
            </w:r>
            <w:r>
              <w:rPr>
                <w:rFonts w:hint="eastAsia"/>
                <w:bCs/>
                <w:color w:val="auto"/>
                <w:sz w:val="24"/>
                <w:lang w:val="en-US" w:eastAsia="zh-CN"/>
              </w:rPr>
              <w:t>污水</w:t>
            </w:r>
            <w:r>
              <w:rPr>
                <w:rFonts w:hint="eastAsia"/>
                <w:bCs/>
                <w:color w:val="auto"/>
                <w:sz w:val="24"/>
              </w:rPr>
              <w:t>管网。</w:t>
            </w:r>
          </w:p>
          <w:p w14:paraId="6D57C96F">
            <w:pPr>
              <w:pStyle w:val="34"/>
              <w:spacing w:after="0" w:line="360" w:lineRule="auto"/>
              <w:ind w:left="21" w:leftChars="10" w:right="21" w:rightChars="10" w:firstLine="482" w:firstLineChars="200"/>
              <w:rPr>
                <w:b/>
                <w:color w:val="auto"/>
                <w:sz w:val="24"/>
              </w:rPr>
            </w:pPr>
            <w:r>
              <w:rPr>
                <w:rFonts w:hint="eastAsia"/>
                <w:b/>
                <w:color w:val="auto"/>
                <w:sz w:val="24"/>
              </w:rPr>
              <w:t>（1）</w:t>
            </w:r>
            <w:r>
              <w:rPr>
                <w:b/>
                <w:color w:val="auto"/>
                <w:sz w:val="24"/>
              </w:rPr>
              <w:t>给水</w:t>
            </w:r>
          </w:p>
          <w:p w14:paraId="5BD7A281">
            <w:pPr>
              <w:pStyle w:val="34"/>
              <w:spacing w:after="0" w:line="360" w:lineRule="auto"/>
              <w:ind w:left="21" w:leftChars="10" w:right="21" w:rightChars="10" w:firstLine="480" w:firstLineChars="200"/>
              <w:rPr>
                <w:rFonts w:hint="eastAsia"/>
                <w:color w:val="auto"/>
                <w:sz w:val="24"/>
              </w:rPr>
            </w:pPr>
            <w:r>
              <w:rPr>
                <w:rFonts w:hint="eastAsia"/>
                <w:color w:val="auto"/>
                <w:sz w:val="24"/>
              </w:rPr>
              <w:t>本</w:t>
            </w:r>
            <w:r>
              <w:rPr>
                <w:color w:val="auto"/>
                <w:sz w:val="24"/>
              </w:rPr>
              <w:t>项目</w:t>
            </w:r>
            <w:r>
              <w:rPr>
                <w:rFonts w:hint="eastAsia"/>
                <w:color w:val="auto"/>
                <w:sz w:val="24"/>
                <w:lang w:eastAsia="zh-CN"/>
              </w:rPr>
              <w:t>改建</w:t>
            </w:r>
            <w:r>
              <w:rPr>
                <w:rFonts w:hint="eastAsia"/>
                <w:color w:val="auto"/>
                <w:sz w:val="24"/>
              </w:rPr>
              <w:t>前后</w:t>
            </w:r>
            <w:r>
              <w:rPr>
                <w:color w:val="auto"/>
                <w:sz w:val="24"/>
              </w:rPr>
              <w:t>用水</w:t>
            </w:r>
            <w:r>
              <w:rPr>
                <w:rFonts w:hint="eastAsia"/>
                <w:color w:val="auto"/>
                <w:sz w:val="24"/>
              </w:rPr>
              <w:t>均</w:t>
            </w:r>
            <w:r>
              <w:rPr>
                <w:color w:val="auto"/>
                <w:sz w:val="24"/>
              </w:rPr>
              <w:t>由市政自来水管网接入</w:t>
            </w:r>
            <w:r>
              <w:rPr>
                <w:rFonts w:hint="eastAsia"/>
                <w:color w:val="auto"/>
                <w:sz w:val="24"/>
              </w:rPr>
              <w:t>，年运营天数为300天。</w:t>
            </w:r>
          </w:p>
          <w:p w14:paraId="7A822060">
            <w:pPr>
              <w:pStyle w:val="34"/>
              <w:spacing w:after="0" w:line="360" w:lineRule="auto"/>
              <w:ind w:left="21" w:leftChars="10" w:right="21" w:rightChars="10" w:firstLine="480" w:firstLineChars="200"/>
              <w:rPr>
                <w:color w:val="auto"/>
                <w:sz w:val="24"/>
              </w:rPr>
            </w:pPr>
            <w:r>
              <w:rPr>
                <w:rFonts w:hint="eastAsia"/>
                <w:color w:val="auto"/>
                <w:sz w:val="24"/>
              </w:rPr>
              <w:t>现有项目</w:t>
            </w:r>
            <w:r>
              <w:rPr>
                <w:color w:val="auto"/>
                <w:sz w:val="24"/>
              </w:rPr>
              <w:t>主要为员工生活用水</w:t>
            </w:r>
            <w:r>
              <w:rPr>
                <w:rFonts w:hint="eastAsia"/>
                <w:color w:val="auto"/>
                <w:sz w:val="24"/>
              </w:rPr>
              <w:t>和生产用水</w:t>
            </w:r>
            <w:r>
              <w:rPr>
                <w:color w:val="auto"/>
                <w:sz w:val="24"/>
              </w:rPr>
              <w:t>，</w:t>
            </w:r>
            <w:r>
              <w:rPr>
                <w:rFonts w:hint="eastAsia"/>
                <w:color w:val="auto"/>
                <w:sz w:val="24"/>
              </w:rPr>
              <w:t>总用水量为450.49m</w:t>
            </w:r>
            <w:r>
              <w:rPr>
                <w:rFonts w:hint="eastAsia"/>
                <w:color w:val="auto"/>
                <w:sz w:val="24"/>
                <w:vertAlign w:val="superscript"/>
              </w:rPr>
              <w:t>3</w:t>
            </w:r>
            <w:r>
              <w:rPr>
                <w:color w:val="auto"/>
                <w:sz w:val="24"/>
              </w:rPr>
              <w:t>/</w:t>
            </w:r>
            <w:r>
              <w:rPr>
                <w:rFonts w:hint="eastAsia"/>
                <w:color w:val="auto"/>
                <w:sz w:val="24"/>
              </w:rPr>
              <w:t>d，135147m</w:t>
            </w:r>
            <w:r>
              <w:rPr>
                <w:rFonts w:hint="eastAsia"/>
                <w:color w:val="auto"/>
                <w:sz w:val="24"/>
                <w:vertAlign w:val="superscript"/>
              </w:rPr>
              <w:t>3</w:t>
            </w:r>
            <w:r>
              <w:rPr>
                <w:color w:val="auto"/>
                <w:sz w:val="24"/>
              </w:rPr>
              <w:t>/a</w:t>
            </w:r>
            <w:r>
              <w:rPr>
                <w:rFonts w:hint="eastAsia"/>
                <w:color w:val="auto"/>
                <w:sz w:val="24"/>
              </w:rPr>
              <w:t>，包含</w:t>
            </w:r>
            <w:r>
              <w:rPr>
                <w:color w:val="auto"/>
                <w:sz w:val="24"/>
              </w:rPr>
              <w:t>新鲜总用水量为</w:t>
            </w:r>
            <w:r>
              <w:rPr>
                <w:rFonts w:hint="eastAsia"/>
                <w:color w:val="auto"/>
                <w:sz w:val="24"/>
              </w:rPr>
              <w:t>160.09m</w:t>
            </w:r>
            <w:r>
              <w:rPr>
                <w:rFonts w:hint="eastAsia"/>
                <w:color w:val="auto"/>
                <w:sz w:val="24"/>
                <w:vertAlign w:val="superscript"/>
              </w:rPr>
              <w:t>3</w:t>
            </w:r>
            <w:r>
              <w:rPr>
                <w:color w:val="auto"/>
                <w:sz w:val="24"/>
              </w:rPr>
              <w:t>/</w:t>
            </w:r>
            <w:r>
              <w:rPr>
                <w:rFonts w:hint="eastAsia"/>
                <w:color w:val="auto"/>
                <w:sz w:val="24"/>
              </w:rPr>
              <w:t>d，48027m</w:t>
            </w:r>
            <w:r>
              <w:rPr>
                <w:rFonts w:hint="eastAsia"/>
                <w:color w:val="auto"/>
                <w:sz w:val="24"/>
                <w:vertAlign w:val="superscript"/>
              </w:rPr>
              <w:t>3</w:t>
            </w:r>
            <w:r>
              <w:rPr>
                <w:color w:val="auto"/>
                <w:sz w:val="24"/>
              </w:rPr>
              <w:t>/a</w:t>
            </w:r>
            <w:r>
              <w:rPr>
                <w:rFonts w:hint="eastAsia"/>
                <w:color w:val="auto"/>
                <w:sz w:val="24"/>
              </w:rPr>
              <w:t>，</w:t>
            </w:r>
            <w:r>
              <w:rPr>
                <w:color w:val="auto"/>
                <w:sz w:val="24"/>
              </w:rPr>
              <w:t>其中生活用水量为</w:t>
            </w:r>
            <w:r>
              <w:rPr>
                <w:rFonts w:hint="eastAsia"/>
                <w:color w:val="auto"/>
                <w:sz w:val="24"/>
                <w:highlight w:val="none"/>
                <w:lang w:val="en-US" w:eastAsia="zh-CN"/>
              </w:rPr>
              <w:t>48</w:t>
            </w:r>
            <w:r>
              <w:rPr>
                <w:rFonts w:hint="eastAsia"/>
                <w:color w:val="auto"/>
                <w:sz w:val="24"/>
                <w:highlight w:val="none"/>
              </w:rPr>
              <w:t>m</w:t>
            </w:r>
            <w:r>
              <w:rPr>
                <w:rFonts w:hint="eastAsia"/>
                <w:color w:val="auto"/>
                <w:sz w:val="24"/>
                <w:highlight w:val="none"/>
                <w:vertAlign w:val="superscript"/>
              </w:rPr>
              <w:t>3</w:t>
            </w:r>
            <w:r>
              <w:rPr>
                <w:color w:val="auto"/>
                <w:sz w:val="24"/>
                <w:highlight w:val="none"/>
              </w:rPr>
              <w:t>/</w:t>
            </w:r>
            <w:r>
              <w:rPr>
                <w:rFonts w:hint="eastAsia"/>
                <w:color w:val="auto"/>
                <w:sz w:val="24"/>
                <w:highlight w:val="none"/>
              </w:rPr>
              <w:t>d，</w:t>
            </w:r>
            <w:r>
              <w:rPr>
                <w:rFonts w:hint="eastAsia"/>
                <w:color w:val="auto"/>
                <w:sz w:val="24"/>
              </w:rPr>
              <w:t>14</w:t>
            </w:r>
            <w:r>
              <w:rPr>
                <w:rFonts w:hint="eastAsia"/>
                <w:color w:val="auto"/>
                <w:sz w:val="24"/>
                <w:lang w:val="en-US" w:eastAsia="zh-CN"/>
              </w:rPr>
              <w:t>4</w:t>
            </w:r>
            <w:r>
              <w:rPr>
                <w:rFonts w:hint="eastAsia"/>
                <w:color w:val="auto"/>
                <w:sz w:val="24"/>
              </w:rPr>
              <w:t>00m</w:t>
            </w:r>
            <w:r>
              <w:rPr>
                <w:rFonts w:hint="eastAsia"/>
                <w:color w:val="auto"/>
                <w:sz w:val="24"/>
                <w:vertAlign w:val="superscript"/>
              </w:rPr>
              <w:t>3</w:t>
            </w:r>
            <w:r>
              <w:rPr>
                <w:color w:val="auto"/>
                <w:sz w:val="24"/>
              </w:rPr>
              <w:t>/a，</w:t>
            </w:r>
            <w:r>
              <w:rPr>
                <w:rFonts w:hint="eastAsia"/>
                <w:color w:val="auto"/>
                <w:sz w:val="24"/>
              </w:rPr>
              <w:t>生产用水量为</w:t>
            </w:r>
            <w:r>
              <w:rPr>
                <w:rFonts w:hint="eastAsia"/>
                <w:color w:val="auto"/>
                <w:sz w:val="24"/>
                <w:lang w:val="en-US" w:eastAsia="zh-CN"/>
              </w:rPr>
              <w:t>112.09</w:t>
            </w:r>
            <w:r>
              <w:rPr>
                <w:rFonts w:hint="eastAsia"/>
                <w:color w:val="auto"/>
                <w:sz w:val="24"/>
              </w:rPr>
              <w:t>m</w:t>
            </w:r>
            <w:r>
              <w:rPr>
                <w:rFonts w:hint="eastAsia"/>
                <w:color w:val="auto"/>
                <w:sz w:val="24"/>
                <w:vertAlign w:val="superscript"/>
              </w:rPr>
              <w:t>3</w:t>
            </w:r>
            <w:r>
              <w:rPr>
                <w:color w:val="auto"/>
                <w:sz w:val="24"/>
              </w:rPr>
              <w:t>/</w:t>
            </w:r>
            <w:r>
              <w:rPr>
                <w:rFonts w:hint="eastAsia"/>
                <w:color w:val="auto"/>
                <w:sz w:val="24"/>
              </w:rPr>
              <w:t>d，33627m</w:t>
            </w:r>
            <w:r>
              <w:rPr>
                <w:rFonts w:hint="eastAsia"/>
                <w:color w:val="auto"/>
                <w:sz w:val="24"/>
                <w:vertAlign w:val="superscript"/>
              </w:rPr>
              <w:t>3</w:t>
            </w:r>
            <w:r>
              <w:rPr>
                <w:color w:val="auto"/>
                <w:sz w:val="24"/>
              </w:rPr>
              <w:t>/a</w:t>
            </w:r>
            <w:r>
              <w:rPr>
                <w:rFonts w:hint="eastAsia"/>
                <w:color w:val="auto"/>
                <w:sz w:val="24"/>
              </w:rPr>
              <w:t>（</w:t>
            </w:r>
            <w:r>
              <w:rPr>
                <w:rFonts w:hint="eastAsia"/>
                <w:color w:val="auto"/>
                <w:sz w:val="24"/>
                <w:lang w:val="en-US" w:eastAsia="zh-CN"/>
              </w:rPr>
              <w:t>均为</w:t>
            </w:r>
            <w:r>
              <w:rPr>
                <w:rFonts w:hint="eastAsia"/>
                <w:color w:val="auto"/>
                <w:sz w:val="24"/>
              </w:rPr>
              <w:t>纯水系统</w:t>
            </w:r>
            <w:r>
              <w:rPr>
                <w:color w:val="auto"/>
                <w:sz w:val="24"/>
              </w:rPr>
              <w:t>用水</w:t>
            </w:r>
            <w:r>
              <w:rPr>
                <w:rFonts w:hint="eastAsia"/>
                <w:color w:val="auto"/>
                <w:sz w:val="24"/>
              </w:rPr>
              <w:t>）；回用水量为290.4m</w:t>
            </w:r>
            <w:r>
              <w:rPr>
                <w:rFonts w:hint="eastAsia"/>
                <w:color w:val="auto"/>
                <w:sz w:val="24"/>
                <w:vertAlign w:val="superscript"/>
              </w:rPr>
              <w:t>3</w:t>
            </w:r>
            <w:r>
              <w:rPr>
                <w:color w:val="auto"/>
                <w:sz w:val="24"/>
              </w:rPr>
              <w:t>/</w:t>
            </w:r>
            <w:r>
              <w:rPr>
                <w:rFonts w:hint="eastAsia"/>
                <w:color w:val="auto"/>
                <w:sz w:val="24"/>
              </w:rPr>
              <w:t>d，87120m</w:t>
            </w:r>
            <w:r>
              <w:rPr>
                <w:rFonts w:hint="eastAsia"/>
                <w:color w:val="auto"/>
                <w:sz w:val="24"/>
                <w:vertAlign w:val="superscript"/>
              </w:rPr>
              <w:t>3</w:t>
            </w:r>
            <w:r>
              <w:rPr>
                <w:color w:val="auto"/>
                <w:sz w:val="24"/>
              </w:rPr>
              <w:t>/a</w:t>
            </w:r>
            <w:r>
              <w:rPr>
                <w:rFonts w:hint="eastAsia"/>
                <w:color w:val="auto"/>
                <w:sz w:val="24"/>
              </w:rPr>
              <w:t>，回用于纯水系统、阳极氧化线前处理用水</w:t>
            </w:r>
            <w:r>
              <w:rPr>
                <w:rFonts w:hint="eastAsia"/>
                <w:color w:val="auto"/>
                <w:sz w:val="24"/>
                <w:lang w:eastAsia="zh-CN"/>
              </w:rPr>
              <w:t>、</w:t>
            </w:r>
            <w:r>
              <w:rPr>
                <w:rFonts w:hint="eastAsia"/>
                <w:color w:val="auto"/>
                <w:sz w:val="24"/>
                <w:lang w:val="en-US" w:eastAsia="zh-CN"/>
              </w:rPr>
              <w:t>封孔洗水</w:t>
            </w:r>
            <w:r>
              <w:rPr>
                <w:color w:val="auto"/>
                <w:sz w:val="24"/>
              </w:rPr>
              <w:t>。</w:t>
            </w:r>
          </w:p>
          <w:p w14:paraId="6D210A31">
            <w:pPr>
              <w:spacing w:line="360" w:lineRule="auto"/>
              <w:ind w:firstLine="480" w:firstLineChars="200"/>
              <w:rPr>
                <w:rFonts w:hint="eastAsia"/>
                <w:bCs/>
                <w:color w:val="auto"/>
                <w:sz w:val="24"/>
              </w:rPr>
            </w:pPr>
            <w:r>
              <w:rPr>
                <w:rFonts w:hint="eastAsia"/>
                <w:bCs/>
                <w:color w:val="auto"/>
                <w:sz w:val="24"/>
                <w:lang w:eastAsia="zh-CN"/>
              </w:rPr>
              <w:t>改建</w:t>
            </w:r>
            <w:r>
              <w:rPr>
                <w:rFonts w:hint="eastAsia"/>
                <w:bCs/>
                <w:color w:val="auto"/>
                <w:sz w:val="24"/>
              </w:rPr>
              <w:t>项目无需新增生活用水，均为生产用水，新鲜用水量5.</w:t>
            </w:r>
            <w:r>
              <w:rPr>
                <w:rFonts w:hint="eastAsia"/>
                <w:bCs/>
                <w:color w:val="auto"/>
                <w:sz w:val="24"/>
                <w:lang w:val="en-US" w:eastAsia="zh-CN"/>
              </w:rPr>
              <w:t>828</w:t>
            </w:r>
            <w:r>
              <w:rPr>
                <w:rFonts w:hint="eastAsia"/>
                <w:color w:val="auto"/>
                <w:sz w:val="24"/>
              </w:rPr>
              <w:t>m</w:t>
            </w:r>
            <w:r>
              <w:rPr>
                <w:rFonts w:hint="eastAsia"/>
                <w:color w:val="auto"/>
                <w:sz w:val="24"/>
                <w:vertAlign w:val="superscript"/>
              </w:rPr>
              <w:t>3</w:t>
            </w:r>
            <w:r>
              <w:rPr>
                <w:rFonts w:hint="eastAsia"/>
                <w:bCs/>
                <w:color w:val="auto"/>
                <w:sz w:val="24"/>
              </w:rPr>
              <w:t>/d，</w:t>
            </w:r>
            <w:r>
              <w:rPr>
                <w:rFonts w:hint="eastAsia"/>
                <w:bCs/>
                <w:color w:val="auto"/>
                <w:sz w:val="24"/>
                <w:lang w:val="en-US" w:eastAsia="zh-CN"/>
              </w:rPr>
              <w:t>1748.4</w:t>
            </w:r>
            <w:r>
              <w:rPr>
                <w:rFonts w:hint="eastAsia"/>
                <w:color w:val="auto"/>
                <w:sz w:val="24"/>
              </w:rPr>
              <w:t>m</w:t>
            </w:r>
            <w:r>
              <w:rPr>
                <w:rFonts w:hint="eastAsia"/>
                <w:color w:val="auto"/>
                <w:sz w:val="24"/>
                <w:vertAlign w:val="superscript"/>
              </w:rPr>
              <w:t>3</w:t>
            </w:r>
            <w:r>
              <w:rPr>
                <w:rFonts w:hint="eastAsia"/>
                <w:bCs/>
                <w:color w:val="auto"/>
                <w:sz w:val="24"/>
              </w:rPr>
              <w:t>/a</w:t>
            </w:r>
            <w:r>
              <w:rPr>
                <w:rFonts w:hint="eastAsia"/>
                <w:bCs/>
                <w:color w:val="auto"/>
                <w:sz w:val="24"/>
                <w:lang w:eastAsia="zh-CN"/>
              </w:rPr>
              <w:t>，</w:t>
            </w:r>
            <w:r>
              <w:rPr>
                <w:rFonts w:hint="eastAsia"/>
                <w:bCs/>
                <w:color w:val="auto"/>
                <w:sz w:val="24"/>
                <w:lang w:val="en-US" w:eastAsia="zh-CN"/>
              </w:rPr>
              <w:t>通过减少阳极氧化生产线用水量进行调配，本改建项目无需新增用水量</w:t>
            </w:r>
            <w:r>
              <w:rPr>
                <w:rFonts w:hint="eastAsia"/>
                <w:bCs/>
                <w:color w:val="auto"/>
                <w:sz w:val="24"/>
              </w:rPr>
              <w:t>。</w:t>
            </w:r>
          </w:p>
          <w:p w14:paraId="2790FBCE">
            <w:pPr>
              <w:spacing w:line="360" w:lineRule="auto"/>
              <w:ind w:firstLine="480" w:firstLineChars="200"/>
              <w:rPr>
                <w:rFonts w:hint="eastAsia" w:eastAsia="宋体"/>
                <w:bCs/>
                <w:color w:val="auto"/>
                <w:sz w:val="24"/>
                <w:lang w:val="en-US" w:eastAsia="zh-CN"/>
              </w:rPr>
            </w:pPr>
            <w:r>
              <w:rPr>
                <w:rFonts w:hint="eastAsia"/>
                <w:bCs/>
                <w:color w:val="auto"/>
                <w:sz w:val="24"/>
                <w:highlight w:val="none"/>
                <w:lang w:eastAsia="zh-CN"/>
              </w:rPr>
              <w:t>改建</w:t>
            </w:r>
            <w:r>
              <w:rPr>
                <w:rFonts w:hint="eastAsia"/>
                <w:bCs/>
                <w:color w:val="auto"/>
                <w:sz w:val="24"/>
                <w:highlight w:val="none"/>
              </w:rPr>
              <w:t>后全厂</w:t>
            </w:r>
            <w:r>
              <w:rPr>
                <w:color w:val="auto"/>
                <w:sz w:val="24"/>
                <w:highlight w:val="none"/>
              </w:rPr>
              <w:t>主要为员工生活用水</w:t>
            </w:r>
            <w:r>
              <w:rPr>
                <w:rFonts w:hint="eastAsia"/>
                <w:color w:val="auto"/>
                <w:sz w:val="24"/>
                <w:highlight w:val="none"/>
              </w:rPr>
              <w:t>和生产用水</w:t>
            </w:r>
            <w:r>
              <w:rPr>
                <w:color w:val="auto"/>
                <w:sz w:val="24"/>
                <w:highlight w:val="none"/>
              </w:rPr>
              <w:t>，</w:t>
            </w:r>
            <w:r>
              <w:rPr>
                <w:rFonts w:hint="eastAsia"/>
                <w:color w:val="auto"/>
                <w:sz w:val="24"/>
                <w:highlight w:val="none"/>
              </w:rPr>
              <w:t>总用水量为420.</w:t>
            </w:r>
            <w:r>
              <w:rPr>
                <w:rFonts w:hint="eastAsia"/>
                <w:color w:val="auto"/>
                <w:sz w:val="24"/>
                <w:highlight w:val="none"/>
                <w:lang w:val="en-US" w:eastAsia="zh-CN"/>
              </w:rPr>
              <w:t>708</w:t>
            </w:r>
            <w:r>
              <w:rPr>
                <w:rFonts w:hint="eastAsia"/>
                <w:color w:val="auto"/>
                <w:sz w:val="24"/>
                <w:highlight w:val="none"/>
              </w:rPr>
              <w:t>m</w:t>
            </w:r>
            <w:r>
              <w:rPr>
                <w:rFonts w:hint="eastAsia"/>
                <w:color w:val="auto"/>
                <w:sz w:val="24"/>
                <w:highlight w:val="none"/>
                <w:vertAlign w:val="superscript"/>
              </w:rPr>
              <w:t>3</w:t>
            </w:r>
            <w:r>
              <w:rPr>
                <w:color w:val="auto"/>
                <w:sz w:val="24"/>
                <w:highlight w:val="none"/>
              </w:rPr>
              <w:t>/</w:t>
            </w:r>
            <w:r>
              <w:rPr>
                <w:rFonts w:hint="eastAsia"/>
                <w:color w:val="auto"/>
                <w:sz w:val="24"/>
                <w:highlight w:val="none"/>
              </w:rPr>
              <w:t>d，</w:t>
            </w:r>
            <w:r>
              <w:rPr>
                <w:rFonts w:hint="eastAsia"/>
                <w:color w:val="auto"/>
                <w:sz w:val="24"/>
                <w:highlight w:val="none"/>
                <w:lang w:val="en-US" w:eastAsia="zh-CN"/>
              </w:rPr>
              <w:t>126212.4</w:t>
            </w:r>
            <w:r>
              <w:rPr>
                <w:rFonts w:hint="eastAsia"/>
                <w:color w:val="auto"/>
                <w:sz w:val="24"/>
                <w:highlight w:val="none"/>
              </w:rPr>
              <w:t>m</w:t>
            </w:r>
            <w:r>
              <w:rPr>
                <w:rFonts w:hint="eastAsia"/>
                <w:color w:val="auto"/>
                <w:sz w:val="24"/>
                <w:highlight w:val="none"/>
                <w:vertAlign w:val="superscript"/>
              </w:rPr>
              <w:t>3</w:t>
            </w:r>
            <w:r>
              <w:rPr>
                <w:color w:val="auto"/>
                <w:sz w:val="24"/>
                <w:highlight w:val="none"/>
              </w:rPr>
              <w:t>/a</w:t>
            </w:r>
            <w:r>
              <w:rPr>
                <w:rFonts w:hint="eastAsia"/>
                <w:color w:val="auto"/>
                <w:sz w:val="24"/>
                <w:highlight w:val="none"/>
              </w:rPr>
              <w:t>，包含</w:t>
            </w:r>
            <w:r>
              <w:rPr>
                <w:color w:val="auto"/>
                <w:sz w:val="24"/>
                <w:highlight w:val="none"/>
              </w:rPr>
              <w:t>新鲜总用水量为</w:t>
            </w:r>
            <w:r>
              <w:rPr>
                <w:rFonts w:hint="eastAsia"/>
                <w:color w:val="auto"/>
                <w:sz w:val="24"/>
                <w:highlight w:val="none"/>
                <w:lang w:val="en-US" w:eastAsia="zh-CN"/>
              </w:rPr>
              <w:t>158.52</w:t>
            </w:r>
            <w:r>
              <w:rPr>
                <w:rFonts w:hint="eastAsia"/>
                <w:color w:val="auto"/>
                <w:sz w:val="24"/>
                <w:highlight w:val="none"/>
              </w:rPr>
              <w:t>m</w:t>
            </w:r>
            <w:r>
              <w:rPr>
                <w:rFonts w:hint="eastAsia"/>
                <w:color w:val="auto"/>
                <w:sz w:val="24"/>
                <w:highlight w:val="none"/>
                <w:vertAlign w:val="superscript"/>
              </w:rPr>
              <w:t>3</w:t>
            </w:r>
            <w:r>
              <w:rPr>
                <w:color w:val="auto"/>
                <w:sz w:val="24"/>
                <w:highlight w:val="none"/>
              </w:rPr>
              <w:t>/</w:t>
            </w:r>
            <w:r>
              <w:rPr>
                <w:rFonts w:hint="eastAsia"/>
                <w:color w:val="auto"/>
                <w:sz w:val="24"/>
                <w:highlight w:val="none"/>
              </w:rPr>
              <w:t>d，</w:t>
            </w:r>
            <w:r>
              <w:rPr>
                <w:rFonts w:hint="eastAsia"/>
                <w:color w:val="auto"/>
                <w:sz w:val="24"/>
                <w:highlight w:val="none"/>
                <w:lang w:val="en-US" w:eastAsia="zh-CN"/>
              </w:rPr>
              <w:t>47556</w:t>
            </w:r>
            <w:r>
              <w:rPr>
                <w:rFonts w:hint="eastAsia"/>
                <w:color w:val="auto"/>
                <w:sz w:val="24"/>
                <w:highlight w:val="none"/>
              </w:rPr>
              <w:t>m</w:t>
            </w:r>
            <w:r>
              <w:rPr>
                <w:rFonts w:hint="eastAsia"/>
                <w:color w:val="auto"/>
                <w:sz w:val="24"/>
                <w:highlight w:val="none"/>
                <w:vertAlign w:val="superscript"/>
              </w:rPr>
              <w:t>3</w:t>
            </w:r>
            <w:r>
              <w:rPr>
                <w:color w:val="auto"/>
                <w:sz w:val="24"/>
                <w:highlight w:val="none"/>
              </w:rPr>
              <w:t>/a</w:t>
            </w:r>
            <w:r>
              <w:rPr>
                <w:rFonts w:hint="eastAsia"/>
                <w:color w:val="auto"/>
                <w:sz w:val="24"/>
                <w:highlight w:val="none"/>
              </w:rPr>
              <w:t>，</w:t>
            </w:r>
            <w:r>
              <w:rPr>
                <w:color w:val="auto"/>
                <w:sz w:val="24"/>
                <w:highlight w:val="none"/>
              </w:rPr>
              <w:t>其中生活用水量为</w:t>
            </w:r>
            <w:r>
              <w:rPr>
                <w:rFonts w:hint="eastAsia"/>
                <w:color w:val="auto"/>
                <w:sz w:val="24"/>
                <w:highlight w:val="none"/>
                <w:lang w:val="en-US" w:eastAsia="zh-CN"/>
              </w:rPr>
              <w:t>48</w:t>
            </w:r>
            <w:r>
              <w:rPr>
                <w:rFonts w:hint="eastAsia"/>
                <w:color w:val="auto"/>
                <w:sz w:val="24"/>
                <w:highlight w:val="none"/>
              </w:rPr>
              <w:t>m</w:t>
            </w:r>
            <w:r>
              <w:rPr>
                <w:rFonts w:hint="eastAsia"/>
                <w:color w:val="auto"/>
                <w:sz w:val="24"/>
                <w:highlight w:val="none"/>
                <w:vertAlign w:val="superscript"/>
              </w:rPr>
              <w:t>3</w:t>
            </w:r>
            <w:r>
              <w:rPr>
                <w:color w:val="auto"/>
                <w:sz w:val="24"/>
                <w:highlight w:val="none"/>
              </w:rPr>
              <w:t>/</w:t>
            </w:r>
            <w:r>
              <w:rPr>
                <w:rFonts w:hint="eastAsia"/>
                <w:color w:val="auto"/>
                <w:sz w:val="24"/>
                <w:highlight w:val="none"/>
              </w:rPr>
              <w:t>d，14400m</w:t>
            </w:r>
            <w:r>
              <w:rPr>
                <w:rFonts w:hint="eastAsia"/>
                <w:color w:val="auto"/>
                <w:sz w:val="24"/>
                <w:highlight w:val="none"/>
                <w:vertAlign w:val="superscript"/>
              </w:rPr>
              <w:t>3</w:t>
            </w:r>
            <w:r>
              <w:rPr>
                <w:color w:val="auto"/>
                <w:sz w:val="24"/>
                <w:highlight w:val="none"/>
              </w:rPr>
              <w:t>/a，</w:t>
            </w:r>
            <w:r>
              <w:rPr>
                <w:rFonts w:hint="eastAsia"/>
                <w:color w:val="auto"/>
                <w:sz w:val="24"/>
                <w:highlight w:val="none"/>
              </w:rPr>
              <w:t>生产用水量为</w:t>
            </w:r>
            <w:r>
              <w:rPr>
                <w:rFonts w:hint="eastAsia"/>
                <w:color w:val="auto"/>
                <w:sz w:val="24"/>
                <w:highlight w:val="none"/>
                <w:lang w:val="en-US" w:eastAsia="zh-CN"/>
              </w:rPr>
              <w:t>110.52</w:t>
            </w:r>
            <w:r>
              <w:rPr>
                <w:rFonts w:hint="eastAsia"/>
                <w:color w:val="auto"/>
                <w:sz w:val="24"/>
                <w:highlight w:val="none"/>
              </w:rPr>
              <w:t>m</w:t>
            </w:r>
            <w:r>
              <w:rPr>
                <w:rFonts w:hint="eastAsia"/>
                <w:color w:val="auto"/>
                <w:sz w:val="24"/>
                <w:highlight w:val="none"/>
                <w:vertAlign w:val="superscript"/>
              </w:rPr>
              <w:t>3</w:t>
            </w:r>
            <w:r>
              <w:rPr>
                <w:color w:val="auto"/>
                <w:sz w:val="24"/>
                <w:highlight w:val="none"/>
              </w:rPr>
              <w:t>/</w:t>
            </w:r>
            <w:r>
              <w:rPr>
                <w:rFonts w:hint="eastAsia"/>
                <w:color w:val="auto"/>
                <w:sz w:val="24"/>
                <w:highlight w:val="none"/>
              </w:rPr>
              <w:t>d，</w:t>
            </w:r>
            <w:r>
              <w:rPr>
                <w:rFonts w:hint="eastAsia"/>
                <w:color w:val="auto"/>
                <w:sz w:val="24"/>
                <w:highlight w:val="none"/>
                <w:lang w:val="en-US" w:eastAsia="zh-CN"/>
              </w:rPr>
              <w:t>33156</w:t>
            </w:r>
            <w:r>
              <w:rPr>
                <w:rFonts w:hint="eastAsia"/>
                <w:color w:val="auto"/>
                <w:sz w:val="24"/>
                <w:highlight w:val="none"/>
              </w:rPr>
              <w:t>m</w:t>
            </w:r>
            <w:r>
              <w:rPr>
                <w:rFonts w:hint="eastAsia"/>
                <w:color w:val="auto"/>
                <w:sz w:val="24"/>
                <w:highlight w:val="none"/>
                <w:vertAlign w:val="superscript"/>
              </w:rPr>
              <w:t>3</w:t>
            </w:r>
            <w:r>
              <w:rPr>
                <w:color w:val="auto"/>
                <w:sz w:val="24"/>
                <w:highlight w:val="none"/>
              </w:rPr>
              <w:t>/a</w:t>
            </w:r>
            <w:r>
              <w:rPr>
                <w:rFonts w:hint="eastAsia"/>
                <w:color w:val="auto"/>
                <w:sz w:val="24"/>
                <w:highlight w:val="none"/>
              </w:rPr>
              <w:t>（纯水系统</w:t>
            </w:r>
            <w:r>
              <w:rPr>
                <w:color w:val="auto"/>
                <w:sz w:val="24"/>
                <w:highlight w:val="none"/>
              </w:rPr>
              <w:t>用水</w:t>
            </w:r>
            <w:r>
              <w:rPr>
                <w:rFonts w:hint="eastAsia"/>
                <w:color w:val="auto"/>
                <w:sz w:val="24"/>
                <w:highlight w:val="none"/>
                <w:lang w:val="en-US" w:eastAsia="zh-CN"/>
              </w:rPr>
              <w:t>107.537</w:t>
            </w:r>
            <w:r>
              <w:rPr>
                <w:rFonts w:hint="eastAsia"/>
                <w:color w:val="auto"/>
                <w:sz w:val="24"/>
                <w:highlight w:val="none"/>
              </w:rPr>
              <w:t>m</w:t>
            </w:r>
            <w:r>
              <w:rPr>
                <w:rFonts w:hint="eastAsia"/>
                <w:color w:val="auto"/>
                <w:sz w:val="24"/>
                <w:highlight w:val="none"/>
                <w:vertAlign w:val="superscript"/>
              </w:rPr>
              <w:t>3</w:t>
            </w:r>
            <w:r>
              <w:rPr>
                <w:color w:val="auto"/>
                <w:sz w:val="24"/>
                <w:highlight w:val="none"/>
              </w:rPr>
              <w:t>/</w:t>
            </w:r>
            <w:r>
              <w:rPr>
                <w:rFonts w:hint="eastAsia"/>
                <w:color w:val="auto"/>
                <w:sz w:val="24"/>
                <w:highlight w:val="none"/>
              </w:rPr>
              <w:t>d，32261.1m</w:t>
            </w:r>
            <w:r>
              <w:rPr>
                <w:rFonts w:hint="eastAsia"/>
                <w:color w:val="auto"/>
                <w:sz w:val="24"/>
                <w:highlight w:val="none"/>
                <w:vertAlign w:val="superscript"/>
              </w:rPr>
              <w:t>3</w:t>
            </w:r>
            <w:r>
              <w:rPr>
                <w:color w:val="auto"/>
                <w:sz w:val="24"/>
                <w:highlight w:val="none"/>
              </w:rPr>
              <w:t>/a</w:t>
            </w:r>
            <w:r>
              <w:rPr>
                <w:rFonts w:hint="eastAsia"/>
                <w:color w:val="auto"/>
                <w:sz w:val="24"/>
                <w:highlight w:val="none"/>
                <w:lang w:eastAsia="zh-CN"/>
              </w:rPr>
              <w:t>、</w:t>
            </w:r>
            <w:r>
              <w:rPr>
                <w:rFonts w:hint="eastAsia"/>
                <w:color w:val="auto"/>
                <w:sz w:val="24"/>
                <w:highlight w:val="none"/>
              </w:rPr>
              <w:t>电泳前处理脱脂用水</w:t>
            </w:r>
            <w:r>
              <w:rPr>
                <w:rFonts w:hint="eastAsia"/>
                <w:color w:val="auto"/>
                <w:sz w:val="24"/>
                <w:highlight w:val="none"/>
                <w:lang w:val="en-US" w:eastAsia="zh-CN"/>
              </w:rPr>
              <w:t>0.031</w:t>
            </w:r>
            <w:r>
              <w:rPr>
                <w:rFonts w:hint="eastAsia"/>
                <w:color w:val="auto"/>
                <w:sz w:val="24"/>
                <w:highlight w:val="none"/>
              </w:rPr>
              <w:t>m</w:t>
            </w:r>
            <w:r>
              <w:rPr>
                <w:rFonts w:hint="eastAsia"/>
                <w:color w:val="auto"/>
                <w:sz w:val="24"/>
                <w:highlight w:val="none"/>
                <w:vertAlign w:val="superscript"/>
              </w:rPr>
              <w:t>3</w:t>
            </w:r>
            <w:r>
              <w:rPr>
                <w:color w:val="auto"/>
                <w:sz w:val="24"/>
                <w:highlight w:val="none"/>
              </w:rPr>
              <w:t>/</w:t>
            </w:r>
            <w:r>
              <w:rPr>
                <w:rFonts w:hint="eastAsia"/>
                <w:color w:val="auto"/>
                <w:sz w:val="24"/>
                <w:highlight w:val="none"/>
              </w:rPr>
              <w:t>d，9.</w:t>
            </w:r>
            <w:r>
              <w:rPr>
                <w:rFonts w:hint="eastAsia"/>
                <w:color w:val="auto"/>
                <w:sz w:val="24"/>
                <w:highlight w:val="none"/>
                <w:lang w:val="en-US" w:eastAsia="zh-CN"/>
              </w:rPr>
              <w:t>3</w:t>
            </w:r>
            <w:r>
              <w:rPr>
                <w:rFonts w:hint="eastAsia"/>
                <w:color w:val="auto"/>
                <w:sz w:val="24"/>
                <w:highlight w:val="none"/>
              </w:rPr>
              <w:t>m</w:t>
            </w:r>
            <w:r>
              <w:rPr>
                <w:rFonts w:hint="eastAsia"/>
                <w:color w:val="auto"/>
                <w:sz w:val="24"/>
                <w:highlight w:val="none"/>
                <w:vertAlign w:val="superscript"/>
              </w:rPr>
              <w:t>3</w:t>
            </w:r>
            <w:r>
              <w:rPr>
                <w:color w:val="auto"/>
                <w:sz w:val="24"/>
                <w:highlight w:val="none"/>
              </w:rPr>
              <w:t>/a</w:t>
            </w:r>
            <w:r>
              <w:rPr>
                <w:rFonts w:hint="eastAsia"/>
                <w:color w:val="auto"/>
                <w:sz w:val="24"/>
                <w:highlight w:val="none"/>
                <w:lang w:eastAsia="zh-CN"/>
              </w:rPr>
              <w:t>、</w:t>
            </w:r>
            <w:r>
              <w:rPr>
                <w:rFonts w:hint="eastAsia"/>
                <w:color w:val="auto"/>
                <w:sz w:val="24"/>
                <w:highlight w:val="none"/>
              </w:rPr>
              <w:t>脱脂自来水水洗用水</w:t>
            </w:r>
            <w:r>
              <w:rPr>
                <w:rFonts w:hint="eastAsia"/>
                <w:color w:val="auto"/>
                <w:sz w:val="24"/>
                <w:highlight w:val="none"/>
                <w:lang w:val="en-US" w:eastAsia="zh-CN"/>
              </w:rPr>
              <w:t>2.952</w:t>
            </w:r>
            <w:r>
              <w:rPr>
                <w:rFonts w:hint="eastAsia"/>
                <w:color w:val="auto"/>
                <w:sz w:val="24"/>
                <w:highlight w:val="none"/>
              </w:rPr>
              <w:t>m</w:t>
            </w:r>
            <w:r>
              <w:rPr>
                <w:rFonts w:hint="eastAsia"/>
                <w:color w:val="auto"/>
                <w:sz w:val="24"/>
                <w:highlight w:val="none"/>
                <w:vertAlign w:val="superscript"/>
              </w:rPr>
              <w:t>3</w:t>
            </w:r>
            <w:r>
              <w:rPr>
                <w:color w:val="auto"/>
                <w:sz w:val="24"/>
                <w:highlight w:val="none"/>
              </w:rPr>
              <w:t>/</w:t>
            </w:r>
            <w:r>
              <w:rPr>
                <w:rFonts w:hint="eastAsia"/>
                <w:color w:val="auto"/>
                <w:sz w:val="24"/>
                <w:highlight w:val="none"/>
              </w:rPr>
              <w:t>d，885.72m</w:t>
            </w:r>
            <w:r>
              <w:rPr>
                <w:rFonts w:hint="eastAsia"/>
                <w:color w:val="auto"/>
                <w:sz w:val="24"/>
                <w:highlight w:val="none"/>
                <w:vertAlign w:val="superscript"/>
              </w:rPr>
              <w:t>3</w:t>
            </w:r>
            <w:r>
              <w:rPr>
                <w:color w:val="auto"/>
                <w:sz w:val="24"/>
                <w:highlight w:val="none"/>
              </w:rPr>
              <w:t>/a</w:t>
            </w:r>
            <w:r>
              <w:rPr>
                <w:rFonts w:hint="eastAsia"/>
                <w:color w:val="auto"/>
                <w:sz w:val="24"/>
                <w:highlight w:val="none"/>
              </w:rPr>
              <w:t>）；回用水量为262.188m</w:t>
            </w:r>
            <w:r>
              <w:rPr>
                <w:rFonts w:hint="eastAsia"/>
                <w:color w:val="auto"/>
                <w:sz w:val="24"/>
                <w:highlight w:val="none"/>
                <w:vertAlign w:val="superscript"/>
              </w:rPr>
              <w:t>3</w:t>
            </w:r>
            <w:r>
              <w:rPr>
                <w:color w:val="auto"/>
                <w:sz w:val="24"/>
                <w:highlight w:val="none"/>
              </w:rPr>
              <w:t>/</w:t>
            </w:r>
            <w:r>
              <w:rPr>
                <w:rFonts w:hint="eastAsia"/>
                <w:color w:val="auto"/>
                <w:sz w:val="24"/>
                <w:highlight w:val="none"/>
              </w:rPr>
              <w:t>d，78656.4m</w:t>
            </w:r>
            <w:r>
              <w:rPr>
                <w:rFonts w:hint="eastAsia"/>
                <w:color w:val="auto"/>
                <w:sz w:val="24"/>
                <w:highlight w:val="none"/>
                <w:vertAlign w:val="superscript"/>
              </w:rPr>
              <w:t>3</w:t>
            </w:r>
            <w:r>
              <w:rPr>
                <w:color w:val="auto"/>
                <w:sz w:val="24"/>
                <w:highlight w:val="none"/>
              </w:rPr>
              <w:t>/a</w:t>
            </w:r>
            <w:r>
              <w:rPr>
                <w:rFonts w:hint="eastAsia"/>
                <w:color w:val="auto"/>
                <w:sz w:val="24"/>
                <w:highlight w:val="none"/>
              </w:rPr>
              <w:t>，</w:t>
            </w:r>
            <w:r>
              <w:rPr>
                <w:rFonts w:hint="eastAsia"/>
                <w:color w:val="auto"/>
                <w:sz w:val="24"/>
              </w:rPr>
              <w:t>回用于纯水系统、阳极氧化线前处理用水</w:t>
            </w:r>
            <w:r>
              <w:rPr>
                <w:rFonts w:hint="eastAsia"/>
                <w:color w:val="auto"/>
                <w:sz w:val="24"/>
                <w:lang w:eastAsia="zh-CN"/>
              </w:rPr>
              <w:t>、</w:t>
            </w:r>
            <w:r>
              <w:rPr>
                <w:rFonts w:hint="eastAsia"/>
                <w:color w:val="auto"/>
                <w:sz w:val="24"/>
                <w:lang w:val="en-US" w:eastAsia="zh-CN"/>
              </w:rPr>
              <w:t>封孔洗水</w:t>
            </w:r>
            <w:r>
              <w:rPr>
                <w:rFonts w:hint="eastAsia"/>
                <w:bCs/>
                <w:color w:val="auto"/>
                <w:sz w:val="24"/>
              </w:rPr>
              <w:t>。</w:t>
            </w:r>
            <w:r>
              <w:rPr>
                <w:rFonts w:hint="eastAsia"/>
                <w:bCs/>
                <w:color w:val="auto"/>
                <w:sz w:val="24"/>
                <w:lang w:val="en-US" w:eastAsia="zh-CN"/>
              </w:rPr>
              <w:t>改建后全厂的总用水量减少29.782m</w:t>
            </w:r>
            <w:r>
              <w:rPr>
                <w:rFonts w:hint="eastAsia"/>
                <w:bCs/>
                <w:color w:val="auto"/>
                <w:sz w:val="24"/>
                <w:vertAlign w:val="superscript"/>
                <w:lang w:val="en-US" w:eastAsia="zh-CN"/>
              </w:rPr>
              <w:t>3</w:t>
            </w:r>
            <w:r>
              <w:rPr>
                <w:rFonts w:hint="eastAsia"/>
                <w:bCs/>
                <w:color w:val="auto"/>
                <w:sz w:val="24"/>
                <w:lang w:val="en-US" w:eastAsia="zh-CN"/>
              </w:rPr>
              <w:t>/d，8934.6m</w:t>
            </w:r>
            <w:r>
              <w:rPr>
                <w:rFonts w:hint="eastAsia"/>
                <w:bCs/>
                <w:color w:val="auto"/>
                <w:sz w:val="24"/>
                <w:vertAlign w:val="superscript"/>
                <w:lang w:val="en-US" w:eastAsia="zh-CN"/>
              </w:rPr>
              <w:t>3</w:t>
            </w:r>
            <w:r>
              <w:rPr>
                <w:rFonts w:hint="eastAsia"/>
                <w:bCs/>
                <w:color w:val="auto"/>
                <w:sz w:val="24"/>
                <w:lang w:val="en-US" w:eastAsia="zh-CN"/>
              </w:rPr>
              <w:t>/a，包含新鲜总用水量为1.57</w:t>
            </w:r>
            <w:r>
              <w:rPr>
                <w:rFonts w:hint="eastAsia"/>
                <w:color w:val="auto"/>
                <w:sz w:val="24"/>
                <w:highlight w:val="none"/>
              </w:rPr>
              <w:t>m</w:t>
            </w:r>
            <w:r>
              <w:rPr>
                <w:rFonts w:hint="eastAsia"/>
                <w:color w:val="auto"/>
                <w:sz w:val="24"/>
                <w:highlight w:val="none"/>
                <w:vertAlign w:val="superscript"/>
              </w:rPr>
              <w:t>3</w:t>
            </w:r>
            <w:r>
              <w:rPr>
                <w:color w:val="auto"/>
                <w:sz w:val="24"/>
                <w:highlight w:val="none"/>
              </w:rPr>
              <w:t>/</w:t>
            </w:r>
            <w:r>
              <w:rPr>
                <w:rFonts w:hint="eastAsia"/>
                <w:color w:val="auto"/>
                <w:sz w:val="24"/>
                <w:highlight w:val="none"/>
              </w:rPr>
              <w:t>d，</w:t>
            </w:r>
            <w:r>
              <w:rPr>
                <w:rFonts w:hint="eastAsia"/>
                <w:color w:val="auto"/>
                <w:sz w:val="24"/>
                <w:highlight w:val="none"/>
                <w:lang w:val="en-US" w:eastAsia="zh-CN"/>
              </w:rPr>
              <w:t>471</w:t>
            </w:r>
            <w:r>
              <w:rPr>
                <w:rFonts w:hint="eastAsia"/>
                <w:color w:val="auto"/>
                <w:sz w:val="24"/>
                <w:highlight w:val="none"/>
              </w:rPr>
              <w:t>m</w:t>
            </w:r>
            <w:r>
              <w:rPr>
                <w:rFonts w:hint="eastAsia"/>
                <w:color w:val="auto"/>
                <w:sz w:val="24"/>
                <w:highlight w:val="none"/>
                <w:vertAlign w:val="superscript"/>
              </w:rPr>
              <w:t>3</w:t>
            </w:r>
            <w:r>
              <w:rPr>
                <w:color w:val="auto"/>
                <w:sz w:val="24"/>
                <w:highlight w:val="none"/>
              </w:rPr>
              <w:t>/a</w:t>
            </w:r>
            <w:r>
              <w:rPr>
                <w:rFonts w:hint="eastAsia"/>
                <w:color w:val="auto"/>
                <w:sz w:val="24"/>
                <w:highlight w:val="none"/>
                <w:lang w:eastAsia="zh-CN"/>
              </w:rPr>
              <w:t>；</w:t>
            </w:r>
            <w:r>
              <w:rPr>
                <w:rFonts w:hint="eastAsia"/>
                <w:color w:val="auto"/>
                <w:sz w:val="24"/>
                <w:highlight w:val="none"/>
                <w:lang w:val="en-US" w:eastAsia="zh-CN"/>
              </w:rPr>
              <w:t>回用水量为28.212</w:t>
            </w:r>
            <w:r>
              <w:rPr>
                <w:rFonts w:hint="eastAsia"/>
                <w:bCs/>
                <w:color w:val="auto"/>
                <w:sz w:val="24"/>
                <w:lang w:val="en-US" w:eastAsia="zh-CN"/>
              </w:rPr>
              <w:t>m</w:t>
            </w:r>
            <w:r>
              <w:rPr>
                <w:rFonts w:hint="eastAsia"/>
                <w:bCs/>
                <w:color w:val="auto"/>
                <w:sz w:val="24"/>
                <w:vertAlign w:val="superscript"/>
                <w:lang w:val="en-US" w:eastAsia="zh-CN"/>
              </w:rPr>
              <w:t>3</w:t>
            </w:r>
            <w:r>
              <w:rPr>
                <w:rFonts w:hint="eastAsia"/>
                <w:bCs/>
                <w:color w:val="auto"/>
                <w:sz w:val="24"/>
                <w:lang w:val="en-US" w:eastAsia="zh-CN"/>
              </w:rPr>
              <w:t>/d，</w:t>
            </w:r>
            <w:r>
              <w:rPr>
                <w:rFonts w:hint="eastAsia"/>
                <w:color w:val="auto"/>
                <w:sz w:val="24"/>
                <w:highlight w:val="none"/>
                <w:lang w:val="en-US" w:eastAsia="zh-CN"/>
              </w:rPr>
              <w:t>8463.6</w:t>
            </w:r>
            <w:r>
              <w:rPr>
                <w:rFonts w:hint="eastAsia"/>
                <w:bCs/>
                <w:color w:val="auto"/>
                <w:sz w:val="24"/>
                <w:lang w:val="en-US" w:eastAsia="zh-CN"/>
              </w:rPr>
              <w:t>m</w:t>
            </w:r>
            <w:r>
              <w:rPr>
                <w:rFonts w:hint="eastAsia"/>
                <w:bCs/>
                <w:color w:val="auto"/>
                <w:sz w:val="24"/>
                <w:vertAlign w:val="superscript"/>
                <w:lang w:val="en-US" w:eastAsia="zh-CN"/>
              </w:rPr>
              <w:t>3</w:t>
            </w:r>
            <w:r>
              <w:rPr>
                <w:rFonts w:hint="eastAsia"/>
                <w:bCs/>
                <w:color w:val="auto"/>
                <w:sz w:val="24"/>
                <w:lang w:val="en-US" w:eastAsia="zh-CN"/>
              </w:rPr>
              <w:t>/a，</w:t>
            </w:r>
            <w:r>
              <w:rPr>
                <w:rFonts w:hint="eastAsia"/>
                <w:color w:val="auto"/>
                <w:sz w:val="24"/>
                <w:highlight w:val="none"/>
                <w:lang w:val="en-US" w:eastAsia="zh-CN"/>
              </w:rPr>
              <w:t>主要减少为阳极氧化</w:t>
            </w:r>
            <w:r>
              <w:rPr>
                <w:rFonts w:hint="eastAsia"/>
                <w:color w:val="auto"/>
                <w:sz w:val="24"/>
                <w:highlight w:val="none"/>
              </w:rPr>
              <w:t>生产用水量</w:t>
            </w:r>
            <w:r>
              <w:rPr>
                <w:rFonts w:hint="eastAsia"/>
                <w:color w:val="auto"/>
                <w:sz w:val="24"/>
                <w:highlight w:val="none"/>
                <w:lang w:eastAsia="zh-CN"/>
              </w:rPr>
              <w:t>。</w:t>
            </w:r>
          </w:p>
          <w:p w14:paraId="0018C703">
            <w:pPr>
              <w:pStyle w:val="34"/>
              <w:spacing w:after="0" w:line="360" w:lineRule="auto"/>
              <w:ind w:left="21" w:leftChars="10" w:right="21" w:rightChars="10" w:firstLine="482" w:firstLineChars="200"/>
              <w:rPr>
                <w:b/>
                <w:color w:val="auto"/>
                <w:sz w:val="24"/>
              </w:rPr>
            </w:pPr>
            <w:r>
              <w:rPr>
                <w:rFonts w:hint="eastAsia"/>
                <w:b/>
                <w:color w:val="auto"/>
                <w:sz w:val="24"/>
              </w:rPr>
              <w:t>（2）</w:t>
            </w:r>
            <w:r>
              <w:rPr>
                <w:b/>
                <w:color w:val="auto"/>
                <w:sz w:val="24"/>
              </w:rPr>
              <w:t>排水</w:t>
            </w:r>
          </w:p>
          <w:p w14:paraId="519761E8">
            <w:pPr>
              <w:spacing w:line="360" w:lineRule="auto"/>
              <w:ind w:firstLine="480" w:firstLineChars="200"/>
              <w:rPr>
                <w:bCs/>
                <w:color w:val="auto"/>
                <w:sz w:val="24"/>
              </w:rPr>
            </w:pPr>
            <w:r>
              <w:rPr>
                <w:rFonts w:hint="eastAsia"/>
                <w:bCs/>
                <w:color w:val="auto"/>
                <w:sz w:val="24"/>
              </w:rPr>
              <w:t>本项目严格按照雨污分流原则，雨水排入周边市政道路雨水管。</w:t>
            </w:r>
          </w:p>
          <w:p w14:paraId="3793D461">
            <w:pPr>
              <w:spacing w:line="360" w:lineRule="auto"/>
              <w:ind w:firstLine="480" w:firstLineChars="200"/>
              <w:rPr>
                <w:rFonts w:hint="eastAsia"/>
                <w:bCs/>
                <w:color w:val="auto"/>
                <w:sz w:val="24"/>
              </w:rPr>
            </w:pPr>
            <w:r>
              <w:rPr>
                <w:rFonts w:hint="eastAsia"/>
                <w:bCs/>
                <w:color w:val="auto"/>
                <w:sz w:val="24"/>
                <w:highlight w:val="none"/>
              </w:rPr>
              <w:t>现有项目废水产生总量为416.1</w:t>
            </w:r>
            <w:r>
              <w:rPr>
                <w:bCs/>
                <w:color w:val="auto"/>
                <w:sz w:val="24"/>
                <w:highlight w:val="none"/>
              </w:rPr>
              <w:t>m</w:t>
            </w:r>
            <w:r>
              <w:rPr>
                <w:bCs/>
                <w:color w:val="auto"/>
                <w:sz w:val="24"/>
                <w:highlight w:val="none"/>
                <w:vertAlign w:val="superscript"/>
              </w:rPr>
              <w:t>3</w:t>
            </w:r>
            <w:r>
              <w:rPr>
                <w:rFonts w:hint="eastAsia"/>
                <w:bCs/>
                <w:color w:val="auto"/>
                <w:sz w:val="24"/>
                <w:highlight w:val="none"/>
              </w:rPr>
              <w:t>/d，124830</w:t>
            </w:r>
            <w:r>
              <w:rPr>
                <w:bCs/>
                <w:color w:val="auto"/>
                <w:sz w:val="24"/>
                <w:highlight w:val="none"/>
              </w:rPr>
              <w:t>m</w:t>
            </w:r>
            <w:r>
              <w:rPr>
                <w:bCs/>
                <w:color w:val="auto"/>
                <w:sz w:val="24"/>
                <w:highlight w:val="none"/>
                <w:vertAlign w:val="superscript"/>
              </w:rPr>
              <w:t>3</w:t>
            </w:r>
            <w:r>
              <w:rPr>
                <w:rFonts w:hint="eastAsia"/>
                <w:bCs/>
                <w:color w:val="auto"/>
                <w:sz w:val="24"/>
                <w:highlight w:val="none"/>
              </w:rPr>
              <w:t>/a，主要为生活</w:t>
            </w:r>
            <w:r>
              <w:rPr>
                <w:rFonts w:hint="eastAsia"/>
                <w:bCs/>
                <w:color w:val="auto"/>
                <w:sz w:val="24"/>
              </w:rPr>
              <w:t>污水和生产废水，</w:t>
            </w:r>
            <w:r>
              <w:rPr>
                <w:rFonts w:hint="eastAsia"/>
                <w:bCs/>
                <w:color w:val="auto"/>
                <w:sz w:val="24"/>
                <w:lang w:val="en-US" w:eastAsia="zh-CN"/>
              </w:rPr>
              <w:t>生产废水产生总量为</w:t>
            </w:r>
            <w:r>
              <w:rPr>
                <w:rFonts w:hint="eastAsia"/>
                <w:bCs/>
                <w:color w:val="auto"/>
                <w:sz w:val="24"/>
                <w:highlight w:val="none"/>
                <w:lang w:val="en-US" w:eastAsia="zh-CN"/>
              </w:rPr>
              <w:t>372.9</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111870</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rPr>
              <w:t>其中封孔后清洗废水</w:t>
            </w:r>
            <w:r>
              <w:rPr>
                <w:rFonts w:hint="eastAsia"/>
                <w:bCs/>
                <w:color w:val="auto"/>
                <w:sz w:val="24"/>
                <w:lang w:val="en-US" w:eastAsia="zh-CN"/>
              </w:rPr>
              <w:t>产生量为</w:t>
            </w:r>
            <w:r>
              <w:rPr>
                <w:rFonts w:hint="eastAsia"/>
                <w:bCs/>
                <w:color w:val="auto"/>
                <w:sz w:val="24"/>
                <w:highlight w:val="none"/>
                <w:lang w:val="en-US" w:eastAsia="zh-CN"/>
              </w:rPr>
              <w:t>74.03</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22209</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rPr>
              <w:t>采用</w:t>
            </w:r>
            <w:r>
              <w:rPr>
                <w:rFonts w:hint="eastAsia"/>
                <w:bCs/>
                <w:color w:val="auto"/>
                <w:sz w:val="24"/>
                <w:lang w:eastAsia="zh-CN"/>
              </w:rPr>
              <w:t>单独自建一套废水回用处理设施</w:t>
            </w:r>
            <w:r>
              <w:rPr>
                <w:rFonts w:hint="eastAsia"/>
                <w:bCs/>
                <w:color w:val="auto"/>
                <w:sz w:val="24"/>
                <w:lang w:val="en-US" w:eastAsia="zh-CN"/>
              </w:rPr>
              <w:t>处理</w:t>
            </w:r>
            <w:r>
              <w:rPr>
                <w:rFonts w:hint="eastAsia"/>
                <w:bCs/>
                <w:color w:val="auto"/>
                <w:sz w:val="24"/>
              </w:rPr>
              <w:t>后回用至封孔</w:t>
            </w:r>
            <w:r>
              <w:rPr>
                <w:rFonts w:hint="eastAsia"/>
                <w:bCs/>
                <w:color w:val="auto"/>
                <w:sz w:val="24"/>
                <w:lang w:val="en-US" w:eastAsia="zh-CN"/>
              </w:rPr>
              <w:t>清洗</w:t>
            </w:r>
            <w:r>
              <w:rPr>
                <w:rFonts w:hint="eastAsia"/>
                <w:bCs/>
                <w:color w:val="auto"/>
                <w:sz w:val="24"/>
              </w:rPr>
              <w:t>槽</w:t>
            </w:r>
            <w:r>
              <w:rPr>
                <w:rFonts w:hint="eastAsia"/>
                <w:bCs/>
                <w:color w:val="auto"/>
                <w:sz w:val="24"/>
                <w:lang w:eastAsia="zh-CN"/>
              </w:rPr>
              <w:t>，</w:t>
            </w:r>
            <w:r>
              <w:rPr>
                <w:rFonts w:hint="eastAsia"/>
                <w:bCs/>
                <w:color w:val="auto"/>
                <w:sz w:val="24"/>
                <w:lang w:val="en-US" w:eastAsia="zh-CN"/>
              </w:rPr>
              <w:t>不外排；其他</w:t>
            </w:r>
            <w:r>
              <w:rPr>
                <w:rFonts w:hint="eastAsia"/>
                <w:bCs/>
                <w:color w:val="auto"/>
                <w:sz w:val="24"/>
              </w:rPr>
              <w:t>生产废水</w:t>
            </w:r>
            <w:r>
              <w:rPr>
                <w:rFonts w:hint="eastAsia"/>
                <w:bCs/>
                <w:color w:val="auto"/>
                <w:sz w:val="24"/>
                <w:lang w:val="en-US" w:eastAsia="zh-CN"/>
              </w:rPr>
              <w:t>产生总量为298.87</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89661</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rPr>
              <w:t>经自建综合废水处理站处理后</w:t>
            </w:r>
            <w:r>
              <w:rPr>
                <w:rFonts w:hint="eastAsia"/>
                <w:bCs/>
                <w:color w:val="auto"/>
                <w:sz w:val="24"/>
                <w:lang w:eastAsia="zh-CN"/>
              </w:rPr>
              <w:t>，</w:t>
            </w:r>
            <w:r>
              <w:rPr>
                <w:rFonts w:hint="eastAsia"/>
                <w:bCs/>
                <w:color w:val="auto"/>
                <w:sz w:val="24"/>
                <w:lang w:val="en-US" w:eastAsia="zh-CN"/>
              </w:rPr>
              <w:t>其中216.37</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64911</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rPr>
              <w:t>回用，</w:t>
            </w:r>
            <w:r>
              <w:rPr>
                <w:rFonts w:hint="eastAsia"/>
                <w:bCs/>
                <w:color w:val="auto"/>
                <w:sz w:val="24"/>
                <w:lang w:val="en-US" w:eastAsia="zh-CN"/>
              </w:rPr>
              <w:t>82.5</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24750</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rPr>
              <w:t>排放</w:t>
            </w:r>
            <w:r>
              <w:rPr>
                <w:rFonts w:hint="eastAsia"/>
                <w:bCs/>
                <w:color w:val="auto"/>
                <w:sz w:val="24"/>
              </w:rPr>
              <w:t>，因此现有项目废水排放总量为125.7</w:t>
            </w:r>
            <w:r>
              <w:rPr>
                <w:bCs/>
                <w:color w:val="auto"/>
                <w:sz w:val="24"/>
              </w:rPr>
              <w:t>m</w:t>
            </w:r>
            <w:r>
              <w:rPr>
                <w:bCs/>
                <w:color w:val="auto"/>
                <w:sz w:val="24"/>
                <w:vertAlign w:val="superscript"/>
              </w:rPr>
              <w:t>3</w:t>
            </w:r>
            <w:r>
              <w:rPr>
                <w:rFonts w:hint="eastAsia"/>
                <w:bCs/>
                <w:color w:val="auto"/>
                <w:sz w:val="24"/>
              </w:rPr>
              <w:t>/d，37710</w:t>
            </w:r>
            <w:r>
              <w:rPr>
                <w:bCs/>
                <w:color w:val="auto"/>
                <w:sz w:val="24"/>
              </w:rPr>
              <w:t>m</w:t>
            </w:r>
            <w:r>
              <w:rPr>
                <w:bCs/>
                <w:color w:val="auto"/>
                <w:sz w:val="24"/>
                <w:vertAlign w:val="superscript"/>
              </w:rPr>
              <w:t>3</w:t>
            </w:r>
            <w:r>
              <w:rPr>
                <w:rFonts w:hint="eastAsia"/>
                <w:bCs/>
                <w:color w:val="auto"/>
                <w:sz w:val="24"/>
              </w:rPr>
              <w:t>/a，其中生活污水排放量为</w:t>
            </w:r>
            <w:r>
              <w:rPr>
                <w:rFonts w:hint="eastAsia"/>
                <w:bCs/>
                <w:color w:val="auto"/>
                <w:sz w:val="24"/>
                <w:lang w:val="en-US" w:eastAsia="zh-CN"/>
              </w:rPr>
              <w:t>43.2</w:t>
            </w:r>
            <w:r>
              <w:rPr>
                <w:bCs/>
                <w:color w:val="auto"/>
                <w:sz w:val="24"/>
              </w:rPr>
              <w:t>m</w:t>
            </w:r>
            <w:r>
              <w:rPr>
                <w:bCs/>
                <w:color w:val="auto"/>
                <w:sz w:val="24"/>
                <w:vertAlign w:val="superscript"/>
              </w:rPr>
              <w:t>3</w:t>
            </w:r>
            <w:r>
              <w:rPr>
                <w:rFonts w:hint="eastAsia"/>
                <w:bCs/>
                <w:color w:val="auto"/>
                <w:sz w:val="24"/>
              </w:rPr>
              <w:t>/d，</w:t>
            </w:r>
            <w:r>
              <w:rPr>
                <w:rFonts w:hint="eastAsia"/>
                <w:bCs/>
                <w:color w:val="auto"/>
                <w:sz w:val="24"/>
                <w:lang w:val="en-US" w:eastAsia="zh-CN"/>
              </w:rPr>
              <w:t>12960</w:t>
            </w:r>
            <w:r>
              <w:rPr>
                <w:bCs/>
                <w:color w:val="auto"/>
                <w:sz w:val="24"/>
              </w:rPr>
              <w:t>m</w:t>
            </w:r>
            <w:r>
              <w:rPr>
                <w:bCs/>
                <w:color w:val="auto"/>
                <w:sz w:val="24"/>
                <w:vertAlign w:val="superscript"/>
              </w:rPr>
              <w:t>3</w:t>
            </w:r>
            <w:r>
              <w:rPr>
                <w:rFonts w:hint="eastAsia"/>
                <w:bCs/>
                <w:color w:val="auto"/>
                <w:sz w:val="24"/>
              </w:rPr>
              <w:t>/a，生产废水排放量为</w:t>
            </w:r>
            <w:r>
              <w:rPr>
                <w:rFonts w:hint="eastAsia"/>
                <w:bCs/>
                <w:color w:val="auto"/>
                <w:sz w:val="24"/>
                <w:lang w:val="en-US" w:eastAsia="zh-CN"/>
              </w:rPr>
              <w:t>82.5</w:t>
            </w:r>
            <w:r>
              <w:rPr>
                <w:bCs/>
                <w:color w:val="auto"/>
                <w:sz w:val="24"/>
              </w:rPr>
              <w:t>m</w:t>
            </w:r>
            <w:r>
              <w:rPr>
                <w:bCs/>
                <w:color w:val="auto"/>
                <w:sz w:val="24"/>
                <w:vertAlign w:val="superscript"/>
              </w:rPr>
              <w:t>3</w:t>
            </w:r>
            <w:r>
              <w:rPr>
                <w:rFonts w:hint="eastAsia"/>
                <w:bCs/>
                <w:color w:val="auto"/>
                <w:sz w:val="24"/>
              </w:rPr>
              <w:t>/d，24750</w:t>
            </w:r>
            <w:r>
              <w:rPr>
                <w:bCs/>
                <w:color w:val="auto"/>
                <w:sz w:val="24"/>
              </w:rPr>
              <w:t>m</w:t>
            </w:r>
            <w:r>
              <w:rPr>
                <w:bCs/>
                <w:color w:val="auto"/>
                <w:sz w:val="24"/>
                <w:vertAlign w:val="superscript"/>
              </w:rPr>
              <w:t>3</w:t>
            </w:r>
            <w:r>
              <w:rPr>
                <w:rFonts w:hint="eastAsia"/>
                <w:bCs/>
                <w:color w:val="auto"/>
                <w:sz w:val="24"/>
              </w:rPr>
              <w:t>/a。</w:t>
            </w:r>
          </w:p>
          <w:p w14:paraId="3D475F36">
            <w:pPr>
              <w:spacing w:line="360" w:lineRule="auto"/>
              <w:ind w:firstLine="480" w:firstLineChars="200"/>
              <w:rPr>
                <w:rFonts w:hint="eastAsia"/>
                <w:bCs/>
                <w:color w:val="auto"/>
                <w:sz w:val="24"/>
              </w:rPr>
            </w:pPr>
            <w:r>
              <w:rPr>
                <w:rFonts w:hint="eastAsia"/>
                <w:bCs/>
                <w:color w:val="auto"/>
                <w:sz w:val="24"/>
                <w:lang w:eastAsia="zh-CN"/>
              </w:rPr>
              <w:t>改建</w:t>
            </w:r>
            <w:r>
              <w:rPr>
                <w:rFonts w:hint="eastAsia"/>
                <w:bCs/>
                <w:color w:val="auto"/>
                <w:sz w:val="24"/>
              </w:rPr>
              <w:t>项目废水产生量为5.689</w:t>
            </w:r>
            <w:r>
              <w:rPr>
                <w:bCs/>
                <w:color w:val="auto"/>
                <w:sz w:val="24"/>
              </w:rPr>
              <w:t>m</w:t>
            </w:r>
            <w:r>
              <w:rPr>
                <w:bCs/>
                <w:color w:val="auto"/>
                <w:sz w:val="24"/>
                <w:vertAlign w:val="superscript"/>
              </w:rPr>
              <w:t>3</w:t>
            </w:r>
            <w:r>
              <w:rPr>
                <w:rFonts w:hint="eastAsia"/>
                <w:bCs/>
                <w:color w:val="auto"/>
                <w:sz w:val="24"/>
              </w:rPr>
              <w:t>/d，1706.4</w:t>
            </w:r>
            <w:r>
              <w:rPr>
                <w:bCs/>
                <w:color w:val="auto"/>
                <w:sz w:val="24"/>
              </w:rPr>
              <w:t>m</w:t>
            </w:r>
            <w:r>
              <w:rPr>
                <w:bCs/>
                <w:color w:val="auto"/>
                <w:sz w:val="24"/>
                <w:vertAlign w:val="superscript"/>
              </w:rPr>
              <w:t>3</w:t>
            </w:r>
            <w:r>
              <w:rPr>
                <w:rFonts w:hint="eastAsia"/>
                <w:bCs/>
                <w:color w:val="auto"/>
                <w:sz w:val="24"/>
              </w:rPr>
              <w:t>/a，依托现有项目的自建综合废水处理站处理后回用于阳极氧化线清洗用水</w:t>
            </w:r>
            <w:r>
              <w:rPr>
                <w:rFonts w:hint="eastAsia"/>
                <w:bCs/>
                <w:color w:val="auto"/>
                <w:sz w:val="24"/>
                <w:lang w:eastAsia="zh-CN"/>
              </w:rPr>
              <w:t>，</w:t>
            </w:r>
            <w:r>
              <w:rPr>
                <w:rFonts w:hint="eastAsia"/>
                <w:bCs/>
                <w:color w:val="auto"/>
                <w:sz w:val="24"/>
                <w:lang w:val="en-US" w:eastAsia="zh-CN"/>
              </w:rPr>
              <w:t>拆除的阳极氧化线（包含脱脂洗水，酸、碱蚀、化学抛光洗水、阳极氧化洗水、着色洗水）可减少的废水产生量为33.9</w:t>
            </w:r>
            <w:r>
              <w:rPr>
                <w:bCs/>
                <w:color w:val="auto"/>
                <w:sz w:val="24"/>
              </w:rPr>
              <w:t>m</w:t>
            </w:r>
            <w:r>
              <w:rPr>
                <w:bCs/>
                <w:color w:val="auto"/>
                <w:sz w:val="24"/>
                <w:vertAlign w:val="superscript"/>
              </w:rPr>
              <w:t>3</w:t>
            </w:r>
            <w:r>
              <w:rPr>
                <w:rFonts w:hint="eastAsia"/>
                <w:bCs/>
                <w:color w:val="auto"/>
                <w:sz w:val="24"/>
              </w:rPr>
              <w:t>/d，1</w:t>
            </w:r>
            <w:r>
              <w:rPr>
                <w:rFonts w:hint="eastAsia"/>
                <w:bCs/>
                <w:color w:val="auto"/>
                <w:sz w:val="24"/>
                <w:lang w:val="en-US" w:eastAsia="zh-CN"/>
              </w:rPr>
              <w:t>0170</w:t>
            </w:r>
            <w:r>
              <w:rPr>
                <w:bCs/>
                <w:color w:val="auto"/>
                <w:sz w:val="24"/>
              </w:rPr>
              <w:t>m</w:t>
            </w:r>
            <w:r>
              <w:rPr>
                <w:bCs/>
                <w:color w:val="auto"/>
                <w:sz w:val="24"/>
                <w:vertAlign w:val="superscript"/>
              </w:rPr>
              <w:t>3</w:t>
            </w:r>
            <w:r>
              <w:rPr>
                <w:rFonts w:hint="eastAsia"/>
                <w:bCs/>
                <w:color w:val="auto"/>
                <w:sz w:val="24"/>
              </w:rPr>
              <w:t>/a，</w:t>
            </w:r>
            <w:r>
              <w:rPr>
                <w:rFonts w:hint="eastAsia"/>
                <w:bCs/>
                <w:color w:val="auto"/>
                <w:sz w:val="24"/>
                <w:lang w:val="en-US" w:eastAsia="zh-CN"/>
              </w:rPr>
              <w:t>远大于本次改建项目新增的废水产生，因此改建项目的废水量通过减少的阳极氧化线进行调配，本改建项目无新增废水</w:t>
            </w:r>
            <w:r>
              <w:rPr>
                <w:rFonts w:hint="eastAsia"/>
                <w:bCs/>
                <w:color w:val="auto"/>
                <w:sz w:val="24"/>
              </w:rPr>
              <w:t>。</w:t>
            </w:r>
          </w:p>
          <w:p w14:paraId="7E3CADDA">
            <w:pPr>
              <w:spacing w:line="360" w:lineRule="auto"/>
              <w:ind w:firstLine="480" w:firstLineChars="200"/>
              <w:rPr>
                <w:rFonts w:hint="default" w:eastAsia="宋体"/>
                <w:bCs/>
                <w:color w:val="auto"/>
                <w:sz w:val="24"/>
                <w:lang w:val="en-US" w:eastAsia="zh-CN"/>
              </w:rPr>
            </w:pPr>
            <w:r>
              <w:rPr>
                <w:rFonts w:hint="eastAsia"/>
                <w:bCs/>
                <w:color w:val="auto"/>
                <w:sz w:val="24"/>
                <w:lang w:eastAsia="zh-CN"/>
              </w:rPr>
              <w:t>改建</w:t>
            </w:r>
            <w:r>
              <w:rPr>
                <w:rFonts w:hint="eastAsia"/>
                <w:bCs/>
                <w:color w:val="auto"/>
                <w:sz w:val="24"/>
              </w:rPr>
              <w:t>后全厂废水产生总量为387.888</w:t>
            </w:r>
            <w:r>
              <w:rPr>
                <w:bCs/>
                <w:color w:val="auto"/>
                <w:sz w:val="24"/>
              </w:rPr>
              <w:t>m</w:t>
            </w:r>
            <w:r>
              <w:rPr>
                <w:bCs/>
                <w:color w:val="auto"/>
                <w:sz w:val="24"/>
                <w:vertAlign w:val="superscript"/>
              </w:rPr>
              <w:t>3</w:t>
            </w:r>
            <w:r>
              <w:rPr>
                <w:rFonts w:hint="eastAsia"/>
                <w:bCs/>
                <w:color w:val="auto"/>
                <w:sz w:val="24"/>
              </w:rPr>
              <w:t>/d，116266.4</w:t>
            </w:r>
            <w:r>
              <w:rPr>
                <w:bCs/>
                <w:color w:val="auto"/>
                <w:sz w:val="24"/>
              </w:rPr>
              <w:t>m</w:t>
            </w:r>
            <w:r>
              <w:rPr>
                <w:bCs/>
                <w:color w:val="auto"/>
                <w:sz w:val="24"/>
                <w:vertAlign w:val="superscript"/>
              </w:rPr>
              <w:t>3</w:t>
            </w:r>
            <w:r>
              <w:rPr>
                <w:rFonts w:hint="eastAsia"/>
                <w:bCs/>
                <w:color w:val="auto"/>
                <w:sz w:val="24"/>
              </w:rPr>
              <w:t>/a，</w:t>
            </w:r>
            <w:r>
              <w:rPr>
                <w:rFonts w:hint="eastAsia"/>
                <w:bCs/>
                <w:color w:val="auto"/>
                <w:sz w:val="24"/>
                <w:highlight w:val="none"/>
              </w:rPr>
              <w:t>主要为生活</w:t>
            </w:r>
            <w:r>
              <w:rPr>
                <w:rFonts w:hint="eastAsia"/>
                <w:bCs/>
                <w:color w:val="auto"/>
                <w:sz w:val="24"/>
              </w:rPr>
              <w:t>污水和生产废水，</w:t>
            </w:r>
            <w:r>
              <w:rPr>
                <w:rFonts w:hint="eastAsia"/>
                <w:bCs/>
                <w:color w:val="auto"/>
                <w:sz w:val="24"/>
                <w:lang w:val="en-US" w:eastAsia="zh-CN"/>
              </w:rPr>
              <w:t>生产废水产生总量为</w:t>
            </w:r>
            <w:r>
              <w:rPr>
                <w:rFonts w:hint="eastAsia"/>
                <w:bCs/>
                <w:color w:val="auto"/>
                <w:sz w:val="24"/>
                <w:highlight w:val="none"/>
                <w:lang w:val="en-US" w:eastAsia="zh-CN"/>
              </w:rPr>
              <w:t>344.688</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103406.4</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lang w:val="en-US" w:eastAsia="zh-CN"/>
              </w:rPr>
              <w:t>，</w:t>
            </w:r>
            <w:r>
              <w:rPr>
                <w:rFonts w:hint="eastAsia"/>
                <w:bCs/>
                <w:color w:val="auto"/>
                <w:sz w:val="24"/>
              </w:rPr>
              <w:t>其中封孔后清洗废水</w:t>
            </w:r>
            <w:r>
              <w:rPr>
                <w:rFonts w:hint="eastAsia"/>
                <w:bCs/>
                <w:color w:val="auto"/>
                <w:sz w:val="24"/>
                <w:lang w:val="en-US" w:eastAsia="zh-CN"/>
              </w:rPr>
              <w:t>产生量为</w:t>
            </w:r>
            <w:r>
              <w:rPr>
                <w:rFonts w:hint="eastAsia"/>
                <w:bCs/>
                <w:color w:val="auto"/>
                <w:sz w:val="24"/>
                <w:highlight w:val="none"/>
                <w:lang w:val="en-US" w:eastAsia="zh-CN"/>
              </w:rPr>
              <w:t>67.3</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20190</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rPr>
              <w:t>采用</w:t>
            </w:r>
            <w:r>
              <w:rPr>
                <w:rFonts w:hint="eastAsia"/>
                <w:bCs/>
                <w:color w:val="auto"/>
                <w:sz w:val="24"/>
                <w:lang w:eastAsia="zh-CN"/>
              </w:rPr>
              <w:t>单独自建一套废水回用处理设施</w:t>
            </w:r>
            <w:r>
              <w:rPr>
                <w:rFonts w:hint="eastAsia"/>
                <w:bCs/>
                <w:color w:val="auto"/>
                <w:sz w:val="24"/>
                <w:lang w:val="en-US" w:eastAsia="zh-CN"/>
              </w:rPr>
              <w:t>处理</w:t>
            </w:r>
            <w:r>
              <w:rPr>
                <w:rFonts w:hint="eastAsia"/>
                <w:bCs/>
                <w:color w:val="auto"/>
                <w:sz w:val="24"/>
              </w:rPr>
              <w:t>后回用至封孔</w:t>
            </w:r>
            <w:r>
              <w:rPr>
                <w:rFonts w:hint="eastAsia"/>
                <w:bCs/>
                <w:color w:val="auto"/>
                <w:sz w:val="24"/>
                <w:lang w:val="en-US" w:eastAsia="zh-CN"/>
              </w:rPr>
              <w:t>清洗</w:t>
            </w:r>
            <w:r>
              <w:rPr>
                <w:rFonts w:hint="eastAsia"/>
                <w:bCs/>
                <w:color w:val="auto"/>
                <w:sz w:val="24"/>
              </w:rPr>
              <w:t>槽</w:t>
            </w:r>
            <w:r>
              <w:rPr>
                <w:rFonts w:hint="eastAsia"/>
                <w:bCs/>
                <w:color w:val="auto"/>
                <w:sz w:val="24"/>
                <w:lang w:eastAsia="zh-CN"/>
              </w:rPr>
              <w:t>，</w:t>
            </w:r>
            <w:r>
              <w:rPr>
                <w:rFonts w:hint="eastAsia"/>
                <w:bCs/>
                <w:color w:val="auto"/>
                <w:sz w:val="24"/>
                <w:lang w:val="en-US" w:eastAsia="zh-CN"/>
              </w:rPr>
              <w:t>不外排；其他</w:t>
            </w:r>
            <w:r>
              <w:rPr>
                <w:rFonts w:hint="eastAsia"/>
                <w:bCs/>
                <w:color w:val="auto"/>
                <w:sz w:val="24"/>
              </w:rPr>
              <w:t>生产废水</w:t>
            </w:r>
            <w:r>
              <w:rPr>
                <w:rFonts w:hint="eastAsia"/>
                <w:bCs/>
                <w:color w:val="auto"/>
                <w:sz w:val="24"/>
                <w:lang w:val="en-US" w:eastAsia="zh-CN"/>
              </w:rPr>
              <w:t>产生总量为277.388</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83216.4</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rPr>
              <w:t>经自建综合废水处理站处理后</w:t>
            </w:r>
            <w:r>
              <w:rPr>
                <w:rFonts w:hint="eastAsia"/>
                <w:bCs/>
                <w:color w:val="auto"/>
                <w:sz w:val="24"/>
                <w:lang w:eastAsia="zh-CN"/>
              </w:rPr>
              <w:t>，</w:t>
            </w:r>
            <w:r>
              <w:rPr>
                <w:rFonts w:hint="eastAsia"/>
                <w:bCs/>
                <w:color w:val="auto"/>
                <w:sz w:val="24"/>
                <w:lang w:val="en-US" w:eastAsia="zh-CN"/>
              </w:rPr>
              <w:t>其中194.888</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58466.4</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rPr>
              <w:t>回用，</w:t>
            </w:r>
            <w:r>
              <w:rPr>
                <w:rFonts w:hint="eastAsia"/>
                <w:bCs/>
                <w:color w:val="auto"/>
                <w:sz w:val="24"/>
                <w:lang w:val="en-US" w:eastAsia="zh-CN"/>
              </w:rPr>
              <w:t>82.5</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24750</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rPr>
              <w:t>排放</w:t>
            </w:r>
            <w:r>
              <w:rPr>
                <w:rFonts w:hint="eastAsia"/>
                <w:bCs/>
                <w:color w:val="auto"/>
                <w:sz w:val="24"/>
              </w:rPr>
              <w:t>，因此</w:t>
            </w:r>
            <w:r>
              <w:rPr>
                <w:rFonts w:hint="eastAsia"/>
                <w:bCs/>
                <w:color w:val="auto"/>
                <w:sz w:val="24"/>
                <w:lang w:val="en-US" w:eastAsia="zh-CN"/>
              </w:rPr>
              <w:t>改建后全厂</w:t>
            </w:r>
            <w:r>
              <w:rPr>
                <w:rFonts w:hint="eastAsia"/>
                <w:bCs/>
                <w:color w:val="auto"/>
                <w:sz w:val="24"/>
              </w:rPr>
              <w:t>废水排放总量为125.7</w:t>
            </w:r>
            <w:r>
              <w:rPr>
                <w:bCs/>
                <w:color w:val="auto"/>
                <w:sz w:val="24"/>
              </w:rPr>
              <w:t>m</w:t>
            </w:r>
            <w:r>
              <w:rPr>
                <w:bCs/>
                <w:color w:val="auto"/>
                <w:sz w:val="24"/>
                <w:vertAlign w:val="superscript"/>
              </w:rPr>
              <w:t>3</w:t>
            </w:r>
            <w:r>
              <w:rPr>
                <w:rFonts w:hint="eastAsia"/>
                <w:bCs/>
                <w:color w:val="auto"/>
                <w:sz w:val="24"/>
              </w:rPr>
              <w:t>/d，37710</w:t>
            </w:r>
            <w:r>
              <w:rPr>
                <w:bCs/>
                <w:color w:val="auto"/>
                <w:sz w:val="24"/>
              </w:rPr>
              <w:t>m</w:t>
            </w:r>
            <w:r>
              <w:rPr>
                <w:bCs/>
                <w:color w:val="auto"/>
                <w:sz w:val="24"/>
                <w:vertAlign w:val="superscript"/>
              </w:rPr>
              <w:t>3</w:t>
            </w:r>
            <w:r>
              <w:rPr>
                <w:rFonts w:hint="eastAsia"/>
                <w:bCs/>
                <w:color w:val="auto"/>
                <w:sz w:val="24"/>
              </w:rPr>
              <w:t>/a，其中生活污水排放量为</w:t>
            </w:r>
            <w:r>
              <w:rPr>
                <w:rFonts w:hint="eastAsia"/>
                <w:bCs/>
                <w:color w:val="auto"/>
                <w:sz w:val="24"/>
                <w:lang w:val="en-US" w:eastAsia="zh-CN"/>
              </w:rPr>
              <w:t>43.2</w:t>
            </w:r>
            <w:r>
              <w:rPr>
                <w:bCs/>
                <w:color w:val="auto"/>
                <w:sz w:val="24"/>
              </w:rPr>
              <w:t>m</w:t>
            </w:r>
            <w:r>
              <w:rPr>
                <w:bCs/>
                <w:color w:val="auto"/>
                <w:sz w:val="24"/>
                <w:vertAlign w:val="superscript"/>
              </w:rPr>
              <w:t>3</w:t>
            </w:r>
            <w:r>
              <w:rPr>
                <w:rFonts w:hint="eastAsia"/>
                <w:bCs/>
                <w:color w:val="auto"/>
                <w:sz w:val="24"/>
              </w:rPr>
              <w:t>/d，</w:t>
            </w:r>
            <w:r>
              <w:rPr>
                <w:rFonts w:hint="eastAsia"/>
                <w:bCs/>
                <w:color w:val="auto"/>
                <w:sz w:val="24"/>
                <w:lang w:val="en-US" w:eastAsia="zh-CN"/>
              </w:rPr>
              <w:t>12960</w:t>
            </w:r>
            <w:r>
              <w:rPr>
                <w:bCs/>
                <w:color w:val="auto"/>
                <w:sz w:val="24"/>
              </w:rPr>
              <w:t>m</w:t>
            </w:r>
            <w:r>
              <w:rPr>
                <w:bCs/>
                <w:color w:val="auto"/>
                <w:sz w:val="24"/>
                <w:vertAlign w:val="superscript"/>
              </w:rPr>
              <w:t>3</w:t>
            </w:r>
            <w:r>
              <w:rPr>
                <w:rFonts w:hint="eastAsia"/>
                <w:bCs/>
                <w:color w:val="auto"/>
                <w:sz w:val="24"/>
              </w:rPr>
              <w:t>/a，生产废水排放量为</w:t>
            </w:r>
            <w:r>
              <w:rPr>
                <w:rFonts w:hint="eastAsia"/>
                <w:bCs/>
                <w:color w:val="auto"/>
                <w:sz w:val="24"/>
                <w:lang w:val="en-US" w:eastAsia="zh-CN"/>
              </w:rPr>
              <w:t>82.5</w:t>
            </w:r>
            <w:r>
              <w:rPr>
                <w:bCs/>
                <w:color w:val="auto"/>
                <w:sz w:val="24"/>
              </w:rPr>
              <w:t>m</w:t>
            </w:r>
            <w:r>
              <w:rPr>
                <w:bCs/>
                <w:color w:val="auto"/>
                <w:sz w:val="24"/>
                <w:vertAlign w:val="superscript"/>
              </w:rPr>
              <w:t>3</w:t>
            </w:r>
            <w:r>
              <w:rPr>
                <w:rFonts w:hint="eastAsia"/>
                <w:bCs/>
                <w:color w:val="auto"/>
                <w:sz w:val="24"/>
              </w:rPr>
              <w:t>/d，24750</w:t>
            </w:r>
            <w:r>
              <w:rPr>
                <w:bCs/>
                <w:color w:val="auto"/>
                <w:sz w:val="24"/>
              </w:rPr>
              <w:t>m</w:t>
            </w:r>
            <w:r>
              <w:rPr>
                <w:bCs/>
                <w:color w:val="auto"/>
                <w:sz w:val="24"/>
                <w:vertAlign w:val="superscript"/>
              </w:rPr>
              <w:t>3</w:t>
            </w:r>
            <w:r>
              <w:rPr>
                <w:rFonts w:hint="eastAsia"/>
                <w:bCs/>
                <w:color w:val="auto"/>
                <w:sz w:val="24"/>
              </w:rPr>
              <w:t>/a，因此</w:t>
            </w:r>
            <w:r>
              <w:rPr>
                <w:rFonts w:hint="eastAsia"/>
                <w:bCs/>
                <w:color w:val="auto"/>
                <w:sz w:val="24"/>
                <w:lang w:eastAsia="zh-CN"/>
              </w:rPr>
              <w:t>改建</w:t>
            </w:r>
            <w:r>
              <w:rPr>
                <w:rFonts w:hint="eastAsia"/>
                <w:bCs/>
                <w:color w:val="auto"/>
                <w:sz w:val="24"/>
              </w:rPr>
              <w:t>后项目废水排放总量不变。主要由于电泳线生产用水及废水均比取消的阳极氧化线少，因此</w:t>
            </w:r>
            <w:r>
              <w:rPr>
                <w:rFonts w:hint="eastAsia"/>
                <w:bCs/>
                <w:color w:val="auto"/>
                <w:sz w:val="24"/>
                <w:lang w:eastAsia="zh-CN"/>
              </w:rPr>
              <w:t>改建</w:t>
            </w:r>
            <w:r>
              <w:rPr>
                <w:rFonts w:hint="eastAsia"/>
                <w:bCs/>
                <w:color w:val="auto"/>
                <w:sz w:val="24"/>
              </w:rPr>
              <w:t>后全厂的废水产生量也有所减少，</w:t>
            </w:r>
            <w:r>
              <w:rPr>
                <w:rFonts w:hint="eastAsia"/>
                <w:bCs/>
                <w:color w:val="auto"/>
                <w:sz w:val="24"/>
                <w:lang w:eastAsia="zh-CN"/>
              </w:rPr>
              <w:t>改建</w:t>
            </w:r>
            <w:r>
              <w:rPr>
                <w:rFonts w:hint="eastAsia"/>
                <w:bCs/>
                <w:color w:val="auto"/>
                <w:sz w:val="24"/>
              </w:rPr>
              <w:t>后全厂废水</w:t>
            </w:r>
            <w:r>
              <w:rPr>
                <w:rFonts w:hint="eastAsia"/>
                <w:bCs/>
                <w:color w:val="auto"/>
                <w:sz w:val="24"/>
                <w:lang w:val="en-US" w:eastAsia="zh-CN"/>
              </w:rPr>
              <w:t>产生总量减少28.212</w:t>
            </w:r>
            <w:r>
              <w:rPr>
                <w:bCs/>
                <w:color w:val="auto"/>
                <w:sz w:val="24"/>
              </w:rPr>
              <w:t>m</w:t>
            </w:r>
            <w:r>
              <w:rPr>
                <w:bCs/>
                <w:color w:val="auto"/>
                <w:sz w:val="24"/>
                <w:vertAlign w:val="superscript"/>
              </w:rPr>
              <w:t>3</w:t>
            </w:r>
            <w:r>
              <w:rPr>
                <w:rFonts w:hint="eastAsia"/>
                <w:bCs/>
                <w:color w:val="auto"/>
                <w:sz w:val="24"/>
              </w:rPr>
              <w:t>/d，</w:t>
            </w:r>
            <w:r>
              <w:rPr>
                <w:rFonts w:hint="eastAsia"/>
                <w:bCs/>
                <w:color w:val="auto"/>
                <w:sz w:val="24"/>
                <w:lang w:val="en-US" w:eastAsia="zh-CN"/>
              </w:rPr>
              <w:t>8463.6</w:t>
            </w:r>
            <w:r>
              <w:rPr>
                <w:bCs/>
                <w:color w:val="auto"/>
                <w:sz w:val="24"/>
              </w:rPr>
              <w:t>m</w:t>
            </w:r>
            <w:r>
              <w:rPr>
                <w:bCs/>
                <w:color w:val="auto"/>
                <w:sz w:val="24"/>
                <w:vertAlign w:val="superscript"/>
              </w:rPr>
              <w:t>3</w:t>
            </w:r>
            <w:r>
              <w:rPr>
                <w:rFonts w:hint="eastAsia"/>
                <w:bCs/>
                <w:color w:val="auto"/>
                <w:sz w:val="24"/>
              </w:rPr>
              <w:t>/a</w:t>
            </w:r>
            <w:r>
              <w:rPr>
                <w:rFonts w:hint="eastAsia"/>
                <w:bCs/>
                <w:color w:val="auto"/>
                <w:sz w:val="24"/>
                <w:lang w:eastAsia="zh-CN"/>
              </w:rPr>
              <w:t>，</w:t>
            </w:r>
            <w:r>
              <w:rPr>
                <w:rFonts w:hint="eastAsia"/>
                <w:bCs/>
                <w:color w:val="auto"/>
                <w:sz w:val="24"/>
              </w:rPr>
              <w:t>其中封孔后清洗废水</w:t>
            </w:r>
            <w:r>
              <w:rPr>
                <w:rFonts w:hint="eastAsia"/>
                <w:bCs/>
                <w:color w:val="auto"/>
                <w:sz w:val="24"/>
                <w:lang w:val="en-US" w:eastAsia="zh-CN"/>
              </w:rPr>
              <w:t>产生量为</w:t>
            </w:r>
            <w:r>
              <w:rPr>
                <w:rFonts w:hint="eastAsia"/>
                <w:bCs/>
                <w:color w:val="auto"/>
                <w:sz w:val="24"/>
                <w:highlight w:val="none"/>
                <w:lang w:val="en-US" w:eastAsia="zh-CN"/>
              </w:rPr>
              <w:t>6.73</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2019</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lang w:val="en-US" w:eastAsia="zh-CN"/>
              </w:rPr>
              <w:t>其他</w:t>
            </w:r>
            <w:r>
              <w:rPr>
                <w:rFonts w:hint="eastAsia"/>
                <w:bCs/>
                <w:color w:val="auto"/>
                <w:sz w:val="24"/>
              </w:rPr>
              <w:t>生产废水</w:t>
            </w:r>
            <w:r>
              <w:rPr>
                <w:rFonts w:hint="eastAsia"/>
                <w:bCs/>
                <w:color w:val="auto"/>
                <w:sz w:val="24"/>
                <w:lang w:val="en-US" w:eastAsia="zh-CN"/>
              </w:rPr>
              <w:t>产生总量为21.482</w:t>
            </w:r>
            <w:r>
              <w:rPr>
                <w:bCs/>
                <w:color w:val="auto"/>
                <w:sz w:val="24"/>
                <w:highlight w:val="none"/>
              </w:rPr>
              <w:t>m</w:t>
            </w:r>
            <w:r>
              <w:rPr>
                <w:bCs/>
                <w:color w:val="auto"/>
                <w:sz w:val="24"/>
                <w:highlight w:val="none"/>
                <w:vertAlign w:val="superscript"/>
              </w:rPr>
              <w:t>3</w:t>
            </w:r>
            <w:r>
              <w:rPr>
                <w:rFonts w:hint="eastAsia"/>
                <w:bCs/>
                <w:color w:val="auto"/>
                <w:sz w:val="24"/>
                <w:highlight w:val="none"/>
              </w:rPr>
              <w:t>/d，</w:t>
            </w:r>
            <w:r>
              <w:rPr>
                <w:rFonts w:hint="eastAsia"/>
                <w:bCs/>
                <w:color w:val="auto"/>
                <w:sz w:val="24"/>
                <w:highlight w:val="none"/>
                <w:lang w:val="en-US" w:eastAsia="zh-CN"/>
              </w:rPr>
              <w:t>6444.6</w:t>
            </w:r>
            <w:r>
              <w:rPr>
                <w:bCs/>
                <w:color w:val="auto"/>
                <w:sz w:val="24"/>
                <w:highlight w:val="none"/>
              </w:rPr>
              <w:t>m</w:t>
            </w:r>
            <w:r>
              <w:rPr>
                <w:bCs/>
                <w:color w:val="auto"/>
                <w:sz w:val="24"/>
                <w:highlight w:val="none"/>
                <w:vertAlign w:val="superscript"/>
              </w:rPr>
              <w:t>3</w:t>
            </w:r>
            <w:r>
              <w:rPr>
                <w:rFonts w:hint="eastAsia"/>
                <w:bCs/>
                <w:color w:val="auto"/>
                <w:sz w:val="24"/>
                <w:highlight w:val="none"/>
              </w:rPr>
              <w:t>/a</w:t>
            </w:r>
            <w:r>
              <w:rPr>
                <w:rFonts w:hint="eastAsia"/>
                <w:bCs/>
                <w:color w:val="auto"/>
                <w:sz w:val="24"/>
                <w:highlight w:val="none"/>
                <w:lang w:eastAsia="zh-CN"/>
              </w:rPr>
              <w:t>，</w:t>
            </w:r>
            <w:r>
              <w:rPr>
                <w:rFonts w:hint="eastAsia"/>
                <w:bCs/>
                <w:color w:val="auto"/>
                <w:sz w:val="24"/>
                <w:highlight w:val="none"/>
                <w:lang w:val="en-US" w:eastAsia="zh-CN"/>
              </w:rPr>
              <w:t>均为生产废水，生活污水改建前后均不变</w:t>
            </w:r>
            <w:r>
              <w:rPr>
                <w:rFonts w:hint="eastAsia"/>
                <w:bCs/>
                <w:color w:val="auto"/>
                <w:sz w:val="24"/>
                <w:highlight w:val="none"/>
                <w:lang w:eastAsia="zh-CN"/>
              </w:rPr>
              <w:t>。</w:t>
            </w:r>
            <w:r>
              <w:rPr>
                <w:rFonts w:hint="eastAsia"/>
                <w:bCs/>
                <w:color w:val="auto"/>
                <w:sz w:val="24"/>
                <w:highlight w:val="none"/>
                <w:lang w:val="en-US" w:eastAsia="zh-CN"/>
              </w:rPr>
              <w:t>改建前后废水排放量不变。</w:t>
            </w:r>
          </w:p>
          <w:p w14:paraId="3B08D10F">
            <w:pPr>
              <w:spacing w:line="360" w:lineRule="auto"/>
              <w:ind w:firstLine="480" w:firstLineChars="200"/>
              <w:rPr>
                <w:bCs/>
                <w:color w:val="auto"/>
                <w:sz w:val="24"/>
              </w:rPr>
            </w:pPr>
            <w:r>
              <w:rPr>
                <w:rFonts w:hint="eastAsia"/>
                <w:bCs/>
                <w:color w:val="auto"/>
                <w:sz w:val="24"/>
              </w:rPr>
              <w:t>本项目厨房含油废水隔油隔渣池预处理、其他生活污水经三级化粪池预处理达到</w:t>
            </w:r>
            <w:r>
              <w:rPr>
                <w:bCs/>
                <w:color w:val="auto"/>
                <w:sz w:val="24"/>
              </w:rPr>
              <w:t>广东省地方标准《水污染物排放限值》（DB44/26-2001）第二时段三级标准和广东阳东经济开发区污水处理厂接管标准两者较严值后，经市政污水管网引入广东阳东经济开发区污水处理厂处理</w:t>
            </w:r>
            <w:r>
              <w:rPr>
                <w:rFonts w:hint="eastAsia"/>
                <w:bCs/>
                <w:color w:val="auto"/>
                <w:sz w:val="24"/>
              </w:rPr>
              <w:t>；生产废水经自建综合废水处理站处理</w:t>
            </w:r>
            <w:r>
              <w:rPr>
                <w:rFonts w:hint="eastAsia" w:ascii="Times New Roman" w:hAnsi="Times New Roman" w:eastAsia="宋体" w:cs="Times New Roman"/>
                <w:bCs/>
                <w:color w:val="auto"/>
                <w:sz w:val="24"/>
              </w:rPr>
              <w:t>达到</w:t>
            </w:r>
            <w:r>
              <w:rPr>
                <w:rFonts w:hint="eastAsia"/>
                <w:bCs/>
                <w:color w:val="auto"/>
                <w:sz w:val="24"/>
              </w:rPr>
              <w:t>广东省地方标准《水污染物排放限值》（DB44/27-2001）第二时段一级排放限值</w:t>
            </w:r>
            <w:r>
              <w:rPr>
                <w:rFonts w:hint="eastAsia"/>
                <w:bCs/>
                <w:color w:val="auto"/>
                <w:sz w:val="24"/>
                <w:lang w:val="en-US" w:eastAsia="zh-CN"/>
              </w:rPr>
              <w:t>和</w:t>
            </w:r>
            <w:r>
              <w:rPr>
                <w:rFonts w:hint="eastAsia" w:ascii="Times New Roman" w:hAnsi="Times New Roman" w:eastAsia="宋体" w:cs="Times New Roman"/>
                <w:bCs/>
                <w:color w:val="auto"/>
                <w:sz w:val="24"/>
                <w:lang w:val="en-US" w:eastAsia="zh-CN"/>
              </w:rPr>
              <w:t>广东省地方标准《电镀水污染物排放标准》（DB/441597-2015）表2新建项目非珠三角水污染物排放限值（其中化学需氧量、悬浮物、氨氮、总磷、总氮、总铝等六项指标按照表</w:t>
            </w:r>
            <w:r>
              <w:rPr>
                <w:rFonts w:hint="default" w:ascii="Times New Roman" w:hAnsi="Times New Roman" w:eastAsia="宋体" w:cs="Times New Roman"/>
                <w:bCs/>
                <w:color w:val="auto"/>
                <w:sz w:val="24"/>
                <w:lang w:val="en-US" w:eastAsia="zh-CN"/>
              </w:rPr>
              <w:t>1</w:t>
            </w:r>
            <w:r>
              <w:rPr>
                <w:rFonts w:hint="eastAsia" w:ascii="Times New Roman" w:hAnsi="Times New Roman" w:eastAsia="宋体" w:cs="Times New Roman"/>
                <w:bCs/>
                <w:color w:val="auto"/>
                <w:sz w:val="24"/>
                <w:lang w:val="en-US" w:eastAsia="zh-CN"/>
              </w:rPr>
              <w:t>非珠三角排放限值的</w:t>
            </w:r>
            <w:r>
              <w:rPr>
                <w:rFonts w:hint="default" w:ascii="Times New Roman" w:hAnsi="Times New Roman" w:eastAsia="宋体" w:cs="Times New Roman"/>
                <w:bCs/>
                <w:color w:val="auto"/>
                <w:sz w:val="24"/>
                <w:lang w:val="en-US" w:eastAsia="zh-CN"/>
              </w:rPr>
              <w:t>200%</w:t>
            </w:r>
            <w:r>
              <w:rPr>
                <w:rFonts w:hint="eastAsia" w:ascii="Times New Roman" w:hAnsi="Times New Roman" w:eastAsia="宋体" w:cs="Times New Roman"/>
                <w:bCs/>
                <w:color w:val="auto"/>
                <w:sz w:val="24"/>
                <w:lang w:val="en-US" w:eastAsia="zh-CN"/>
              </w:rPr>
              <w:t>执行）</w:t>
            </w:r>
            <w:r>
              <w:rPr>
                <w:rFonts w:hint="eastAsia"/>
                <w:bCs/>
                <w:color w:val="auto"/>
                <w:sz w:val="24"/>
              </w:rPr>
              <w:t>的较严者，</w:t>
            </w:r>
            <w:r>
              <w:rPr>
                <w:rFonts w:hint="eastAsia"/>
                <w:bCs/>
                <w:color w:val="auto"/>
                <w:sz w:val="24"/>
                <w:lang w:val="en-US" w:eastAsia="zh-CN"/>
              </w:rPr>
              <w:t>大</w:t>
            </w:r>
            <w:r>
              <w:rPr>
                <w:rFonts w:hint="eastAsia"/>
                <w:bCs/>
                <w:color w:val="auto"/>
                <w:sz w:val="24"/>
              </w:rPr>
              <w:t>部分</w:t>
            </w:r>
            <w:r>
              <w:rPr>
                <w:rFonts w:hint="eastAsia"/>
                <w:bCs/>
                <w:color w:val="auto"/>
                <w:sz w:val="24"/>
                <w:lang w:val="en-US" w:eastAsia="zh-CN"/>
              </w:rPr>
              <w:t>约70%</w:t>
            </w:r>
            <w:r>
              <w:rPr>
                <w:rFonts w:hint="eastAsia"/>
                <w:bCs/>
                <w:color w:val="auto"/>
                <w:sz w:val="24"/>
              </w:rPr>
              <w:t>废水</w:t>
            </w:r>
            <w:r>
              <w:rPr>
                <w:rFonts w:hint="eastAsia"/>
                <w:bCs/>
                <w:color w:val="auto"/>
                <w:sz w:val="24"/>
                <w:lang w:eastAsia="zh-CN"/>
              </w:rPr>
              <w:t>同时</w:t>
            </w:r>
            <w:r>
              <w:rPr>
                <w:rFonts w:hint="eastAsia"/>
                <w:bCs/>
                <w:color w:val="auto"/>
                <w:sz w:val="24"/>
              </w:rPr>
              <w:t>满足《城市污水再生利用 工业用水水质》(GB/T19923-2024)中“工艺与产品用水”和《城市污水再生利用 城市杂用水水质》(GB/T18920-2020)中“城市绿化”的较严者，分别回用于生产工序（回用环节：脱脂、碱蚀、酸蚀处理洗水过程、纯水制备系统）</w:t>
            </w:r>
            <w:r>
              <w:rPr>
                <w:rFonts w:hint="eastAsia"/>
                <w:bCs/>
                <w:color w:val="auto"/>
                <w:sz w:val="24"/>
                <w:lang w:eastAsia="zh-CN"/>
              </w:rPr>
              <w:t>；</w:t>
            </w:r>
            <w:r>
              <w:rPr>
                <w:rFonts w:hint="eastAsia"/>
                <w:bCs/>
                <w:color w:val="auto"/>
                <w:sz w:val="24"/>
                <w:lang w:val="en-US" w:eastAsia="zh-CN"/>
              </w:rPr>
              <w:t>小部分废水约30%</w:t>
            </w:r>
            <w:r>
              <w:rPr>
                <w:bCs/>
                <w:color w:val="auto"/>
                <w:sz w:val="24"/>
              </w:rPr>
              <w:t>，经市政污水管网引入广东阳东经济开发区污水处理厂处理</w:t>
            </w:r>
            <w:r>
              <w:rPr>
                <w:rFonts w:hint="eastAsia"/>
                <w:bCs/>
                <w:color w:val="auto"/>
                <w:sz w:val="24"/>
                <w:lang w:eastAsia="zh-CN"/>
              </w:rPr>
              <w:t>。</w:t>
            </w:r>
            <w:r>
              <w:rPr>
                <w:bCs/>
                <w:color w:val="auto"/>
                <w:sz w:val="24"/>
              </w:rPr>
              <w:t>广东阳东经济开发区污水处理厂</w:t>
            </w:r>
            <w:r>
              <w:rPr>
                <w:rFonts w:hint="eastAsia"/>
                <w:bCs/>
                <w:color w:val="auto"/>
                <w:sz w:val="24"/>
              </w:rPr>
              <w:t>经处理</w:t>
            </w:r>
            <w:r>
              <w:rPr>
                <w:bCs/>
                <w:color w:val="auto"/>
                <w:sz w:val="24"/>
              </w:rPr>
              <w:t>满足《城镇污水处理厂污染物排放标准》（GB18918-2002）一级A标准以及广东省地方标准《水污染物排放限值》（DB44/26-2001）第二时段一级标准中较严值后，排入那龙河。</w:t>
            </w:r>
          </w:p>
          <w:p w14:paraId="5C48F9B3">
            <w:pPr>
              <w:spacing w:line="360" w:lineRule="auto"/>
              <w:ind w:firstLine="480" w:firstLineChars="200"/>
              <w:rPr>
                <w:bCs/>
                <w:color w:val="auto"/>
                <w:sz w:val="24"/>
              </w:rPr>
            </w:pPr>
            <w:r>
              <w:rPr>
                <w:rFonts w:hint="eastAsia"/>
                <w:bCs/>
                <w:color w:val="auto"/>
                <w:sz w:val="24"/>
                <w:lang w:val="en-US" w:eastAsia="zh-CN"/>
              </w:rPr>
              <w:t>现有项目、</w:t>
            </w:r>
            <w:r>
              <w:rPr>
                <w:rFonts w:hint="eastAsia"/>
                <w:bCs/>
                <w:color w:val="auto"/>
                <w:sz w:val="24"/>
                <w:lang w:eastAsia="zh-CN"/>
              </w:rPr>
              <w:t>改建</w:t>
            </w:r>
            <w:r>
              <w:rPr>
                <w:rFonts w:hint="eastAsia"/>
                <w:bCs/>
                <w:color w:val="auto"/>
                <w:sz w:val="24"/>
              </w:rPr>
              <w:t>项目及</w:t>
            </w:r>
            <w:r>
              <w:rPr>
                <w:rFonts w:hint="eastAsia"/>
                <w:bCs/>
                <w:color w:val="auto"/>
                <w:sz w:val="24"/>
                <w:lang w:eastAsia="zh-CN"/>
              </w:rPr>
              <w:t>改建</w:t>
            </w:r>
            <w:r>
              <w:rPr>
                <w:rFonts w:hint="eastAsia"/>
                <w:bCs/>
                <w:color w:val="auto"/>
                <w:sz w:val="24"/>
              </w:rPr>
              <w:t>后全厂</w:t>
            </w:r>
            <w:r>
              <w:rPr>
                <w:bCs/>
                <w:color w:val="auto"/>
                <w:sz w:val="24"/>
              </w:rPr>
              <w:t>的水平衡图分别见图2-1</w:t>
            </w:r>
            <w:r>
              <w:rPr>
                <w:bCs/>
                <w:color w:val="auto"/>
                <w:sz w:val="24"/>
              </w:rPr>
              <w:t>、图2-2</w:t>
            </w:r>
            <w:r>
              <w:rPr>
                <w:rFonts w:hint="eastAsia"/>
                <w:bCs/>
                <w:color w:val="auto"/>
                <w:sz w:val="24"/>
                <w:lang w:eastAsia="zh-CN"/>
              </w:rPr>
              <w:t>、</w:t>
            </w:r>
            <w:r>
              <w:rPr>
                <w:rFonts w:hint="eastAsia"/>
                <w:bCs/>
                <w:color w:val="auto"/>
                <w:sz w:val="24"/>
                <w:lang w:val="en-US" w:eastAsia="zh-CN"/>
              </w:rPr>
              <w:t>图2-3</w:t>
            </w:r>
            <w:r>
              <w:rPr>
                <w:rFonts w:hint="eastAsia"/>
                <w:bCs/>
                <w:color w:val="auto"/>
                <w:sz w:val="24"/>
              </w:rPr>
              <w:t>所示</w:t>
            </w:r>
            <w:r>
              <w:rPr>
                <w:bCs/>
                <w:color w:val="auto"/>
                <w:sz w:val="24"/>
              </w:rPr>
              <w:t>。</w:t>
            </w:r>
          </w:p>
          <w:p w14:paraId="5A605CB8">
            <w:pPr>
              <w:spacing w:line="360" w:lineRule="auto"/>
              <w:jc w:val="center"/>
              <w:rPr>
                <w:bCs/>
                <w:color w:val="auto"/>
                <w:sz w:val="24"/>
              </w:rPr>
            </w:pPr>
            <w:r>
              <w:rPr>
                <w:bCs/>
                <w:color w:val="auto"/>
                <w:sz w:val="24"/>
              </w:rPr>
              <w:object>
                <v:shape id="_x0000_i1025" o:spt="75" type="#_x0000_t75" style="height:479.45pt;width:474.55pt;" o:ole="t" filled="f" o:preferrelative="t" stroked="f" coordsize="21600,21600">
                  <v:path/>
                  <v:fill on="f" focussize="0,0"/>
                  <v:stroke on="f"/>
                  <v:imagedata r:id="rId17" o:title=""/>
                  <o:lock v:ext="edit" aspectratio="f"/>
                  <w10:wrap type="none"/>
                  <w10:anchorlock/>
                </v:shape>
                <o:OLEObject Type="Embed" ProgID="Visio.Drawing.15" ShapeID="_x0000_i1025" DrawAspect="Content" ObjectID="_1468075725" r:id="rId16">
                  <o:LockedField>false</o:LockedField>
                </o:OLEObject>
              </w:object>
            </w:r>
          </w:p>
          <w:p w14:paraId="60A98603">
            <w:pPr>
              <w:spacing w:line="360" w:lineRule="auto"/>
              <w:jc w:val="center"/>
              <w:rPr>
                <w:rFonts w:hint="eastAsia"/>
                <w:bCs/>
                <w:color w:val="auto"/>
                <w:sz w:val="24"/>
              </w:rPr>
            </w:pPr>
            <w:r>
              <w:rPr>
                <w:b/>
                <w:color w:val="auto"/>
                <w:sz w:val="21"/>
                <w:szCs w:val="21"/>
              </w:rPr>
              <w:t>图2-</w:t>
            </w:r>
            <w:r>
              <w:rPr>
                <w:rFonts w:hint="eastAsia"/>
                <w:b/>
                <w:color w:val="auto"/>
                <w:sz w:val="21"/>
                <w:szCs w:val="21"/>
                <w:lang w:val="en-US" w:eastAsia="zh-CN"/>
              </w:rPr>
              <w:t>1</w:t>
            </w:r>
            <w:r>
              <w:rPr>
                <w:rFonts w:hint="eastAsia"/>
                <w:b/>
                <w:color w:val="auto"/>
                <w:sz w:val="21"/>
                <w:szCs w:val="21"/>
              </w:rPr>
              <w:t xml:space="preserve"> </w:t>
            </w:r>
            <w:r>
              <w:rPr>
                <w:rFonts w:hint="eastAsia"/>
                <w:b/>
                <w:color w:val="auto"/>
                <w:sz w:val="21"/>
                <w:szCs w:val="21"/>
                <w:lang w:val="en-US" w:eastAsia="zh-CN"/>
              </w:rPr>
              <w:t>现有</w:t>
            </w:r>
            <w:r>
              <w:rPr>
                <w:b/>
                <w:color w:val="auto"/>
                <w:sz w:val="21"/>
                <w:szCs w:val="21"/>
              </w:rPr>
              <w:t>项目水量平衡图（单位：</w:t>
            </w:r>
            <w:r>
              <w:rPr>
                <w:rFonts w:hint="eastAsia"/>
                <w:b/>
                <w:color w:val="auto"/>
                <w:sz w:val="21"/>
                <w:szCs w:val="21"/>
              </w:rPr>
              <w:t>m</w:t>
            </w:r>
            <w:r>
              <w:rPr>
                <w:rFonts w:hint="eastAsia"/>
                <w:b/>
                <w:color w:val="auto"/>
                <w:sz w:val="21"/>
                <w:szCs w:val="21"/>
                <w:vertAlign w:val="superscript"/>
              </w:rPr>
              <w:t>3</w:t>
            </w:r>
            <w:r>
              <w:rPr>
                <w:b/>
                <w:color w:val="auto"/>
                <w:sz w:val="21"/>
                <w:szCs w:val="21"/>
              </w:rPr>
              <w:t>/</w:t>
            </w:r>
            <w:r>
              <w:rPr>
                <w:rFonts w:hint="eastAsia"/>
                <w:b/>
                <w:color w:val="auto"/>
                <w:sz w:val="21"/>
                <w:szCs w:val="21"/>
              </w:rPr>
              <w:t>d</w:t>
            </w:r>
            <w:r>
              <w:rPr>
                <w:b/>
                <w:color w:val="auto"/>
                <w:sz w:val="21"/>
                <w:szCs w:val="21"/>
              </w:rPr>
              <w:t>）</w:t>
            </w:r>
          </w:p>
          <w:p w14:paraId="76A02C47">
            <w:pPr>
              <w:pStyle w:val="21"/>
              <w:spacing w:before="0" w:after="0" w:line="360" w:lineRule="auto"/>
              <w:ind w:right="0"/>
              <w:jc w:val="center"/>
              <w:rPr>
                <w:b/>
                <w:color w:val="auto"/>
                <w:sz w:val="21"/>
                <w:szCs w:val="21"/>
              </w:rPr>
            </w:pPr>
            <w:r>
              <w:rPr>
                <w:b/>
                <w:color w:val="auto"/>
                <w:sz w:val="21"/>
                <w:szCs w:val="21"/>
              </w:rPr>
              <w:object>
                <v:shape id="_x0000_i1026" o:spt="75" type="#_x0000_t75" style="height:203.45pt;width:475.2pt;" o:ole="t" filled="f" o:preferrelative="t" stroked="f" coordsize="21600,21600">
                  <v:path/>
                  <v:fill on="f" focussize="0,0"/>
                  <v:stroke on="f"/>
                  <v:imagedata r:id="rId19" o:title=""/>
                  <o:lock v:ext="edit" aspectratio="f"/>
                  <w10:wrap type="none"/>
                  <w10:anchorlock/>
                </v:shape>
                <o:OLEObject Type="Embed" ProgID="Visio.Drawing.15" ShapeID="_x0000_i1026" DrawAspect="Content" ObjectID="_1468075726" r:id="rId18">
                  <o:LockedField>false</o:LockedField>
                </o:OLEObject>
              </w:object>
            </w:r>
          </w:p>
          <w:p w14:paraId="79CFA157">
            <w:pPr>
              <w:pStyle w:val="21"/>
              <w:spacing w:before="0" w:after="0" w:line="360" w:lineRule="auto"/>
              <w:ind w:right="0"/>
              <w:jc w:val="center"/>
              <w:rPr>
                <w:b/>
                <w:color w:val="auto"/>
                <w:sz w:val="21"/>
                <w:szCs w:val="21"/>
              </w:rPr>
            </w:pPr>
            <w:r>
              <w:rPr>
                <w:b/>
                <w:color w:val="auto"/>
                <w:sz w:val="21"/>
                <w:szCs w:val="21"/>
              </w:rPr>
              <w:t>图2-</w:t>
            </w:r>
            <w:r>
              <w:rPr>
                <w:rFonts w:hint="eastAsia"/>
                <w:b/>
                <w:color w:val="auto"/>
                <w:sz w:val="21"/>
                <w:szCs w:val="21"/>
                <w:lang w:val="en-US" w:eastAsia="zh-CN"/>
              </w:rPr>
              <w:t>2</w:t>
            </w:r>
            <w:r>
              <w:rPr>
                <w:rFonts w:hint="eastAsia"/>
                <w:b/>
                <w:color w:val="auto"/>
                <w:sz w:val="21"/>
                <w:szCs w:val="21"/>
              </w:rPr>
              <w:t xml:space="preserve"> </w:t>
            </w:r>
            <w:r>
              <w:rPr>
                <w:rFonts w:hint="eastAsia"/>
                <w:b/>
                <w:color w:val="auto"/>
                <w:sz w:val="21"/>
                <w:szCs w:val="21"/>
                <w:lang w:eastAsia="zh-CN"/>
              </w:rPr>
              <w:t>改建</w:t>
            </w:r>
            <w:r>
              <w:rPr>
                <w:b/>
                <w:color w:val="auto"/>
                <w:sz w:val="21"/>
                <w:szCs w:val="21"/>
              </w:rPr>
              <w:t>项目水量平衡图（单位：</w:t>
            </w:r>
            <w:r>
              <w:rPr>
                <w:rFonts w:hint="eastAsia"/>
                <w:b/>
                <w:color w:val="auto"/>
                <w:sz w:val="21"/>
                <w:szCs w:val="21"/>
              </w:rPr>
              <w:t>m</w:t>
            </w:r>
            <w:r>
              <w:rPr>
                <w:rFonts w:hint="eastAsia"/>
                <w:b/>
                <w:color w:val="auto"/>
                <w:sz w:val="21"/>
                <w:szCs w:val="21"/>
                <w:vertAlign w:val="superscript"/>
              </w:rPr>
              <w:t>3</w:t>
            </w:r>
            <w:r>
              <w:rPr>
                <w:b/>
                <w:color w:val="auto"/>
                <w:sz w:val="21"/>
                <w:szCs w:val="21"/>
              </w:rPr>
              <w:t>/</w:t>
            </w:r>
            <w:r>
              <w:rPr>
                <w:rFonts w:hint="eastAsia"/>
                <w:b/>
                <w:color w:val="auto"/>
                <w:sz w:val="21"/>
                <w:szCs w:val="21"/>
              </w:rPr>
              <w:t>d</w:t>
            </w:r>
            <w:r>
              <w:rPr>
                <w:b/>
                <w:color w:val="auto"/>
                <w:sz w:val="21"/>
                <w:szCs w:val="21"/>
              </w:rPr>
              <w:t>）</w:t>
            </w:r>
          </w:p>
          <w:p w14:paraId="508E73A2">
            <w:pPr>
              <w:rPr>
                <w:b/>
                <w:color w:val="auto"/>
                <w:sz w:val="21"/>
                <w:szCs w:val="21"/>
              </w:rPr>
            </w:pPr>
          </w:p>
          <w:p w14:paraId="16B33510">
            <w:pPr>
              <w:pStyle w:val="16"/>
              <w:rPr>
                <w:b/>
                <w:color w:val="auto"/>
                <w:sz w:val="21"/>
                <w:szCs w:val="21"/>
              </w:rPr>
            </w:pPr>
          </w:p>
          <w:p w14:paraId="6D67FDD6">
            <w:pPr>
              <w:pStyle w:val="16"/>
              <w:rPr>
                <w:b/>
                <w:color w:val="auto"/>
                <w:sz w:val="21"/>
                <w:szCs w:val="21"/>
              </w:rPr>
            </w:pPr>
          </w:p>
          <w:p w14:paraId="7DA75158">
            <w:pPr>
              <w:pStyle w:val="16"/>
              <w:rPr>
                <w:b/>
                <w:color w:val="auto"/>
                <w:sz w:val="21"/>
                <w:szCs w:val="21"/>
              </w:rPr>
            </w:pPr>
          </w:p>
          <w:p w14:paraId="02453CEA">
            <w:pPr>
              <w:pStyle w:val="16"/>
              <w:rPr>
                <w:b/>
                <w:color w:val="auto"/>
                <w:sz w:val="21"/>
                <w:szCs w:val="21"/>
              </w:rPr>
            </w:pPr>
          </w:p>
          <w:p w14:paraId="27CFAC2B">
            <w:pPr>
              <w:pStyle w:val="16"/>
              <w:rPr>
                <w:b/>
                <w:color w:val="auto"/>
                <w:sz w:val="21"/>
                <w:szCs w:val="21"/>
              </w:rPr>
            </w:pPr>
          </w:p>
          <w:p w14:paraId="0D6CF36D">
            <w:pPr>
              <w:pStyle w:val="16"/>
              <w:rPr>
                <w:b/>
                <w:color w:val="auto"/>
                <w:sz w:val="21"/>
                <w:szCs w:val="21"/>
              </w:rPr>
            </w:pPr>
          </w:p>
          <w:p w14:paraId="3963754A">
            <w:pPr>
              <w:pStyle w:val="16"/>
              <w:rPr>
                <w:b/>
                <w:color w:val="auto"/>
                <w:sz w:val="21"/>
                <w:szCs w:val="21"/>
              </w:rPr>
            </w:pPr>
          </w:p>
          <w:p w14:paraId="1EE9A819">
            <w:pPr>
              <w:pStyle w:val="16"/>
              <w:rPr>
                <w:b/>
                <w:color w:val="auto"/>
                <w:sz w:val="21"/>
                <w:szCs w:val="21"/>
              </w:rPr>
            </w:pPr>
          </w:p>
          <w:p w14:paraId="7E26E3BB">
            <w:pPr>
              <w:pStyle w:val="16"/>
              <w:rPr>
                <w:b/>
                <w:color w:val="auto"/>
                <w:sz w:val="21"/>
                <w:szCs w:val="21"/>
              </w:rPr>
            </w:pPr>
          </w:p>
          <w:p w14:paraId="4DA83F9F">
            <w:pPr>
              <w:pStyle w:val="16"/>
              <w:rPr>
                <w:b/>
                <w:color w:val="auto"/>
                <w:sz w:val="21"/>
                <w:szCs w:val="21"/>
              </w:rPr>
            </w:pPr>
          </w:p>
          <w:p w14:paraId="52CC26E6">
            <w:pPr>
              <w:pStyle w:val="16"/>
              <w:rPr>
                <w:b/>
                <w:color w:val="auto"/>
                <w:sz w:val="21"/>
                <w:szCs w:val="21"/>
              </w:rPr>
            </w:pPr>
          </w:p>
          <w:p w14:paraId="2D600476">
            <w:pPr>
              <w:pStyle w:val="16"/>
              <w:rPr>
                <w:b/>
                <w:color w:val="auto"/>
                <w:sz w:val="21"/>
                <w:szCs w:val="21"/>
              </w:rPr>
            </w:pPr>
          </w:p>
          <w:p w14:paraId="17304D67">
            <w:pPr>
              <w:pStyle w:val="16"/>
              <w:rPr>
                <w:b/>
                <w:color w:val="auto"/>
                <w:sz w:val="21"/>
                <w:szCs w:val="21"/>
              </w:rPr>
            </w:pPr>
          </w:p>
          <w:p w14:paraId="5BB572C0">
            <w:pPr>
              <w:pStyle w:val="16"/>
              <w:rPr>
                <w:b/>
                <w:color w:val="auto"/>
                <w:sz w:val="21"/>
                <w:szCs w:val="21"/>
              </w:rPr>
            </w:pPr>
          </w:p>
          <w:p w14:paraId="39EC4A60">
            <w:pPr>
              <w:pStyle w:val="16"/>
              <w:rPr>
                <w:b/>
                <w:color w:val="auto"/>
                <w:sz w:val="21"/>
                <w:szCs w:val="21"/>
              </w:rPr>
            </w:pPr>
          </w:p>
          <w:p w14:paraId="044DA415">
            <w:pPr>
              <w:pStyle w:val="16"/>
              <w:rPr>
                <w:b/>
                <w:color w:val="auto"/>
                <w:sz w:val="21"/>
                <w:szCs w:val="21"/>
              </w:rPr>
            </w:pPr>
          </w:p>
          <w:p w14:paraId="65FF26B7">
            <w:pPr>
              <w:pStyle w:val="16"/>
              <w:rPr>
                <w:b/>
                <w:color w:val="auto"/>
                <w:sz w:val="21"/>
                <w:szCs w:val="21"/>
              </w:rPr>
            </w:pPr>
          </w:p>
          <w:p w14:paraId="58317E2B">
            <w:pPr>
              <w:pStyle w:val="16"/>
              <w:rPr>
                <w:b/>
                <w:color w:val="auto"/>
                <w:sz w:val="21"/>
                <w:szCs w:val="21"/>
              </w:rPr>
            </w:pPr>
          </w:p>
          <w:p w14:paraId="662F2DDD">
            <w:pPr>
              <w:pStyle w:val="16"/>
              <w:rPr>
                <w:b/>
                <w:color w:val="auto"/>
                <w:sz w:val="21"/>
                <w:szCs w:val="21"/>
              </w:rPr>
            </w:pPr>
          </w:p>
          <w:p w14:paraId="45993CD9">
            <w:pPr>
              <w:pStyle w:val="16"/>
              <w:rPr>
                <w:b/>
                <w:color w:val="auto"/>
                <w:sz w:val="21"/>
                <w:szCs w:val="21"/>
              </w:rPr>
            </w:pPr>
          </w:p>
          <w:p w14:paraId="770155BA">
            <w:pPr>
              <w:pStyle w:val="16"/>
              <w:rPr>
                <w:b/>
                <w:color w:val="auto"/>
                <w:sz w:val="21"/>
                <w:szCs w:val="21"/>
              </w:rPr>
            </w:pPr>
          </w:p>
          <w:p w14:paraId="0411C986">
            <w:pPr>
              <w:pStyle w:val="16"/>
              <w:rPr>
                <w:b/>
                <w:color w:val="auto"/>
                <w:sz w:val="21"/>
                <w:szCs w:val="21"/>
              </w:rPr>
            </w:pPr>
          </w:p>
          <w:p w14:paraId="7AC6EE8A">
            <w:pPr>
              <w:pStyle w:val="16"/>
              <w:rPr>
                <w:b/>
                <w:color w:val="auto"/>
                <w:sz w:val="21"/>
                <w:szCs w:val="21"/>
              </w:rPr>
            </w:pPr>
          </w:p>
          <w:p w14:paraId="4E2D257D">
            <w:pPr>
              <w:pStyle w:val="16"/>
              <w:rPr>
                <w:b/>
                <w:color w:val="auto"/>
                <w:sz w:val="21"/>
                <w:szCs w:val="21"/>
              </w:rPr>
            </w:pPr>
          </w:p>
          <w:p w14:paraId="1B2BA4BC">
            <w:pPr>
              <w:pStyle w:val="16"/>
              <w:rPr>
                <w:b/>
                <w:color w:val="auto"/>
                <w:sz w:val="21"/>
                <w:szCs w:val="21"/>
              </w:rPr>
            </w:pPr>
          </w:p>
          <w:p w14:paraId="59CAC68D">
            <w:pPr>
              <w:pStyle w:val="16"/>
              <w:rPr>
                <w:b/>
                <w:color w:val="auto"/>
                <w:sz w:val="21"/>
                <w:szCs w:val="21"/>
              </w:rPr>
            </w:pPr>
          </w:p>
          <w:p w14:paraId="2C55B479">
            <w:pPr>
              <w:pStyle w:val="16"/>
              <w:rPr>
                <w:b/>
                <w:color w:val="auto"/>
                <w:sz w:val="21"/>
                <w:szCs w:val="21"/>
              </w:rPr>
            </w:pPr>
          </w:p>
          <w:p w14:paraId="50A42CCC">
            <w:pPr>
              <w:pStyle w:val="16"/>
              <w:rPr>
                <w:b/>
                <w:color w:val="auto"/>
                <w:sz w:val="21"/>
                <w:szCs w:val="21"/>
              </w:rPr>
            </w:pPr>
          </w:p>
          <w:p w14:paraId="2D6D890F">
            <w:pPr>
              <w:pStyle w:val="21"/>
              <w:spacing w:before="0" w:after="0" w:line="360" w:lineRule="auto"/>
              <w:ind w:right="0"/>
              <w:jc w:val="center"/>
              <w:rPr>
                <w:b/>
                <w:color w:val="auto"/>
                <w:sz w:val="21"/>
                <w:szCs w:val="21"/>
              </w:rPr>
            </w:pPr>
            <w:r>
              <w:rPr>
                <w:b/>
                <w:color w:val="auto"/>
                <w:sz w:val="21"/>
                <w:szCs w:val="21"/>
              </w:rPr>
              <w:object>
                <v:shape id="_x0000_i1027" o:spt="75" type="#_x0000_t75" style="height:525.6pt;width:475.2pt;" o:ole="t" filled="f" o:preferrelative="t" stroked="f" coordsize="21600,21600">
                  <v:path/>
                  <v:fill on="f" focussize="0,0"/>
                  <v:stroke on="f"/>
                  <v:imagedata r:id="rId21" o:title=""/>
                  <o:lock v:ext="edit" aspectratio="f"/>
                  <w10:wrap type="none"/>
                  <w10:anchorlock/>
                </v:shape>
                <o:OLEObject Type="Embed" ProgID="Visio.Drawing.15" ShapeID="_x0000_i1027" DrawAspect="Content" ObjectID="_1468075727" r:id="rId20">
                  <o:LockedField>false</o:LockedField>
                </o:OLEObject>
              </w:object>
            </w:r>
          </w:p>
          <w:p w14:paraId="5E2FC111">
            <w:pPr>
              <w:pStyle w:val="21"/>
              <w:spacing w:before="0" w:after="0" w:line="360" w:lineRule="auto"/>
              <w:ind w:right="0"/>
              <w:jc w:val="center"/>
              <w:rPr>
                <w:b/>
                <w:color w:val="auto"/>
                <w:sz w:val="21"/>
                <w:szCs w:val="21"/>
              </w:rPr>
            </w:pPr>
            <w:r>
              <w:rPr>
                <w:b/>
                <w:color w:val="auto"/>
                <w:sz w:val="21"/>
                <w:szCs w:val="21"/>
              </w:rPr>
              <w:t>图2-</w:t>
            </w:r>
            <w:r>
              <w:rPr>
                <w:rFonts w:hint="eastAsia"/>
                <w:b/>
                <w:color w:val="auto"/>
                <w:sz w:val="21"/>
                <w:szCs w:val="21"/>
                <w:lang w:val="en-US" w:eastAsia="zh-CN"/>
              </w:rPr>
              <w:t>3</w:t>
            </w:r>
            <w:r>
              <w:rPr>
                <w:rFonts w:hint="eastAsia"/>
                <w:b/>
                <w:color w:val="auto"/>
                <w:sz w:val="21"/>
                <w:szCs w:val="21"/>
              </w:rPr>
              <w:t xml:space="preserve"> </w:t>
            </w:r>
            <w:r>
              <w:rPr>
                <w:rFonts w:hint="eastAsia"/>
                <w:b/>
                <w:color w:val="auto"/>
                <w:sz w:val="21"/>
                <w:szCs w:val="21"/>
                <w:lang w:eastAsia="zh-CN"/>
              </w:rPr>
              <w:t>改建</w:t>
            </w:r>
            <w:r>
              <w:rPr>
                <w:rFonts w:hint="eastAsia"/>
                <w:b/>
                <w:color w:val="auto"/>
                <w:sz w:val="21"/>
                <w:szCs w:val="21"/>
              </w:rPr>
              <w:t>后全厂</w:t>
            </w:r>
            <w:r>
              <w:rPr>
                <w:b/>
                <w:color w:val="auto"/>
                <w:sz w:val="21"/>
                <w:szCs w:val="21"/>
              </w:rPr>
              <w:t>水量平衡图（单位：</w:t>
            </w:r>
            <w:r>
              <w:rPr>
                <w:rFonts w:hint="eastAsia"/>
                <w:b/>
                <w:color w:val="auto"/>
                <w:sz w:val="21"/>
                <w:szCs w:val="21"/>
              </w:rPr>
              <w:t>m</w:t>
            </w:r>
            <w:r>
              <w:rPr>
                <w:rFonts w:hint="eastAsia"/>
                <w:b/>
                <w:color w:val="auto"/>
                <w:sz w:val="21"/>
                <w:szCs w:val="21"/>
                <w:vertAlign w:val="superscript"/>
              </w:rPr>
              <w:t>3</w:t>
            </w:r>
            <w:r>
              <w:rPr>
                <w:b/>
                <w:color w:val="auto"/>
                <w:sz w:val="21"/>
                <w:szCs w:val="21"/>
              </w:rPr>
              <w:t>/</w:t>
            </w:r>
            <w:r>
              <w:rPr>
                <w:rFonts w:hint="eastAsia"/>
                <w:b/>
                <w:color w:val="auto"/>
                <w:sz w:val="21"/>
                <w:szCs w:val="21"/>
              </w:rPr>
              <w:t>d</w:t>
            </w:r>
            <w:r>
              <w:rPr>
                <w:b/>
                <w:color w:val="auto"/>
                <w:sz w:val="21"/>
                <w:szCs w:val="21"/>
              </w:rPr>
              <w:t>）</w:t>
            </w:r>
          </w:p>
          <w:p w14:paraId="690E80FD">
            <w:pPr>
              <w:spacing w:line="360" w:lineRule="auto"/>
              <w:ind w:firstLine="482" w:firstLineChars="200"/>
              <w:rPr>
                <w:b/>
                <w:color w:val="auto"/>
                <w:sz w:val="24"/>
              </w:rPr>
            </w:pPr>
            <w:r>
              <w:rPr>
                <w:b/>
                <w:color w:val="auto"/>
                <w:sz w:val="24"/>
              </w:rPr>
              <w:t>2、</w:t>
            </w:r>
            <w:r>
              <w:rPr>
                <w:rFonts w:hint="eastAsia"/>
                <w:b/>
                <w:color w:val="auto"/>
                <w:sz w:val="24"/>
              </w:rPr>
              <w:t>能耗情况</w:t>
            </w:r>
          </w:p>
          <w:p w14:paraId="6C77659D">
            <w:pPr>
              <w:spacing w:line="360" w:lineRule="auto"/>
              <w:ind w:firstLine="482" w:firstLineChars="200"/>
              <w:rPr>
                <w:b/>
                <w:color w:val="auto"/>
                <w:sz w:val="24"/>
              </w:rPr>
            </w:pPr>
            <w:r>
              <w:rPr>
                <w:b/>
                <w:color w:val="auto"/>
                <w:sz w:val="24"/>
              </w:rPr>
              <w:t>①</w:t>
            </w:r>
            <w:r>
              <w:rPr>
                <w:rFonts w:hint="eastAsia"/>
                <w:b/>
                <w:color w:val="auto"/>
                <w:sz w:val="24"/>
              </w:rPr>
              <w:t>电能</w:t>
            </w:r>
          </w:p>
          <w:p w14:paraId="3B8233F8">
            <w:pPr>
              <w:spacing w:line="360" w:lineRule="auto"/>
              <w:ind w:firstLine="480" w:firstLineChars="200"/>
              <w:rPr>
                <w:bCs/>
                <w:color w:val="auto"/>
                <w:sz w:val="24"/>
                <w:lang w:val="en-GB"/>
              </w:rPr>
            </w:pPr>
            <w:r>
              <w:rPr>
                <w:bCs/>
                <w:color w:val="auto"/>
                <w:sz w:val="24"/>
              </w:rPr>
              <w:t>项目</w:t>
            </w:r>
            <w:r>
              <w:rPr>
                <w:rFonts w:hint="eastAsia"/>
                <w:bCs/>
                <w:color w:val="auto"/>
                <w:sz w:val="24"/>
                <w:lang w:eastAsia="zh-CN"/>
              </w:rPr>
              <w:t>改建</w:t>
            </w:r>
            <w:r>
              <w:rPr>
                <w:bCs/>
                <w:color w:val="auto"/>
                <w:sz w:val="24"/>
              </w:rPr>
              <w:t>前后用电均</w:t>
            </w:r>
            <w:r>
              <w:rPr>
                <w:bCs/>
                <w:color w:val="auto"/>
                <w:sz w:val="24"/>
                <w:lang w:val="en-GB"/>
              </w:rPr>
              <w:t>由园区供电网统一供电</w:t>
            </w:r>
            <w:r>
              <w:rPr>
                <w:bCs/>
                <w:color w:val="auto"/>
                <w:sz w:val="24"/>
              </w:rPr>
              <w:t>，</w:t>
            </w:r>
            <w:r>
              <w:rPr>
                <w:rFonts w:hint="eastAsia"/>
                <w:bCs/>
                <w:color w:val="auto"/>
                <w:sz w:val="24"/>
              </w:rPr>
              <w:t>本</w:t>
            </w:r>
            <w:r>
              <w:rPr>
                <w:rFonts w:hint="eastAsia"/>
                <w:bCs/>
                <w:color w:val="auto"/>
                <w:sz w:val="24"/>
                <w:lang w:eastAsia="zh-CN"/>
              </w:rPr>
              <w:t>改建</w:t>
            </w:r>
            <w:r>
              <w:rPr>
                <w:bCs/>
                <w:color w:val="auto"/>
                <w:sz w:val="24"/>
              </w:rPr>
              <w:t>项目耗电量为</w:t>
            </w:r>
            <w:r>
              <w:rPr>
                <w:rFonts w:hint="eastAsia"/>
                <w:bCs/>
                <w:color w:val="auto"/>
                <w:sz w:val="24"/>
                <w:lang w:val="en-US" w:eastAsia="zh-CN"/>
              </w:rPr>
              <w:t>30</w:t>
            </w:r>
            <w:r>
              <w:rPr>
                <w:bCs/>
                <w:color w:val="auto"/>
                <w:sz w:val="24"/>
              </w:rPr>
              <w:t>万k</w:t>
            </w:r>
            <w:r>
              <w:rPr>
                <w:bCs/>
                <w:color w:val="auto"/>
                <w:sz w:val="24"/>
                <w:lang w:val="en-GB"/>
              </w:rPr>
              <w:t>Wh/a</w:t>
            </w:r>
            <w:r>
              <w:rPr>
                <w:bCs/>
                <w:color w:val="auto"/>
                <w:sz w:val="24"/>
              </w:rPr>
              <w:t>，</w:t>
            </w:r>
            <w:r>
              <w:rPr>
                <w:rFonts w:hint="eastAsia"/>
                <w:bCs/>
                <w:color w:val="auto"/>
                <w:sz w:val="24"/>
              </w:rPr>
              <w:t>现有</w:t>
            </w:r>
            <w:r>
              <w:rPr>
                <w:bCs/>
                <w:color w:val="auto"/>
                <w:sz w:val="24"/>
              </w:rPr>
              <w:t>项目耗电量为</w:t>
            </w:r>
            <w:r>
              <w:rPr>
                <w:rFonts w:hint="eastAsia"/>
                <w:bCs/>
                <w:color w:val="auto"/>
                <w:sz w:val="24"/>
              </w:rPr>
              <w:t>320</w:t>
            </w:r>
            <w:r>
              <w:rPr>
                <w:bCs/>
                <w:color w:val="auto"/>
                <w:sz w:val="24"/>
              </w:rPr>
              <w:t>万k</w:t>
            </w:r>
            <w:r>
              <w:rPr>
                <w:bCs/>
                <w:color w:val="auto"/>
                <w:sz w:val="24"/>
                <w:lang w:val="en-GB"/>
              </w:rPr>
              <w:t>Wh/a</w:t>
            </w:r>
            <w:r>
              <w:rPr>
                <w:bCs/>
                <w:color w:val="auto"/>
                <w:sz w:val="24"/>
              </w:rPr>
              <w:t>，</w:t>
            </w:r>
            <w:r>
              <w:rPr>
                <w:rFonts w:hint="eastAsia"/>
                <w:bCs/>
                <w:color w:val="auto"/>
                <w:sz w:val="24"/>
              </w:rPr>
              <w:t>由于现有项目减少阳极氧化生产线的耗电量为20</w:t>
            </w:r>
            <w:r>
              <w:rPr>
                <w:bCs/>
                <w:color w:val="auto"/>
                <w:sz w:val="24"/>
              </w:rPr>
              <w:t>万k</w:t>
            </w:r>
            <w:r>
              <w:rPr>
                <w:bCs/>
                <w:color w:val="auto"/>
                <w:sz w:val="24"/>
                <w:lang w:val="en-GB"/>
              </w:rPr>
              <w:t>Wh/a</w:t>
            </w:r>
            <w:r>
              <w:rPr>
                <w:rFonts w:hint="eastAsia"/>
                <w:bCs/>
                <w:color w:val="auto"/>
                <w:sz w:val="24"/>
              </w:rPr>
              <w:t>，</w:t>
            </w:r>
            <w:r>
              <w:rPr>
                <w:rFonts w:hint="eastAsia"/>
                <w:bCs/>
                <w:color w:val="auto"/>
                <w:sz w:val="24"/>
                <w:lang w:val="en-US" w:eastAsia="zh-CN"/>
              </w:rPr>
              <w:t>因此本改建项目需新增耗电量为10</w:t>
            </w:r>
            <w:r>
              <w:rPr>
                <w:bCs/>
                <w:color w:val="auto"/>
                <w:sz w:val="24"/>
              </w:rPr>
              <w:t>万k</w:t>
            </w:r>
            <w:r>
              <w:rPr>
                <w:bCs/>
                <w:color w:val="auto"/>
                <w:sz w:val="24"/>
                <w:lang w:val="en-GB"/>
              </w:rPr>
              <w:t>Wh/a</w:t>
            </w:r>
            <w:r>
              <w:rPr>
                <w:rFonts w:hint="eastAsia"/>
                <w:bCs/>
                <w:color w:val="auto"/>
                <w:sz w:val="24"/>
                <w:lang w:val="en-US" w:eastAsia="zh-CN"/>
              </w:rPr>
              <w:t>，</w:t>
            </w:r>
            <w:r>
              <w:rPr>
                <w:bCs/>
                <w:color w:val="auto"/>
                <w:sz w:val="24"/>
              </w:rPr>
              <w:t>因此</w:t>
            </w:r>
            <w:r>
              <w:rPr>
                <w:rFonts w:hint="eastAsia"/>
                <w:bCs/>
                <w:color w:val="auto"/>
                <w:sz w:val="24"/>
                <w:lang w:eastAsia="zh-CN"/>
              </w:rPr>
              <w:t>改建</w:t>
            </w:r>
            <w:r>
              <w:rPr>
                <w:bCs/>
                <w:color w:val="auto"/>
                <w:sz w:val="24"/>
              </w:rPr>
              <w:t>后全厂耗电量为</w:t>
            </w:r>
            <w:r>
              <w:rPr>
                <w:rFonts w:hint="eastAsia"/>
                <w:bCs/>
                <w:color w:val="auto"/>
                <w:sz w:val="24"/>
              </w:rPr>
              <w:t>3</w:t>
            </w:r>
            <w:r>
              <w:rPr>
                <w:rFonts w:hint="eastAsia"/>
                <w:bCs/>
                <w:color w:val="auto"/>
                <w:sz w:val="24"/>
                <w:lang w:val="en-US" w:eastAsia="zh-CN"/>
              </w:rPr>
              <w:t>3</w:t>
            </w:r>
            <w:r>
              <w:rPr>
                <w:rFonts w:hint="eastAsia"/>
                <w:bCs/>
                <w:color w:val="auto"/>
                <w:sz w:val="24"/>
              </w:rPr>
              <w:t>0</w:t>
            </w:r>
            <w:r>
              <w:rPr>
                <w:bCs/>
                <w:color w:val="auto"/>
                <w:sz w:val="24"/>
              </w:rPr>
              <w:t>万k</w:t>
            </w:r>
            <w:r>
              <w:rPr>
                <w:bCs/>
                <w:color w:val="auto"/>
                <w:sz w:val="24"/>
                <w:lang w:val="en-GB"/>
              </w:rPr>
              <w:t>Wh/a。</w:t>
            </w:r>
          </w:p>
          <w:p w14:paraId="0D10755B">
            <w:pPr>
              <w:spacing w:line="360" w:lineRule="auto"/>
              <w:ind w:firstLine="482" w:firstLineChars="200"/>
              <w:rPr>
                <w:b/>
                <w:color w:val="auto"/>
                <w:sz w:val="24"/>
              </w:rPr>
            </w:pPr>
            <w:r>
              <w:rPr>
                <w:b/>
                <w:color w:val="auto"/>
                <w:sz w:val="24"/>
              </w:rPr>
              <w:t>②</w:t>
            </w:r>
            <w:r>
              <w:rPr>
                <w:rFonts w:hint="eastAsia"/>
                <w:b/>
                <w:color w:val="auto"/>
                <w:sz w:val="24"/>
              </w:rPr>
              <w:t>柴油</w:t>
            </w:r>
          </w:p>
          <w:p w14:paraId="4B72E9BE">
            <w:pPr>
              <w:spacing w:line="360" w:lineRule="auto"/>
              <w:ind w:firstLine="480" w:firstLineChars="200"/>
              <w:rPr>
                <w:bCs/>
                <w:color w:val="auto"/>
                <w:sz w:val="24"/>
              </w:rPr>
            </w:pPr>
            <w:r>
              <w:rPr>
                <w:rFonts w:hint="eastAsia"/>
                <w:bCs/>
                <w:color w:val="auto"/>
                <w:sz w:val="24"/>
              </w:rPr>
              <w:t>现有项目设置单台功率为250kW燃轻质柴油的备用发电机2台，年用柴油266t。本</w:t>
            </w:r>
            <w:r>
              <w:rPr>
                <w:rFonts w:hint="eastAsia"/>
                <w:bCs/>
                <w:color w:val="auto"/>
                <w:sz w:val="24"/>
                <w:lang w:eastAsia="zh-CN"/>
              </w:rPr>
              <w:t>改建</w:t>
            </w:r>
            <w:r>
              <w:rPr>
                <w:rFonts w:hint="eastAsia"/>
                <w:bCs/>
                <w:color w:val="auto"/>
                <w:sz w:val="24"/>
              </w:rPr>
              <w:t>项目无需新增备用发电机，因此柴油年用量不变，为266t。</w:t>
            </w:r>
          </w:p>
          <w:p w14:paraId="127DF505">
            <w:pPr>
              <w:spacing w:line="360" w:lineRule="auto"/>
              <w:ind w:firstLine="482" w:firstLineChars="200"/>
              <w:rPr>
                <w:b/>
                <w:color w:val="auto"/>
                <w:sz w:val="24"/>
              </w:rPr>
            </w:pPr>
            <w:r>
              <w:rPr>
                <w:b/>
                <w:color w:val="auto"/>
                <w:sz w:val="24"/>
              </w:rPr>
              <w:t>（3）能耗水耗情况</w:t>
            </w:r>
          </w:p>
          <w:p w14:paraId="052D6FE0">
            <w:pPr>
              <w:pStyle w:val="179"/>
              <w:spacing w:line="240" w:lineRule="auto"/>
              <w:ind w:firstLine="0" w:firstLineChars="0"/>
              <w:jc w:val="center"/>
              <w:rPr>
                <w:rFonts w:ascii="Times New Roman" w:eastAsia="宋体"/>
                <w:color w:val="auto"/>
                <w:sz w:val="21"/>
                <w:szCs w:val="21"/>
              </w:rPr>
            </w:pPr>
            <w:r>
              <w:rPr>
                <w:rFonts w:ascii="Times New Roman" w:eastAsia="宋体"/>
                <w:b/>
                <w:color w:val="auto"/>
                <w:sz w:val="21"/>
                <w:szCs w:val="21"/>
              </w:rPr>
              <w:t>表2-</w:t>
            </w:r>
            <w:r>
              <w:rPr>
                <w:rFonts w:hint="eastAsia" w:ascii="Times New Roman" w:eastAsia="宋体"/>
                <w:b/>
                <w:color w:val="auto"/>
                <w:sz w:val="21"/>
                <w:szCs w:val="21"/>
              </w:rPr>
              <w:t>1</w:t>
            </w:r>
            <w:r>
              <w:rPr>
                <w:rFonts w:hint="eastAsia" w:ascii="Times New Roman" w:eastAsia="宋体"/>
                <w:b/>
                <w:color w:val="auto"/>
                <w:sz w:val="21"/>
                <w:szCs w:val="21"/>
                <w:lang w:val="en-US" w:eastAsia="zh-CN"/>
              </w:rPr>
              <w:t>2</w:t>
            </w:r>
            <w:r>
              <w:rPr>
                <w:rFonts w:ascii="Times New Roman" w:eastAsia="宋体"/>
                <w:b/>
                <w:color w:val="auto"/>
                <w:sz w:val="21"/>
                <w:szCs w:val="21"/>
              </w:rPr>
              <w:t>能耗水耗一览表</w:t>
            </w:r>
          </w:p>
          <w:tbl>
            <w:tblPr>
              <w:tblStyle w:val="42"/>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51" w:type="dxa"/>
                <w:bottom w:w="0" w:type="dxa"/>
                <w:right w:w="51" w:type="dxa"/>
              </w:tblCellMar>
            </w:tblPr>
            <w:tblGrid>
              <w:gridCol w:w="640"/>
              <w:gridCol w:w="900"/>
              <w:gridCol w:w="1770"/>
              <w:gridCol w:w="1748"/>
              <w:gridCol w:w="1540"/>
              <w:gridCol w:w="1550"/>
              <w:gridCol w:w="1280"/>
            </w:tblGrid>
            <w:tr w14:paraId="6CEF0A7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640" w:type="dxa"/>
                  <w:vMerge w:val="restart"/>
                  <w:tcBorders>
                    <w:tl2br w:val="nil"/>
                    <w:tr2bl w:val="nil"/>
                  </w:tcBorders>
                  <w:vAlign w:val="center"/>
                </w:tcPr>
                <w:p w14:paraId="3B299A8C">
                  <w:pPr>
                    <w:tabs>
                      <w:tab w:val="left" w:pos="1088"/>
                    </w:tabs>
                    <w:adjustRightInd w:val="0"/>
                    <w:snapToGrid w:val="0"/>
                    <w:jc w:val="center"/>
                    <w:rPr>
                      <w:b/>
                      <w:bCs/>
                      <w:color w:val="auto"/>
                    </w:rPr>
                  </w:pPr>
                  <w:r>
                    <w:rPr>
                      <w:b/>
                      <w:bCs/>
                      <w:color w:val="auto"/>
                    </w:rPr>
                    <w:t>序号</w:t>
                  </w:r>
                </w:p>
              </w:tc>
              <w:tc>
                <w:tcPr>
                  <w:tcW w:w="900" w:type="dxa"/>
                  <w:vMerge w:val="restart"/>
                  <w:tcBorders>
                    <w:tl2br w:val="nil"/>
                    <w:tr2bl w:val="nil"/>
                  </w:tcBorders>
                  <w:vAlign w:val="center"/>
                </w:tcPr>
                <w:p w14:paraId="461AD336">
                  <w:pPr>
                    <w:tabs>
                      <w:tab w:val="left" w:pos="1088"/>
                    </w:tabs>
                    <w:adjustRightInd w:val="0"/>
                    <w:snapToGrid w:val="0"/>
                    <w:jc w:val="center"/>
                    <w:rPr>
                      <w:b/>
                      <w:bCs/>
                      <w:color w:val="auto"/>
                    </w:rPr>
                  </w:pPr>
                  <w:r>
                    <w:rPr>
                      <w:b/>
                      <w:bCs/>
                      <w:color w:val="auto"/>
                    </w:rPr>
                    <w:t>名称</w:t>
                  </w:r>
                </w:p>
              </w:tc>
              <w:tc>
                <w:tcPr>
                  <w:tcW w:w="5058" w:type="dxa"/>
                  <w:gridSpan w:val="3"/>
                  <w:tcBorders>
                    <w:tl2br w:val="nil"/>
                    <w:tr2bl w:val="nil"/>
                  </w:tcBorders>
                  <w:vAlign w:val="center"/>
                </w:tcPr>
                <w:p w14:paraId="0E259D1B">
                  <w:pPr>
                    <w:tabs>
                      <w:tab w:val="left" w:pos="1088"/>
                    </w:tabs>
                    <w:adjustRightInd w:val="0"/>
                    <w:snapToGrid w:val="0"/>
                    <w:jc w:val="center"/>
                    <w:rPr>
                      <w:b/>
                      <w:bCs/>
                      <w:color w:val="auto"/>
                    </w:rPr>
                  </w:pPr>
                  <w:r>
                    <w:rPr>
                      <w:b/>
                      <w:bCs/>
                      <w:color w:val="auto"/>
                    </w:rPr>
                    <w:t>用量</w:t>
                  </w:r>
                </w:p>
              </w:tc>
              <w:tc>
                <w:tcPr>
                  <w:tcW w:w="1550" w:type="dxa"/>
                  <w:vMerge w:val="restart"/>
                  <w:tcBorders>
                    <w:tl2br w:val="nil"/>
                    <w:tr2bl w:val="nil"/>
                  </w:tcBorders>
                  <w:vAlign w:val="center"/>
                </w:tcPr>
                <w:p w14:paraId="5408CA28">
                  <w:pPr>
                    <w:tabs>
                      <w:tab w:val="left" w:pos="1088"/>
                    </w:tabs>
                    <w:adjustRightInd w:val="0"/>
                    <w:snapToGrid w:val="0"/>
                    <w:jc w:val="center"/>
                    <w:rPr>
                      <w:b/>
                      <w:bCs/>
                      <w:color w:val="auto"/>
                    </w:rPr>
                  </w:pPr>
                  <w:r>
                    <w:rPr>
                      <w:b/>
                      <w:bCs/>
                      <w:color w:val="auto"/>
                    </w:rPr>
                    <w:t>用途</w:t>
                  </w:r>
                </w:p>
              </w:tc>
              <w:tc>
                <w:tcPr>
                  <w:tcW w:w="1280" w:type="dxa"/>
                  <w:vMerge w:val="restart"/>
                  <w:tcBorders>
                    <w:tl2br w:val="nil"/>
                    <w:tr2bl w:val="nil"/>
                  </w:tcBorders>
                  <w:vAlign w:val="center"/>
                </w:tcPr>
                <w:p w14:paraId="704046F5">
                  <w:pPr>
                    <w:tabs>
                      <w:tab w:val="left" w:pos="1088"/>
                    </w:tabs>
                    <w:adjustRightInd w:val="0"/>
                    <w:snapToGrid w:val="0"/>
                    <w:jc w:val="center"/>
                    <w:rPr>
                      <w:b/>
                      <w:bCs/>
                      <w:color w:val="auto"/>
                    </w:rPr>
                  </w:pPr>
                  <w:r>
                    <w:rPr>
                      <w:b/>
                      <w:bCs/>
                      <w:color w:val="auto"/>
                    </w:rPr>
                    <w:t>来源</w:t>
                  </w:r>
                </w:p>
              </w:tc>
            </w:tr>
            <w:tr w14:paraId="372C35A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640" w:type="dxa"/>
                  <w:vMerge w:val="continue"/>
                  <w:tcBorders>
                    <w:tl2br w:val="nil"/>
                    <w:tr2bl w:val="nil"/>
                  </w:tcBorders>
                  <w:vAlign w:val="center"/>
                </w:tcPr>
                <w:p w14:paraId="2971023F">
                  <w:pPr>
                    <w:tabs>
                      <w:tab w:val="left" w:pos="1088"/>
                    </w:tabs>
                    <w:adjustRightInd w:val="0"/>
                    <w:snapToGrid w:val="0"/>
                    <w:jc w:val="center"/>
                    <w:rPr>
                      <w:b/>
                      <w:bCs/>
                      <w:color w:val="auto"/>
                    </w:rPr>
                  </w:pPr>
                </w:p>
              </w:tc>
              <w:tc>
                <w:tcPr>
                  <w:tcW w:w="900" w:type="dxa"/>
                  <w:vMerge w:val="continue"/>
                  <w:tcBorders>
                    <w:tl2br w:val="nil"/>
                    <w:tr2bl w:val="nil"/>
                  </w:tcBorders>
                  <w:vAlign w:val="center"/>
                </w:tcPr>
                <w:p w14:paraId="6F6FF956">
                  <w:pPr>
                    <w:tabs>
                      <w:tab w:val="left" w:pos="1088"/>
                    </w:tabs>
                    <w:adjustRightInd w:val="0"/>
                    <w:snapToGrid w:val="0"/>
                    <w:jc w:val="center"/>
                    <w:rPr>
                      <w:b/>
                      <w:bCs/>
                      <w:color w:val="auto"/>
                    </w:rPr>
                  </w:pPr>
                </w:p>
              </w:tc>
              <w:tc>
                <w:tcPr>
                  <w:tcW w:w="1770" w:type="dxa"/>
                  <w:tcBorders>
                    <w:tl2br w:val="nil"/>
                    <w:tr2bl w:val="nil"/>
                  </w:tcBorders>
                  <w:vAlign w:val="center"/>
                </w:tcPr>
                <w:p w14:paraId="35BD38E7">
                  <w:pPr>
                    <w:tabs>
                      <w:tab w:val="left" w:pos="1088"/>
                    </w:tabs>
                    <w:adjustRightInd w:val="0"/>
                    <w:snapToGrid w:val="0"/>
                    <w:jc w:val="center"/>
                    <w:rPr>
                      <w:rFonts w:hint="eastAsia"/>
                      <w:b/>
                      <w:bCs/>
                      <w:color w:val="auto"/>
                    </w:rPr>
                  </w:pPr>
                  <w:r>
                    <w:rPr>
                      <w:rFonts w:hint="eastAsia"/>
                      <w:b/>
                      <w:bCs/>
                      <w:color w:val="auto"/>
                    </w:rPr>
                    <w:t>现有项目</w:t>
                  </w:r>
                </w:p>
              </w:tc>
              <w:tc>
                <w:tcPr>
                  <w:tcW w:w="1748" w:type="dxa"/>
                  <w:tcBorders>
                    <w:tl2br w:val="nil"/>
                    <w:tr2bl w:val="nil"/>
                  </w:tcBorders>
                  <w:vAlign w:val="center"/>
                </w:tcPr>
                <w:p w14:paraId="373CB5AF">
                  <w:pPr>
                    <w:tabs>
                      <w:tab w:val="left" w:pos="1088"/>
                    </w:tabs>
                    <w:adjustRightInd w:val="0"/>
                    <w:snapToGrid w:val="0"/>
                    <w:jc w:val="center"/>
                    <w:rPr>
                      <w:b/>
                      <w:bCs/>
                      <w:color w:val="auto"/>
                    </w:rPr>
                  </w:pPr>
                  <w:r>
                    <w:rPr>
                      <w:rFonts w:hint="eastAsia"/>
                      <w:b/>
                      <w:bCs/>
                      <w:color w:val="auto"/>
                      <w:lang w:eastAsia="zh-CN"/>
                    </w:rPr>
                    <w:t>改建</w:t>
                  </w:r>
                  <w:r>
                    <w:rPr>
                      <w:rFonts w:hint="eastAsia"/>
                      <w:b/>
                      <w:bCs/>
                      <w:color w:val="auto"/>
                    </w:rPr>
                    <w:t>项目</w:t>
                  </w:r>
                </w:p>
              </w:tc>
              <w:tc>
                <w:tcPr>
                  <w:tcW w:w="1540" w:type="dxa"/>
                  <w:tcBorders>
                    <w:tl2br w:val="nil"/>
                    <w:tr2bl w:val="nil"/>
                  </w:tcBorders>
                  <w:vAlign w:val="center"/>
                </w:tcPr>
                <w:p w14:paraId="2F12C428">
                  <w:pPr>
                    <w:tabs>
                      <w:tab w:val="left" w:pos="1088"/>
                    </w:tabs>
                    <w:adjustRightInd w:val="0"/>
                    <w:snapToGrid w:val="0"/>
                    <w:jc w:val="center"/>
                    <w:rPr>
                      <w:rFonts w:hint="eastAsia"/>
                      <w:b/>
                      <w:bCs/>
                      <w:color w:val="auto"/>
                    </w:rPr>
                  </w:pPr>
                  <w:r>
                    <w:rPr>
                      <w:rFonts w:hint="eastAsia"/>
                      <w:b/>
                      <w:bCs/>
                      <w:color w:val="auto"/>
                      <w:lang w:eastAsia="zh-CN"/>
                    </w:rPr>
                    <w:t>改建</w:t>
                  </w:r>
                  <w:r>
                    <w:rPr>
                      <w:rFonts w:hint="eastAsia"/>
                      <w:b/>
                      <w:bCs/>
                      <w:color w:val="auto"/>
                    </w:rPr>
                    <w:t>后全厂</w:t>
                  </w:r>
                </w:p>
              </w:tc>
              <w:tc>
                <w:tcPr>
                  <w:tcW w:w="1550" w:type="dxa"/>
                  <w:vMerge w:val="continue"/>
                  <w:tcBorders>
                    <w:tl2br w:val="nil"/>
                    <w:tr2bl w:val="nil"/>
                  </w:tcBorders>
                  <w:vAlign w:val="center"/>
                </w:tcPr>
                <w:p w14:paraId="7DFBF43D">
                  <w:pPr>
                    <w:tabs>
                      <w:tab w:val="left" w:pos="1088"/>
                    </w:tabs>
                    <w:adjustRightInd w:val="0"/>
                    <w:snapToGrid w:val="0"/>
                    <w:jc w:val="center"/>
                    <w:rPr>
                      <w:b/>
                      <w:bCs/>
                      <w:color w:val="auto"/>
                    </w:rPr>
                  </w:pPr>
                </w:p>
              </w:tc>
              <w:tc>
                <w:tcPr>
                  <w:tcW w:w="1280" w:type="dxa"/>
                  <w:vMerge w:val="continue"/>
                  <w:tcBorders>
                    <w:tl2br w:val="nil"/>
                    <w:tr2bl w:val="nil"/>
                  </w:tcBorders>
                  <w:vAlign w:val="center"/>
                </w:tcPr>
                <w:p w14:paraId="45D5D3D4">
                  <w:pPr>
                    <w:tabs>
                      <w:tab w:val="left" w:pos="1088"/>
                    </w:tabs>
                    <w:adjustRightInd w:val="0"/>
                    <w:snapToGrid w:val="0"/>
                    <w:jc w:val="center"/>
                    <w:rPr>
                      <w:b/>
                      <w:bCs/>
                      <w:color w:val="auto"/>
                    </w:rPr>
                  </w:pPr>
                </w:p>
              </w:tc>
            </w:tr>
            <w:tr w14:paraId="3B9776C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640" w:type="dxa"/>
                  <w:vMerge w:val="restart"/>
                  <w:tcBorders>
                    <w:tl2br w:val="nil"/>
                    <w:tr2bl w:val="nil"/>
                  </w:tcBorders>
                  <w:vAlign w:val="center"/>
                </w:tcPr>
                <w:p w14:paraId="3613D02A">
                  <w:pPr>
                    <w:tabs>
                      <w:tab w:val="left" w:pos="1088"/>
                    </w:tabs>
                    <w:adjustRightInd w:val="0"/>
                    <w:snapToGrid w:val="0"/>
                    <w:jc w:val="center"/>
                    <w:rPr>
                      <w:color w:val="auto"/>
                    </w:rPr>
                  </w:pPr>
                  <w:r>
                    <w:rPr>
                      <w:color w:val="auto"/>
                    </w:rPr>
                    <w:t>1</w:t>
                  </w:r>
                </w:p>
              </w:tc>
              <w:tc>
                <w:tcPr>
                  <w:tcW w:w="900" w:type="dxa"/>
                  <w:vMerge w:val="restart"/>
                  <w:tcBorders>
                    <w:tl2br w:val="nil"/>
                    <w:tr2bl w:val="nil"/>
                  </w:tcBorders>
                  <w:vAlign w:val="center"/>
                </w:tcPr>
                <w:p w14:paraId="3125BC71">
                  <w:pPr>
                    <w:tabs>
                      <w:tab w:val="left" w:pos="1088"/>
                    </w:tabs>
                    <w:adjustRightInd w:val="0"/>
                    <w:snapToGrid w:val="0"/>
                    <w:jc w:val="center"/>
                    <w:rPr>
                      <w:color w:val="auto"/>
                    </w:rPr>
                  </w:pPr>
                  <w:r>
                    <w:rPr>
                      <w:color w:val="auto"/>
                    </w:rPr>
                    <w:t>水</w:t>
                  </w:r>
                </w:p>
              </w:tc>
              <w:tc>
                <w:tcPr>
                  <w:tcW w:w="1770" w:type="dxa"/>
                  <w:tcBorders>
                    <w:tl2br w:val="nil"/>
                    <w:tr2bl w:val="nil"/>
                  </w:tcBorders>
                  <w:vAlign w:val="center"/>
                </w:tcPr>
                <w:p w14:paraId="0FBB0515">
                  <w:pPr>
                    <w:tabs>
                      <w:tab w:val="left" w:pos="1088"/>
                    </w:tabs>
                    <w:adjustRightInd w:val="0"/>
                    <w:snapToGrid w:val="0"/>
                    <w:jc w:val="center"/>
                    <w:rPr>
                      <w:color w:val="auto"/>
                    </w:rPr>
                  </w:pPr>
                  <w:r>
                    <w:rPr>
                      <w:rFonts w:hint="eastAsia"/>
                      <w:color w:val="auto"/>
                    </w:rPr>
                    <w:t>14400</w:t>
                  </w:r>
                  <w:r>
                    <w:rPr>
                      <w:rFonts w:hint="eastAsia"/>
                      <w:color w:val="auto"/>
                      <w:szCs w:val="21"/>
                    </w:rPr>
                    <w:t>m</w:t>
                  </w:r>
                  <w:r>
                    <w:rPr>
                      <w:rFonts w:hint="eastAsia"/>
                      <w:color w:val="auto"/>
                      <w:szCs w:val="21"/>
                      <w:vertAlign w:val="superscript"/>
                    </w:rPr>
                    <w:t>3</w:t>
                  </w:r>
                  <w:r>
                    <w:rPr>
                      <w:color w:val="auto"/>
                    </w:rPr>
                    <w:t>/a</w:t>
                  </w:r>
                </w:p>
              </w:tc>
              <w:tc>
                <w:tcPr>
                  <w:tcW w:w="1748" w:type="dxa"/>
                  <w:tcBorders>
                    <w:tl2br w:val="nil"/>
                    <w:tr2bl w:val="nil"/>
                  </w:tcBorders>
                  <w:vAlign w:val="center"/>
                </w:tcPr>
                <w:p w14:paraId="14BEBBCA">
                  <w:pPr>
                    <w:tabs>
                      <w:tab w:val="left" w:pos="1088"/>
                    </w:tabs>
                    <w:adjustRightInd w:val="0"/>
                    <w:snapToGrid w:val="0"/>
                    <w:jc w:val="center"/>
                    <w:rPr>
                      <w:rFonts w:hint="eastAsia"/>
                      <w:color w:val="auto"/>
                    </w:rPr>
                  </w:pPr>
                  <w:r>
                    <w:rPr>
                      <w:rFonts w:hint="eastAsia"/>
                      <w:color w:val="auto"/>
                    </w:rPr>
                    <w:t>0</w:t>
                  </w:r>
                </w:p>
              </w:tc>
              <w:tc>
                <w:tcPr>
                  <w:tcW w:w="1540" w:type="dxa"/>
                  <w:tcBorders>
                    <w:tl2br w:val="nil"/>
                    <w:tr2bl w:val="nil"/>
                  </w:tcBorders>
                  <w:vAlign w:val="center"/>
                </w:tcPr>
                <w:p w14:paraId="743700F5">
                  <w:pPr>
                    <w:tabs>
                      <w:tab w:val="left" w:pos="1088"/>
                    </w:tabs>
                    <w:adjustRightInd w:val="0"/>
                    <w:snapToGrid w:val="0"/>
                    <w:jc w:val="center"/>
                    <w:rPr>
                      <w:color w:val="auto"/>
                    </w:rPr>
                  </w:pPr>
                  <w:r>
                    <w:rPr>
                      <w:rFonts w:hint="eastAsia"/>
                      <w:color w:val="auto"/>
                    </w:rPr>
                    <w:t>144</w:t>
                  </w:r>
                  <w:r>
                    <w:rPr>
                      <w:color w:val="auto"/>
                    </w:rPr>
                    <w:t>00</w:t>
                  </w:r>
                  <w:r>
                    <w:rPr>
                      <w:rFonts w:hint="eastAsia"/>
                      <w:color w:val="auto"/>
                      <w:szCs w:val="21"/>
                    </w:rPr>
                    <w:t>m</w:t>
                  </w:r>
                  <w:r>
                    <w:rPr>
                      <w:rFonts w:hint="eastAsia"/>
                      <w:color w:val="auto"/>
                      <w:szCs w:val="21"/>
                      <w:vertAlign w:val="superscript"/>
                    </w:rPr>
                    <w:t>3</w:t>
                  </w:r>
                  <w:r>
                    <w:rPr>
                      <w:color w:val="auto"/>
                    </w:rPr>
                    <w:t>/a</w:t>
                  </w:r>
                </w:p>
              </w:tc>
              <w:tc>
                <w:tcPr>
                  <w:tcW w:w="1550" w:type="dxa"/>
                  <w:tcBorders>
                    <w:tl2br w:val="nil"/>
                    <w:tr2bl w:val="nil"/>
                  </w:tcBorders>
                  <w:vAlign w:val="center"/>
                </w:tcPr>
                <w:p w14:paraId="7D2CA944">
                  <w:pPr>
                    <w:tabs>
                      <w:tab w:val="left" w:pos="1088"/>
                    </w:tabs>
                    <w:adjustRightInd w:val="0"/>
                    <w:snapToGrid w:val="0"/>
                    <w:jc w:val="center"/>
                    <w:rPr>
                      <w:color w:val="auto"/>
                    </w:rPr>
                  </w:pPr>
                  <w:r>
                    <w:rPr>
                      <w:color w:val="auto"/>
                    </w:rPr>
                    <w:t>生活</w:t>
                  </w:r>
                </w:p>
              </w:tc>
              <w:tc>
                <w:tcPr>
                  <w:tcW w:w="1280" w:type="dxa"/>
                  <w:vMerge w:val="restart"/>
                  <w:tcBorders>
                    <w:tl2br w:val="nil"/>
                    <w:tr2bl w:val="nil"/>
                  </w:tcBorders>
                  <w:vAlign w:val="center"/>
                </w:tcPr>
                <w:p w14:paraId="3566960E">
                  <w:pPr>
                    <w:tabs>
                      <w:tab w:val="left" w:pos="1088"/>
                    </w:tabs>
                    <w:adjustRightInd w:val="0"/>
                    <w:snapToGrid w:val="0"/>
                    <w:jc w:val="center"/>
                    <w:rPr>
                      <w:color w:val="auto"/>
                    </w:rPr>
                  </w:pPr>
                  <w:r>
                    <w:rPr>
                      <w:color w:val="auto"/>
                    </w:rPr>
                    <w:t>市政供水</w:t>
                  </w:r>
                </w:p>
              </w:tc>
            </w:tr>
            <w:tr w14:paraId="2998C34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640" w:type="dxa"/>
                  <w:vMerge w:val="continue"/>
                  <w:tcBorders>
                    <w:tl2br w:val="nil"/>
                    <w:tr2bl w:val="nil"/>
                  </w:tcBorders>
                  <w:vAlign w:val="center"/>
                </w:tcPr>
                <w:p w14:paraId="3CB43BAF">
                  <w:pPr>
                    <w:tabs>
                      <w:tab w:val="left" w:pos="1088"/>
                    </w:tabs>
                    <w:adjustRightInd w:val="0"/>
                    <w:snapToGrid w:val="0"/>
                    <w:jc w:val="center"/>
                    <w:rPr>
                      <w:color w:val="auto"/>
                    </w:rPr>
                  </w:pPr>
                </w:p>
              </w:tc>
              <w:tc>
                <w:tcPr>
                  <w:tcW w:w="900" w:type="dxa"/>
                  <w:vMerge w:val="continue"/>
                  <w:tcBorders>
                    <w:tl2br w:val="nil"/>
                    <w:tr2bl w:val="nil"/>
                  </w:tcBorders>
                  <w:vAlign w:val="center"/>
                </w:tcPr>
                <w:p w14:paraId="6962736D">
                  <w:pPr>
                    <w:tabs>
                      <w:tab w:val="left" w:pos="1088"/>
                    </w:tabs>
                    <w:adjustRightInd w:val="0"/>
                    <w:snapToGrid w:val="0"/>
                    <w:jc w:val="center"/>
                    <w:rPr>
                      <w:color w:val="auto"/>
                    </w:rPr>
                  </w:pPr>
                </w:p>
              </w:tc>
              <w:tc>
                <w:tcPr>
                  <w:tcW w:w="1770" w:type="dxa"/>
                  <w:tcBorders>
                    <w:tl2br w:val="nil"/>
                    <w:tr2bl w:val="nil"/>
                  </w:tcBorders>
                  <w:vAlign w:val="center"/>
                </w:tcPr>
                <w:p w14:paraId="00F3080D">
                  <w:pPr>
                    <w:tabs>
                      <w:tab w:val="left" w:pos="1088"/>
                    </w:tabs>
                    <w:adjustRightInd w:val="0"/>
                    <w:snapToGrid w:val="0"/>
                    <w:jc w:val="center"/>
                    <w:rPr>
                      <w:color w:val="auto"/>
                    </w:rPr>
                  </w:pPr>
                  <w:r>
                    <w:rPr>
                      <w:rFonts w:hint="eastAsia"/>
                      <w:color w:val="auto"/>
                    </w:rPr>
                    <w:t>48027</w:t>
                  </w:r>
                  <w:r>
                    <w:rPr>
                      <w:rFonts w:hint="eastAsia"/>
                      <w:color w:val="auto"/>
                      <w:szCs w:val="21"/>
                    </w:rPr>
                    <w:t>m</w:t>
                  </w:r>
                  <w:r>
                    <w:rPr>
                      <w:rFonts w:hint="eastAsia"/>
                      <w:color w:val="auto"/>
                      <w:szCs w:val="21"/>
                      <w:vertAlign w:val="superscript"/>
                    </w:rPr>
                    <w:t>3</w:t>
                  </w:r>
                  <w:r>
                    <w:rPr>
                      <w:color w:val="auto"/>
                    </w:rPr>
                    <w:t>/a</w:t>
                  </w:r>
                </w:p>
              </w:tc>
              <w:tc>
                <w:tcPr>
                  <w:tcW w:w="1748" w:type="dxa"/>
                  <w:tcBorders>
                    <w:tl2br w:val="nil"/>
                    <w:tr2bl w:val="nil"/>
                  </w:tcBorders>
                  <w:vAlign w:val="center"/>
                </w:tcPr>
                <w:p w14:paraId="068879F9">
                  <w:pPr>
                    <w:tabs>
                      <w:tab w:val="left" w:pos="1088"/>
                    </w:tabs>
                    <w:adjustRightInd w:val="0"/>
                    <w:snapToGrid w:val="0"/>
                    <w:jc w:val="center"/>
                    <w:rPr>
                      <w:rFonts w:hint="eastAsia"/>
                      <w:color w:val="auto"/>
                    </w:rPr>
                  </w:pPr>
                  <w:r>
                    <w:rPr>
                      <w:rFonts w:hint="eastAsia"/>
                      <w:color w:val="auto"/>
                    </w:rPr>
                    <w:t>-</w:t>
                  </w:r>
                  <w:r>
                    <w:rPr>
                      <w:rFonts w:hint="eastAsia"/>
                      <w:color w:val="auto"/>
                      <w:lang w:val="en-US" w:eastAsia="zh-CN"/>
                    </w:rPr>
                    <w:t>471</w:t>
                  </w:r>
                  <w:r>
                    <w:rPr>
                      <w:rFonts w:hint="eastAsia"/>
                      <w:color w:val="auto"/>
                      <w:szCs w:val="21"/>
                    </w:rPr>
                    <w:t>m</w:t>
                  </w:r>
                  <w:r>
                    <w:rPr>
                      <w:rFonts w:hint="eastAsia"/>
                      <w:color w:val="auto"/>
                      <w:szCs w:val="21"/>
                      <w:vertAlign w:val="superscript"/>
                    </w:rPr>
                    <w:t>3</w:t>
                  </w:r>
                  <w:r>
                    <w:rPr>
                      <w:color w:val="auto"/>
                    </w:rPr>
                    <w:t>t/a</w:t>
                  </w:r>
                </w:p>
              </w:tc>
              <w:tc>
                <w:tcPr>
                  <w:tcW w:w="1540" w:type="dxa"/>
                  <w:tcBorders>
                    <w:tl2br w:val="nil"/>
                    <w:tr2bl w:val="nil"/>
                  </w:tcBorders>
                  <w:vAlign w:val="center"/>
                </w:tcPr>
                <w:p w14:paraId="3CBBEF1E">
                  <w:pPr>
                    <w:tabs>
                      <w:tab w:val="left" w:pos="1088"/>
                    </w:tabs>
                    <w:adjustRightInd w:val="0"/>
                    <w:snapToGrid w:val="0"/>
                    <w:jc w:val="center"/>
                    <w:rPr>
                      <w:rFonts w:hint="eastAsia"/>
                      <w:color w:val="auto"/>
                    </w:rPr>
                  </w:pPr>
                  <w:r>
                    <w:rPr>
                      <w:rFonts w:hint="eastAsia"/>
                      <w:color w:val="auto"/>
                      <w:lang w:val="en-US" w:eastAsia="zh-CN"/>
                    </w:rPr>
                    <w:t>47556</w:t>
                  </w:r>
                  <w:r>
                    <w:rPr>
                      <w:rFonts w:hint="eastAsia"/>
                      <w:color w:val="auto"/>
                      <w:szCs w:val="21"/>
                    </w:rPr>
                    <w:t>m</w:t>
                  </w:r>
                  <w:r>
                    <w:rPr>
                      <w:rFonts w:hint="eastAsia"/>
                      <w:color w:val="auto"/>
                      <w:szCs w:val="21"/>
                      <w:vertAlign w:val="superscript"/>
                    </w:rPr>
                    <w:t>3</w:t>
                  </w:r>
                  <w:r>
                    <w:rPr>
                      <w:color w:val="auto"/>
                    </w:rPr>
                    <w:t>/a</w:t>
                  </w:r>
                </w:p>
              </w:tc>
              <w:tc>
                <w:tcPr>
                  <w:tcW w:w="1550" w:type="dxa"/>
                  <w:tcBorders>
                    <w:tl2br w:val="nil"/>
                    <w:tr2bl w:val="nil"/>
                  </w:tcBorders>
                  <w:vAlign w:val="center"/>
                </w:tcPr>
                <w:p w14:paraId="10D136F0">
                  <w:pPr>
                    <w:tabs>
                      <w:tab w:val="left" w:pos="1088"/>
                    </w:tabs>
                    <w:adjustRightInd w:val="0"/>
                    <w:snapToGrid w:val="0"/>
                    <w:jc w:val="center"/>
                    <w:rPr>
                      <w:color w:val="auto"/>
                    </w:rPr>
                  </w:pPr>
                  <w:r>
                    <w:rPr>
                      <w:color w:val="auto"/>
                    </w:rPr>
                    <w:t>生产</w:t>
                  </w:r>
                </w:p>
              </w:tc>
              <w:tc>
                <w:tcPr>
                  <w:tcW w:w="1280" w:type="dxa"/>
                  <w:vMerge w:val="continue"/>
                  <w:tcBorders>
                    <w:tl2br w:val="nil"/>
                    <w:tr2bl w:val="nil"/>
                  </w:tcBorders>
                  <w:vAlign w:val="center"/>
                </w:tcPr>
                <w:p w14:paraId="45355207">
                  <w:pPr>
                    <w:tabs>
                      <w:tab w:val="left" w:pos="1088"/>
                    </w:tabs>
                    <w:adjustRightInd w:val="0"/>
                    <w:snapToGrid w:val="0"/>
                    <w:jc w:val="center"/>
                    <w:rPr>
                      <w:color w:val="auto"/>
                    </w:rPr>
                  </w:pPr>
                </w:p>
              </w:tc>
            </w:tr>
            <w:tr w14:paraId="73F56AE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640" w:type="dxa"/>
                  <w:tcBorders>
                    <w:bottom w:val="single" w:color="000000" w:sz="6" w:space="0"/>
                    <w:tl2br w:val="nil"/>
                    <w:tr2bl w:val="nil"/>
                  </w:tcBorders>
                  <w:vAlign w:val="center"/>
                </w:tcPr>
                <w:p w14:paraId="6487D0AE">
                  <w:pPr>
                    <w:tabs>
                      <w:tab w:val="left" w:pos="1088"/>
                    </w:tabs>
                    <w:adjustRightInd w:val="0"/>
                    <w:snapToGrid w:val="0"/>
                    <w:jc w:val="center"/>
                    <w:rPr>
                      <w:color w:val="auto"/>
                    </w:rPr>
                  </w:pPr>
                  <w:r>
                    <w:rPr>
                      <w:color w:val="auto"/>
                    </w:rPr>
                    <w:t>2</w:t>
                  </w:r>
                </w:p>
              </w:tc>
              <w:tc>
                <w:tcPr>
                  <w:tcW w:w="900" w:type="dxa"/>
                  <w:tcBorders>
                    <w:bottom w:val="single" w:color="000000" w:sz="6" w:space="0"/>
                    <w:tl2br w:val="nil"/>
                    <w:tr2bl w:val="nil"/>
                  </w:tcBorders>
                  <w:vAlign w:val="center"/>
                </w:tcPr>
                <w:p w14:paraId="495DA044">
                  <w:pPr>
                    <w:tabs>
                      <w:tab w:val="left" w:pos="1088"/>
                    </w:tabs>
                    <w:adjustRightInd w:val="0"/>
                    <w:snapToGrid w:val="0"/>
                    <w:jc w:val="center"/>
                    <w:rPr>
                      <w:color w:val="auto"/>
                    </w:rPr>
                  </w:pPr>
                  <w:r>
                    <w:rPr>
                      <w:color w:val="auto"/>
                    </w:rPr>
                    <w:t>电</w:t>
                  </w:r>
                </w:p>
              </w:tc>
              <w:tc>
                <w:tcPr>
                  <w:tcW w:w="1770" w:type="dxa"/>
                  <w:tcBorders>
                    <w:bottom w:val="single" w:color="000000" w:sz="6" w:space="0"/>
                    <w:tl2br w:val="nil"/>
                    <w:tr2bl w:val="nil"/>
                  </w:tcBorders>
                  <w:vAlign w:val="center"/>
                </w:tcPr>
                <w:p w14:paraId="27DA309D">
                  <w:pPr>
                    <w:tabs>
                      <w:tab w:val="left" w:pos="1088"/>
                    </w:tabs>
                    <w:adjustRightInd w:val="0"/>
                    <w:snapToGrid w:val="0"/>
                    <w:jc w:val="center"/>
                    <w:rPr>
                      <w:color w:val="auto"/>
                    </w:rPr>
                  </w:pPr>
                  <w:r>
                    <w:rPr>
                      <w:rFonts w:hint="eastAsia"/>
                      <w:color w:val="auto"/>
                    </w:rPr>
                    <w:t>32</w:t>
                  </w:r>
                  <w:r>
                    <w:rPr>
                      <w:color w:val="auto"/>
                    </w:rPr>
                    <w:t>0万kW</w:t>
                  </w:r>
                  <w:r>
                    <w:rPr>
                      <w:bCs/>
                      <w:color w:val="auto"/>
                    </w:rPr>
                    <w:t>•</w:t>
                  </w:r>
                  <w:r>
                    <w:rPr>
                      <w:color w:val="auto"/>
                    </w:rPr>
                    <w:t>h/a</w:t>
                  </w:r>
                </w:p>
              </w:tc>
              <w:tc>
                <w:tcPr>
                  <w:tcW w:w="1748" w:type="dxa"/>
                  <w:tcBorders>
                    <w:bottom w:val="single" w:color="000000" w:sz="6" w:space="0"/>
                    <w:tl2br w:val="nil"/>
                    <w:tr2bl w:val="nil"/>
                  </w:tcBorders>
                  <w:vAlign w:val="center"/>
                </w:tcPr>
                <w:p w14:paraId="7887BDB0">
                  <w:pPr>
                    <w:tabs>
                      <w:tab w:val="left" w:pos="1088"/>
                    </w:tabs>
                    <w:adjustRightInd w:val="0"/>
                    <w:snapToGrid w:val="0"/>
                    <w:jc w:val="center"/>
                    <w:rPr>
                      <w:rFonts w:hint="eastAsia"/>
                      <w:color w:val="auto"/>
                    </w:rPr>
                  </w:pPr>
                  <w:r>
                    <w:rPr>
                      <w:rFonts w:hint="eastAsia"/>
                      <w:color w:val="auto"/>
                      <w:lang w:val="en-US" w:eastAsia="zh-CN"/>
                    </w:rPr>
                    <w:t>+1</w:t>
                  </w:r>
                  <w:r>
                    <w:rPr>
                      <w:color w:val="auto"/>
                    </w:rPr>
                    <w:t>0万kW</w:t>
                  </w:r>
                  <w:r>
                    <w:rPr>
                      <w:bCs/>
                      <w:color w:val="auto"/>
                    </w:rPr>
                    <w:t>•</w:t>
                  </w:r>
                  <w:r>
                    <w:rPr>
                      <w:color w:val="auto"/>
                    </w:rPr>
                    <w:t>h/a</w:t>
                  </w:r>
                </w:p>
              </w:tc>
              <w:tc>
                <w:tcPr>
                  <w:tcW w:w="1540" w:type="dxa"/>
                  <w:tcBorders>
                    <w:bottom w:val="single" w:color="000000" w:sz="6" w:space="0"/>
                    <w:tl2br w:val="nil"/>
                    <w:tr2bl w:val="nil"/>
                  </w:tcBorders>
                  <w:vAlign w:val="center"/>
                </w:tcPr>
                <w:p w14:paraId="0A851428">
                  <w:pPr>
                    <w:tabs>
                      <w:tab w:val="left" w:pos="1088"/>
                    </w:tabs>
                    <w:adjustRightInd w:val="0"/>
                    <w:snapToGrid w:val="0"/>
                    <w:jc w:val="center"/>
                    <w:rPr>
                      <w:rFonts w:hint="eastAsia"/>
                      <w:color w:val="auto"/>
                    </w:rPr>
                  </w:pPr>
                  <w:r>
                    <w:rPr>
                      <w:rFonts w:hint="eastAsia"/>
                      <w:color w:val="auto"/>
                    </w:rPr>
                    <w:t>3</w:t>
                  </w:r>
                  <w:r>
                    <w:rPr>
                      <w:rFonts w:hint="eastAsia"/>
                      <w:color w:val="auto"/>
                      <w:lang w:val="en-US" w:eastAsia="zh-CN"/>
                    </w:rPr>
                    <w:t>3</w:t>
                  </w:r>
                  <w:r>
                    <w:rPr>
                      <w:color w:val="auto"/>
                    </w:rPr>
                    <w:t>0万kW</w:t>
                  </w:r>
                  <w:r>
                    <w:rPr>
                      <w:bCs/>
                      <w:color w:val="auto"/>
                    </w:rPr>
                    <w:t>•</w:t>
                  </w:r>
                  <w:r>
                    <w:rPr>
                      <w:color w:val="auto"/>
                    </w:rPr>
                    <w:t>h/a</w:t>
                  </w:r>
                </w:p>
              </w:tc>
              <w:tc>
                <w:tcPr>
                  <w:tcW w:w="1550" w:type="dxa"/>
                  <w:tcBorders>
                    <w:bottom w:val="single" w:color="000000" w:sz="6" w:space="0"/>
                    <w:tl2br w:val="nil"/>
                    <w:tr2bl w:val="nil"/>
                  </w:tcBorders>
                  <w:vAlign w:val="center"/>
                </w:tcPr>
                <w:p w14:paraId="2E6308E4">
                  <w:pPr>
                    <w:tabs>
                      <w:tab w:val="left" w:pos="1088"/>
                    </w:tabs>
                    <w:adjustRightInd w:val="0"/>
                    <w:snapToGrid w:val="0"/>
                    <w:jc w:val="center"/>
                    <w:rPr>
                      <w:color w:val="auto"/>
                    </w:rPr>
                  </w:pPr>
                  <w:r>
                    <w:rPr>
                      <w:color w:val="auto"/>
                    </w:rPr>
                    <w:t>生产、生活</w:t>
                  </w:r>
                </w:p>
              </w:tc>
              <w:tc>
                <w:tcPr>
                  <w:tcW w:w="1280" w:type="dxa"/>
                  <w:tcBorders>
                    <w:bottom w:val="single" w:color="000000" w:sz="6" w:space="0"/>
                    <w:tl2br w:val="nil"/>
                    <w:tr2bl w:val="nil"/>
                  </w:tcBorders>
                  <w:vAlign w:val="center"/>
                </w:tcPr>
                <w:p w14:paraId="2858DBCF">
                  <w:pPr>
                    <w:tabs>
                      <w:tab w:val="left" w:pos="1088"/>
                    </w:tabs>
                    <w:adjustRightInd w:val="0"/>
                    <w:snapToGrid w:val="0"/>
                    <w:jc w:val="center"/>
                    <w:rPr>
                      <w:color w:val="auto"/>
                    </w:rPr>
                  </w:pPr>
                  <w:r>
                    <w:rPr>
                      <w:color w:val="auto"/>
                    </w:rPr>
                    <w:t>市政供电</w:t>
                  </w:r>
                </w:p>
              </w:tc>
            </w:tr>
            <w:tr w14:paraId="6BC6056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640" w:type="dxa"/>
                  <w:tcBorders>
                    <w:top w:val="single" w:color="000000" w:sz="6" w:space="0"/>
                    <w:tl2br w:val="nil"/>
                    <w:tr2bl w:val="nil"/>
                  </w:tcBorders>
                  <w:vAlign w:val="center"/>
                </w:tcPr>
                <w:p w14:paraId="29128CBD">
                  <w:pPr>
                    <w:tabs>
                      <w:tab w:val="left" w:pos="1088"/>
                    </w:tabs>
                    <w:adjustRightInd w:val="0"/>
                    <w:snapToGrid w:val="0"/>
                    <w:jc w:val="center"/>
                    <w:rPr>
                      <w:rFonts w:hint="eastAsia"/>
                      <w:color w:val="auto"/>
                    </w:rPr>
                  </w:pPr>
                  <w:r>
                    <w:rPr>
                      <w:rFonts w:hint="eastAsia"/>
                      <w:color w:val="auto"/>
                    </w:rPr>
                    <w:t>3</w:t>
                  </w:r>
                </w:p>
              </w:tc>
              <w:tc>
                <w:tcPr>
                  <w:tcW w:w="900" w:type="dxa"/>
                  <w:tcBorders>
                    <w:top w:val="single" w:color="000000" w:sz="6" w:space="0"/>
                    <w:tl2br w:val="nil"/>
                    <w:tr2bl w:val="nil"/>
                  </w:tcBorders>
                  <w:vAlign w:val="center"/>
                </w:tcPr>
                <w:p w14:paraId="47ADF551">
                  <w:pPr>
                    <w:tabs>
                      <w:tab w:val="left" w:pos="1088"/>
                    </w:tabs>
                    <w:adjustRightInd w:val="0"/>
                    <w:snapToGrid w:val="0"/>
                    <w:jc w:val="center"/>
                    <w:rPr>
                      <w:rFonts w:hint="eastAsia"/>
                      <w:color w:val="auto"/>
                    </w:rPr>
                  </w:pPr>
                  <w:r>
                    <w:rPr>
                      <w:rFonts w:hint="eastAsia"/>
                      <w:color w:val="auto"/>
                    </w:rPr>
                    <w:t>柴油</w:t>
                  </w:r>
                </w:p>
              </w:tc>
              <w:tc>
                <w:tcPr>
                  <w:tcW w:w="1770" w:type="dxa"/>
                  <w:tcBorders>
                    <w:top w:val="single" w:color="000000" w:sz="6" w:space="0"/>
                    <w:tl2br w:val="nil"/>
                    <w:tr2bl w:val="nil"/>
                  </w:tcBorders>
                  <w:vAlign w:val="center"/>
                </w:tcPr>
                <w:p w14:paraId="77A90947">
                  <w:pPr>
                    <w:tabs>
                      <w:tab w:val="left" w:pos="1088"/>
                    </w:tabs>
                    <w:adjustRightInd w:val="0"/>
                    <w:snapToGrid w:val="0"/>
                    <w:jc w:val="center"/>
                    <w:rPr>
                      <w:color w:val="auto"/>
                    </w:rPr>
                  </w:pPr>
                  <w:r>
                    <w:rPr>
                      <w:rFonts w:hint="eastAsia"/>
                      <w:color w:val="auto"/>
                    </w:rPr>
                    <w:t>266t/a</w:t>
                  </w:r>
                </w:p>
              </w:tc>
              <w:tc>
                <w:tcPr>
                  <w:tcW w:w="1748" w:type="dxa"/>
                  <w:tcBorders>
                    <w:top w:val="single" w:color="000000" w:sz="6" w:space="0"/>
                    <w:tl2br w:val="nil"/>
                    <w:tr2bl w:val="nil"/>
                  </w:tcBorders>
                  <w:vAlign w:val="center"/>
                </w:tcPr>
                <w:p w14:paraId="2AD5D55E">
                  <w:pPr>
                    <w:tabs>
                      <w:tab w:val="left" w:pos="1088"/>
                    </w:tabs>
                    <w:adjustRightInd w:val="0"/>
                    <w:snapToGrid w:val="0"/>
                    <w:jc w:val="center"/>
                    <w:rPr>
                      <w:color w:val="auto"/>
                    </w:rPr>
                  </w:pPr>
                  <w:r>
                    <w:rPr>
                      <w:rFonts w:hint="eastAsia"/>
                      <w:color w:val="auto"/>
                    </w:rPr>
                    <w:t>0</w:t>
                  </w:r>
                </w:p>
              </w:tc>
              <w:tc>
                <w:tcPr>
                  <w:tcW w:w="1540" w:type="dxa"/>
                  <w:tcBorders>
                    <w:top w:val="single" w:color="000000" w:sz="6" w:space="0"/>
                    <w:tl2br w:val="nil"/>
                    <w:tr2bl w:val="nil"/>
                  </w:tcBorders>
                  <w:vAlign w:val="center"/>
                </w:tcPr>
                <w:p w14:paraId="68673244">
                  <w:pPr>
                    <w:tabs>
                      <w:tab w:val="left" w:pos="1088"/>
                    </w:tabs>
                    <w:adjustRightInd w:val="0"/>
                    <w:snapToGrid w:val="0"/>
                    <w:jc w:val="center"/>
                    <w:rPr>
                      <w:color w:val="auto"/>
                    </w:rPr>
                  </w:pPr>
                  <w:r>
                    <w:rPr>
                      <w:rFonts w:hint="eastAsia"/>
                      <w:color w:val="auto"/>
                    </w:rPr>
                    <w:t>266t/a</w:t>
                  </w:r>
                </w:p>
              </w:tc>
              <w:tc>
                <w:tcPr>
                  <w:tcW w:w="1550" w:type="dxa"/>
                  <w:tcBorders>
                    <w:top w:val="single" w:color="000000" w:sz="6" w:space="0"/>
                    <w:tl2br w:val="nil"/>
                    <w:tr2bl w:val="nil"/>
                  </w:tcBorders>
                  <w:vAlign w:val="center"/>
                </w:tcPr>
                <w:p w14:paraId="5A00409B">
                  <w:pPr>
                    <w:tabs>
                      <w:tab w:val="left" w:pos="1088"/>
                    </w:tabs>
                    <w:adjustRightInd w:val="0"/>
                    <w:snapToGrid w:val="0"/>
                    <w:jc w:val="center"/>
                    <w:rPr>
                      <w:color w:val="auto"/>
                    </w:rPr>
                  </w:pPr>
                  <w:r>
                    <w:rPr>
                      <w:rFonts w:hint="eastAsia"/>
                      <w:color w:val="auto"/>
                    </w:rPr>
                    <w:t>备用发电机</w:t>
                  </w:r>
                </w:p>
              </w:tc>
              <w:tc>
                <w:tcPr>
                  <w:tcW w:w="1280" w:type="dxa"/>
                  <w:tcBorders>
                    <w:top w:val="single" w:color="000000" w:sz="6" w:space="0"/>
                    <w:tl2br w:val="nil"/>
                    <w:tr2bl w:val="nil"/>
                  </w:tcBorders>
                  <w:vAlign w:val="center"/>
                </w:tcPr>
                <w:p w14:paraId="56BB5558">
                  <w:pPr>
                    <w:tabs>
                      <w:tab w:val="left" w:pos="1088"/>
                    </w:tabs>
                    <w:adjustRightInd w:val="0"/>
                    <w:snapToGrid w:val="0"/>
                    <w:jc w:val="center"/>
                    <w:rPr>
                      <w:rFonts w:hint="eastAsia"/>
                      <w:color w:val="auto"/>
                    </w:rPr>
                  </w:pPr>
                  <w:r>
                    <w:rPr>
                      <w:rFonts w:hint="eastAsia"/>
                      <w:color w:val="auto"/>
                    </w:rPr>
                    <w:t>市场</w:t>
                  </w:r>
                </w:p>
              </w:tc>
            </w:tr>
          </w:tbl>
          <w:p w14:paraId="26CA4AF6">
            <w:pPr>
              <w:spacing w:line="360" w:lineRule="auto"/>
              <w:ind w:firstLine="482" w:firstLineChars="200"/>
              <w:rPr>
                <w:b/>
                <w:color w:val="auto"/>
                <w:sz w:val="24"/>
              </w:rPr>
            </w:pPr>
            <w:r>
              <w:rPr>
                <w:b/>
                <w:color w:val="auto"/>
                <w:sz w:val="24"/>
              </w:rPr>
              <w:t>（十）厂区平面布置</w:t>
            </w:r>
          </w:p>
          <w:p w14:paraId="39AA93AA">
            <w:pPr>
              <w:spacing w:line="360" w:lineRule="auto"/>
              <w:ind w:firstLine="480" w:firstLineChars="200"/>
              <w:rPr>
                <w:bCs/>
                <w:color w:val="auto"/>
                <w:sz w:val="24"/>
              </w:rPr>
            </w:pPr>
            <w:r>
              <w:rPr>
                <w:rFonts w:hint="eastAsia"/>
                <w:bCs/>
                <w:color w:val="auto"/>
                <w:sz w:val="24"/>
              </w:rPr>
              <w:t>本</w:t>
            </w:r>
            <w:r>
              <w:rPr>
                <w:rFonts w:hint="eastAsia"/>
                <w:bCs/>
                <w:color w:val="auto"/>
                <w:sz w:val="24"/>
                <w:lang w:eastAsia="zh-CN"/>
              </w:rPr>
              <w:t>改建</w:t>
            </w:r>
            <w:r>
              <w:rPr>
                <w:bCs/>
                <w:color w:val="auto"/>
                <w:sz w:val="24"/>
              </w:rPr>
              <w:t>项目厂区平面布置是按工艺要求和总平面图布置的一般原则，结合地形等特点，在满足生产及运输的条件下，尽量节约土地，力求布置紧凑，提高场地利用系数。</w:t>
            </w:r>
            <w:r>
              <w:rPr>
                <w:rFonts w:hint="eastAsia"/>
                <w:bCs/>
                <w:color w:val="auto"/>
                <w:sz w:val="24"/>
              </w:rPr>
              <w:t>本</w:t>
            </w:r>
            <w:r>
              <w:rPr>
                <w:rFonts w:hint="eastAsia"/>
                <w:bCs/>
                <w:color w:val="auto"/>
                <w:sz w:val="24"/>
                <w:lang w:eastAsia="zh-CN"/>
              </w:rPr>
              <w:t>改建</w:t>
            </w:r>
            <w:r>
              <w:rPr>
                <w:bCs/>
                <w:color w:val="auto"/>
                <w:sz w:val="24"/>
              </w:rPr>
              <w:t>项目位于</w:t>
            </w:r>
            <w:r>
              <w:rPr>
                <w:rFonts w:hint="eastAsia"/>
                <w:bCs/>
                <w:color w:val="auto"/>
                <w:sz w:val="24"/>
              </w:rPr>
              <w:t>阳江市阳东区东城镇裕东一路25号原有的厂房内</w:t>
            </w:r>
            <w:r>
              <w:rPr>
                <w:bCs/>
                <w:color w:val="auto"/>
                <w:sz w:val="24"/>
              </w:rPr>
              <w:t>。车间</w:t>
            </w:r>
            <w:r>
              <w:rPr>
                <w:rFonts w:hint="eastAsia"/>
                <w:bCs/>
                <w:color w:val="auto"/>
                <w:sz w:val="24"/>
              </w:rPr>
              <w:t>生产</w:t>
            </w:r>
            <w:r>
              <w:rPr>
                <w:bCs/>
                <w:color w:val="auto"/>
                <w:sz w:val="24"/>
              </w:rPr>
              <w:t>设备按照工艺布置，设备布局合理，能够满足项目生产需求，基本符合《工业企业总平面设计规范》（GB50187-2012），综上所述，企业厂区总平面布置功能分区明确，</w:t>
            </w:r>
            <w:r>
              <w:rPr>
                <w:rFonts w:hint="eastAsia"/>
                <w:bCs/>
                <w:color w:val="auto"/>
                <w:sz w:val="24"/>
              </w:rPr>
              <w:t>结合</w:t>
            </w:r>
            <w:r>
              <w:rPr>
                <w:bCs/>
                <w:color w:val="auto"/>
                <w:sz w:val="24"/>
              </w:rPr>
              <w:t>企业性质、规模、生产流程、交通运输、场地自然条件进行布置，平面布局较为合理。</w:t>
            </w:r>
            <w:r>
              <w:rPr>
                <w:rFonts w:hint="eastAsia"/>
                <w:bCs/>
                <w:color w:val="auto"/>
                <w:sz w:val="24"/>
              </w:rPr>
              <w:t>具体见附图</w:t>
            </w:r>
            <w:r>
              <w:rPr>
                <w:rFonts w:hint="eastAsia"/>
                <w:bCs/>
                <w:color w:val="auto"/>
                <w:sz w:val="24"/>
                <w:lang w:val="en-US" w:eastAsia="zh-CN"/>
              </w:rPr>
              <w:t>6</w:t>
            </w:r>
            <w:r>
              <w:rPr>
                <w:rFonts w:hint="eastAsia"/>
                <w:bCs/>
                <w:color w:val="auto"/>
                <w:sz w:val="24"/>
              </w:rPr>
              <w:t>所示</w:t>
            </w:r>
            <w:r>
              <w:rPr>
                <w:bCs/>
                <w:color w:val="auto"/>
                <w:sz w:val="24"/>
              </w:rPr>
              <w:t>。</w:t>
            </w:r>
          </w:p>
          <w:p w14:paraId="5FEFA17F">
            <w:pPr>
              <w:pStyle w:val="50"/>
              <w:rPr>
                <w:rFonts w:ascii="Times New Roman" w:hAnsi="Times New Roman" w:cs="Times New Roman"/>
                <w:bCs/>
                <w:color w:val="auto"/>
              </w:rPr>
            </w:pPr>
          </w:p>
          <w:p w14:paraId="07135C95">
            <w:pPr>
              <w:pStyle w:val="75"/>
              <w:rPr>
                <w:rFonts w:ascii="Times New Roman" w:cs="Times New Roman"/>
                <w:color w:val="auto"/>
                <w:sz w:val="24"/>
                <w:szCs w:val="24"/>
              </w:rPr>
            </w:pPr>
          </w:p>
          <w:p w14:paraId="0CD372A2">
            <w:pPr>
              <w:pStyle w:val="50"/>
              <w:rPr>
                <w:rFonts w:ascii="Times New Roman" w:hAnsi="Times New Roman" w:cs="Times New Roman"/>
                <w:bCs/>
                <w:color w:val="auto"/>
              </w:rPr>
            </w:pPr>
          </w:p>
          <w:p w14:paraId="26E174AA">
            <w:pPr>
              <w:pStyle w:val="75"/>
              <w:rPr>
                <w:color w:val="auto"/>
              </w:rPr>
            </w:pPr>
          </w:p>
        </w:tc>
      </w:tr>
      <w:tr w14:paraId="6766E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5" w:type="dxa"/>
            <w:vAlign w:val="center"/>
          </w:tcPr>
          <w:p w14:paraId="2A8082FE">
            <w:pPr>
              <w:pStyle w:val="36"/>
              <w:adjustRightInd w:val="0"/>
              <w:snapToGrid w:val="0"/>
              <w:spacing w:before="0" w:beforeAutospacing="0" w:after="0" w:afterAutospacing="0"/>
              <w:jc w:val="center"/>
              <w:rPr>
                <w:rFonts w:ascii="Times New Roman" w:hAnsi="Times New Roman"/>
                <w:color w:val="auto"/>
                <w:szCs w:val="24"/>
              </w:rPr>
            </w:pPr>
            <w:r>
              <w:rPr>
                <w:rFonts w:ascii="Times New Roman" w:hAnsi="Times New Roman"/>
                <w:color w:val="auto"/>
                <w:szCs w:val="24"/>
              </w:rPr>
              <w:t>工艺流程和产排污环节</w:t>
            </w:r>
          </w:p>
        </w:tc>
        <w:tc>
          <w:tcPr>
            <w:tcW w:w="9729" w:type="dxa"/>
          </w:tcPr>
          <w:p w14:paraId="1F2E1D72">
            <w:pPr>
              <w:pStyle w:val="21"/>
              <w:adjustRightInd w:val="0"/>
              <w:spacing w:before="0" w:after="0" w:line="360" w:lineRule="auto"/>
              <w:ind w:right="0" w:firstLine="482" w:firstLineChars="200"/>
              <w:rPr>
                <w:b/>
                <w:color w:val="auto"/>
                <w:kern w:val="2"/>
                <w:sz w:val="24"/>
                <w:szCs w:val="24"/>
              </w:rPr>
            </w:pPr>
            <w:r>
              <w:rPr>
                <w:rFonts w:hint="eastAsia"/>
                <w:b/>
                <w:color w:val="auto"/>
                <w:kern w:val="2"/>
                <w:sz w:val="24"/>
                <w:szCs w:val="24"/>
              </w:rPr>
              <w:t>1、生产工艺流程</w:t>
            </w:r>
          </w:p>
          <w:p w14:paraId="1625C671">
            <w:pPr>
              <w:spacing w:line="360" w:lineRule="auto"/>
              <w:ind w:firstLine="482" w:firstLineChars="200"/>
              <w:rPr>
                <w:rFonts w:hint="default" w:ascii="Times New Roman" w:hAnsi="Times New Roman" w:eastAsia="宋体" w:cs="Times New Roman"/>
                <w:b/>
                <w:bCs w:val="0"/>
                <w:color w:val="auto"/>
                <w:sz w:val="24"/>
                <w:lang w:val="en-US" w:eastAsia="zh-CN"/>
              </w:rPr>
            </w:pPr>
            <w:r>
              <w:rPr>
                <w:rFonts w:hint="eastAsia" w:ascii="Times New Roman" w:hAnsi="Times New Roman" w:eastAsia="宋体" w:cs="Times New Roman"/>
                <w:b/>
                <w:bCs w:val="0"/>
                <w:color w:val="auto"/>
                <w:sz w:val="24"/>
                <w:lang w:val="en-US" w:eastAsia="zh-CN"/>
              </w:rPr>
              <w:t>（1）全厂生产工艺流程</w:t>
            </w:r>
          </w:p>
          <w:p w14:paraId="13D3AFD3">
            <w:pPr>
              <w:spacing w:line="360" w:lineRule="auto"/>
              <w:ind w:firstLine="480" w:firstLineChars="200"/>
              <w:rPr>
                <w:rFonts w:hint="default"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本改建项目在现有全厂的生产工艺流程的基础上，原有少部分需阳极氧化的铝制品变更为电泳加工。</w:t>
            </w:r>
          </w:p>
          <w:p w14:paraId="38EBD5AD">
            <w:pPr>
              <w:pStyle w:val="21"/>
              <w:adjustRightInd w:val="0"/>
              <w:spacing w:before="0" w:after="0" w:line="360" w:lineRule="auto"/>
              <w:ind w:left="0" w:leftChars="0" w:right="0" w:firstLine="0" w:firstLineChars="0"/>
              <w:rPr>
                <w:rFonts w:hint="eastAsia"/>
                <w:bCs/>
                <w:color w:val="auto"/>
                <w:kern w:val="2"/>
                <w:sz w:val="24"/>
                <w:szCs w:val="24"/>
                <w:lang w:val="en-US" w:eastAsia="zh-CN"/>
              </w:rPr>
            </w:pPr>
            <w:r>
              <w:rPr>
                <w:color w:val="auto"/>
                <w:sz w:val="24"/>
              </w:rPr>
              <mc:AlternateContent>
                <mc:Choice Requires="wps">
                  <w:drawing>
                    <wp:anchor distT="0" distB="0" distL="114300" distR="114300" simplePos="0" relativeHeight="251662336" behindDoc="0" locked="0" layoutInCell="1" allowOverlap="1">
                      <wp:simplePos x="0" y="0"/>
                      <wp:positionH relativeFrom="column">
                        <wp:posOffset>-37465</wp:posOffset>
                      </wp:positionH>
                      <wp:positionV relativeFrom="paragraph">
                        <wp:posOffset>2376170</wp:posOffset>
                      </wp:positionV>
                      <wp:extent cx="996315" cy="266065"/>
                      <wp:effectExtent l="4445" t="414655" r="8890" b="5080"/>
                      <wp:wrapNone/>
                      <wp:docPr id="253" name="矩形标注 253"/>
                      <wp:cNvGraphicFramePr/>
                      <a:graphic xmlns:a="http://schemas.openxmlformats.org/drawingml/2006/main">
                        <a:graphicData uri="http://schemas.microsoft.com/office/word/2010/wordprocessingShape">
                          <wps:wsp>
                            <wps:cNvSpPr/>
                            <wps:spPr>
                              <a:xfrm>
                                <a:off x="1156970" y="3387090"/>
                                <a:ext cx="996315" cy="266065"/>
                              </a:xfrm>
                              <a:prstGeom prst="wedgeRectCallout">
                                <a:avLst>
                                  <a:gd name="adj1" fmla="val 28457"/>
                                  <a:gd name="adj2" fmla="val -199642"/>
                                </a:avLst>
                              </a:prstGeom>
                              <a:solidFill>
                                <a:srgbClr val="FF0000"/>
                              </a:solidFill>
                              <a:ln w="9525"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00E9B262">
                                  <w:pPr>
                                    <w:jc w:val="center"/>
                                    <w:rPr>
                                      <w:rFonts w:hint="default" w:eastAsia="宋体"/>
                                      <w:lang w:val="en-US" w:eastAsia="zh-CN"/>
                                    </w:rPr>
                                  </w:pPr>
                                  <w:r>
                                    <w:rPr>
                                      <w:rFonts w:hint="eastAsia"/>
                                      <w:lang w:val="en-US" w:eastAsia="zh-CN"/>
                                    </w:rPr>
                                    <w:t>本次改建项目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95pt;margin-top:187.1pt;height:20.95pt;width:78.45pt;z-index:251662336;v-text-anchor:middle;mso-width-relative:page;mso-height-relative:page;" fillcolor="#FF0000" filled="t" stroked="t" coordsize="21600,21600" o:gfxdata="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GEZM59kAAAAKAQAADwAAAAAAAAAB&#10;ACAAAAAiAAAAZHJzL2Rvd25yZXYueG1sUEsBAhQAFAAAAAgAh07iQIsC0/y6AgAAcgUAAA4AAAAA&#10;AAAAAQAgAAAAKAEAAGRycy9lMm9Eb2MueG1sUEsFBgAAAAAGAAYAWQEAAFQGAAAAAA==&#10;" adj="16947,-32323">
                      <v:fill on="t" focussize="0,0"/>
                      <v:stroke color="#000000 [3213]" miterlimit="8" joinstyle="miter"/>
                      <v:imagedata o:title=""/>
                      <o:lock v:ext="edit" aspectratio="f"/>
                      <v:textbox>
                        <w:txbxContent>
                          <w:p w14:paraId="00E9B262">
                            <w:pPr>
                              <w:jc w:val="center"/>
                              <w:rPr>
                                <w:rFonts w:hint="default" w:eastAsia="宋体"/>
                                <w:lang w:val="en-US" w:eastAsia="zh-CN"/>
                              </w:rPr>
                            </w:pPr>
                            <w:r>
                              <w:rPr>
                                <w:rFonts w:hint="eastAsia"/>
                                <w:lang w:val="en-US" w:eastAsia="zh-CN"/>
                              </w:rPr>
                              <w:t>本次改建项目</w:t>
                            </w:r>
                          </w:p>
                        </w:txbxContent>
                      </v:textbox>
                    </v:shape>
                  </w:pict>
                </mc:Fallback>
              </mc:AlternateContent>
            </w:r>
            <w:r>
              <w:rPr>
                <w:rFonts w:hint="eastAsia"/>
                <w:bCs/>
                <w:color w:val="auto"/>
                <w:kern w:val="2"/>
                <w:sz w:val="24"/>
                <w:szCs w:val="24"/>
                <w:lang w:val="en-US" w:eastAsia="zh-CN"/>
              </w:rPr>
              <w:object>
                <v:shape id="_x0000_i1028" o:spt="75" type="#_x0000_t75" style="height:228.3pt;width:475.2pt;" o:ole="t" filled="f" o:preferrelative="t" stroked="f" coordsize="21600,21600">
                  <v:path/>
                  <v:fill on="f" focussize="0,0"/>
                  <v:stroke on="f"/>
                  <v:imagedata r:id="rId23" o:title=""/>
                  <o:lock v:ext="edit" aspectratio="f"/>
                  <w10:wrap type="none"/>
                  <w10:anchorlock/>
                </v:shape>
                <o:OLEObject Type="Embed" ProgID="Visio.Drawing.15" ShapeID="_x0000_i1028" DrawAspect="Content" ObjectID="_1468075728" r:id="rId22">
                  <o:LockedField>false</o:LockedField>
                </o:OLEObject>
              </w:object>
            </w:r>
          </w:p>
          <w:p w14:paraId="4AF7AAE1">
            <w:pPr>
              <w:pStyle w:val="21"/>
              <w:adjustRightInd w:val="0"/>
              <w:spacing w:before="0" w:after="0" w:line="360" w:lineRule="auto"/>
              <w:ind w:left="0" w:leftChars="0" w:right="0" w:firstLine="0" w:firstLineChars="0"/>
              <w:jc w:val="center"/>
              <w:rPr>
                <w:rFonts w:hint="default"/>
                <w:bCs/>
                <w:color w:val="auto"/>
                <w:kern w:val="2"/>
                <w:sz w:val="24"/>
                <w:szCs w:val="24"/>
                <w:lang w:val="en-US" w:eastAsia="zh-CN"/>
              </w:rPr>
            </w:pPr>
            <w:r>
              <w:rPr>
                <w:rFonts w:hint="eastAsia"/>
                <w:b/>
                <w:bCs w:val="0"/>
                <w:color w:val="auto"/>
                <w:kern w:val="2"/>
                <w:sz w:val="21"/>
                <w:szCs w:val="21"/>
                <w:lang w:val="en-US" w:eastAsia="zh-CN"/>
              </w:rPr>
              <w:t>图2-4 全厂生产工艺流程及产污图</w:t>
            </w:r>
          </w:p>
          <w:p w14:paraId="3E967A9F">
            <w:pPr>
              <w:pStyle w:val="21"/>
              <w:adjustRightInd w:val="0"/>
              <w:spacing w:before="0" w:after="0" w:line="360" w:lineRule="auto"/>
              <w:ind w:right="0" w:firstLine="482" w:firstLineChars="200"/>
              <w:rPr>
                <w:rFonts w:hint="default"/>
                <w:b/>
                <w:bCs w:val="0"/>
                <w:color w:val="auto"/>
                <w:kern w:val="2"/>
                <w:sz w:val="24"/>
                <w:szCs w:val="24"/>
                <w:lang w:val="en-US" w:eastAsia="zh-CN"/>
              </w:rPr>
            </w:pPr>
            <w:r>
              <w:rPr>
                <w:rFonts w:hint="eastAsia"/>
                <w:b/>
                <w:bCs w:val="0"/>
                <w:color w:val="auto"/>
                <w:kern w:val="2"/>
                <w:sz w:val="24"/>
                <w:szCs w:val="24"/>
                <w:lang w:val="en-US" w:eastAsia="zh-CN"/>
              </w:rPr>
              <w:t>（2）本改建项目生产工艺流程</w:t>
            </w:r>
          </w:p>
          <w:p w14:paraId="472C69B8">
            <w:pPr>
              <w:pStyle w:val="21"/>
              <w:adjustRightInd w:val="0"/>
              <w:spacing w:before="0" w:after="0" w:line="360" w:lineRule="auto"/>
              <w:ind w:right="0" w:firstLine="480" w:firstLineChars="200"/>
              <w:rPr>
                <w:rFonts w:hint="eastAsia"/>
                <w:bCs/>
                <w:color w:val="auto"/>
                <w:kern w:val="2"/>
                <w:sz w:val="24"/>
                <w:szCs w:val="24"/>
              </w:rPr>
            </w:pPr>
            <w:r>
              <w:rPr>
                <w:rFonts w:hint="default" w:ascii="Times New Roman" w:hAnsi="Times New Roman" w:eastAsia="宋体" w:cs="Times New Roman"/>
                <w:bCs/>
                <w:color w:val="auto"/>
                <w:kern w:val="2"/>
                <w:sz w:val="24"/>
                <w:szCs w:val="24"/>
                <w:lang w:val="en-US" w:eastAsia="zh-CN"/>
              </w:rPr>
              <w:t>本</w:t>
            </w:r>
            <w:r>
              <w:rPr>
                <w:rFonts w:hint="default" w:ascii="Times New Roman" w:hAnsi="Times New Roman" w:eastAsia="宋体" w:cs="Times New Roman"/>
                <w:bCs/>
                <w:color w:val="auto"/>
                <w:kern w:val="2"/>
                <w:sz w:val="24"/>
                <w:szCs w:val="24"/>
                <w:lang w:eastAsia="zh-CN"/>
              </w:rPr>
              <w:t>改建</w:t>
            </w:r>
            <w:r>
              <w:rPr>
                <w:rFonts w:hint="default" w:ascii="Times New Roman" w:hAnsi="Times New Roman" w:eastAsia="宋体" w:cs="Times New Roman"/>
                <w:bCs/>
                <w:color w:val="auto"/>
                <w:kern w:val="2"/>
                <w:sz w:val="24"/>
                <w:szCs w:val="24"/>
              </w:rPr>
              <w:t>项目</w:t>
            </w:r>
            <w:r>
              <w:rPr>
                <w:rFonts w:hint="default" w:ascii="Times New Roman" w:hAnsi="Times New Roman" w:eastAsia="宋体" w:cs="Times New Roman"/>
                <w:bCs/>
                <w:color w:val="auto"/>
                <w:kern w:val="2"/>
                <w:sz w:val="24"/>
                <w:szCs w:val="24"/>
                <w:lang w:val="en-US" w:eastAsia="zh-CN"/>
              </w:rPr>
              <w:t>在</w:t>
            </w:r>
            <w:r>
              <w:rPr>
                <w:rFonts w:hint="default" w:ascii="Times New Roman" w:hAnsi="Times New Roman" w:eastAsia="宋体" w:cs="Times New Roman"/>
                <w:bCs/>
                <w:color w:val="auto"/>
                <w:kern w:val="2"/>
                <w:sz w:val="24"/>
                <w:szCs w:val="24"/>
              </w:rPr>
              <w:t>现有项目工艺的基础增加了电泳漆涂装工序，</w:t>
            </w:r>
            <w:r>
              <w:rPr>
                <w:rFonts w:hint="eastAsia" w:ascii="Times New Roman" w:hAnsi="Times New Roman" w:eastAsia="宋体" w:cs="Times New Roman"/>
                <w:bCs/>
                <w:color w:val="auto"/>
                <w:kern w:val="2"/>
                <w:sz w:val="24"/>
                <w:szCs w:val="24"/>
                <w:lang w:val="en-US" w:eastAsia="zh-CN"/>
              </w:rPr>
              <w:t>原取消的阳极氧化线前处理也设有预脱脂工序，本次利用原取消的阳极氧化线的酸性脱脂剂进行预脱脂，因此本改建项目无新增预脱脂工艺废水</w:t>
            </w:r>
            <w:r>
              <w:rPr>
                <w:rFonts w:hint="eastAsia" w:ascii="Times New Roman" w:hAnsi="Times New Roman" w:eastAsia="宋体" w:cs="Times New Roman"/>
                <w:bCs/>
                <w:color w:val="auto"/>
                <w:kern w:val="2"/>
                <w:sz w:val="24"/>
                <w:szCs w:val="24"/>
              </w:rPr>
              <w:t>，</w:t>
            </w:r>
            <w:r>
              <w:rPr>
                <w:rFonts w:hint="eastAsia"/>
                <w:bCs/>
                <w:color w:val="auto"/>
                <w:kern w:val="2"/>
                <w:sz w:val="24"/>
                <w:szCs w:val="24"/>
              </w:rPr>
              <w:t>具体工艺流程及产污情况如下：</w:t>
            </w:r>
          </w:p>
          <w:p w14:paraId="0DE08061">
            <w:pPr>
              <w:pStyle w:val="21"/>
              <w:adjustRightInd w:val="0"/>
              <w:spacing w:before="0" w:after="0" w:line="360" w:lineRule="auto"/>
              <w:ind w:right="0"/>
              <w:jc w:val="center"/>
              <w:rPr>
                <w:rFonts w:hint="eastAsia"/>
                <w:b/>
                <w:color w:val="auto"/>
                <w:sz w:val="21"/>
              </w:rPr>
            </w:pPr>
            <w:r>
              <w:rPr>
                <w:rFonts w:hint="eastAsia"/>
                <w:b/>
                <w:color w:val="auto"/>
                <w:sz w:val="21"/>
              </w:rPr>
              <w:object>
                <v:shape id="_x0000_i1029" o:spt="75" type="#_x0000_t75" style="height:309pt;width:355.5pt;" o:ole="t" filled="f" o:preferrelative="t" stroked="f" coordsize="21600,21600">
                  <v:path/>
                  <v:fill on="f" focussize="0,0"/>
                  <v:stroke on="f" joinstyle="miter"/>
                  <v:imagedata r:id="rId25" o:title=""/>
                  <o:lock v:ext="edit" aspectratio="f"/>
                  <w10:wrap type="none"/>
                  <w10:anchorlock/>
                </v:shape>
                <o:OLEObject Type="Embed" ProgID="Visio.Drawing.15" ShapeID="_x0000_i1029" DrawAspect="Content" ObjectID="_1468075729" r:id="rId24">
                  <o:LockedField>false</o:LockedField>
                </o:OLEObject>
              </w:object>
            </w:r>
          </w:p>
          <w:p w14:paraId="78A9B61E">
            <w:pPr>
              <w:pStyle w:val="21"/>
              <w:adjustRightInd w:val="0"/>
              <w:spacing w:before="0" w:after="0" w:line="360" w:lineRule="auto"/>
              <w:ind w:right="0"/>
              <w:jc w:val="center"/>
              <w:rPr>
                <w:b/>
                <w:color w:val="auto"/>
                <w:sz w:val="21"/>
                <w:szCs w:val="21"/>
              </w:rPr>
            </w:pPr>
            <w:r>
              <w:rPr>
                <w:b/>
                <w:color w:val="auto"/>
                <w:sz w:val="21"/>
                <w:szCs w:val="21"/>
              </w:rPr>
              <w:t>图2-</w:t>
            </w:r>
            <w:r>
              <w:rPr>
                <w:rFonts w:hint="eastAsia"/>
                <w:b/>
                <w:color w:val="auto"/>
                <w:sz w:val="21"/>
                <w:szCs w:val="21"/>
                <w:lang w:val="en-US" w:eastAsia="zh-CN"/>
              </w:rPr>
              <w:t>5</w:t>
            </w:r>
            <w:r>
              <w:rPr>
                <w:rFonts w:hint="eastAsia"/>
                <w:b/>
                <w:color w:val="auto"/>
                <w:sz w:val="21"/>
                <w:szCs w:val="21"/>
              </w:rPr>
              <w:t xml:space="preserve"> </w:t>
            </w:r>
            <w:r>
              <w:rPr>
                <w:rFonts w:hint="eastAsia"/>
                <w:b/>
                <w:color w:val="auto"/>
                <w:sz w:val="21"/>
                <w:szCs w:val="21"/>
                <w:lang w:eastAsia="zh-CN"/>
              </w:rPr>
              <w:t>改建</w:t>
            </w:r>
            <w:r>
              <w:rPr>
                <w:rFonts w:hint="eastAsia"/>
                <w:b/>
                <w:color w:val="auto"/>
                <w:sz w:val="21"/>
                <w:szCs w:val="21"/>
              </w:rPr>
              <w:t>项目电泳漆表面加工生产工艺流程及产污环节图</w:t>
            </w:r>
          </w:p>
          <w:p w14:paraId="21BC9589">
            <w:pPr>
              <w:adjustRightInd w:val="0"/>
              <w:snapToGrid w:val="0"/>
              <w:spacing w:line="360" w:lineRule="auto"/>
              <w:ind w:firstLine="482" w:firstLineChars="200"/>
              <w:rPr>
                <w:bCs/>
                <w:color w:val="auto"/>
                <w:sz w:val="24"/>
              </w:rPr>
            </w:pPr>
            <w:bookmarkStart w:id="54" w:name="_Toc10336"/>
            <w:bookmarkStart w:id="55" w:name="_Toc26631"/>
            <w:bookmarkStart w:id="56" w:name="_Toc15115"/>
            <w:bookmarkStart w:id="57" w:name="_Toc15966"/>
            <w:bookmarkStart w:id="58" w:name="_Toc12291"/>
            <w:bookmarkStart w:id="59" w:name="_Toc12475"/>
            <w:r>
              <w:rPr>
                <w:b/>
                <w:color w:val="auto"/>
                <w:sz w:val="24"/>
              </w:rPr>
              <w:t>上挂：</w:t>
            </w:r>
            <w:r>
              <w:rPr>
                <w:rFonts w:hint="eastAsia"/>
                <w:bCs/>
                <w:color w:val="auto"/>
                <w:sz w:val="24"/>
              </w:rPr>
              <w:t>本项目自身生产的铝制品</w:t>
            </w:r>
            <w:r>
              <w:rPr>
                <w:bCs/>
                <w:color w:val="auto"/>
                <w:sz w:val="24"/>
              </w:rPr>
              <w:t>通过人工将工件吊挂在挂具上，进入自动</w:t>
            </w:r>
            <w:r>
              <w:rPr>
                <w:rFonts w:hint="eastAsia"/>
                <w:bCs/>
                <w:color w:val="auto"/>
                <w:sz w:val="24"/>
              </w:rPr>
              <w:t>电泳涂装加工</w:t>
            </w:r>
            <w:r>
              <w:rPr>
                <w:bCs/>
                <w:color w:val="auto"/>
                <w:sz w:val="24"/>
              </w:rPr>
              <w:t>线，此过程基本无污染产生。</w:t>
            </w:r>
            <w:bookmarkEnd w:id="54"/>
            <w:bookmarkEnd w:id="55"/>
            <w:bookmarkEnd w:id="56"/>
            <w:bookmarkEnd w:id="57"/>
            <w:bookmarkEnd w:id="58"/>
            <w:bookmarkEnd w:id="59"/>
          </w:p>
          <w:p w14:paraId="5AC16D54">
            <w:pPr>
              <w:adjustRightInd w:val="0"/>
              <w:snapToGrid w:val="0"/>
              <w:spacing w:line="360" w:lineRule="auto"/>
              <w:ind w:firstLine="482" w:firstLineChars="200"/>
              <w:rPr>
                <w:bCs/>
                <w:color w:val="auto"/>
                <w:sz w:val="24"/>
              </w:rPr>
            </w:pPr>
            <w:bookmarkStart w:id="60" w:name="_Toc12049"/>
            <w:bookmarkStart w:id="61" w:name="_Toc95133494"/>
            <w:bookmarkStart w:id="62" w:name="_Toc2678"/>
            <w:bookmarkStart w:id="63" w:name="_Toc13083"/>
            <w:bookmarkStart w:id="64" w:name="_Toc8483"/>
            <w:bookmarkStart w:id="65" w:name="_Toc6141"/>
            <w:bookmarkStart w:id="66" w:name="_Toc104138504"/>
            <w:bookmarkStart w:id="67" w:name="_Toc92573276"/>
            <w:bookmarkStart w:id="68" w:name="_Toc10699"/>
            <w:bookmarkStart w:id="69" w:name="_Toc26149"/>
            <w:r>
              <w:rPr>
                <w:rFonts w:hint="eastAsia"/>
                <w:b/>
                <w:color w:val="auto"/>
                <w:sz w:val="24"/>
              </w:rPr>
              <w:t>预脱脂</w:t>
            </w:r>
            <w:r>
              <w:rPr>
                <w:b/>
                <w:color w:val="auto"/>
                <w:sz w:val="24"/>
              </w:rPr>
              <w:t>：</w:t>
            </w:r>
            <w:r>
              <w:rPr>
                <w:bCs/>
                <w:color w:val="auto"/>
                <w:sz w:val="24"/>
              </w:rPr>
              <w:t>通过吊机将工件</w:t>
            </w:r>
            <w:r>
              <w:rPr>
                <w:rFonts w:hint="eastAsia"/>
                <w:bCs/>
                <w:color w:val="auto"/>
                <w:sz w:val="24"/>
              </w:rPr>
              <w:t>输</w:t>
            </w:r>
            <w:r>
              <w:rPr>
                <w:bCs/>
                <w:color w:val="auto"/>
                <w:sz w:val="24"/>
              </w:rPr>
              <w:t>送至</w:t>
            </w:r>
            <w:r>
              <w:rPr>
                <w:rFonts w:hint="eastAsia"/>
                <w:bCs/>
                <w:color w:val="auto"/>
                <w:sz w:val="24"/>
              </w:rPr>
              <w:t>超声波热脱脂</w:t>
            </w:r>
            <w:r>
              <w:rPr>
                <w:bCs/>
                <w:color w:val="auto"/>
                <w:sz w:val="24"/>
              </w:rPr>
              <w:t>槽内加入</w:t>
            </w:r>
            <w:r>
              <w:rPr>
                <w:rFonts w:hint="eastAsia"/>
                <w:bCs/>
                <w:color w:val="auto"/>
                <w:sz w:val="24"/>
              </w:rPr>
              <w:t>酸性脱脂剂</w:t>
            </w:r>
            <w:r>
              <w:rPr>
                <w:bCs/>
                <w:color w:val="auto"/>
                <w:sz w:val="24"/>
              </w:rPr>
              <w:t>进行</w:t>
            </w:r>
            <w:r>
              <w:rPr>
                <w:rFonts w:hint="eastAsia"/>
                <w:bCs/>
                <w:color w:val="auto"/>
                <w:sz w:val="24"/>
              </w:rPr>
              <w:t>浸泡2~4min，为了更好除油，需用电加热温度至40~70℃浸泡除油</w:t>
            </w:r>
            <w:r>
              <w:rPr>
                <w:bCs/>
                <w:color w:val="auto"/>
                <w:sz w:val="24"/>
              </w:rPr>
              <w:t>，除油主要是除去工件表面浮尘、残渣、油脂、油污，以保证在后续工序中工件表面具有良好的附着力和防护性能和槽液清洁。</w:t>
            </w:r>
            <w:r>
              <w:rPr>
                <w:rFonts w:hint="eastAsia"/>
                <w:bCs/>
                <w:color w:val="auto"/>
                <w:sz w:val="24"/>
              </w:rPr>
              <w:t>超声波热脱脂</w:t>
            </w:r>
            <w:r>
              <w:rPr>
                <w:bCs/>
                <w:color w:val="auto"/>
                <w:sz w:val="24"/>
              </w:rPr>
              <w:t>槽水循环再用，只需定期补水及</w:t>
            </w:r>
            <w:r>
              <w:rPr>
                <w:rFonts w:hint="eastAsia"/>
                <w:bCs/>
                <w:color w:val="auto"/>
                <w:sz w:val="24"/>
              </w:rPr>
              <w:t>更换槽液，此过程会产生废槽液和运行噪声</w:t>
            </w:r>
            <w:r>
              <w:rPr>
                <w:bCs/>
                <w:color w:val="auto"/>
                <w:sz w:val="24"/>
              </w:rPr>
              <w:t>。</w:t>
            </w:r>
            <w:bookmarkEnd w:id="60"/>
            <w:bookmarkEnd w:id="61"/>
            <w:bookmarkEnd w:id="62"/>
            <w:bookmarkEnd w:id="63"/>
            <w:bookmarkEnd w:id="64"/>
            <w:bookmarkEnd w:id="65"/>
            <w:bookmarkEnd w:id="66"/>
            <w:bookmarkEnd w:id="67"/>
            <w:bookmarkEnd w:id="68"/>
            <w:bookmarkEnd w:id="69"/>
          </w:p>
          <w:p w14:paraId="498C1112">
            <w:pPr>
              <w:adjustRightInd w:val="0"/>
              <w:snapToGrid w:val="0"/>
              <w:spacing w:line="360" w:lineRule="auto"/>
              <w:ind w:firstLine="482" w:firstLineChars="200"/>
              <w:rPr>
                <w:rFonts w:hint="eastAsia"/>
                <w:bCs/>
                <w:color w:val="auto"/>
                <w:sz w:val="24"/>
              </w:rPr>
            </w:pPr>
            <w:bookmarkStart w:id="70" w:name="_Toc22100"/>
            <w:bookmarkStart w:id="71" w:name="_Toc1809"/>
            <w:bookmarkStart w:id="72" w:name="_Toc12661"/>
            <w:bookmarkStart w:id="73" w:name="_Toc6224"/>
            <w:r>
              <w:rPr>
                <w:rFonts w:hint="eastAsia"/>
                <w:b/>
                <w:color w:val="auto"/>
                <w:sz w:val="24"/>
              </w:rPr>
              <w:t>五级水洗：</w:t>
            </w:r>
            <w:r>
              <w:rPr>
                <w:bCs/>
                <w:color w:val="auto"/>
                <w:sz w:val="24"/>
              </w:rPr>
              <w:t>本项目设有</w:t>
            </w:r>
            <w:r>
              <w:rPr>
                <w:rFonts w:hint="eastAsia"/>
                <w:bCs/>
                <w:color w:val="auto"/>
                <w:sz w:val="24"/>
              </w:rPr>
              <w:t>喷淋水洗槽1、自来水洗槽1、自来水水洗槽2、自来水水洗槽3、自来水水洗槽4共五级使用自来水进行清洗</w:t>
            </w:r>
            <w:r>
              <w:rPr>
                <w:bCs/>
                <w:color w:val="auto"/>
                <w:sz w:val="24"/>
              </w:rPr>
              <w:t>，水洗方式</w:t>
            </w:r>
            <w:r>
              <w:rPr>
                <w:rFonts w:hint="eastAsia"/>
                <w:bCs/>
                <w:color w:val="auto"/>
                <w:sz w:val="24"/>
              </w:rPr>
              <w:t>先进行喷淋自来水1~2min后再通过吊机在4个自来水洗槽中顺着吊机运行方向调节时间，每个水洗槽均分别浸泡1~2min，</w:t>
            </w:r>
            <w:r>
              <w:rPr>
                <w:bCs/>
                <w:color w:val="auto"/>
                <w:sz w:val="24"/>
              </w:rPr>
              <w:t>均为常温状态下进行水洗，主要去除工件表面处理的</w:t>
            </w:r>
            <w:r>
              <w:rPr>
                <w:rFonts w:hint="eastAsia"/>
                <w:bCs/>
                <w:color w:val="auto"/>
                <w:sz w:val="24"/>
              </w:rPr>
              <w:t>脱脂剂</w:t>
            </w:r>
            <w:r>
              <w:rPr>
                <w:bCs/>
                <w:color w:val="auto"/>
                <w:sz w:val="24"/>
              </w:rPr>
              <w:t>。水洗槽通过定期更换，此过程会产生清洗废水</w:t>
            </w:r>
            <w:r>
              <w:rPr>
                <w:rFonts w:hint="eastAsia"/>
                <w:bCs/>
                <w:color w:val="auto"/>
                <w:sz w:val="24"/>
              </w:rPr>
              <w:t>和运行</w:t>
            </w:r>
            <w:r>
              <w:rPr>
                <w:bCs/>
                <w:color w:val="auto"/>
                <w:sz w:val="24"/>
              </w:rPr>
              <w:t>噪声。</w:t>
            </w:r>
            <w:bookmarkEnd w:id="70"/>
            <w:bookmarkEnd w:id="71"/>
            <w:bookmarkEnd w:id="72"/>
            <w:bookmarkEnd w:id="73"/>
          </w:p>
          <w:p w14:paraId="1D77CC6A">
            <w:pPr>
              <w:adjustRightInd w:val="0"/>
              <w:snapToGrid w:val="0"/>
              <w:spacing w:line="360" w:lineRule="auto"/>
              <w:ind w:firstLine="482" w:firstLineChars="200"/>
              <w:rPr>
                <w:bCs/>
                <w:color w:val="auto"/>
                <w:sz w:val="24"/>
              </w:rPr>
            </w:pPr>
            <w:bookmarkStart w:id="74" w:name="_Toc21451"/>
            <w:bookmarkStart w:id="75" w:name="_Toc24640"/>
            <w:bookmarkStart w:id="76" w:name="_Toc28382"/>
            <w:bookmarkStart w:id="77" w:name="_Toc5688"/>
            <w:bookmarkStart w:id="78" w:name="_Toc16061"/>
            <w:bookmarkStart w:id="79" w:name="_Toc16271"/>
            <w:bookmarkStart w:id="80" w:name="_Toc92573281"/>
            <w:bookmarkStart w:id="81" w:name="_Toc104138509"/>
            <w:bookmarkStart w:id="82" w:name="_Toc95133499"/>
            <w:bookmarkStart w:id="83" w:name="_Toc17439"/>
            <w:r>
              <w:rPr>
                <w:rFonts w:hint="eastAsia"/>
                <w:b/>
                <w:color w:val="auto"/>
                <w:sz w:val="24"/>
              </w:rPr>
              <w:t>两级纯水洗</w:t>
            </w:r>
            <w:r>
              <w:rPr>
                <w:b/>
                <w:color w:val="auto"/>
                <w:sz w:val="24"/>
              </w:rPr>
              <w:t>：</w:t>
            </w:r>
            <w:r>
              <w:rPr>
                <w:bCs/>
                <w:color w:val="auto"/>
                <w:sz w:val="24"/>
              </w:rPr>
              <w:t>本项目设有</w:t>
            </w:r>
            <w:r>
              <w:rPr>
                <w:rFonts w:hint="eastAsia"/>
                <w:bCs/>
                <w:color w:val="auto"/>
                <w:sz w:val="24"/>
              </w:rPr>
              <w:t>超声波纯水洗槽、纯水洗槽共两级使用纯水进行清洗</w:t>
            </w:r>
            <w:r>
              <w:rPr>
                <w:bCs/>
                <w:color w:val="auto"/>
                <w:sz w:val="24"/>
              </w:rPr>
              <w:t>，</w:t>
            </w:r>
            <w:r>
              <w:rPr>
                <w:rFonts w:hint="eastAsia"/>
                <w:bCs/>
                <w:color w:val="auto"/>
                <w:sz w:val="24"/>
              </w:rPr>
              <w:t>均为浸泡方式</w:t>
            </w:r>
            <w:r>
              <w:rPr>
                <w:bCs/>
                <w:color w:val="auto"/>
                <w:sz w:val="24"/>
              </w:rPr>
              <w:t>，浸泡通过吊机操作工件浸泡在水洗槽中</w:t>
            </w:r>
            <w:r>
              <w:rPr>
                <w:rFonts w:hint="eastAsia"/>
                <w:bCs/>
                <w:color w:val="auto"/>
                <w:sz w:val="24"/>
              </w:rPr>
              <w:t>顺着吊机运行方向调节时间，每个水洗槽均分别浸泡1~2min，</w:t>
            </w:r>
            <w:r>
              <w:rPr>
                <w:bCs/>
                <w:color w:val="auto"/>
                <w:sz w:val="24"/>
              </w:rPr>
              <w:t>均为常温状态下进行水洗，主要</w:t>
            </w:r>
            <w:r>
              <w:rPr>
                <w:rFonts w:hint="eastAsia"/>
                <w:bCs/>
                <w:color w:val="auto"/>
                <w:sz w:val="24"/>
              </w:rPr>
              <w:t>继续</w:t>
            </w:r>
            <w:r>
              <w:rPr>
                <w:bCs/>
                <w:color w:val="auto"/>
                <w:sz w:val="24"/>
              </w:rPr>
              <w:t>去除工件表面处理的</w:t>
            </w:r>
            <w:r>
              <w:rPr>
                <w:rFonts w:hint="eastAsia"/>
                <w:bCs/>
                <w:color w:val="auto"/>
                <w:sz w:val="24"/>
              </w:rPr>
              <w:t>脱脂</w:t>
            </w:r>
            <w:r>
              <w:rPr>
                <w:bCs/>
                <w:color w:val="auto"/>
                <w:sz w:val="24"/>
              </w:rPr>
              <w:t>剂。水洗槽通过定期更换，此过程会产生清洗废水</w:t>
            </w:r>
            <w:r>
              <w:rPr>
                <w:rFonts w:hint="eastAsia"/>
                <w:bCs/>
                <w:color w:val="auto"/>
                <w:sz w:val="24"/>
              </w:rPr>
              <w:t>和运行</w:t>
            </w:r>
            <w:r>
              <w:rPr>
                <w:bCs/>
                <w:color w:val="auto"/>
                <w:sz w:val="24"/>
              </w:rPr>
              <w:t>噪声。</w:t>
            </w:r>
            <w:bookmarkEnd w:id="74"/>
            <w:bookmarkEnd w:id="75"/>
            <w:bookmarkEnd w:id="76"/>
            <w:bookmarkEnd w:id="77"/>
            <w:bookmarkEnd w:id="78"/>
            <w:bookmarkEnd w:id="79"/>
            <w:bookmarkEnd w:id="80"/>
            <w:bookmarkEnd w:id="81"/>
            <w:bookmarkEnd w:id="82"/>
            <w:bookmarkEnd w:id="83"/>
          </w:p>
          <w:p w14:paraId="17E9AF10">
            <w:pPr>
              <w:adjustRightInd w:val="0"/>
              <w:snapToGrid w:val="0"/>
              <w:spacing w:line="360" w:lineRule="auto"/>
              <w:ind w:firstLine="482" w:firstLineChars="200"/>
              <w:rPr>
                <w:bCs/>
                <w:color w:val="auto"/>
                <w:sz w:val="24"/>
              </w:rPr>
            </w:pPr>
            <w:bookmarkStart w:id="84" w:name="_Toc95133501"/>
            <w:bookmarkStart w:id="85" w:name="_Toc104138511"/>
            <w:bookmarkStart w:id="86" w:name="_Toc7211"/>
            <w:bookmarkStart w:id="87" w:name="_Toc92573283"/>
            <w:bookmarkStart w:id="88" w:name="_Toc23046"/>
            <w:bookmarkStart w:id="89" w:name="_Toc27924"/>
            <w:bookmarkStart w:id="90" w:name="_Toc15194"/>
            <w:bookmarkStart w:id="91" w:name="_Toc16738"/>
            <w:bookmarkStart w:id="92" w:name="_Toc3254"/>
            <w:r>
              <w:rPr>
                <w:rFonts w:hint="eastAsia"/>
                <w:b/>
                <w:color w:val="auto"/>
                <w:sz w:val="24"/>
              </w:rPr>
              <w:t>阴极</w:t>
            </w:r>
            <w:r>
              <w:rPr>
                <w:b/>
                <w:color w:val="auto"/>
                <w:sz w:val="24"/>
              </w:rPr>
              <w:t>电泳：</w:t>
            </w:r>
            <w:r>
              <w:rPr>
                <w:bCs/>
                <w:color w:val="auto"/>
                <w:sz w:val="24"/>
              </w:rPr>
              <w:t>经预处理后的工件进入电泳</w:t>
            </w:r>
            <w:r>
              <w:rPr>
                <w:rFonts w:hint="eastAsia"/>
                <w:bCs/>
                <w:color w:val="auto"/>
                <w:sz w:val="24"/>
              </w:rPr>
              <w:t>漆</w:t>
            </w:r>
            <w:r>
              <w:rPr>
                <w:bCs/>
                <w:color w:val="auto"/>
                <w:sz w:val="24"/>
              </w:rPr>
              <w:t>涂装工序。</w:t>
            </w:r>
            <w:bookmarkEnd w:id="84"/>
            <w:bookmarkEnd w:id="85"/>
            <w:bookmarkEnd w:id="86"/>
            <w:bookmarkEnd w:id="87"/>
            <w:r>
              <w:rPr>
                <w:rFonts w:hint="eastAsia"/>
                <w:bCs/>
                <w:color w:val="auto"/>
                <w:sz w:val="24"/>
              </w:rPr>
              <w:t>此工序会产生有机废气、臭气。</w:t>
            </w:r>
            <w:bookmarkEnd w:id="88"/>
            <w:bookmarkEnd w:id="89"/>
            <w:bookmarkEnd w:id="90"/>
            <w:bookmarkEnd w:id="91"/>
            <w:bookmarkEnd w:id="92"/>
          </w:p>
          <w:p w14:paraId="7AEDC742">
            <w:pPr>
              <w:adjustRightInd w:val="0"/>
              <w:snapToGrid w:val="0"/>
              <w:spacing w:line="360" w:lineRule="auto"/>
              <w:ind w:firstLine="482" w:firstLineChars="200"/>
              <w:rPr>
                <w:b/>
                <w:bCs/>
                <w:color w:val="auto"/>
                <w:sz w:val="24"/>
              </w:rPr>
            </w:pPr>
            <w:bookmarkStart w:id="93" w:name="_Toc19887"/>
            <w:bookmarkStart w:id="94" w:name="_Toc9528"/>
            <w:bookmarkStart w:id="95" w:name="_Toc3596"/>
            <w:bookmarkStart w:id="96" w:name="_Toc104138512"/>
            <w:bookmarkStart w:id="97" w:name="_Toc95133502"/>
            <w:bookmarkStart w:id="98" w:name="_Toc31956"/>
            <w:bookmarkStart w:id="99" w:name="_Toc14819"/>
            <w:bookmarkStart w:id="100" w:name="_Toc16680"/>
            <w:bookmarkStart w:id="101" w:name="_Toc92573284"/>
            <w:bookmarkStart w:id="102" w:name="_Toc28712"/>
            <w:r>
              <w:rPr>
                <w:rFonts w:hint="eastAsia"/>
                <w:b/>
                <w:bCs/>
                <w:color w:val="auto"/>
                <w:sz w:val="24"/>
              </w:rPr>
              <w:t>（1）</w:t>
            </w:r>
            <w:r>
              <w:rPr>
                <w:b/>
                <w:bCs/>
                <w:color w:val="auto"/>
                <w:sz w:val="24"/>
              </w:rPr>
              <w:t>电泳工作原理</w:t>
            </w:r>
            <w:bookmarkEnd w:id="93"/>
            <w:bookmarkEnd w:id="94"/>
            <w:bookmarkEnd w:id="95"/>
            <w:bookmarkEnd w:id="96"/>
            <w:bookmarkEnd w:id="97"/>
            <w:bookmarkEnd w:id="98"/>
            <w:bookmarkEnd w:id="99"/>
            <w:bookmarkEnd w:id="100"/>
            <w:bookmarkEnd w:id="101"/>
            <w:bookmarkEnd w:id="102"/>
          </w:p>
          <w:p w14:paraId="0F023600">
            <w:pPr>
              <w:adjustRightInd w:val="0"/>
              <w:snapToGrid w:val="0"/>
              <w:spacing w:line="360" w:lineRule="auto"/>
              <w:ind w:firstLine="480" w:firstLineChars="200"/>
              <w:rPr>
                <w:bCs/>
                <w:color w:val="auto"/>
                <w:sz w:val="24"/>
              </w:rPr>
            </w:pPr>
            <w:bookmarkStart w:id="103" w:name="_Toc31908"/>
            <w:bookmarkStart w:id="104" w:name="_Toc92573285"/>
            <w:bookmarkStart w:id="105" w:name="_Toc19603"/>
            <w:bookmarkStart w:id="106" w:name="_Toc31826"/>
            <w:bookmarkStart w:id="107" w:name="_Toc27838"/>
            <w:bookmarkStart w:id="108" w:name="_Toc14847"/>
            <w:bookmarkStart w:id="109" w:name="_Toc8738"/>
            <w:bookmarkStart w:id="110" w:name="_Toc14677"/>
            <w:bookmarkStart w:id="111" w:name="_Toc104138513"/>
            <w:bookmarkStart w:id="112" w:name="_Toc95133503"/>
            <w:r>
              <w:rPr>
                <w:bCs/>
                <w:color w:val="auto"/>
                <w:sz w:val="24"/>
              </w:rPr>
              <w:t>电泳是在外加电场的作用下，使分离于电泳液中的涂料微粒定向迁移并沉积于电极之一的工件表面形成保护性的涂层，电泳涂装是一个极为复杂的电化学反应过程，包含电泳、电沉积、电渗、电解四个过程；本项目采用电泳涂装属阴极电泳</w:t>
            </w:r>
            <w:r>
              <w:rPr>
                <w:rFonts w:hint="eastAsia"/>
                <w:bCs/>
                <w:color w:val="auto"/>
                <w:sz w:val="24"/>
              </w:rPr>
              <w:t>（</w:t>
            </w:r>
            <w:r>
              <w:rPr>
                <w:bCs/>
                <w:color w:val="auto"/>
                <w:sz w:val="24"/>
              </w:rPr>
              <w:t>被涂工件是阴极、涂料电泳漆是阳离子型</w:t>
            </w:r>
            <w:r>
              <w:rPr>
                <w:rFonts w:hint="eastAsia"/>
                <w:bCs/>
                <w:color w:val="auto"/>
                <w:sz w:val="24"/>
              </w:rPr>
              <w:t>）</w:t>
            </w:r>
            <w:bookmarkStart w:id="113" w:name="_Toc95133516"/>
            <w:bookmarkStart w:id="114" w:name="_Toc4745"/>
            <w:bookmarkStart w:id="115" w:name="_Toc8700"/>
            <w:bookmarkStart w:id="116" w:name="_Toc17443"/>
            <w:bookmarkStart w:id="117" w:name="_Toc6347"/>
            <w:bookmarkStart w:id="118" w:name="_Toc92573298"/>
            <w:bookmarkStart w:id="119" w:name="_Toc19517"/>
            <w:bookmarkStart w:id="120" w:name="_Toc104138526"/>
            <w:bookmarkStart w:id="121" w:name="_Toc3775"/>
            <w:r>
              <w:rPr>
                <w:bCs/>
                <w:color w:val="auto"/>
                <w:sz w:val="24"/>
              </w:rPr>
              <w:t>，使用水性阴极电泳涂料所含的丙烯酸树脂带有碱性基团，形成盐而溶于水，通直流电后，酸根负离子向阳极移动，树脂离子及其包裹颜料粒子带正电荷向阴极移动，并沉积在阳极上，从而形成漆膜。电泳漆循环利用，不外排。电泳漆时间约为</w:t>
            </w:r>
            <w:r>
              <w:rPr>
                <w:rFonts w:hint="eastAsia"/>
                <w:bCs/>
                <w:color w:val="auto"/>
                <w:sz w:val="24"/>
              </w:rPr>
              <w:t>1~2min</w:t>
            </w:r>
            <w:r>
              <w:rPr>
                <w:bCs/>
                <w:color w:val="auto"/>
                <w:sz w:val="24"/>
              </w:rPr>
              <w:t>，温度为常温。</w:t>
            </w:r>
            <w:bookmarkEnd w:id="113"/>
            <w:bookmarkEnd w:id="114"/>
            <w:bookmarkEnd w:id="115"/>
            <w:bookmarkEnd w:id="116"/>
            <w:bookmarkEnd w:id="117"/>
            <w:bookmarkEnd w:id="118"/>
            <w:bookmarkEnd w:id="119"/>
            <w:bookmarkEnd w:id="120"/>
            <w:bookmarkEnd w:id="121"/>
            <w:r>
              <w:rPr>
                <w:bCs/>
                <w:color w:val="auto"/>
                <w:sz w:val="24"/>
              </w:rPr>
              <w:t>电泳的工作原理包括四个过程：</w:t>
            </w:r>
            <w:bookmarkEnd w:id="103"/>
            <w:bookmarkEnd w:id="104"/>
            <w:bookmarkEnd w:id="105"/>
            <w:bookmarkEnd w:id="106"/>
            <w:bookmarkEnd w:id="107"/>
            <w:bookmarkEnd w:id="108"/>
            <w:bookmarkEnd w:id="109"/>
            <w:bookmarkEnd w:id="110"/>
            <w:bookmarkEnd w:id="111"/>
            <w:bookmarkEnd w:id="112"/>
          </w:p>
          <w:p w14:paraId="62DE5DC3">
            <w:pPr>
              <w:adjustRightInd w:val="0"/>
              <w:snapToGrid w:val="0"/>
              <w:spacing w:line="360" w:lineRule="auto"/>
              <w:ind w:firstLine="482" w:firstLineChars="200"/>
              <w:rPr>
                <w:b/>
                <w:bCs/>
                <w:color w:val="auto"/>
                <w:sz w:val="24"/>
              </w:rPr>
            </w:pPr>
            <w:bookmarkStart w:id="122" w:name="_Toc92573286"/>
            <w:bookmarkStart w:id="123" w:name="_Toc7466"/>
            <w:bookmarkStart w:id="124" w:name="_Toc4246"/>
            <w:bookmarkStart w:id="125" w:name="_Toc8833"/>
            <w:bookmarkStart w:id="126" w:name="_Toc95133504"/>
            <w:bookmarkStart w:id="127" w:name="_Toc27105"/>
            <w:bookmarkStart w:id="128" w:name="_Toc25757"/>
            <w:bookmarkStart w:id="129" w:name="_Toc17680"/>
            <w:bookmarkStart w:id="130" w:name="_Toc104138514"/>
            <w:bookmarkStart w:id="131" w:name="_Toc15243"/>
            <w:r>
              <w:rPr>
                <w:rFonts w:hint="eastAsia"/>
                <w:b/>
                <w:bCs/>
                <w:color w:val="auto"/>
                <w:sz w:val="24"/>
              </w:rPr>
              <w:t>①</w:t>
            </w:r>
            <w:r>
              <w:rPr>
                <w:b/>
                <w:bCs/>
                <w:color w:val="auto"/>
                <w:sz w:val="24"/>
              </w:rPr>
              <w:t>电解(分解)</w:t>
            </w:r>
            <w:bookmarkEnd w:id="122"/>
            <w:bookmarkEnd w:id="123"/>
            <w:bookmarkEnd w:id="124"/>
            <w:bookmarkEnd w:id="125"/>
            <w:bookmarkEnd w:id="126"/>
            <w:bookmarkEnd w:id="127"/>
            <w:bookmarkEnd w:id="128"/>
            <w:bookmarkEnd w:id="129"/>
            <w:bookmarkEnd w:id="130"/>
            <w:bookmarkEnd w:id="131"/>
          </w:p>
          <w:p w14:paraId="07BFF1C9">
            <w:pPr>
              <w:adjustRightInd w:val="0"/>
              <w:snapToGrid w:val="0"/>
              <w:spacing w:line="360" w:lineRule="auto"/>
              <w:ind w:firstLine="480" w:firstLineChars="200"/>
              <w:rPr>
                <w:bCs/>
                <w:color w:val="auto"/>
                <w:sz w:val="24"/>
              </w:rPr>
            </w:pPr>
            <w:bookmarkStart w:id="132" w:name="_Toc21980"/>
            <w:bookmarkStart w:id="133" w:name="_Toc92573287"/>
            <w:bookmarkStart w:id="134" w:name="_Toc5781"/>
            <w:bookmarkStart w:id="135" w:name="_Toc14909"/>
            <w:bookmarkStart w:id="136" w:name="_Toc95133505"/>
            <w:bookmarkStart w:id="137" w:name="_Toc12851"/>
            <w:bookmarkStart w:id="138" w:name="_Toc26278"/>
            <w:bookmarkStart w:id="139" w:name="_Toc2183"/>
            <w:bookmarkStart w:id="140" w:name="_Toc104138515"/>
            <w:bookmarkStart w:id="141" w:name="_Toc18055"/>
            <w:r>
              <w:rPr>
                <w:bCs/>
                <w:color w:val="auto"/>
                <w:sz w:val="24"/>
              </w:rPr>
              <w:t>阴极反应最初为电解反应，生成氢气及氢氧根离子，此反应造成阴极面形成高碱性边界层，当阳离子与氢氧根作用成为不溶于水的物质，涂膜沉积。</w:t>
            </w:r>
            <w:bookmarkEnd w:id="132"/>
            <w:bookmarkEnd w:id="133"/>
            <w:bookmarkEnd w:id="134"/>
            <w:bookmarkEnd w:id="135"/>
            <w:bookmarkEnd w:id="136"/>
            <w:bookmarkEnd w:id="137"/>
            <w:bookmarkEnd w:id="138"/>
            <w:bookmarkEnd w:id="139"/>
            <w:bookmarkEnd w:id="140"/>
            <w:bookmarkEnd w:id="141"/>
          </w:p>
          <w:p w14:paraId="69AB6DBB">
            <w:pPr>
              <w:adjustRightInd w:val="0"/>
              <w:snapToGrid w:val="0"/>
              <w:spacing w:line="360" w:lineRule="auto"/>
              <w:ind w:firstLine="480" w:firstLineChars="200"/>
              <w:rPr>
                <w:bCs/>
                <w:color w:val="auto"/>
                <w:sz w:val="24"/>
              </w:rPr>
            </w:pPr>
            <w:bookmarkStart w:id="142" w:name="_Toc10346"/>
            <w:bookmarkStart w:id="143" w:name="_Toc19968"/>
            <w:bookmarkStart w:id="144" w:name="_Toc6525"/>
            <w:bookmarkStart w:id="145" w:name="_Toc16437"/>
            <w:bookmarkStart w:id="146" w:name="_Toc95133506"/>
            <w:bookmarkStart w:id="147" w:name="_Toc12091"/>
            <w:bookmarkStart w:id="148" w:name="_Toc104138516"/>
            <w:bookmarkStart w:id="149" w:name="_Toc92573288"/>
            <w:bookmarkStart w:id="150" w:name="_Toc29955"/>
            <w:bookmarkStart w:id="151" w:name="_Toc13543"/>
            <w:r>
              <w:rPr>
                <w:bCs/>
                <w:color w:val="auto"/>
                <w:sz w:val="24"/>
              </w:rPr>
              <w:t>阳极上2H</w:t>
            </w:r>
            <w:r>
              <w:rPr>
                <w:bCs/>
                <w:color w:val="auto"/>
                <w:sz w:val="24"/>
                <w:vertAlign w:val="subscript"/>
              </w:rPr>
              <w:t>2</w:t>
            </w:r>
            <w:r>
              <w:rPr>
                <w:bCs/>
                <w:color w:val="auto"/>
                <w:sz w:val="24"/>
              </w:rPr>
              <w:t>O-4e</w:t>
            </w:r>
            <w:r>
              <w:rPr>
                <w:bCs/>
                <w:color w:val="auto"/>
                <w:sz w:val="24"/>
                <w:vertAlign w:val="superscript"/>
              </w:rPr>
              <w:t>-</w:t>
            </w:r>
            <w:r>
              <w:rPr>
                <w:bCs/>
                <w:color w:val="auto"/>
                <w:sz w:val="24"/>
              </w:rPr>
              <w:t>→O</w:t>
            </w:r>
            <w:r>
              <w:rPr>
                <w:bCs/>
                <w:color w:val="auto"/>
                <w:sz w:val="24"/>
                <w:vertAlign w:val="subscript"/>
              </w:rPr>
              <w:t>2</w:t>
            </w:r>
            <w:r>
              <w:rPr>
                <w:bCs/>
                <w:color w:val="auto"/>
                <w:sz w:val="24"/>
              </w:rPr>
              <w:t>↑+4H</w:t>
            </w:r>
            <w:r>
              <w:rPr>
                <w:bCs/>
                <w:color w:val="auto"/>
                <w:sz w:val="24"/>
                <w:vertAlign w:val="superscript"/>
              </w:rPr>
              <w:t>+</w:t>
            </w:r>
            <w:bookmarkEnd w:id="142"/>
            <w:bookmarkEnd w:id="143"/>
            <w:bookmarkEnd w:id="144"/>
            <w:bookmarkEnd w:id="145"/>
            <w:bookmarkEnd w:id="146"/>
            <w:bookmarkEnd w:id="147"/>
            <w:bookmarkEnd w:id="148"/>
            <w:bookmarkEnd w:id="149"/>
            <w:bookmarkEnd w:id="150"/>
            <w:bookmarkEnd w:id="151"/>
          </w:p>
          <w:p w14:paraId="709D843C">
            <w:pPr>
              <w:adjustRightInd w:val="0"/>
              <w:snapToGrid w:val="0"/>
              <w:spacing w:line="360" w:lineRule="auto"/>
              <w:ind w:firstLine="480" w:firstLineChars="200"/>
              <w:rPr>
                <w:bCs/>
                <w:color w:val="auto"/>
                <w:sz w:val="24"/>
              </w:rPr>
            </w:pPr>
            <w:bookmarkStart w:id="152" w:name="_Toc92573289"/>
            <w:bookmarkStart w:id="153" w:name="_Toc20572"/>
            <w:bookmarkStart w:id="154" w:name="_Toc95133507"/>
            <w:bookmarkStart w:id="155" w:name="_Toc12096"/>
            <w:bookmarkStart w:id="156" w:name="_Toc104138517"/>
            <w:bookmarkStart w:id="157" w:name="_Toc11930"/>
            <w:bookmarkStart w:id="158" w:name="_Toc31624"/>
            <w:bookmarkStart w:id="159" w:name="_Toc8703"/>
            <w:bookmarkStart w:id="160" w:name="_Toc9456"/>
            <w:bookmarkStart w:id="161" w:name="_Toc4045"/>
            <w:r>
              <w:rPr>
                <w:bCs/>
                <w:color w:val="auto"/>
                <w:sz w:val="24"/>
              </w:rPr>
              <w:t>阴极上2H</w:t>
            </w:r>
            <w:r>
              <w:rPr>
                <w:bCs/>
                <w:color w:val="auto"/>
                <w:sz w:val="24"/>
                <w:vertAlign w:val="subscript"/>
              </w:rPr>
              <w:t>2</w:t>
            </w:r>
            <w:r>
              <w:rPr>
                <w:bCs/>
                <w:color w:val="auto"/>
                <w:sz w:val="24"/>
              </w:rPr>
              <w:t>O+2e</w:t>
            </w:r>
            <w:r>
              <w:rPr>
                <w:bCs/>
                <w:color w:val="auto"/>
                <w:sz w:val="24"/>
                <w:vertAlign w:val="superscript"/>
              </w:rPr>
              <w:t>-</w:t>
            </w:r>
            <w:r>
              <w:rPr>
                <w:bCs/>
                <w:color w:val="auto"/>
                <w:sz w:val="24"/>
              </w:rPr>
              <w:t>→H</w:t>
            </w:r>
            <w:r>
              <w:rPr>
                <w:bCs/>
                <w:color w:val="auto"/>
                <w:sz w:val="24"/>
                <w:vertAlign w:val="subscript"/>
              </w:rPr>
              <w:t>2</w:t>
            </w:r>
            <w:r>
              <w:rPr>
                <w:bCs/>
                <w:color w:val="auto"/>
                <w:sz w:val="24"/>
              </w:rPr>
              <w:t>↑+2OH</w:t>
            </w:r>
            <w:bookmarkEnd w:id="152"/>
            <w:bookmarkEnd w:id="153"/>
            <w:bookmarkEnd w:id="154"/>
            <w:bookmarkEnd w:id="155"/>
            <w:bookmarkEnd w:id="156"/>
            <w:bookmarkEnd w:id="157"/>
            <w:bookmarkEnd w:id="158"/>
            <w:bookmarkEnd w:id="159"/>
            <w:bookmarkEnd w:id="160"/>
            <w:bookmarkEnd w:id="161"/>
          </w:p>
          <w:p w14:paraId="65E6E1D0">
            <w:pPr>
              <w:adjustRightInd w:val="0"/>
              <w:snapToGrid w:val="0"/>
              <w:spacing w:line="360" w:lineRule="auto"/>
              <w:ind w:firstLine="482" w:firstLineChars="200"/>
              <w:rPr>
                <w:b/>
                <w:bCs/>
                <w:color w:val="auto"/>
                <w:sz w:val="24"/>
              </w:rPr>
            </w:pPr>
            <w:bookmarkStart w:id="162" w:name="_Toc14453"/>
            <w:bookmarkStart w:id="163" w:name="_Toc1709"/>
            <w:bookmarkStart w:id="164" w:name="_Toc15503"/>
            <w:bookmarkStart w:id="165" w:name="_Toc95133508"/>
            <w:bookmarkStart w:id="166" w:name="_Toc25260"/>
            <w:bookmarkStart w:id="167" w:name="_Toc530"/>
            <w:bookmarkStart w:id="168" w:name="_Toc92573290"/>
            <w:bookmarkStart w:id="169" w:name="_Toc9630"/>
            <w:bookmarkStart w:id="170" w:name="_Toc104138518"/>
            <w:bookmarkStart w:id="171" w:name="_Toc7708"/>
            <w:r>
              <w:rPr>
                <w:rFonts w:hint="eastAsia"/>
                <w:b/>
                <w:bCs/>
                <w:color w:val="auto"/>
                <w:sz w:val="24"/>
              </w:rPr>
              <w:t>②</w:t>
            </w:r>
            <w:r>
              <w:rPr>
                <w:b/>
                <w:bCs/>
                <w:color w:val="auto"/>
                <w:sz w:val="24"/>
              </w:rPr>
              <w:t>电泳动(泳动、迁移)</w:t>
            </w:r>
            <w:bookmarkEnd w:id="162"/>
            <w:bookmarkEnd w:id="163"/>
            <w:bookmarkEnd w:id="164"/>
            <w:bookmarkEnd w:id="165"/>
            <w:bookmarkEnd w:id="166"/>
            <w:bookmarkEnd w:id="167"/>
            <w:bookmarkEnd w:id="168"/>
            <w:bookmarkEnd w:id="169"/>
            <w:bookmarkEnd w:id="170"/>
            <w:bookmarkEnd w:id="171"/>
          </w:p>
          <w:p w14:paraId="6571D7AE">
            <w:pPr>
              <w:adjustRightInd w:val="0"/>
              <w:snapToGrid w:val="0"/>
              <w:spacing w:line="360" w:lineRule="auto"/>
              <w:ind w:firstLine="480" w:firstLineChars="200"/>
              <w:rPr>
                <w:bCs/>
                <w:color w:val="auto"/>
                <w:sz w:val="24"/>
              </w:rPr>
            </w:pPr>
            <w:bookmarkStart w:id="172" w:name="_Toc21598"/>
            <w:bookmarkStart w:id="173" w:name="_Toc104138519"/>
            <w:bookmarkStart w:id="174" w:name="_Toc685"/>
            <w:bookmarkStart w:id="175" w:name="_Toc18952"/>
            <w:bookmarkStart w:id="176" w:name="_Toc6660"/>
            <w:bookmarkStart w:id="177" w:name="_Toc23212"/>
            <w:bookmarkStart w:id="178" w:name="_Toc31840"/>
            <w:bookmarkStart w:id="179" w:name="_Toc92573291"/>
            <w:bookmarkStart w:id="180" w:name="_Toc3509"/>
            <w:bookmarkStart w:id="181" w:name="_Toc95133509"/>
            <w:r>
              <w:rPr>
                <w:bCs/>
                <w:color w:val="auto"/>
                <w:sz w:val="24"/>
              </w:rPr>
              <w:t>阳离子树脂及H</w:t>
            </w:r>
            <w:r>
              <w:rPr>
                <w:bCs/>
                <w:color w:val="auto"/>
                <w:sz w:val="24"/>
                <w:vertAlign w:val="superscript"/>
              </w:rPr>
              <w:t>+</w:t>
            </w:r>
            <w:r>
              <w:rPr>
                <w:bCs/>
                <w:color w:val="auto"/>
                <w:sz w:val="24"/>
              </w:rPr>
              <w:t>在电场作用下，向阴极移动，而阴离子向阳极移动过程。</w:t>
            </w:r>
            <w:bookmarkEnd w:id="172"/>
            <w:bookmarkEnd w:id="173"/>
            <w:bookmarkEnd w:id="174"/>
            <w:bookmarkEnd w:id="175"/>
            <w:bookmarkEnd w:id="176"/>
            <w:bookmarkEnd w:id="177"/>
            <w:bookmarkEnd w:id="178"/>
            <w:bookmarkEnd w:id="179"/>
            <w:bookmarkEnd w:id="180"/>
            <w:bookmarkEnd w:id="181"/>
          </w:p>
          <w:p w14:paraId="5B6C165C">
            <w:pPr>
              <w:adjustRightInd w:val="0"/>
              <w:snapToGrid w:val="0"/>
              <w:spacing w:line="360" w:lineRule="auto"/>
              <w:ind w:firstLine="482" w:firstLineChars="200"/>
              <w:rPr>
                <w:b/>
                <w:bCs/>
                <w:color w:val="auto"/>
                <w:sz w:val="24"/>
              </w:rPr>
            </w:pPr>
            <w:bookmarkStart w:id="182" w:name="_Toc9200"/>
            <w:bookmarkStart w:id="183" w:name="_Toc3070"/>
            <w:bookmarkStart w:id="184" w:name="_Toc14766"/>
            <w:bookmarkStart w:id="185" w:name="_Toc104138520"/>
            <w:bookmarkStart w:id="186" w:name="_Toc16513"/>
            <w:bookmarkStart w:id="187" w:name="_Toc92573292"/>
            <w:bookmarkStart w:id="188" w:name="_Toc10239"/>
            <w:bookmarkStart w:id="189" w:name="_Toc15707"/>
            <w:bookmarkStart w:id="190" w:name="_Toc165"/>
            <w:bookmarkStart w:id="191" w:name="_Toc95133510"/>
            <w:r>
              <w:rPr>
                <w:rFonts w:hint="eastAsia"/>
                <w:b/>
                <w:bCs/>
                <w:color w:val="auto"/>
                <w:sz w:val="24"/>
              </w:rPr>
              <w:t>③</w:t>
            </w:r>
            <w:r>
              <w:rPr>
                <w:b/>
                <w:bCs/>
                <w:color w:val="auto"/>
                <w:sz w:val="24"/>
              </w:rPr>
              <w:t>电沉积(析出)</w:t>
            </w:r>
            <w:bookmarkEnd w:id="182"/>
            <w:bookmarkEnd w:id="183"/>
            <w:bookmarkEnd w:id="184"/>
            <w:bookmarkEnd w:id="185"/>
            <w:bookmarkEnd w:id="186"/>
            <w:bookmarkEnd w:id="187"/>
            <w:bookmarkEnd w:id="188"/>
            <w:bookmarkEnd w:id="189"/>
            <w:bookmarkEnd w:id="190"/>
            <w:bookmarkEnd w:id="191"/>
          </w:p>
          <w:p w14:paraId="5CA2B3B1">
            <w:pPr>
              <w:adjustRightInd w:val="0"/>
              <w:snapToGrid w:val="0"/>
              <w:spacing w:line="360" w:lineRule="auto"/>
              <w:ind w:right="-115" w:rightChars="-55" w:firstLine="480" w:firstLineChars="200"/>
              <w:rPr>
                <w:bCs/>
                <w:color w:val="auto"/>
                <w:sz w:val="24"/>
              </w:rPr>
            </w:pPr>
            <w:bookmarkStart w:id="192" w:name="_Toc9657"/>
            <w:bookmarkStart w:id="193" w:name="_Toc8321"/>
            <w:bookmarkStart w:id="194" w:name="_Toc104138521"/>
            <w:bookmarkStart w:id="195" w:name="_Toc10296"/>
            <w:bookmarkStart w:id="196" w:name="_Toc92573293"/>
            <w:bookmarkStart w:id="197" w:name="_Toc19609"/>
            <w:bookmarkStart w:id="198" w:name="_Toc24627"/>
            <w:bookmarkStart w:id="199" w:name="_Toc1932"/>
            <w:bookmarkStart w:id="200" w:name="_Toc27630"/>
            <w:bookmarkStart w:id="201" w:name="_Toc95133511"/>
            <w:r>
              <w:rPr>
                <w:bCs/>
                <w:color w:val="auto"/>
                <w:sz w:val="24"/>
              </w:rPr>
              <w:t>在被涂工件表面，阳离子树脂与阴极表面碱性作用，中和析出沉积物，沉积于被涂工件上。</w:t>
            </w:r>
            <w:bookmarkEnd w:id="192"/>
            <w:bookmarkEnd w:id="193"/>
            <w:bookmarkEnd w:id="194"/>
            <w:bookmarkEnd w:id="195"/>
            <w:bookmarkEnd w:id="196"/>
            <w:bookmarkEnd w:id="197"/>
            <w:bookmarkEnd w:id="198"/>
            <w:bookmarkEnd w:id="199"/>
            <w:bookmarkEnd w:id="200"/>
            <w:bookmarkEnd w:id="201"/>
          </w:p>
          <w:p w14:paraId="68D47932">
            <w:pPr>
              <w:adjustRightInd w:val="0"/>
              <w:snapToGrid w:val="0"/>
              <w:spacing w:line="360" w:lineRule="auto"/>
              <w:ind w:firstLine="482" w:firstLineChars="200"/>
              <w:rPr>
                <w:b/>
                <w:bCs/>
                <w:color w:val="auto"/>
                <w:sz w:val="24"/>
              </w:rPr>
            </w:pPr>
            <w:bookmarkStart w:id="202" w:name="_Toc104138522"/>
            <w:bookmarkStart w:id="203" w:name="_Toc22551"/>
            <w:bookmarkStart w:id="204" w:name="_Toc10262"/>
            <w:bookmarkStart w:id="205" w:name="_Toc14416"/>
            <w:bookmarkStart w:id="206" w:name="_Toc92573294"/>
            <w:bookmarkStart w:id="207" w:name="_Toc8221"/>
            <w:bookmarkStart w:id="208" w:name="_Toc13644"/>
            <w:bookmarkStart w:id="209" w:name="_Toc9714"/>
            <w:bookmarkStart w:id="210" w:name="_Toc95133512"/>
            <w:bookmarkStart w:id="211" w:name="_Toc17644"/>
            <w:r>
              <w:rPr>
                <w:rFonts w:hint="eastAsia"/>
                <w:b/>
                <w:bCs/>
                <w:color w:val="auto"/>
                <w:sz w:val="24"/>
              </w:rPr>
              <w:t>④</w:t>
            </w:r>
            <w:r>
              <w:rPr>
                <w:b/>
                <w:bCs/>
                <w:color w:val="auto"/>
                <w:sz w:val="24"/>
              </w:rPr>
              <w:t>电渗(脱水)</w:t>
            </w:r>
            <w:bookmarkEnd w:id="202"/>
            <w:bookmarkEnd w:id="203"/>
            <w:bookmarkEnd w:id="204"/>
            <w:bookmarkEnd w:id="205"/>
            <w:bookmarkEnd w:id="206"/>
            <w:bookmarkEnd w:id="207"/>
            <w:bookmarkEnd w:id="208"/>
            <w:bookmarkEnd w:id="209"/>
            <w:bookmarkEnd w:id="210"/>
            <w:bookmarkEnd w:id="211"/>
          </w:p>
          <w:p w14:paraId="3A3A6295">
            <w:pPr>
              <w:adjustRightInd w:val="0"/>
              <w:snapToGrid w:val="0"/>
              <w:spacing w:line="360" w:lineRule="auto"/>
              <w:ind w:firstLine="480" w:firstLineChars="200"/>
              <w:rPr>
                <w:bCs/>
                <w:color w:val="auto"/>
                <w:sz w:val="24"/>
              </w:rPr>
            </w:pPr>
            <w:bookmarkStart w:id="212" w:name="_Toc92573295"/>
            <w:bookmarkStart w:id="213" w:name="_Toc26277"/>
            <w:bookmarkStart w:id="214" w:name="_Toc30121"/>
            <w:bookmarkStart w:id="215" w:name="_Toc95133513"/>
            <w:bookmarkStart w:id="216" w:name="_Toc104138523"/>
            <w:bookmarkStart w:id="217" w:name="_Toc31286"/>
            <w:bookmarkStart w:id="218" w:name="_Toc8193"/>
            <w:bookmarkStart w:id="219" w:name="_Toc9453"/>
            <w:bookmarkStart w:id="220" w:name="_Toc32396"/>
            <w:bookmarkStart w:id="221" w:name="_Toc13012"/>
            <w:r>
              <w:rPr>
                <w:bCs/>
                <w:color w:val="auto"/>
                <w:sz w:val="24"/>
              </w:rPr>
              <w:t>涂料固体与工件表面上的涂膜为半透明性的，具有许多毛细孔，水被从阴极涂膜中排渗出来，在电场作用下，引起涂膜脱水，而涂膜则吸附于工件表面，从而完成整个电泳过程。</w:t>
            </w:r>
            <w:bookmarkEnd w:id="212"/>
            <w:bookmarkEnd w:id="213"/>
            <w:bookmarkEnd w:id="214"/>
            <w:bookmarkEnd w:id="215"/>
            <w:bookmarkEnd w:id="216"/>
            <w:bookmarkEnd w:id="217"/>
            <w:bookmarkEnd w:id="218"/>
            <w:bookmarkEnd w:id="219"/>
            <w:bookmarkEnd w:id="220"/>
            <w:bookmarkEnd w:id="221"/>
          </w:p>
          <w:p w14:paraId="6CE4CBC9">
            <w:pPr>
              <w:adjustRightInd w:val="0"/>
              <w:snapToGrid w:val="0"/>
              <w:spacing w:line="360" w:lineRule="auto"/>
              <w:ind w:firstLine="480" w:firstLineChars="200"/>
              <w:rPr>
                <w:bCs/>
                <w:color w:val="auto"/>
                <w:sz w:val="24"/>
              </w:rPr>
            </w:pPr>
            <w:bookmarkStart w:id="222" w:name="_Toc2937"/>
            <w:bookmarkStart w:id="223" w:name="_Toc9931"/>
            <w:bookmarkStart w:id="224" w:name="_Toc92573296"/>
            <w:bookmarkStart w:id="225" w:name="_Toc5246"/>
            <w:bookmarkStart w:id="226" w:name="_Toc24462"/>
            <w:bookmarkStart w:id="227" w:name="_Toc21007"/>
            <w:bookmarkStart w:id="228" w:name="_Toc95133514"/>
            <w:bookmarkStart w:id="229" w:name="_Toc7999"/>
            <w:bookmarkStart w:id="230" w:name="_Toc30462"/>
            <w:bookmarkStart w:id="231" w:name="_Toc104138524"/>
            <w:r>
              <w:rPr>
                <w:bCs/>
                <w:color w:val="auto"/>
                <w:sz w:val="24"/>
              </w:rPr>
              <w:t>电泳表面处理工艺特点：电泳漆膜具有涂层丰满、均匀、平整、光滑的优点，电泳漆膜的硬度、附着力、耐腐、冲击性能、渗透性能明显优于其它涂装工艺。</w:t>
            </w:r>
            <w:bookmarkEnd w:id="222"/>
            <w:bookmarkEnd w:id="223"/>
            <w:bookmarkEnd w:id="224"/>
            <w:bookmarkEnd w:id="225"/>
            <w:bookmarkEnd w:id="226"/>
            <w:bookmarkEnd w:id="227"/>
            <w:bookmarkEnd w:id="228"/>
            <w:bookmarkEnd w:id="229"/>
            <w:bookmarkEnd w:id="230"/>
            <w:bookmarkEnd w:id="231"/>
          </w:p>
          <w:p w14:paraId="206AE02C">
            <w:pPr>
              <w:adjustRightInd w:val="0"/>
              <w:snapToGrid w:val="0"/>
              <w:spacing w:line="360" w:lineRule="auto"/>
              <w:ind w:firstLine="480" w:firstLineChars="200"/>
              <w:rPr>
                <w:bCs/>
                <w:color w:val="auto"/>
                <w:sz w:val="24"/>
              </w:rPr>
            </w:pPr>
            <w:bookmarkStart w:id="232" w:name="_Toc22793"/>
            <w:bookmarkStart w:id="233" w:name="_Toc5313"/>
            <w:bookmarkStart w:id="234" w:name="_Toc104138530"/>
            <w:bookmarkStart w:id="235" w:name="_Toc18865"/>
            <w:bookmarkStart w:id="236" w:name="_Toc13402"/>
            <w:bookmarkStart w:id="237" w:name="_Toc1314"/>
            <w:bookmarkStart w:id="238" w:name="_Toc92573302"/>
            <w:bookmarkStart w:id="239" w:name="_Toc23066"/>
            <w:bookmarkStart w:id="240" w:name="_Toc95133520"/>
            <w:bookmarkStart w:id="241" w:name="_Toc6557"/>
            <w:r>
              <w:rPr>
                <w:rFonts w:hint="eastAsia"/>
                <w:bCs/>
                <w:color w:val="auto"/>
                <w:sz w:val="24"/>
              </w:rPr>
              <w:t>本项目电泳配有副槽用于回收电泳后未</w:t>
            </w:r>
            <w:r>
              <w:rPr>
                <w:bCs/>
                <w:color w:val="auto"/>
                <w:sz w:val="24"/>
              </w:rPr>
              <w:t>附着于工件上的电泳漆，可重新利用。回收槽无废水排放。</w:t>
            </w:r>
            <w:bookmarkEnd w:id="232"/>
            <w:bookmarkEnd w:id="233"/>
            <w:bookmarkEnd w:id="234"/>
            <w:bookmarkEnd w:id="235"/>
            <w:bookmarkEnd w:id="236"/>
            <w:bookmarkEnd w:id="237"/>
            <w:bookmarkEnd w:id="238"/>
            <w:bookmarkEnd w:id="239"/>
            <w:bookmarkEnd w:id="240"/>
            <w:bookmarkEnd w:id="241"/>
          </w:p>
          <w:p w14:paraId="3F26BF17">
            <w:pPr>
              <w:adjustRightInd w:val="0"/>
              <w:snapToGrid w:val="0"/>
              <w:spacing w:line="360" w:lineRule="auto"/>
              <w:ind w:firstLine="482" w:firstLineChars="200"/>
              <w:rPr>
                <w:bCs/>
                <w:color w:val="auto"/>
                <w:sz w:val="24"/>
              </w:rPr>
            </w:pPr>
            <w:bookmarkStart w:id="242" w:name="_Toc92573279"/>
            <w:bookmarkStart w:id="243" w:name="_Toc104138507"/>
            <w:bookmarkStart w:id="244" w:name="_Toc24179"/>
            <w:bookmarkStart w:id="245" w:name="_Toc31622"/>
            <w:bookmarkStart w:id="246" w:name="_Toc12762"/>
            <w:bookmarkStart w:id="247" w:name="_Toc95133497"/>
            <w:bookmarkStart w:id="248" w:name="_Toc4713"/>
            <w:bookmarkStart w:id="249" w:name="_Toc31219"/>
            <w:bookmarkStart w:id="250" w:name="_Toc11732"/>
            <w:bookmarkStart w:id="251" w:name="_Toc95133522"/>
            <w:bookmarkStart w:id="252" w:name="_Toc22898"/>
            <w:bookmarkStart w:id="253" w:name="_Toc31674"/>
            <w:bookmarkStart w:id="254" w:name="_Toc7209"/>
            <w:bookmarkStart w:id="255" w:name="_Toc92573304"/>
            <w:bookmarkStart w:id="256" w:name="_Toc104138532"/>
            <w:bookmarkStart w:id="257" w:name="_Toc15624"/>
            <w:r>
              <w:rPr>
                <w:rFonts w:hint="eastAsia"/>
                <w:b/>
                <w:color w:val="auto"/>
                <w:sz w:val="24"/>
              </w:rPr>
              <w:t>三级纯水</w:t>
            </w:r>
            <w:r>
              <w:rPr>
                <w:b/>
                <w:color w:val="auto"/>
                <w:sz w:val="24"/>
              </w:rPr>
              <w:t>清洗：</w:t>
            </w:r>
            <w:bookmarkEnd w:id="242"/>
            <w:bookmarkEnd w:id="243"/>
            <w:bookmarkEnd w:id="244"/>
            <w:bookmarkEnd w:id="245"/>
            <w:bookmarkEnd w:id="246"/>
            <w:bookmarkEnd w:id="247"/>
            <w:bookmarkEnd w:id="248"/>
            <w:bookmarkEnd w:id="249"/>
            <w:bookmarkEnd w:id="250"/>
            <w:bookmarkStart w:id="258" w:name="_Toc20607"/>
            <w:bookmarkStart w:id="259" w:name="_Toc11913"/>
            <w:bookmarkStart w:id="260" w:name="_Toc5686"/>
            <w:r>
              <w:rPr>
                <w:rFonts w:hint="eastAsia"/>
                <w:bCs/>
                <w:color w:val="auto"/>
                <w:sz w:val="24"/>
              </w:rPr>
              <w:t>根据后续的工件需求，</w:t>
            </w:r>
            <w:r>
              <w:rPr>
                <w:bCs/>
                <w:color w:val="auto"/>
                <w:sz w:val="24"/>
              </w:rPr>
              <w:t>本项目设有</w:t>
            </w:r>
            <w:r>
              <w:rPr>
                <w:rFonts w:hint="eastAsia"/>
                <w:bCs/>
                <w:color w:val="auto"/>
                <w:sz w:val="24"/>
              </w:rPr>
              <w:t>喷淋水洗槽、纯水洗槽1、纯水洗槽2共三级使用纯水进行清洗</w:t>
            </w:r>
            <w:r>
              <w:rPr>
                <w:bCs/>
                <w:color w:val="auto"/>
                <w:sz w:val="24"/>
              </w:rPr>
              <w:t>，水洗方式</w:t>
            </w:r>
            <w:r>
              <w:rPr>
                <w:rFonts w:hint="eastAsia"/>
                <w:bCs/>
                <w:color w:val="auto"/>
                <w:sz w:val="24"/>
              </w:rPr>
              <w:t>先进行喷淋纯水1~2min后再通过吊机在2个纯水洗槽中顺着吊机运行方向调节时间，每个纯水洗槽均分别浸泡1~2min，</w:t>
            </w:r>
            <w:r>
              <w:rPr>
                <w:bCs/>
                <w:color w:val="auto"/>
                <w:sz w:val="24"/>
              </w:rPr>
              <w:t>均为常温状态下进行水洗，进一步清洗工件表面。</w:t>
            </w:r>
            <w:r>
              <w:rPr>
                <w:rFonts w:hint="eastAsia"/>
                <w:bCs/>
                <w:color w:val="auto"/>
                <w:sz w:val="24"/>
              </w:rPr>
              <w:t>纯</w:t>
            </w:r>
            <w:r>
              <w:rPr>
                <w:bCs/>
                <w:color w:val="auto"/>
                <w:sz w:val="24"/>
              </w:rPr>
              <w:t>水洗槽通过定期更换，此过程会产生清洗废水</w:t>
            </w:r>
            <w:r>
              <w:rPr>
                <w:rFonts w:hint="eastAsia"/>
                <w:bCs/>
                <w:color w:val="auto"/>
                <w:sz w:val="24"/>
              </w:rPr>
              <w:t>和运行噪声</w:t>
            </w:r>
            <w:r>
              <w:rPr>
                <w:bCs/>
                <w:color w:val="auto"/>
                <w:sz w:val="24"/>
              </w:rPr>
              <w:t>。</w:t>
            </w:r>
            <w:bookmarkEnd w:id="251"/>
            <w:bookmarkEnd w:id="252"/>
            <w:bookmarkEnd w:id="253"/>
            <w:bookmarkEnd w:id="254"/>
            <w:bookmarkEnd w:id="255"/>
            <w:bookmarkEnd w:id="256"/>
            <w:bookmarkEnd w:id="257"/>
            <w:bookmarkEnd w:id="258"/>
            <w:bookmarkEnd w:id="259"/>
            <w:bookmarkEnd w:id="260"/>
          </w:p>
          <w:p w14:paraId="4C7DBDA8">
            <w:pPr>
              <w:adjustRightInd w:val="0"/>
              <w:snapToGrid w:val="0"/>
              <w:spacing w:line="360" w:lineRule="auto"/>
              <w:ind w:firstLine="482" w:firstLineChars="200"/>
              <w:rPr>
                <w:bCs/>
                <w:color w:val="auto"/>
                <w:sz w:val="24"/>
              </w:rPr>
            </w:pPr>
            <w:bookmarkStart w:id="261" w:name="_Toc8889"/>
            <w:bookmarkStart w:id="262" w:name="_Toc6929"/>
            <w:bookmarkStart w:id="263" w:name="_Toc30239"/>
            <w:bookmarkStart w:id="264" w:name="_Toc92573305"/>
            <w:bookmarkStart w:id="265" w:name="_Toc14312"/>
            <w:bookmarkStart w:id="266" w:name="_Toc16373"/>
            <w:bookmarkStart w:id="267" w:name="_Toc27337"/>
            <w:bookmarkStart w:id="268" w:name="_Toc104138533"/>
            <w:bookmarkStart w:id="269" w:name="_Toc95133523"/>
            <w:bookmarkStart w:id="270" w:name="_Toc74"/>
            <w:r>
              <w:rPr>
                <w:rFonts w:hint="eastAsia"/>
                <w:b/>
                <w:color w:val="auto"/>
                <w:sz w:val="24"/>
              </w:rPr>
              <w:t>烘干</w:t>
            </w:r>
            <w:r>
              <w:rPr>
                <w:b/>
                <w:color w:val="auto"/>
                <w:sz w:val="24"/>
              </w:rPr>
              <w:t>固化：</w:t>
            </w:r>
            <w:r>
              <w:rPr>
                <w:bCs/>
                <w:color w:val="auto"/>
                <w:sz w:val="24"/>
              </w:rPr>
              <w:t>电泳后</w:t>
            </w:r>
            <w:r>
              <w:rPr>
                <w:rFonts w:hint="eastAsia"/>
                <w:bCs/>
                <w:color w:val="auto"/>
                <w:sz w:val="24"/>
              </w:rPr>
              <w:t>需</w:t>
            </w:r>
            <w:r>
              <w:rPr>
                <w:bCs/>
                <w:color w:val="auto"/>
                <w:sz w:val="24"/>
              </w:rPr>
              <w:t>对工件进行烘干固化，电泳后的工件</w:t>
            </w:r>
            <w:r>
              <w:rPr>
                <w:rFonts w:hint="eastAsia"/>
                <w:bCs/>
                <w:color w:val="auto"/>
                <w:sz w:val="24"/>
              </w:rPr>
              <w:t>通过人工下架后再放入电烤箱中（</w:t>
            </w:r>
            <w:r>
              <w:rPr>
                <w:bCs/>
                <w:color w:val="auto"/>
                <w:sz w:val="24"/>
              </w:rPr>
              <w:t>固化温度1</w:t>
            </w:r>
            <w:r>
              <w:rPr>
                <w:rFonts w:hint="eastAsia"/>
                <w:bCs/>
                <w:color w:val="auto"/>
                <w:sz w:val="24"/>
              </w:rPr>
              <w:t>90</w:t>
            </w:r>
            <w:r>
              <w:rPr>
                <w:bCs/>
                <w:color w:val="auto"/>
                <w:sz w:val="24"/>
              </w:rPr>
              <w:t>℃，固化时间</w:t>
            </w:r>
            <w:r>
              <w:rPr>
                <w:rFonts w:hint="eastAsia"/>
                <w:bCs/>
                <w:color w:val="auto"/>
                <w:sz w:val="24"/>
              </w:rPr>
              <w:t>3</w:t>
            </w:r>
            <w:r>
              <w:rPr>
                <w:bCs/>
                <w:color w:val="auto"/>
                <w:sz w:val="24"/>
              </w:rPr>
              <w:t>0min</w:t>
            </w:r>
            <w:r>
              <w:rPr>
                <w:rFonts w:hint="eastAsia"/>
                <w:bCs/>
                <w:color w:val="auto"/>
                <w:sz w:val="24"/>
              </w:rPr>
              <w:t>）</w:t>
            </w:r>
            <w:r>
              <w:rPr>
                <w:bCs/>
                <w:color w:val="auto"/>
                <w:sz w:val="24"/>
              </w:rPr>
              <w:t>，使</w:t>
            </w:r>
            <w:r>
              <w:rPr>
                <w:rFonts w:hint="eastAsia"/>
                <w:bCs/>
                <w:color w:val="auto"/>
                <w:sz w:val="24"/>
              </w:rPr>
              <w:t>电泳漆</w:t>
            </w:r>
            <w:r>
              <w:rPr>
                <w:bCs/>
                <w:color w:val="auto"/>
                <w:sz w:val="24"/>
              </w:rPr>
              <w:t>迅速固化成膜，粘附在金属表面，即在工件表面形成坚硬涂膜，本项目</w:t>
            </w:r>
            <w:r>
              <w:rPr>
                <w:rFonts w:hint="eastAsia"/>
                <w:bCs/>
                <w:color w:val="auto"/>
                <w:sz w:val="24"/>
              </w:rPr>
              <w:t>电烤箱用电，无需使用燃料，因此无燃烧废气产生。此过程会产生有机废气、臭气和运行噪声</w:t>
            </w:r>
            <w:r>
              <w:rPr>
                <w:bCs/>
                <w:color w:val="auto"/>
                <w:sz w:val="24"/>
              </w:rPr>
              <w:t>。</w:t>
            </w:r>
            <w:bookmarkEnd w:id="261"/>
            <w:bookmarkEnd w:id="262"/>
            <w:bookmarkEnd w:id="263"/>
            <w:bookmarkEnd w:id="264"/>
            <w:bookmarkEnd w:id="265"/>
            <w:bookmarkEnd w:id="266"/>
            <w:bookmarkEnd w:id="267"/>
            <w:bookmarkEnd w:id="268"/>
            <w:bookmarkEnd w:id="269"/>
            <w:bookmarkEnd w:id="270"/>
          </w:p>
          <w:p w14:paraId="0EE1A9E1">
            <w:pPr>
              <w:pStyle w:val="21"/>
              <w:adjustRightInd w:val="0"/>
              <w:spacing w:before="0" w:after="0" w:line="360" w:lineRule="auto"/>
              <w:ind w:right="0" w:firstLine="482" w:firstLineChars="200"/>
              <w:rPr>
                <w:b/>
                <w:color w:val="auto"/>
                <w:sz w:val="24"/>
              </w:rPr>
            </w:pPr>
            <w:r>
              <w:rPr>
                <w:rFonts w:hint="eastAsia"/>
                <w:b/>
                <w:color w:val="auto"/>
                <w:sz w:val="24"/>
              </w:rPr>
              <w:t>2、主要产污环节及污染源说明</w:t>
            </w:r>
          </w:p>
          <w:p w14:paraId="023EDA09">
            <w:pPr>
              <w:adjustRightInd w:val="0"/>
              <w:spacing w:line="360" w:lineRule="auto"/>
              <w:ind w:firstLine="480" w:firstLineChars="200"/>
              <w:rPr>
                <w:bCs/>
                <w:color w:val="auto"/>
                <w:sz w:val="24"/>
              </w:rPr>
            </w:pPr>
            <w:r>
              <w:rPr>
                <w:rFonts w:hint="eastAsia"/>
                <w:bCs/>
                <w:color w:val="auto"/>
                <w:sz w:val="24"/>
              </w:rPr>
              <w:t>本</w:t>
            </w:r>
            <w:r>
              <w:rPr>
                <w:rFonts w:hint="eastAsia"/>
                <w:bCs/>
                <w:color w:val="auto"/>
                <w:sz w:val="24"/>
                <w:lang w:eastAsia="zh-CN"/>
              </w:rPr>
              <w:t>改建</w:t>
            </w:r>
            <w:r>
              <w:rPr>
                <w:bCs/>
                <w:color w:val="auto"/>
                <w:sz w:val="24"/>
              </w:rPr>
              <w:t>项目生产过程主要产生的污染物如下表所示。</w:t>
            </w:r>
          </w:p>
          <w:p w14:paraId="21EDF8C3">
            <w:pPr>
              <w:ind w:firstLine="474" w:firstLineChars="225"/>
              <w:jc w:val="center"/>
              <w:rPr>
                <w:b/>
                <w:color w:val="auto"/>
                <w:szCs w:val="21"/>
              </w:rPr>
            </w:pPr>
          </w:p>
          <w:p w14:paraId="50A8780D">
            <w:pPr>
              <w:ind w:firstLine="474" w:firstLineChars="225"/>
              <w:jc w:val="center"/>
              <w:rPr>
                <w:b/>
                <w:color w:val="auto"/>
                <w:szCs w:val="21"/>
              </w:rPr>
            </w:pPr>
          </w:p>
          <w:p w14:paraId="59C07474">
            <w:pPr>
              <w:ind w:firstLine="474" w:firstLineChars="225"/>
              <w:jc w:val="center"/>
              <w:rPr>
                <w:b/>
                <w:color w:val="auto"/>
                <w:szCs w:val="21"/>
              </w:rPr>
            </w:pPr>
          </w:p>
          <w:p w14:paraId="1D0A478B">
            <w:pPr>
              <w:ind w:firstLine="474" w:firstLineChars="225"/>
              <w:jc w:val="center"/>
              <w:rPr>
                <w:b/>
                <w:color w:val="auto"/>
                <w:szCs w:val="21"/>
              </w:rPr>
            </w:pPr>
          </w:p>
          <w:p w14:paraId="34891687">
            <w:pPr>
              <w:ind w:firstLine="474" w:firstLineChars="225"/>
              <w:jc w:val="center"/>
              <w:rPr>
                <w:b/>
                <w:color w:val="auto"/>
                <w:szCs w:val="21"/>
              </w:rPr>
            </w:pPr>
          </w:p>
          <w:p w14:paraId="2553600E">
            <w:pPr>
              <w:ind w:firstLine="474" w:firstLineChars="225"/>
              <w:jc w:val="center"/>
              <w:rPr>
                <w:b/>
                <w:color w:val="auto"/>
                <w:szCs w:val="21"/>
              </w:rPr>
            </w:pPr>
          </w:p>
          <w:p w14:paraId="64C812B3">
            <w:pPr>
              <w:ind w:firstLine="474" w:firstLineChars="225"/>
              <w:jc w:val="center"/>
              <w:rPr>
                <w:b/>
                <w:color w:val="auto"/>
                <w:szCs w:val="21"/>
              </w:rPr>
            </w:pPr>
          </w:p>
          <w:p w14:paraId="1E73056E">
            <w:pPr>
              <w:ind w:firstLine="474" w:firstLineChars="225"/>
              <w:jc w:val="center"/>
              <w:rPr>
                <w:b/>
                <w:color w:val="auto"/>
                <w:szCs w:val="21"/>
              </w:rPr>
            </w:pPr>
          </w:p>
          <w:p w14:paraId="47C795B0">
            <w:pPr>
              <w:ind w:firstLine="474" w:firstLineChars="225"/>
              <w:jc w:val="center"/>
              <w:rPr>
                <w:b/>
                <w:color w:val="auto"/>
                <w:szCs w:val="21"/>
              </w:rPr>
            </w:pPr>
          </w:p>
          <w:p w14:paraId="403F2EB6">
            <w:pPr>
              <w:ind w:firstLine="474" w:firstLineChars="225"/>
              <w:jc w:val="center"/>
              <w:rPr>
                <w:b/>
                <w:color w:val="auto"/>
                <w:szCs w:val="21"/>
              </w:rPr>
            </w:pPr>
            <w:r>
              <w:rPr>
                <w:b/>
                <w:color w:val="auto"/>
                <w:szCs w:val="21"/>
              </w:rPr>
              <w:t>表2-</w:t>
            </w:r>
            <w:r>
              <w:rPr>
                <w:rFonts w:hint="eastAsia"/>
                <w:b/>
                <w:color w:val="auto"/>
                <w:szCs w:val="21"/>
              </w:rPr>
              <w:t>1</w:t>
            </w:r>
            <w:r>
              <w:rPr>
                <w:rFonts w:hint="eastAsia"/>
                <w:b/>
                <w:color w:val="auto"/>
                <w:szCs w:val="21"/>
                <w:lang w:val="en-US" w:eastAsia="zh-CN"/>
              </w:rPr>
              <w:t>3</w:t>
            </w:r>
            <w:r>
              <w:rPr>
                <w:b/>
                <w:color w:val="auto"/>
                <w:szCs w:val="21"/>
              </w:rPr>
              <w:t xml:space="preserve">  </w:t>
            </w:r>
            <w:r>
              <w:rPr>
                <w:rFonts w:hint="eastAsia"/>
                <w:b/>
                <w:color w:val="auto"/>
                <w:szCs w:val="21"/>
                <w:lang w:eastAsia="zh-CN"/>
              </w:rPr>
              <w:t>改建</w:t>
            </w:r>
            <w:r>
              <w:rPr>
                <w:b/>
                <w:color w:val="auto"/>
                <w:szCs w:val="21"/>
              </w:rPr>
              <w:t>项目产污环节一览表</w:t>
            </w:r>
          </w:p>
          <w:tbl>
            <w:tblPr>
              <w:tblStyle w:val="42"/>
              <w:tblW w:w="9574"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49"/>
              <w:gridCol w:w="562"/>
              <w:gridCol w:w="1688"/>
              <w:gridCol w:w="1817"/>
              <w:gridCol w:w="1785"/>
              <w:gridCol w:w="2873"/>
            </w:tblGrid>
            <w:tr w14:paraId="31BFFE2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9" w:type="dxa"/>
                  <w:tcBorders>
                    <w:tl2br w:val="nil"/>
                    <w:tr2bl w:val="nil"/>
                  </w:tcBorders>
                  <w:vAlign w:val="center"/>
                </w:tcPr>
                <w:p w14:paraId="52EFD2BC">
                  <w:pPr>
                    <w:jc w:val="center"/>
                    <w:rPr>
                      <w:b/>
                      <w:color w:val="auto"/>
                      <w:szCs w:val="21"/>
                    </w:rPr>
                  </w:pPr>
                  <w:r>
                    <w:rPr>
                      <w:b/>
                      <w:color w:val="auto"/>
                      <w:szCs w:val="21"/>
                    </w:rPr>
                    <w:t>污染物</w:t>
                  </w:r>
                </w:p>
              </w:tc>
              <w:tc>
                <w:tcPr>
                  <w:tcW w:w="2250" w:type="dxa"/>
                  <w:gridSpan w:val="2"/>
                  <w:tcBorders>
                    <w:tl2br w:val="nil"/>
                    <w:tr2bl w:val="nil"/>
                  </w:tcBorders>
                  <w:vAlign w:val="center"/>
                </w:tcPr>
                <w:p w14:paraId="5574663D">
                  <w:pPr>
                    <w:jc w:val="center"/>
                    <w:rPr>
                      <w:b/>
                      <w:color w:val="auto"/>
                      <w:szCs w:val="21"/>
                    </w:rPr>
                  </w:pPr>
                  <w:r>
                    <w:rPr>
                      <w:b/>
                      <w:color w:val="auto"/>
                      <w:szCs w:val="21"/>
                    </w:rPr>
                    <w:t>污染来源</w:t>
                  </w:r>
                </w:p>
              </w:tc>
              <w:tc>
                <w:tcPr>
                  <w:tcW w:w="1817" w:type="dxa"/>
                  <w:tcBorders>
                    <w:tl2br w:val="nil"/>
                    <w:tr2bl w:val="nil"/>
                  </w:tcBorders>
                  <w:vAlign w:val="center"/>
                </w:tcPr>
                <w:p w14:paraId="6D831A3C">
                  <w:pPr>
                    <w:jc w:val="center"/>
                    <w:rPr>
                      <w:b/>
                      <w:color w:val="auto"/>
                      <w:szCs w:val="21"/>
                    </w:rPr>
                  </w:pPr>
                  <w:r>
                    <w:rPr>
                      <w:rFonts w:hint="eastAsia"/>
                      <w:b/>
                      <w:color w:val="auto"/>
                      <w:szCs w:val="21"/>
                    </w:rPr>
                    <w:t>污染物类型</w:t>
                  </w:r>
                </w:p>
              </w:tc>
              <w:tc>
                <w:tcPr>
                  <w:tcW w:w="1785" w:type="dxa"/>
                  <w:tcBorders>
                    <w:tl2br w:val="nil"/>
                    <w:tr2bl w:val="nil"/>
                  </w:tcBorders>
                  <w:vAlign w:val="center"/>
                </w:tcPr>
                <w:p w14:paraId="59925519">
                  <w:pPr>
                    <w:jc w:val="center"/>
                    <w:rPr>
                      <w:b/>
                      <w:color w:val="auto"/>
                      <w:szCs w:val="21"/>
                    </w:rPr>
                  </w:pPr>
                  <w:r>
                    <w:rPr>
                      <w:rFonts w:hint="eastAsia"/>
                      <w:b/>
                      <w:color w:val="auto"/>
                      <w:szCs w:val="21"/>
                    </w:rPr>
                    <w:t>主要污染物</w:t>
                  </w:r>
                </w:p>
              </w:tc>
              <w:tc>
                <w:tcPr>
                  <w:tcW w:w="2873" w:type="dxa"/>
                  <w:tcBorders>
                    <w:tl2br w:val="nil"/>
                    <w:tr2bl w:val="nil"/>
                  </w:tcBorders>
                  <w:vAlign w:val="center"/>
                </w:tcPr>
                <w:p w14:paraId="5DD79019">
                  <w:pPr>
                    <w:jc w:val="center"/>
                    <w:rPr>
                      <w:b/>
                      <w:color w:val="auto"/>
                      <w:szCs w:val="21"/>
                    </w:rPr>
                  </w:pPr>
                  <w:r>
                    <w:rPr>
                      <w:rFonts w:hint="eastAsia"/>
                      <w:b/>
                      <w:color w:val="auto"/>
                      <w:szCs w:val="21"/>
                    </w:rPr>
                    <w:t>治理方式</w:t>
                  </w:r>
                </w:p>
              </w:tc>
            </w:tr>
            <w:tr w14:paraId="1762B2D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9" w:type="dxa"/>
                  <w:tcBorders>
                    <w:tl2br w:val="nil"/>
                    <w:tr2bl w:val="nil"/>
                  </w:tcBorders>
                  <w:vAlign w:val="center"/>
                </w:tcPr>
                <w:p w14:paraId="2D84F2CF">
                  <w:pPr>
                    <w:jc w:val="center"/>
                    <w:rPr>
                      <w:color w:val="auto"/>
                      <w:szCs w:val="21"/>
                    </w:rPr>
                  </w:pPr>
                  <w:r>
                    <w:rPr>
                      <w:color w:val="auto"/>
                      <w:szCs w:val="21"/>
                    </w:rPr>
                    <w:t>废气</w:t>
                  </w:r>
                </w:p>
              </w:tc>
              <w:tc>
                <w:tcPr>
                  <w:tcW w:w="2250" w:type="dxa"/>
                  <w:gridSpan w:val="2"/>
                  <w:tcBorders>
                    <w:tl2br w:val="nil"/>
                    <w:tr2bl w:val="nil"/>
                  </w:tcBorders>
                  <w:vAlign w:val="center"/>
                </w:tcPr>
                <w:p w14:paraId="6063B93A">
                  <w:pPr>
                    <w:jc w:val="center"/>
                    <w:rPr>
                      <w:color w:val="auto"/>
                      <w:szCs w:val="21"/>
                    </w:rPr>
                  </w:pPr>
                  <w:r>
                    <w:rPr>
                      <w:color w:val="auto"/>
                      <w:spacing w:val="8"/>
                      <w:szCs w:val="21"/>
                    </w:rPr>
                    <w:t>电泳涂装</w:t>
                  </w:r>
                  <w:r>
                    <w:rPr>
                      <w:rFonts w:hint="eastAsia"/>
                      <w:color w:val="auto"/>
                      <w:spacing w:val="8"/>
                      <w:szCs w:val="21"/>
                    </w:rPr>
                    <w:t>、</w:t>
                  </w:r>
                  <w:r>
                    <w:rPr>
                      <w:color w:val="auto"/>
                      <w:szCs w:val="21"/>
                    </w:rPr>
                    <w:t>烘干固化</w:t>
                  </w:r>
                </w:p>
              </w:tc>
              <w:tc>
                <w:tcPr>
                  <w:tcW w:w="1817" w:type="dxa"/>
                  <w:tcBorders>
                    <w:tl2br w:val="nil"/>
                    <w:tr2bl w:val="nil"/>
                  </w:tcBorders>
                  <w:vAlign w:val="center"/>
                </w:tcPr>
                <w:p w14:paraId="6CC5D197">
                  <w:pPr>
                    <w:jc w:val="center"/>
                    <w:rPr>
                      <w:color w:val="auto"/>
                      <w:szCs w:val="21"/>
                    </w:rPr>
                  </w:pPr>
                  <w:r>
                    <w:rPr>
                      <w:rFonts w:hint="eastAsia"/>
                      <w:color w:val="auto"/>
                      <w:szCs w:val="21"/>
                    </w:rPr>
                    <w:t>有机废气、臭气</w:t>
                  </w:r>
                </w:p>
              </w:tc>
              <w:tc>
                <w:tcPr>
                  <w:tcW w:w="1785" w:type="dxa"/>
                  <w:tcBorders>
                    <w:tl2br w:val="nil"/>
                    <w:tr2bl w:val="nil"/>
                  </w:tcBorders>
                  <w:vAlign w:val="center"/>
                </w:tcPr>
                <w:p w14:paraId="7C0680CB">
                  <w:pPr>
                    <w:jc w:val="center"/>
                    <w:rPr>
                      <w:color w:val="auto"/>
                      <w:szCs w:val="21"/>
                    </w:rPr>
                  </w:pPr>
                  <w:r>
                    <w:rPr>
                      <w:rFonts w:hint="eastAsia"/>
                      <w:color w:val="auto"/>
                      <w:szCs w:val="21"/>
                    </w:rPr>
                    <w:t>非甲烷总烃/TVOC、臭气浓度</w:t>
                  </w:r>
                </w:p>
              </w:tc>
              <w:tc>
                <w:tcPr>
                  <w:tcW w:w="2873" w:type="dxa"/>
                  <w:tcBorders>
                    <w:tl2br w:val="nil"/>
                    <w:tr2bl w:val="nil"/>
                  </w:tcBorders>
                  <w:vAlign w:val="center"/>
                </w:tcPr>
                <w:p w14:paraId="2087DE2A">
                  <w:pPr>
                    <w:jc w:val="center"/>
                    <w:rPr>
                      <w:rFonts w:hint="eastAsia"/>
                      <w:color w:val="auto"/>
                      <w:szCs w:val="21"/>
                    </w:rPr>
                  </w:pPr>
                  <w:r>
                    <w:rPr>
                      <w:rFonts w:hint="eastAsia"/>
                      <w:color w:val="auto"/>
                      <w:szCs w:val="21"/>
                    </w:rPr>
                    <w:t>通过密闭收集后</w:t>
                  </w:r>
                  <w:r>
                    <w:rPr>
                      <w:rFonts w:hint="eastAsia"/>
                      <w:color w:val="auto"/>
                      <w:szCs w:val="21"/>
                      <w:lang w:val="en-US" w:eastAsia="zh-CN"/>
                    </w:rPr>
                    <w:t>依托现有项目的</w:t>
                  </w:r>
                  <w:r>
                    <w:rPr>
                      <w:color w:val="auto"/>
                      <w:szCs w:val="21"/>
                    </w:rPr>
                    <w:t>“水喷淋塔+</w:t>
                  </w:r>
                  <w:r>
                    <w:rPr>
                      <w:rFonts w:hint="eastAsia"/>
                      <w:color w:val="auto"/>
                      <w:szCs w:val="21"/>
                      <w:lang w:eastAsia="zh-CN"/>
                    </w:rPr>
                    <w:t>除雾器</w:t>
                  </w:r>
                  <w:r>
                    <w:rPr>
                      <w:color w:val="auto"/>
                      <w:szCs w:val="21"/>
                    </w:rPr>
                    <w:t>+</w:t>
                  </w:r>
                  <w:r>
                    <w:rPr>
                      <w:rFonts w:hint="eastAsia"/>
                      <w:color w:val="auto"/>
                      <w:szCs w:val="21"/>
                    </w:rPr>
                    <w:t>两</w:t>
                  </w:r>
                  <w:r>
                    <w:rPr>
                      <w:color w:val="auto"/>
                      <w:szCs w:val="21"/>
                    </w:rPr>
                    <w:t>级</w:t>
                  </w:r>
                  <w:r>
                    <w:rPr>
                      <w:rFonts w:hint="eastAsia"/>
                      <w:color w:val="auto"/>
                      <w:szCs w:val="21"/>
                    </w:rPr>
                    <w:t>活性炭吸附装置</w:t>
                  </w:r>
                  <w:r>
                    <w:rPr>
                      <w:color w:val="auto"/>
                      <w:szCs w:val="21"/>
                    </w:rPr>
                    <w:t>”处理后，经20m高</w:t>
                  </w:r>
                  <w:r>
                    <w:rPr>
                      <w:rFonts w:hint="eastAsia"/>
                      <w:color w:val="auto"/>
                      <w:szCs w:val="21"/>
                    </w:rPr>
                    <w:t>的</w:t>
                  </w:r>
                  <w:r>
                    <w:rPr>
                      <w:color w:val="auto"/>
                      <w:szCs w:val="21"/>
                    </w:rPr>
                    <w:t>排气筒（DA00</w:t>
                  </w:r>
                  <w:r>
                    <w:rPr>
                      <w:rFonts w:hint="eastAsia"/>
                      <w:color w:val="auto"/>
                      <w:szCs w:val="21"/>
                      <w:lang w:val="en-US" w:eastAsia="zh-CN"/>
                    </w:rPr>
                    <w:t>5</w:t>
                  </w:r>
                  <w:r>
                    <w:rPr>
                      <w:color w:val="auto"/>
                      <w:szCs w:val="21"/>
                    </w:rPr>
                    <w:t>）高空排放</w:t>
                  </w:r>
                </w:p>
              </w:tc>
            </w:tr>
            <w:tr w14:paraId="6336FBA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9" w:type="dxa"/>
                  <w:vMerge w:val="restart"/>
                  <w:tcBorders>
                    <w:tl2br w:val="nil"/>
                    <w:tr2bl w:val="nil"/>
                  </w:tcBorders>
                  <w:vAlign w:val="center"/>
                </w:tcPr>
                <w:p w14:paraId="4072F9A8">
                  <w:pPr>
                    <w:jc w:val="center"/>
                    <w:rPr>
                      <w:color w:val="auto"/>
                      <w:szCs w:val="21"/>
                    </w:rPr>
                  </w:pPr>
                  <w:r>
                    <w:rPr>
                      <w:color w:val="auto"/>
                      <w:szCs w:val="21"/>
                    </w:rPr>
                    <w:t>废水</w:t>
                  </w:r>
                </w:p>
              </w:tc>
              <w:tc>
                <w:tcPr>
                  <w:tcW w:w="2250" w:type="dxa"/>
                  <w:gridSpan w:val="2"/>
                  <w:tcBorders>
                    <w:tl2br w:val="nil"/>
                    <w:tr2bl w:val="nil"/>
                  </w:tcBorders>
                  <w:vAlign w:val="center"/>
                </w:tcPr>
                <w:p w14:paraId="15E073EE">
                  <w:pPr>
                    <w:jc w:val="center"/>
                    <w:rPr>
                      <w:color w:val="auto"/>
                      <w:szCs w:val="21"/>
                    </w:rPr>
                  </w:pPr>
                  <w:r>
                    <w:rPr>
                      <w:rFonts w:hint="eastAsia"/>
                      <w:color w:val="auto"/>
                      <w:szCs w:val="21"/>
                    </w:rPr>
                    <w:t>脱脂后</w:t>
                  </w:r>
                  <w:r>
                    <w:rPr>
                      <w:color w:val="auto"/>
                      <w:szCs w:val="21"/>
                    </w:rPr>
                    <w:t>清洗</w:t>
                  </w:r>
                </w:p>
              </w:tc>
              <w:tc>
                <w:tcPr>
                  <w:tcW w:w="1817" w:type="dxa"/>
                  <w:tcBorders>
                    <w:tl2br w:val="nil"/>
                    <w:tr2bl w:val="nil"/>
                  </w:tcBorders>
                  <w:vAlign w:val="center"/>
                </w:tcPr>
                <w:p w14:paraId="5ECC3964">
                  <w:pPr>
                    <w:jc w:val="center"/>
                    <w:rPr>
                      <w:color w:val="auto"/>
                      <w:szCs w:val="21"/>
                    </w:rPr>
                  </w:pPr>
                  <w:r>
                    <w:rPr>
                      <w:rFonts w:hint="eastAsia"/>
                      <w:color w:val="auto"/>
                      <w:szCs w:val="21"/>
                    </w:rPr>
                    <w:t>脱脂</w:t>
                  </w:r>
                  <w:r>
                    <w:rPr>
                      <w:color w:val="auto"/>
                      <w:szCs w:val="21"/>
                    </w:rPr>
                    <w:t>清洗废水</w:t>
                  </w:r>
                </w:p>
              </w:tc>
              <w:tc>
                <w:tcPr>
                  <w:tcW w:w="1785" w:type="dxa"/>
                  <w:tcBorders>
                    <w:tl2br w:val="nil"/>
                    <w:tr2bl w:val="nil"/>
                  </w:tcBorders>
                  <w:vAlign w:val="center"/>
                </w:tcPr>
                <w:p w14:paraId="5BC2998D">
                  <w:pPr>
                    <w:jc w:val="center"/>
                    <w:rPr>
                      <w:color w:val="auto"/>
                      <w:szCs w:val="21"/>
                    </w:rPr>
                  </w:pPr>
                  <w:r>
                    <w:rPr>
                      <w:rFonts w:hint="eastAsia"/>
                      <w:color w:val="auto"/>
                      <w:szCs w:val="21"/>
                    </w:rPr>
                    <w:t>COD</w:t>
                  </w:r>
                  <w:r>
                    <w:rPr>
                      <w:rFonts w:hint="eastAsia"/>
                      <w:color w:val="auto"/>
                      <w:szCs w:val="21"/>
                      <w:vertAlign w:val="subscript"/>
                    </w:rPr>
                    <w:t>Cr</w:t>
                  </w:r>
                  <w:r>
                    <w:rPr>
                      <w:rFonts w:hint="eastAsia"/>
                      <w:color w:val="auto"/>
                      <w:szCs w:val="21"/>
                    </w:rPr>
                    <w:t>、SS等</w:t>
                  </w:r>
                </w:p>
              </w:tc>
              <w:tc>
                <w:tcPr>
                  <w:tcW w:w="2873" w:type="dxa"/>
                  <w:vMerge w:val="restart"/>
                  <w:tcBorders>
                    <w:tl2br w:val="nil"/>
                    <w:tr2bl w:val="nil"/>
                  </w:tcBorders>
                  <w:vAlign w:val="center"/>
                </w:tcPr>
                <w:p w14:paraId="5389A976">
                  <w:pPr>
                    <w:jc w:val="center"/>
                    <w:rPr>
                      <w:color w:val="auto"/>
                      <w:szCs w:val="21"/>
                    </w:rPr>
                  </w:pPr>
                  <w:r>
                    <w:rPr>
                      <w:rFonts w:hint="eastAsia"/>
                      <w:color w:val="auto"/>
                      <w:szCs w:val="21"/>
                    </w:rPr>
                    <w:t>依托厂内自建的综合废水处理站处理后回用于阳极氧化线清洗，不外排</w:t>
                  </w:r>
                </w:p>
              </w:tc>
            </w:tr>
            <w:tr w14:paraId="2572CB8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9" w:type="dxa"/>
                  <w:vMerge w:val="continue"/>
                  <w:tcBorders>
                    <w:tl2br w:val="nil"/>
                    <w:tr2bl w:val="nil"/>
                  </w:tcBorders>
                  <w:vAlign w:val="center"/>
                </w:tcPr>
                <w:p w14:paraId="4F60B25F">
                  <w:pPr>
                    <w:jc w:val="center"/>
                    <w:rPr>
                      <w:color w:val="auto"/>
                      <w:szCs w:val="21"/>
                    </w:rPr>
                  </w:pPr>
                </w:p>
              </w:tc>
              <w:tc>
                <w:tcPr>
                  <w:tcW w:w="2250" w:type="dxa"/>
                  <w:gridSpan w:val="2"/>
                  <w:tcBorders>
                    <w:tl2br w:val="nil"/>
                    <w:tr2bl w:val="nil"/>
                  </w:tcBorders>
                  <w:vAlign w:val="center"/>
                </w:tcPr>
                <w:p w14:paraId="4BA7C0A6">
                  <w:pPr>
                    <w:jc w:val="center"/>
                    <w:rPr>
                      <w:color w:val="auto"/>
                      <w:szCs w:val="21"/>
                    </w:rPr>
                  </w:pPr>
                  <w:r>
                    <w:rPr>
                      <w:rFonts w:hint="eastAsia"/>
                      <w:color w:val="auto"/>
                      <w:szCs w:val="21"/>
                    </w:rPr>
                    <w:t>电泳后清洗</w:t>
                  </w:r>
                </w:p>
              </w:tc>
              <w:tc>
                <w:tcPr>
                  <w:tcW w:w="1817" w:type="dxa"/>
                  <w:tcBorders>
                    <w:tl2br w:val="nil"/>
                    <w:tr2bl w:val="nil"/>
                  </w:tcBorders>
                  <w:vAlign w:val="center"/>
                </w:tcPr>
                <w:p w14:paraId="7D968DD9">
                  <w:pPr>
                    <w:jc w:val="center"/>
                    <w:rPr>
                      <w:color w:val="auto"/>
                      <w:szCs w:val="21"/>
                    </w:rPr>
                  </w:pPr>
                  <w:r>
                    <w:rPr>
                      <w:rFonts w:hint="eastAsia"/>
                      <w:color w:val="auto"/>
                      <w:szCs w:val="21"/>
                    </w:rPr>
                    <w:t>电泳清洗废水</w:t>
                  </w:r>
                </w:p>
              </w:tc>
              <w:tc>
                <w:tcPr>
                  <w:tcW w:w="1785" w:type="dxa"/>
                  <w:tcBorders>
                    <w:tl2br w:val="nil"/>
                    <w:tr2bl w:val="nil"/>
                  </w:tcBorders>
                  <w:vAlign w:val="center"/>
                </w:tcPr>
                <w:p w14:paraId="13CCAD1B">
                  <w:pPr>
                    <w:jc w:val="center"/>
                    <w:rPr>
                      <w:color w:val="auto"/>
                      <w:szCs w:val="21"/>
                    </w:rPr>
                  </w:pPr>
                  <w:r>
                    <w:rPr>
                      <w:rFonts w:hint="eastAsia"/>
                      <w:color w:val="auto"/>
                      <w:szCs w:val="21"/>
                    </w:rPr>
                    <w:t>COD</w:t>
                  </w:r>
                  <w:r>
                    <w:rPr>
                      <w:rFonts w:hint="eastAsia"/>
                      <w:color w:val="auto"/>
                      <w:szCs w:val="21"/>
                      <w:vertAlign w:val="subscript"/>
                    </w:rPr>
                    <w:t>Cr</w:t>
                  </w:r>
                  <w:r>
                    <w:rPr>
                      <w:rFonts w:hint="eastAsia"/>
                      <w:color w:val="auto"/>
                      <w:szCs w:val="21"/>
                    </w:rPr>
                    <w:t>、SS等</w:t>
                  </w:r>
                </w:p>
              </w:tc>
              <w:tc>
                <w:tcPr>
                  <w:tcW w:w="2873" w:type="dxa"/>
                  <w:vMerge w:val="continue"/>
                  <w:tcBorders>
                    <w:tl2br w:val="nil"/>
                    <w:tr2bl w:val="nil"/>
                  </w:tcBorders>
                  <w:vAlign w:val="center"/>
                </w:tcPr>
                <w:p w14:paraId="2E198E3F">
                  <w:pPr>
                    <w:jc w:val="center"/>
                    <w:rPr>
                      <w:rFonts w:hint="eastAsia"/>
                      <w:color w:val="auto"/>
                      <w:szCs w:val="21"/>
                    </w:rPr>
                  </w:pPr>
                </w:p>
              </w:tc>
            </w:tr>
            <w:tr w14:paraId="019A189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9" w:type="dxa"/>
                  <w:vMerge w:val="restart"/>
                  <w:tcBorders>
                    <w:tl2br w:val="nil"/>
                    <w:tr2bl w:val="nil"/>
                  </w:tcBorders>
                  <w:vAlign w:val="center"/>
                </w:tcPr>
                <w:p w14:paraId="3FF695D7">
                  <w:pPr>
                    <w:jc w:val="center"/>
                    <w:rPr>
                      <w:color w:val="auto"/>
                      <w:szCs w:val="21"/>
                    </w:rPr>
                  </w:pPr>
                  <w:r>
                    <w:rPr>
                      <w:color w:val="auto"/>
                      <w:szCs w:val="21"/>
                    </w:rPr>
                    <w:t>噪声</w:t>
                  </w:r>
                </w:p>
              </w:tc>
              <w:tc>
                <w:tcPr>
                  <w:tcW w:w="2250" w:type="dxa"/>
                  <w:gridSpan w:val="2"/>
                  <w:tcBorders>
                    <w:tl2br w:val="nil"/>
                    <w:tr2bl w:val="nil"/>
                  </w:tcBorders>
                  <w:vAlign w:val="center"/>
                </w:tcPr>
                <w:p w14:paraId="71DF41DA">
                  <w:pPr>
                    <w:jc w:val="center"/>
                    <w:rPr>
                      <w:rFonts w:hint="eastAsia"/>
                      <w:color w:val="auto"/>
                      <w:szCs w:val="21"/>
                    </w:rPr>
                  </w:pPr>
                  <w:r>
                    <w:rPr>
                      <w:color w:val="auto"/>
                      <w:szCs w:val="21"/>
                    </w:rPr>
                    <w:t>生产设备</w:t>
                  </w:r>
                </w:p>
              </w:tc>
              <w:tc>
                <w:tcPr>
                  <w:tcW w:w="1817" w:type="dxa"/>
                  <w:tcBorders>
                    <w:tl2br w:val="nil"/>
                    <w:tr2bl w:val="nil"/>
                  </w:tcBorders>
                  <w:vAlign w:val="center"/>
                </w:tcPr>
                <w:p w14:paraId="1CEE45DA">
                  <w:pPr>
                    <w:jc w:val="center"/>
                    <w:rPr>
                      <w:color w:val="auto"/>
                      <w:szCs w:val="21"/>
                    </w:rPr>
                  </w:pPr>
                  <w:r>
                    <w:rPr>
                      <w:color w:val="auto"/>
                      <w:szCs w:val="21"/>
                    </w:rPr>
                    <w:t>生产设备运转噪声</w:t>
                  </w:r>
                </w:p>
              </w:tc>
              <w:tc>
                <w:tcPr>
                  <w:tcW w:w="1785" w:type="dxa"/>
                  <w:tcBorders>
                    <w:tl2br w:val="nil"/>
                    <w:tr2bl w:val="nil"/>
                  </w:tcBorders>
                  <w:vAlign w:val="center"/>
                </w:tcPr>
                <w:p w14:paraId="7BFA8732">
                  <w:pPr>
                    <w:jc w:val="center"/>
                    <w:rPr>
                      <w:color w:val="auto"/>
                      <w:szCs w:val="21"/>
                    </w:rPr>
                  </w:pPr>
                  <w:r>
                    <w:rPr>
                      <w:rFonts w:hint="eastAsia"/>
                      <w:color w:val="auto"/>
                      <w:szCs w:val="21"/>
                    </w:rPr>
                    <w:t>连续噪声</w:t>
                  </w:r>
                </w:p>
              </w:tc>
              <w:tc>
                <w:tcPr>
                  <w:tcW w:w="2873" w:type="dxa"/>
                  <w:vMerge w:val="restart"/>
                  <w:tcBorders>
                    <w:tl2br w:val="nil"/>
                    <w:tr2bl w:val="nil"/>
                  </w:tcBorders>
                  <w:vAlign w:val="center"/>
                </w:tcPr>
                <w:p w14:paraId="5521828C">
                  <w:pPr>
                    <w:jc w:val="center"/>
                    <w:rPr>
                      <w:color w:val="auto"/>
                      <w:szCs w:val="21"/>
                    </w:rPr>
                  </w:pPr>
                  <w:r>
                    <w:rPr>
                      <w:color w:val="auto"/>
                      <w:szCs w:val="21"/>
                    </w:rPr>
                    <w:t>选用低噪声设备，并采取隔声、减震等降噪措施</w:t>
                  </w:r>
                </w:p>
              </w:tc>
            </w:tr>
            <w:tr w14:paraId="77C8630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9" w:type="dxa"/>
                  <w:vMerge w:val="continue"/>
                  <w:tcBorders>
                    <w:tl2br w:val="nil"/>
                    <w:tr2bl w:val="nil"/>
                  </w:tcBorders>
                  <w:vAlign w:val="center"/>
                </w:tcPr>
                <w:p w14:paraId="0FAE29A2">
                  <w:pPr>
                    <w:jc w:val="center"/>
                    <w:rPr>
                      <w:color w:val="auto"/>
                      <w:szCs w:val="21"/>
                    </w:rPr>
                  </w:pPr>
                </w:p>
              </w:tc>
              <w:tc>
                <w:tcPr>
                  <w:tcW w:w="2250" w:type="dxa"/>
                  <w:gridSpan w:val="2"/>
                  <w:tcBorders>
                    <w:tl2br w:val="nil"/>
                    <w:tr2bl w:val="nil"/>
                  </w:tcBorders>
                  <w:vAlign w:val="center"/>
                </w:tcPr>
                <w:p w14:paraId="277FD7FD">
                  <w:pPr>
                    <w:jc w:val="center"/>
                    <w:rPr>
                      <w:color w:val="auto"/>
                      <w:szCs w:val="21"/>
                    </w:rPr>
                  </w:pPr>
                  <w:r>
                    <w:rPr>
                      <w:color w:val="auto"/>
                      <w:szCs w:val="21"/>
                    </w:rPr>
                    <w:t>风机、水泵</w:t>
                  </w:r>
                </w:p>
              </w:tc>
              <w:tc>
                <w:tcPr>
                  <w:tcW w:w="1817" w:type="dxa"/>
                  <w:tcBorders>
                    <w:tl2br w:val="nil"/>
                    <w:tr2bl w:val="nil"/>
                  </w:tcBorders>
                  <w:vAlign w:val="center"/>
                </w:tcPr>
                <w:p w14:paraId="6E8DC35C">
                  <w:pPr>
                    <w:jc w:val="center"/>
                    <w:rPr>
                      <w:color w:val="auto"/>
                      <w:szCs w:val="21"/>
                    </w:rPr>
                  </w:pPr>
                  <w:r>
                    <w:rPr>
                      <w:color w:val="auto"/>
                      <w:szCs w:val="21"/>
                    </w:rPr>
                    <w:t>运转噪声</w:t>
                  </w:r>
                </w:p>
              </w:tc>
              <w:tc>
                <w:tcPr>
                  <w:tcW w:w="1785" w:type="dxa"/>
                  <w:tcBorders>
                    <w:tl2br w:val="nil"/>
                    <w:tr2bl w:val="nil"/>
                  </w:tcBorders>
                  <w:vAlign w:val="center"/>
                </w:tcPr>
                <w:p w14:paraId="4F8C9CB1">
                  <w:pPr>
                    <w:jc w:val="center"/>
                    <w:rPr>
                      <w:color w:val="auto"/>
                      <w:szCs w:val="21"/>
                    </w:rPr>
                  </w:pPr>
                  <w:r>
                    <w:rPr>
                      <w:rFonts w:hint="eastAsia"/>
                      <w:color w:val="auto"/>
                      <w:szCs w:val="21"/>
                    </w:rPr>
                    <w:t>连续噪声</w:t>
                  </w:r>
                </w:p>
              </w:tc>
              <w:tc>
                <w:tcPr>
                  <w:tcW w:w="2873" w:type="dxa"/>
                  <w:vMerge w:val="continue"/>
                  <w:tcBorders>
                    <w:tl2br w:val="nil"/>
                    <w:tr2bl w:val="nil"/>
                  </w:tcBorders>
                  <w:vAlign w:val="center"/>
                </w:tcPr>
                <w:p w14:paraId="606402B2">
                  <w:pPr>
                    <w:jc w:val="center"/>
                    <w:rPr>
                      <w:color w:val="auto"/>
                      <w:szCs w:val="21"/>
                    </w:rPr>
                  </w:pPr>
                </w:p>
              </w:tc>
            </w:tr>
            <w:tr w14:paraId="5CFE8FD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9" w:type="dxa"/>
                  <w:vMerge w:val="restart"/>
                  <w:tcBorders>
                    <w:tl2br w:val="nil"/>
                    <w:tr2bl w:val="nil"/>
                  </w:tcBorders>
                  <w:vAlign w:val="center"/>
                </w:tcPr>
                <w:p w14:paraId="5D8C8AEA">
                  <w:pPr>
                    <w:jc w:val="center"/>
                    <w:rPr>
                      <w:color w:val="auto"/>
                      <w:szCs w:val="21"/>
                    </w:rPr>
                  </w:pPr>
                  <w:r>
                    <w:rPr>
                      <w:color w:val="auto"/>
                      <w:szCs w:val="21"/>
                    </w:rPr>
                    <w:t>固废</w:t>
                  </w:r>
                </w:p>
              </w:tc>
              <w:tc>
                <w:tcPr>
                  <w:tcW w:w="562" w:type="dxa"/>
                  <w:vMerge w:val="restart"/>
                  <w:tcBorders>
                    <w:tl2br w:val="nil"/>
                    <w:tr2bl w:val="nil"/>
                  </w:tcBorders>
                  <w:vAlign w:val="center"/>
                </w:tcPr>
                <w:p w14:paraId="73BA1ED4">
                  <w:pPr>
                    <w:adjustRightInd w:val="0"/>
                    <w:snapToGrid w:val="0"/>
                    <w:jc w:val="center"/>
                    <w:rPr>
                      <w:color w:val="auto"/>
                      <w:szCs w:val="21"/>
                    </w:rPr>
                  </w:pPr>
                  <w:r>
                    <w:rPr>
                      <w:rFonts w:hint="eastAsia"/>
                      <w:color w:val="auto"/>
                      <w:szCs w:val="21"/>
                    </w:rPr>
                    <w:t>危险固废</w:t>
                  </w:r>
                </w:p>
              </w:tc>
              <w:tc>
                <w:tcPr>
                  <w:tcW w:w="1688" w:type="dxa"/>
                  <w:tcBorders>
                    <w:tl2br w:val="nil"/>
                    <w:tr2bl w:val="nil"/>
                  </w:tcBorders>
                  <w:vAlign w:val="center"/>
                </w:tcPr>
                <w:p w14:paraId="463D9377">
                  <w:pPr>
                    <w:adjustRightInd w:val="0"/>
                    <w:snapToGrid w:val="0"/>
                    <w:jc w:val="center"/>
                    <w:rPr>
                      <w:rFonts w:hint="eastAsia"/>
                      <w:color w:val="auto"/>
                      <w:szCs w:val="21"/>
                    </w:rPr>
                  </w:pPr>
                  <w:r>
                    <w:rPr>
                      <w:rFonts w:hint="eastAsia"/>
                      <w:color w:val="auto"/>
                      <w:szCs w:val="21"/>
                    </w:rPr>
                    <w:t>预脱脂</w:t>
                  </w:r>
                  <w:r>
                    <w:rPr>
                      <w:color w:val="auto"/>
                      <w:szCs w:val="21"/>
                    </w:rPr>
                    <w:t>槽</w:t>
                  </w:r>
                </w:p>
              </w:tc>
              <w:tc>
                <w:tcPr>
                  <w:tcW w:w="1817" w:type="dxa"/>
                  <w:tcBorders>
                    <w:tl2br w:val="nil"/>
                    <w:tr2bl w:val="nil"/>
                  </w:tcBorders>
                  <w:vAlign w:val="center"/>
                </w:tcPr>
                <w:p w14:paraId="434F1E29">
                  <w:pPr>
                    <w:jc w:val="center"/>
                    <w:rPr>
                      <w:rFonts w:hint="eastAsia"/>
                      <w:color w:val="auto"/>
                      <w:szCs w:val="21"/>
                    </w:rPr>
                  </w:pPr>
                  <w:r>
                    <w:rPr>
                      <w:rFonts w:hint="eastAsia"/>
                      <w:bCs/>
                      <w:color w:val="auto"/>
                      <w:szCs w:val="21"/>
                    </w:rPr>
                    <w:t>预脱脂槽液</w:t>
                  </w:r>
                </w:p>
              </w:tc>
              <w:tc>
                <w:tcPr>
                  <w:tcW w:w="1785" w:type="dxa"/>
                  <w:tcBorders>
                    <w:tl2br w:val="nil"/>
                    <w:tr2bl w:val="nil"/>
                  </w:tcBorders>
                  <w:vAlign w:val="center"/>
                </w:tcPr>
                <w:p w14:paraId="4D44F43E">
                  <w:pPr>
                    <w:jc w:val="center"/>
                    <w:rPr>
                      <w:color w:val="auto"/>
                      <w:szCs w:val="21"/>
                    </w:rPr>
                  </w:pPr>
                  <w:r>
                    <w:rPr>
                      <w:rFonts w:hint="eastAsia"/>
                      <w:bCs/>
                      <w:color w:val="auto"/>
                      <w:szCs w:val="21"/>
                    </w:rPr>
                    <w:t>预脱脂槽液</w:t>
                  </w:r>
                </w:p>
              </w:tc>
              <w:tc>
                <w:tcPr>
                  <w:tcW w:w="2873" w:type="dxa"/>
                  <w:vMerge w:val="restart"/>
                  <w:tcBorders>
                    <w:tl2br w:val="nil"/>
                    <w:tr2bl w:val="nil"/>
                  </w:tcBorders>
                  <w:vAlign w:val="center"/>
                </w:tcPr>
                <w:p w14:paraId="695AD732">
                  <w:pPr>
                    <w:jc w:val="center"/>
                    <w:rPr>
                      <w:color w:val="auto"/>
                      <w:szCs w:val="21"/>
                    </w:rPr>
                  </w:pPr>
                  <w:r>
                    <w:rPr>
                      <w:rFonts w:hint="eastAsia"/>
                      <w:color w:val="auto"/>
                      <w:szCs w:val="21"/>
                    </w:rPr>
                    <w:t>分类收集后交由专业回收公司收集处置</w:t>
                  </w:r>
                </w:p>
              </w:tc>
            </w:tr>
            <w:tr w14:paraId="0C5FFAE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9" w:type="dxa"/>
                  <w:vMerge w:val="continue"/>
                  <w:tcBorders>
                    <w:tl2br w:val="nil"/>
                    <w:tr2bl w:val="nil"/>
                  </w:tcBorders>
                  <w:vAlign w:val="center"/>
                </w:tcPr>
                <w:p w14:paraId="2CE16D3F">
                  <w:pPr>
                    <w:jc w:val="center"/>
                    <w:rPr>
                      <w:color w:val="auto"/>
                      <w:szCs w:val="21"/>
                    </w:rPr>
                  </w:pPr>
                </w:p>
              </w:tc>
              <w:tc>
                <w:tcPr>
                  <w:tcW w:w="562" w:type="dxa"/>
                  <w:vMerge w:val="continue"/>
                  <w:tcBorders>
                    <w:tl2br w:val="nil"/>
                    <w:tr2bl w:val="nil"/>
                  </w:tcBorders>
                  <w:vAlign w:val="center"/>
                </w:tcPr>
                <w:p w14:paraId="5F28D590">
                  <w:pPr>
                    <w:adjustRightInd w:val="0"/>
                    <w:snapToGrid w:val="0"/>
                    <w:jc w:val="center"/>
                    <w:rPr>
                      <w:rFonts w:hint="eastAsia"/>
                      <w:color w:val="auto"/>
                      <w:szCs w:val="21"/>
                    </w:rPr>
                  </w:pPr>
                </w:p>
              </w:tc>
              <w:tc>
                <w:tcPr>
                  <w:tcW w:w="1688" w:type="dxa"/>
                  <w:tcBorders>
                    <w:tl2br w:val="nil"/>
                    <w:tr2bl w:val="nil"/>
                  </w:tcBorders>
                  <w:vAlign w:val="center"/>
                </w:tcPr>
                <w:p w14:paraId="3C95E0AF">
                  <w:pPr>
                    <w:adjustRightInd w:val="0"/>
                    <w:snapToGrid w:val="0"/>
                    <w:jc w:val="center"/>
                    <w:rPr>
                      <w:color w:val="auto"/>
                      <w:szCs w:val="21"/>
                    </w:rPr>
                  </w:pPr>
                  <w:r>
                    <w:rPr>
                      <w:rFonts w:hint="eastAsia"/>
                      <w:color w:val="auto"/>
                      <w:szCs w:val="21"/>
                    </w:rPr>
                    <w:t>阴极电泳</w:t>
                  </w:r>
                  <w:r>
                    <w:rPr>
                      <w:color w:val="auto"/>
                      <w:szCs w:val="21"/>
                    </w:rPr>
                    <w:t>槽</w:t>
                  </w:r>
                </w:p>
              </w:tc>
              <w:tc>
                <w:tcPr>
                  <w:tcW w:w="1817" w:type="dxa"/>
                  <w:tcBorders>
                    <w:tl2br w:val="nil"/>
                    <w:tr2bl w:val="nil"/>
                  </w:tcBorders>
                  <w:vAlign w:val="center"/>
                </w:tcPr>
                <w:p w14:paraId="5CD97E93">
                  <w:pPr>
                    <w:jc w:val="center"/>
                    <w:rPr>
                      <w:bCs/>
                      <w:color w:val="auto"/>
                      <w:szCs w:val="21"/>
                    </w:rPr>
                  </w:pPr>
                  <w:r>
                    <w:rPr>
                      <w:rFonts w:hint="eastAsia"/>
                      <w:bCs/>
                      <w:color w:val="auto"/>
                      <w:szCs w:val="21"/>
                    </w:rPr>
                    <w:t>阴极电泳槽液</w:t>
                  </w:r>
                </w:p>
              </w:tc>
              <w:tc>
                <w:tcPr>
                  <w:tcW w:w="1785" w:type="dxa"/>
                  <w:tcBorders>
                    <w:tl2br w:val="nil"/>
                    <w:tr2bl w:val="nil"/>
                  </w:tcBorders>
                  <w:vAlign w:val="center"/>
                </w:tcPr>
                <w:p w14:paraId="1ED9C7EA">
                  <w:pPr>
                    <w:jc w:val="center"/>
                    <w:rPr>
                      <w:bCs/>
                      <w:color w:val="auto"/>
                      <w:szCs w:val="21"/>
                    </w:rPr>
                  </w:pPr>
                  <w:r>
                    <w:rPr>
                      <w:rFonts w:hint="eastAsia"/>
                      <w:bCs/>
                      <w:color w:val="auto"/>
                      <w:szCs w:val="21"/>
                    </w:rPr>
                    <w:t>阴极电泳槽液</w:t>
                  </w:r>
                </w:p>
              </w:tc>
              <w:tc>
                <w:tcPr>
                  <w:tcW w:w="2873" w:type="dxa"/>
                  <w:vMerge w:val="continue"/>
                  <w:tcBorders>
                    <w:tl2br w:val="nil"/>
                    <w:tr2bl w:val="nil"/>
                  </w:tcBorders>
                  <w:vAlign w:val="center"/>
                </w:tcPr>
                <w:p w14:paraId="23D70ED0">
                  <w:pPr>
                    <w:jc w:val="center"/>
                    <w:rPr>
                      <w:color w:val="auto"/>
                      <w:szCs w:val="21"/>
                    </w:rPr>
                  </w:pPr>
                </w:p>
              </w:tc>
            </w:tr>
            <w:tr w14:paraId="36A7E99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9" w:type="dxa"/>
                  <w:vMerge w:val="continue"/>
                  <w:tcBorders>
                    <w:tl2br w:val="nil"/>
                    <w:tr2bl w:val="nil"/>
                  </w:tcBorders>
                  <w:vAlign w:val="center"/>
                </w:tcPr>
                <w:p w14:paraId="59288837">
                  <w:pPr>
                    <w:jc w:val="center"/>
                    <w:rPr>
                      <w:color w:val="auto"/>
                      <w:szCs w:val="21"/>
                    </w:rPr>
                  </w:pPr>
                </w:p>
              </w:tc>
              <w:tc>
                <w:tcPr>
                  <w:tcW w:w="562" w:type="dxa"/>
                  <w:vMerge w:val="continue"/>
                  <w:tcBorders>
                    <w:tl2br w:val="nil"/>
                    <w:tr2bl w:val="nil"/>
                  </w:tcBorders>
                  <w:vAlign w:val="center"/>
                </w:tcPr>
                <w:p w14:paraId="02FE9733">
                  <w:pPr>
                    <w:adjustRightInd w:val="0"/>
                    <w:snapToGrid w:val="0"/>
                    <w:jc w:val="center"/>
                    <w:rPr>
                      <w:color w:val="auto"/>
                      <w:szCs w:val="21"/>
                    </w:rPr>
                  </w:pPr>
                </w:p>
              </w:tc>
              <w:tc>
                <w:tcPr>
                  <w:tcW w:w="1688" w:type="dxa"/>
                  <w:tcBorders>
                    <w:tl2br w:val="nil"/>
                    <w:tr2bl w:val="nil"/>
                  </w:tcBorders>
                  <w:vAlign w:val="center"/>
                </w:tcPr>
                <w:p w14:paraId="7BFB449C">
                  <w:pPr>
                    <w:adjustRightInd w:val="0"/>
                    <w:snapToGrid w:val="0"/>
                    <w:jc w:val="center"/>
                    <w:rPr>
                      <w:color w:val="auto"/>
                      <w:szCs w:val="21"/>
                    </w:rPr>
                  </w:pPr>
                  <w:r>
                    <w:rPr>
                      <w:rFonts w:hint="eastAsia"/>
                      <w:color w:val="auto"/>
                      <w:szCs w:val="21"/>
                    </w:rPr>
                    <w:t>电泳漆、稳定剂等包装</w:t>
                  </w:r>
                </w:p>
              </w:tc>
              <w:tc>
                <w:tcPr>
                  <w:tcW w:w="1817" w:type="dxa"/>
                  <w:tcBorders>
                    <w:tl2br w:val="nil"/>
                    <w:tr2bl w:val="nil"/>
                  </w:tcBorders>
                  <w:vAlign w:val="center"/>
                </w:tcPr>
                <w:p w14:paraId="718400A5">
                  <w:pPr>
                    <w:jc w:val="center"/>
                    <w:rPr>
                      <w:bCs/>
                      <w:color w:val="auto"/>
                      <w:szCs w:val="21"/>
                    </w:rPr>
                  </w:pPr>
                  <w:r>
                    <w:rPr>
                      <w:bCs/>
                      <w:color w:val="auto"/>
                      <w:szCs w:val="21"/>
                    </w:rPr>
                    <w:t>废化学品包装容器</w:t>
                  </w:r>
                </w:p>
              </w:tc>
              <w:tc>
                <w:tcPr>
                  <w:tcW w:w="1785" w:type="dxa"/>
                  <w:tcBorders>
                    <w:tl2br w:val="nil"/>
                    <w:tr2bl w:val="nil"/>
                  </w:tcBorders>
                  <w:vAlign w:val="center"/>
                </w:tcPr>
                <w:p w14:paraId="7019A0F7">
                  <w:pPr>
                    <w:jc w:val="center"/>
                    <w:rPr>
                      <w:bCs/>
                      <w:color w:val="auto"/>
                      <w:szCs w:val="21"/>
                    </w:rPr>
                  </w:pPr>
                  <w:r>
                    <w:rPr>
                      <w:bCs/>
                      <w:color w:val="auto"/>
                      <w:szCs w:val="21"/>
                    </w:rPr>
                    <w:t>废化学品包装容器</w:t>
                  </w:r>
                </w:p>
              </w:tc>
              <w:tc>
                <w:tcPr>
                  <w:tcW w:w="2873" w:type="dxa"/>
                  <w:vMerge w:val="restart"/>
                  <w:tcBorders>
                    <w:tl2br w:val="nil"/>
                    <w:tr2bl w:val="nil"/>
                  </w:tcBorders>
                  <w:vAlign w:val="center"/>
                </w:tcPr>
                <w:p w14:paraId="22411AA5">
                  <w:pPr>
                    <w:jc w:val="center"/>
                    <w:rPr>
                      <w:color w:val="auto"/>
                      <w:szCs w:val="21"/>
                    </w:rPr>
                  </w:pPr>
                  <w:r>
                    <w:rPr>
                      <w:rFonts w:hint="eastAsia"/>
                      <w:color w:val="auto"/>
                      <w:szCs w:val="21"/>
                    </w:rPr>
                    <w:t>分类收集后交由有相应危废资质单位收集处置</w:t>
                  </w:r>
                </w:p>
              </w:tc>
            </w:tr>
            <w:tr w14:paraId="4AC4AD7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9" w:type="dxa"/>
                  <w:vMerge w:val="continue"/>
                  <w:tcBorders>
                    <w:tl2br w:val="nil"/>
                    <w:tr2bl w:val="nil"/>
                  </w:tcBorders>
                  <w:vAlign w:val="center"/>
                </w:tcPr>
                <w:p w14:paraId="62B9CBF4">
                  <w:pPr>
                    <w:jc w:val="center"/>
                    <w:rPr>
                      <w:color w:val="auto"/>
                      <w:szCs w:val="21"/>
                    </w:rPr>
                  </w:pPr>
                </w:p>
              </w:tc>
              <w:tc>
                <w:tcPr>
                  <w:tcW w:w="562" w:type="dxa"/>
                  <w:vMerge w:val="continue"/>
                  <w:tcBorders>
                    <w:tl2br w:val="nil"/>
                    <w:tr2bl w:val="nil"/>
                  </w:tcBorders>
                  <w:vAlign w:val="center"/>
                </w:tcPr>
                <w:p w14:paraId="0CD23805">
                  <w:pPr>
                    <w:adjustRightInd w:val="0"/>
                    <w:snapToGrid w:val="0"/>
                    <w:jc w:val="center"/>
                    <w:rPr>
                      <w:rFonts w:hint="eastAsia"/>
                      <w:color w:val="auto"/>
                      <w:szCs w:val="21"/>
                    </w:rPr>
                  </w:pPr>
                </w:p>
              </w:tc>
              <w:tc>
                <w:tcPr>
                  <w:tcW w:w="1688" w:type="dxa"/>
                  <w:tcBorders>
                    <w:tl2br w:val="nil"/>
                    <w:tr2bl w:val="nil"/>
                  </w:tcBorders>
                  <w:vAlign w:val="center"/>
                </w:tcPr>
                <w:p w14:paraId="77BBCC43">
                  <w:pPr>
                    <w:adjustRightInd w:val="0"/>
                    <w:snapToGrid w:val="0"/>
                    <w:jc w:val="center"/>
                    <w:rPr>
                      <w:rFonts w:hint="eastAsia"/>
                      <w:color w:val="auto"/>
                      <w:szCs w:val="21"/>
                    </w:rPr>
                  </w:pPr>
                  <w:r>
                    <w:rPr>
                      <w:color w:val="auto"/>
                      <w:szCs w:val="21"/>
                    </w:rPr>
                    <w:t>废气处理装置</w:t>
                  </w:r>
                </w:p>
              </w:tc>
              <w:tc>
                <w:tcPr>
                  <w:tcW w:w="1817" w:type="dxa"/>
                  <w:tcBorders>
                    <w:tl2br w:val="nil"/>
                    <w:tr2bl w:val="nil"/>
                  </w:tcBorders>
                  <w:vAlign w:val="center"/>
                </w:tcPr>
                <w:p w14:paraId="7A982C3C">
                  <w:pPr>
                    <w:jc w:val="center"/>
                    <w:rPr>
                      <w:rFonts w:hint="eastAsia"/>
                      <w:color w:val="auto"/>
                      <w:szCs w:val="21"/>
                    </w:rPr>
                  </w:pPr>
                  <w:r>
                    <w:rPr>
                      <w:color w:val="auto"/>
                      <w:szCs w:val="21"/>
                    </w:rPr>
                    <w:t>废活性炭</w:t>
                  </w:r>
                </w:p>
              </w:tc>
              <w:tc>
                <w:tcPr>
                  <w:tcW w:w="1785" w:type="dxa"/>
                  <w:tcBorders>
                    <w:tl2br w:val="nil"/>
                    <w:tr2bl w:val="nil"/>
                  </w:tcBorders>
                  <w:vAlign w:val="center"/>
                </w:tcPr>
                <w:p w14:paraId="3AE5EA6A">
                  <w:pPr>
                    <w:jc w:val="center"/>
                    <w:rPr>
                      <w:color w:val="auto"/>
                      <w:szCs w:val="21"/>
                    </w:rPr>
                  </w:pPr>
                  <w:r>
                    <w:rPr>
                      <w:color w:val="auto"/>
                      <w:szCs w:val="21"/>
                    </w:rPr>
                    <w:t>废活性炭</w:t>
                  </w:r>
                </w:p>
              </w:tc>
              <w:tc>
                <w:tcPr>
                  <w:tcW w:w="2873" w:type="dxa"/>
                  <w:vMerge w:val="continue"/>
                  <w:tcBorders>
                    <w:tl2br w:val="nil"/>
                    <w:tr2bl w:val="nil"/>
                  </w:tcBorders>
                  <w:vAlign w:val="center"/>
                </w:tcPr>
                <w:p w14:paraId="215EBEA6">
                  <w:pPr>
                    <w:jc w:val="center"/>
                    <w:rPr>
                      <w:color w:val="auto"/>
                      <w:szCs w:val="21"/>
                    </w:rPr>
                  </w:pPr>
                </w:p>
              </w:tc>
            </w:tr>
          </w:tbl>
          <w:p w14:paraId="76405D50">
            <w:pPr>
              <w:pStyle w:val="21"/>
              <w:adjustRightInd w:val="0"/>
              <w:spacing w:before="0" w:after="0" w:line="360" w:lineRule="auto"/>
              <w:ind w:right="0" w:firstLine="480" w:firstLineChars="200"/>
              <w:rPr>
                <w:rFonts w:hint="eastAsia"/>
                <w:bCs/>
                <w:color w:val="auto"/>
                <w:sz w:val="24"/>
              </w:rPr>
            </w:pPr>
          </w:p>
          <w:p w14:paraId="1E48BC27">
            <w:pPr>
              <w:pStyle w:val="21"/>
              <w:adjustRightInd w:val="0"/>
              <w:spacing w:before="0" w:after="0" w:line="360" w:lineRule="auto"/>
              <w:ind w:right="0" w:firstLine="480" w:firstLineChars="200"/>
              <w:rPr>
                <w:bCs/>
                <w:color w:val="auto"/>
                <w:sz w:val="24"/>
              </w:rPr>
            </w:pPr>
          </w:p>
        </w:tc>
      </w:tr>
      <w:tr w14:paraId="7E9B79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5" w:type="dxa"/>
            <w:vAlign w:val="center"/>
          </w:tcPr>
          <w:p w14:paraId="70F29506">
            <w:pPr>
              <w:pStyle w:val="36"/>
              <w:adjustRightInd w:val="0"/>
              <w:snapToGrid w:val="0"/>
              <w:spacing w:before="0" w:beforeAutospacing="0" w:after="0" w:afterAutospacing="0"/>
              <w:jc w:val="center"/>
              <w:rPr>
                <w:rFonts w:ascii="Times New Roman" w:hAnsi="Times New Roman"/>
                <w:color w:val="auto"/>
                <w:szCs w:val="24"/>
              </w:rPr>
            </w:pPr>
            <w:r>
              <w:rPr>
                <w:rFonts w:ascii="Times New Roman" w:hAnsi="Times New Roman"/>
                <w:bCs/>
                <w:color w:val="auto"/>
                <w:kern w:val="2"/>
                <w:szCs w:val="24"/>
              </w:rPr>
              <w:t>与项目有关的原有环境污染问题</w:t>
            </w:r>
          </w:p>
        </w:tc>
        <w:tc>
          <w:tcPr>
            <w:tcW w:w="9729" w:type="dxa"/>
            <w:vAlign w:val="center"/>
          </w:tcPr>
          <w:p w14:paraId="254BEF8F">
            <w:pPr>
              <w:spacing w:line="360" w:lineRule="auto"/>
              <w:ind w:firstLine="482"/>
              <w:rPr>
                <w:b/>
                <w:bCs/>
                <w:color w:val="auto"/>
                <w:kern w:val="0"/>
                <w:sz w:val="24"/>
              </w:rPr>
            </w:pPr>
            <w:r>
              <w:rPr>
                <w:rFonts w:hint="eastAsia"/>
                <w:b/>
                <w:bCs/>
                <w:color w:val="auto"/>
                <w:kern w:val="0"/>
                <w:sz w:val="24"/>
              </w:rPr>
              <w:t>（一）</w:t>
            </w:r>
            <w:r>
              <w:rPr>
                <w:b/>
                <w:bCs/>
                <w:color w:val="auto"/>
                <w:kern w:val="0"/>
                <w:sz w:val="24"/>
              </w:rPr>
              <w:t>现有项目的概况回顾</w:t>
            </w:r>
          </w:p>
          <w:p w14:paraId="6D31F579">
            <w:pPr>
              <w:adjustRightInd w:val="0"/>
              <w:snapToGrid w:val="0"/>
              <w:spacing w:line="360" w:lineRule="auto"/>
              <w:ind w:firstLine="480" w:firstLineChars="200"/>
              <w:rPr>
                <w:rFonts w:hint="eastAsia"/>
                <w:b/>
                <w:color w:val="auto"/>
                <w:sz w:val="24"/>
              </w:rPr>
            </w:pPr>
            <w:r>
              <w:rPr>
                <w:color w:val="auto"/>
                <w:kern w:val="0"/>
                <w:sz w:val="24"/>
              </w:rPr>
              <w:t>现有项目位于</w:t>
            </w:r>
            <w:r>
              <w:rPr>
                <w:rFonts w:hint="eastAsia"/>
                <w:color w:val="auto"/>
                <w:sz w:val="24"/>
              </w:rPr>
              <w:t>阳江市阳东区东城镇裕东一路25号</w:t>
            </w:r>
            <w:r>
              <w:rPr>
                <w:rFonts w:hint="eastAsia"/>
                <w:bCs/>
                <w:color w:val="auto"/>
                <w:sz w:val="24"/>
              </w:rPr>
              <w:t>，</w:t>
            </w:r>
            <w:r>
              <w:rPr>
                <w:color w:val="auto"/>
                <w:sz w:val="24"/>
              </w:rPr>
              <w:t>主要从事</w:t>
            </w:r>
            <w:r>
              <w:rPr>
                <w:rFonts w:hint="eastAsia"/>
                <w:color w:val="auto"/>
                <w:sz w:val="24"/>
              </w:rPr>
              <w:t>环保节能灯具和LED手电筒等铝制品</w:t>
            </w:r>
            <w:r>
              <w:rPr>
                <w:color w:val="auto"/>
                <w:sz w:val="24"/>
              </w:rPr>
              <w:t>生产，年产</w:t>
            </w:r>
            <w:r>
              <w:rPr>
                <w:rFonts w:hint="eastAsia"/>
                <w:color w:val="auto"/>
                <w:sz w:val="24"/>
              </w:rPr>
              <w:t>环保节能灯具和LED手电筒等铝制品450吨，其中需对铝制品进行阳极氧化表面加工2758万件，合计铝制品约330吨</w:t>
            </w:r>
            <w:r>
              <w:rPr>
                <w:color w:val="auto"/>
                <w:sz w:val="24"/>
              </w:rPr>
              <w:t>，</w:t>
            </w:r>
            <w:r>
              <w:rPr>
                <w:rFonts w:hint="eastAsia"/>
                <w:color w:val="auto"/>
                <w:sz w:val="24"/>
              </w:rPr>
              <w:t>现有项目</w:t>
            </w:r>
            <w:r>
              <w:rPr>
                <w:color w:val="auto"/>
                <w:sz w:val="24"/>
              </w:rPr>
              <w:t>总投资</w:t>
            </w:r>
            <w:r>
              <w:rPr>
                <w:rFonts w:hint="eastAsia"/>
                <w:color w:val="auto"/>
                <w:sz w:val="24"/>
              </w:rPr>
              <w:t>8722</w:t>
            </w:r>
            <w:r>
              <w:rPr>
                <w:color w:val="auto"/>
                <w:sz w:val="24"/>
              </w:rPr>
              <w:t>万元，其中环保投资</w:t>
            </w:r>
            <w:r>
              <w:rPr>
                <w:rFonts w:hint="eastAsia"/>
                <w:color w:val="auto"/>
                <w:sz w:val="24"/>
              </w:rPr>
              <w:t>816</w:t>
            </w:r>
            <w:r>
              <w:rPr>
                <w:color w:val="auto"/>
                <w:sz w:val="24"/>
              </w:rPr>
              <w:t>万元，占投资总额的</w:t>
            </w:r>
            <w:r>
              <w:rPr>
                <w:rFonts w:hint="eastAsia"/>
                <w:color w:val="auto"/>
                <w:sz w:val="24"/>
              </w:rPr>
              <w:t>9.4</w:t>
            </w:r>
            <w:r>
              <w:rPr>
                <w:color w:val="auto"/>
                <w:sz w:val="24"/>
              </w:rPr>
              <w:t>%。</w:t>
            </w:r>
            <w:r>
              <w:rPr>
                <w:rFonts w:hint="eastAsia"/>
                <w:color w:val="auto"/>
                <w:sz w:val="24"/>
              </w:rPr>
              <w:t>现有</w:t>
            </w:r>
            <w:r>
              <w:rPr>
                <w:color w:val="auto"/>
                <w:sz w:val="24"/>
              </w:rPr>
              <w:t>项目总占地面积</w:t>
            </w:r>
            <w:r>
              <w:rPr>
                <w:rFonts w:hint="eastAsia"/>
                <w:color w:val="auto"/>
                <w:sz w:val="24"/>
              </w:rPr>
              <w:t>33348.28</w:t>
            </w:r>
            <w:r>
              <w:rPr>
                <w:color w:val="auto"/>
                <w:sz w:val="24"/>
              </w:rPr>
              <w:t>m</w:t>
            </w:r>
            <w:r>
              <w:rPr>
                <w:color w:val="auto"/>
                <w:sz w:val="24"/>
                <w:vertAlign w:val="superscript"/>
              </w:rPr>
              <w:t>2</w:t>
            </w:r>
            <w:r>
              <w:rPr>
                <w:color w:val="auto"/>
                <w:sz w:val="24"/>
              </w:rPr>
              <w:t>，总建筑面积</w:t>
            </w:r>
            <w:r>
              <w:rPr>
                <w:rFonts w:hint="eastAsia"/>
                <w:color w:val="auto"/>
                <w:sz w:val="24"/>
              </w:rPr>
              <w:t>48451.72</w:t>
            </w:r>
            <w:r>
              <w:rPr>
                <w:color w:val="auto"/>
                <w:sz w:val="24"/>
              </w:rPr>
              <w:t>m</w:t>
            </w:r>
            <w:r>
              <w:rPr>
                <w:color w:val="auto"/>
                <w:sz w:val="24"/>
                <w:vertAlign w:val="superscript"/>
              </w:rPr>
              <w:t>2</w:t>
            </w:r>
            <w:r>
              <w:rPr>
                <w:color w:val="auto"/>
                <w:sz w:val="24"/>
              </w:rPr>
              <w:t>，</w:t>
            </w:r>
            <w:r>
              <w:rPr>
                <w:rFonts w:hint="eastAsia"/>
                <w:color w:val="auto"/>
                <w:sz w:val="24"/>
              </w:rPr>
              <w:t>包含5栋综合楼（其中1栋4层综合楼1、1栋2层综合楼2、1栋4层综合楼3、1栋4层综合楼4、1栋1层综合楼6）、1间1层生产车间、1间1层发电机房、1间1层配电房、1栋4层办公楼。</w:t>
            </w:r>
            <w:r>
              <w:rPr>
                <w:rFonts w:hint="eastAsia"/>
                <w:color w:val="auto"/>
                <w:kern w:val="0"/>
                <w:sz w:val="24"/>
              </w:rPr>
              <w:t>现有项目</w:t>
            </w:r>
            <w:r>
              <w:rPr>
                <w:color w:val="auto"/>
                <w:kern w:val="0"/>
                <w:sz w:val="24"/>
              </w:rPr>
              <w:t>员工</w:t>
            </w:r>
            <w:r>
              <w:rPr>
                <w:rFonts w:hint="eastAsia"/>
                <w:color w:val="auto"/>
                <w:kern w:val="0"/>
                <w:sz w:val="24"/>
                <w:lang w:val="en-US" w:eastAsia="zh-CN"/>
              </w:rPr>
              <w:t>500</w:t>
            </w:r>
            <w:r>
              <w:rPr>
                <w:color w:val="auto"/>
                <w:kern w:val="0"/>
                <w:sz w:val="24"/>
              </w:rPr>
              <w:t>人，</w:t>
            </w:r>
            <w:r>
              <w:rPr>
                <w:rFonts w:hint="eastAsia"/>
                <w:color w:val="auto"/>
                <w:kern w:val="0"/>
                <w:sz w:val="24"/>
              </w:rPr>
              <w:t>均在厂内用餐（配</w:t>
            </w:r>
            <w:r>
              <w:rPr>
                <w:rFonts w:hint="eastAsia"/>
                <w:bCs/>
                <w:color w:val="auto"/>
                <w:sz w:val="24"/>
              </w:rPr>
              <w:t>有厨房），不在厂内住宿</w:t>
            </w:r>
            <w:r>
              <w:rPr>
                <w:color w:val="auto"/>
                <w:kern w:val="0"/>
                <w:sz w:val="24"/>
              </w:rPr>
              <w:t>，年工作天数为300天，每天</w:t>
            </w:r>
            <w:r>
              <w:rPr>
                <w:rFonts w:hint="eastAsia"/>
                <w:color w:val="auto"/>
                <w:kern w:val="0"/>
                <w:sz w:val="24"/>
                <w:lang w:val="en-US" w:eastAsia="zh-CN"/>
              </w:rPr>
              <w:t>1</w:t>
            </w:r>
            <w:r>
              <w:rPr>
                <w:color w:val="auto"/>
                <w:kern w:val="0"/>
                <w:sz w:val="24"/>
              </w:rPr>
              <w:t>班制，每班8小时，年生产时数</w:t>
            </w:r>
            <w:r>
              <w:rPr>
                <w:rFonts w:hint="eastAsia"/>
                <w:color w:val="auto"/>
                <w:kern w:val="0"/>
                <w:sz w:val="24"/>
                <w:lang w:val="en-US" w:eastAsia="zh-CN"/>
              </w:rPr>
              <w:t>24</w:t>
            </w:r>
            <w:r>
              <w:rPr>
                <w:rFonts w:hint="eastAsia"/>
                <w:color w:val="auto"/>
                <w:kern w:val="0"/>
                <w:sz w:val="24"/>
              </w:rPr>
              <w:t>00</w:t>
            </w:r>
            <w:r>
              <w:rPr>
                <w:color w:val="auto"/>
                <w:kern w:val="0"/>
                <w:sz w:val="24"/>
              </w:rPr>
              <w:t>小时。</w:t>
            </w:r>
          </w:p>
          <w:p w14:paraId="30A30976">
            <w:pPr>
              <w:adjustRightInd w:val="0"/>
              <w:snapToGrid w:val="0"/>
              <w:spacing w:line="360" w:lineRule="auto"/>
              <w:ind w:firstLine="482" w:firstLineChars="200"/>
              <w:rPr>
                <w:b/>
                <w:color w:val="auto"/>
                <w:sz w:val="24"/>
              </w:rPr>
            </w:pPr>
            <w:r>
              <w:rPr>
                <w:rFonts w:hint="eastAsia"/>
                <w:b/>
                <w:color w:val="auto"/>
                <w:sz w:val="24"/>
              </w:rPr>
              <w:t>（二）现有</w:t>
            </w:r>
            <w:r>
              <w:rPr>
                <w:b/>
                <w:color w:val="auto"/>
                <w:sz w:val="24"/>
              </w:rPr>
              <w:t>项目的</w:t>
            </w:r>
            <w:r>
              <w:rPr>
                <w:rFonts w:hint="eastAsia"/>
                <w:b/>
                <w:color w:val="auto"/>
                <w:sz w:val="24"/>
              </w:rPr>
              <w:t>环保手续履行和生产工艺情况</w:t>
            </w:r>
          </w:p>
          <w:p w14:paraId="79AEB9EC">
            <w:pPr>
              <w:adjustRightInd w:val="0"/>
              <w:snapToGrid w:val="0"/>
              <w:spacing w:line="360" w:lineRule="auto"/>
              <w:ind w:firstLine="482" w:firstLineChars="200"/>
              <w:rPr>
                <w:b/>
                <w:color w:val="auto"/>
                <w:sz w:val="24"/>
              </w:rPr>
            </w:pPr>
            <w:r>
              <w:rPr>
                <w:rFonts w:hint="eastAsia"/>
                <w:b/>
                <w:color w:val="auto"/>
                <w:sz w:val="24"/>
              </w:rPr>
              <w:t>1、现有</w:t>
            </w:r>
            <w:r>
              <w:rPr>
                <w:b/>
                <w:color w:val="auto"/>
                <w:sz w:val="24"/>
              </w:rPr>
              <w:t>项目环保手续履行情况</w:t>
            </w:r>
          </w:p>
          <w:p w14:paraId="3F1F8C91">
            <w:pPr>
              <w:adjustRightInd w:val="0"/>
              <w:snapToGrid w:val="0"/>
              <w:spacing w:line="360" w:lineRule="auto"/>
              <w:ind w:firstLine="480" w:firstLineChars="200"/>
              <w:rPr>
                <w:rFonts w:hint="eastAsia"/>
                <w:color w:val="auto"/>
                <w:sz w:val="24"/>
              </w:rPr>
            </w:pPr>
            <w:r>
              <w:rPr>
                <w:rFonts w:hint="eastAsia"/>
                <w:color w:val="auto"/>
                <w:sz w:val="24"/>
              </w:rPr>
              <w:t>现有</w:t>
            </w:r>
            <w:r>
              <w:rPr>
                <w:color w:val="auto"/>
                <w:sz w:val="24"/>
              </w:rPr>
              <w:t>项目于</w:t>
            </w:r>
            <w:r>
              <w:rPr>
                <w:rFonts w:hint="eastAsia"/>
                <w:color w:val="auto"/>
                <w:sz w:val="24"/>
              </w:rPr>
              <w:t>2007</w:t>
            </w:r>
            <w:r>
              <w:rPr>
                <w:color w:val="auto"/>
                <w:sz w:val="24"/>
              </w:rPr>
              <w:t>年委托</w:t>
            </w:r>
            <w:r>
              <w:rPr>
                <w:rFonts w:hint="eastAsia"/>
                <w:color w:val="auto"/>
                <w:sz w:val="24"/>
              </w:rPr>
              <w:t>阳江市环境保护科学研究所</w:t>
            </w:r>
            <w:r>
              <w:rPr>
                <w:color w:val="auto"/>
                <w:sz w:val="24"/>
              </w:rPr>
              <w:t>编制了《</w:t>
            </w:r>
            <w:r>
              <w:rPr>
                <w:rFonts w:hint="eastAsia"/>
                <w:bCs/>
                <w:color w:val="auto"/>
                <w:sz w:val="24"/>
              </w:rPr>
              <w:t>生产厂房</w:t>
            </w:r>
            <w:r>
              <w:rPr>
                <w:rFonts w:hint="eastAsia"/>
                <w:color w:val="auto"/>
                <w:sz w:val="24"/>
              </w:rPr>
              <w:t>环境影响报告表</w:t>
            </w:r>
            <w:r>
              <w:rPr>
                <w:color w:val="auto"/>
                <w:sz w:val="24"/>
              </w:rPr>
              <w:t>》，于</w:t>
            </w:r>
            <w:r>
              <w:rPr>
                <w:rFonts w:hint="eastAsia"/>
                <w:color w:val="auto"/>
                <w:sz w:val="24"/>
              </w:rPr>
              <w:t>2007</w:t>
            </w:r>
            <w:r>
              <w:rPr>
                <w:color w:val="auto"/>
                <w:sz w:val="24"/>
              </w:rPr>
              <w:t>年</w:t>
            </w:r>
            <w:r>
              <w:rPr>
                <w:rFonts w:hint="eastAsia"/>
                <w:color w:val="auto"/>
                <w:sz w:val="24"/>
              </w:rPr>
              <w:t>5</w:t>
            </w:r>
            <w:r>
              <w:rPr>
                <w:color w:val="auto"/>
                <w:sz w:val="24"/>
              </w:rPr>
              <w:t>月</w:t>
            </w:r>
            <w:r>
              <w:rPr>
                <w:rFonts w:hint="eastAsia"/>
                <w:color w:val="auto"/>
                <w:sz w:val="24"/>
              </w:rPr>
              <w:t>25</w:t>
            </w:r>
            <w:r>
              <w:rPr>
                <w:color w:val="auto"/>
                <w:sz w:val="24"/>
              </w:rPr>
              <w:t>日</w:t>
            </w:r>
            <w:r>
              <w:rPr>
                <w:rFonts w:hint="eastAsia"/>
                <w:color w:val="auto"/>
                <w:sz w:val="24"/>
              </w:rPr>
              <w:t>通过阳东县环境保护局审批同意建设</w:t>
            </w:r>
            <w:r>
              <w:rPr>
                <w:color w:val="auto"/>
                <w:sz w:val="24"/>
              </w:rPr>
              <w:t>，</w:t>
            </w:r>
            <w:r>
              <w:rPr>
                <w:rFonts w:hint="eastAsia"/>
                <w:color w:val="auto"/>
                <w:sz w:val="24"/>
              </w:rPr>
              <w:t>审批文件名称及文号：</w:t>
            </w:r>
            <w:r>
              <w:rPr>
                <w:rFonts w:hint="eastAsia"/>
                <w:color w:val="auto"/>
                <w:sz w:val="24"/>
                <w:u w:val="single"/>
              </w:rPr>
              <w:t>《关于阳江纳谷科技有限公司生产厂房项目环境影响报告表的审查批复》（东环建审〔</w:t>
            </w:r>
            <w:r>
              <w:rPr>
                <w:color w:val="auto"/>
                <w:sz w:val="24"/>
                <w:u w:val="single"/>
              </w:rPr>
              <w:t>20</w:t>
            </w:r>
            <w:r>
              <w:rPr>
                <w:rFonts w:hint="eastAsia"/>
                <w:color w:val="auto"/>
                <w:sz w:val="24"/>
                <w:u w:val="single"/>
              </w:rPr>
              <w:t>07〕33</w:t>
            </w:r>
            <w:r>
              <w:rPr>
                <w:color w:val="auto"/>
                <w:sz w:val="24"/>
                <w:u w:val="single"/>
              </w:rPr>
              <w:t>号</w:t>
            </w:r>
            <w:r>
              <w:rPr>
                <w:rFonts w:hint="eastAsia"/>
                <w:color w:val="auto"/>
                <w:sz w:val="24"/>
                <w:u w:val="single"/>
              </w:rPr>
              <w:t>）</w:t>
            </w:r>
            <w:r>
              <w:rPr>
                <w:color w:val="auto"/>
                <w:sz w:val="24"/>
              </w:rPr>
              <w:t>。</w:t>
            </w:r>
          </w:p>
          <w:p w14:paraId="38607E01">
            <w:pPr>
              <w:adjustRightInd w:val="0"/>
              <w:snapToGrid w:val="0"/>
              <w:spacing w:line="360" w:lineRule="auto"/>
              <w:ind w:firstLine="480" w:firstLineChars="200"/>
              <w:rPr>
                <w:rFonts w:hint="eastAsia"/>
                <w:color w:val="auto"/>
                <w:sz w:val="24"/>
              </w:rPr>
            </w:pPr>
            <w:r>
              <w:rPr>
                <w:rFonts w:hint="eastAsia"/>
                <w:color w:val="auto"/>
                <w:sz w:val="24"/>
              </w:rPr>
              <w:t>现有项目于2010年8月9日进行生产厂房、综合楼竣工环境保护验收申请，于2010年8月12日通过阳东县环境保护局同意验收意见，审批文号：</w:t>
            </w:r>
            <w:r>
              <w:rPr>
                <w:rFonts w:hint="eastAsia"/>
                <w:color w:val="auto"/>
                <w:sz w:val="24"/>
                <w:u w:val="single"/>
              </w:rPr>
              <w:t>东环验〔</w:t>
            </w:r>
            <w:r>
              <w:rPr>
                <w:color w:val="auto"/>
                <w:sz w:val="24"/>
                <w:u w:val="single"/>
              </w:rPr>
              <w:t>20</w:t>
            </w:r>
            <w:r>
              <w:rPr>
                <w:rFonts w:hint="eastAsia"/>
                <w:color w:val="auto"/>
                <w:sz w:val="24"/>
                <w:u w:val="single"/>
              </w:rPr>
              <w:t>10〕第0802</w:t>
            </w:r>
            <w:r>
              <w:rPr>
                <w:color w:val="auto"/>
                <w:sz w:val="24"/>
                <w:u w:val="single"/>
              </w:rPr>
              <w:t>号</w:t>
            </w:r>
            <w:r>
              <w:rPr>
                <w:rFonts w:hint="eastAsia"/>
                <w:color w:val="auto"/>
                <w:sz w:val="24"/>
              </w:rPr>
              <w:t>。</w:t>
            </w:r>
          </w:p>
          <w:p w14:paraId="68CEB258">
            <w:pPr>
              <w:adjustRightInd w:val="0"/>
              <w:snapToGrid w:val="0"/>
              <w:spacing w:line="360" w:lineRule="auto"/>
              <w:ind w:firstLine="480" w:firstLineChars="200"/>
              <w:rPr>
                <w:rFonts w:hint="eastAsia"/>
                <w:color w:val="auto"/>
                <w:sz w:val="24"/>
              </w:rPr>
            </w:pPr>
            <w:r>
              <w:rPr>
                <w:rFonts w:hint="eastAsia"/>
                <w:color w:val="auto"/>
                <w:sz w:val="24"/>
              </w:rPr>
              <w:t>现有</w:t>
            </w:r>
            <w:r>
              <w:rPr>
                <w:color w:val="auto"/>
                <w:sz w:val="24"/>
              </w:rPr>
              <w:t>项目于</w:t>
            </w:r>
            <w:r>
              <w:rPr>
                <w:rFonts w:hint="eastAsia"/>
                <w:color w:val="auto"/>
                <w:sz w:val="24"/>
              </w:rPr>
              <w:t>2011</w:t>
            </w:r>
            <w:r>
              <w:rPr>
                <w:color w:val="auto"/>
                <w:sz w:val="24"/>
              </w:rPr>
              <w:t>年</w:t>
            </w:r>
            <w:r>
              <w:rPr>
                <w:rFonts w:hint="eastAsia"/>
                <w:color w:val="auto"/>
                <w:sz w:val="24"/>
              </w:rPr>
              <w:t>10月5日</w:t>
            </w:r>
            <w:r>
              <w:rPr>
                <w:color w:val="auto"/>
                <w:sz w:val="24"/>
              </w:rPr>
              <w:t>委托</w:t>
            </w:r>
            <w:r>
              <w:rPr>
                <w:rFonts w:hint="eastAsia"/>
                <w:color w:val="auto"/>
                <w:sz w:val="24"/>
              </w:rPr>
              <w:t>清远市环境工程设计研究所</w:t>
            </w:r>
            <w:r>
              <w:rPr>
                <w:color w:val="auto"/>
                <w:sz w:val="24"/>
              </w:rPr>
              <w:t>编制了《</w:t>
            </w:r>
            <w:r>
              <w:rPr>
                <w:rFonts w:hint="eastAsia"/>
                <w:bCs/>
                <w:color w:val="auto"/>
                <w:sz w:val="24"/>
              </w:rPr>
              <w:t>阳江纳谷科技有限公司铝氧化表面处理车间建设项目环境影响报告书</w:t>
            </w:r>
            <w:r>
              <w:rPr>
                <w:color w:val="auto"/>
                <w:sz w:val="24"/>
              </w:rPr>
              <w:t>》，于</w:t>
            </w:r>
            <w:r>
              <w:rPr>
                <w:rFonts w:hint="eastAsia"/>
                <w:color w:val="auto"/>
                <w:sz w:val="24"/>
              </w:rPr>
              <w:t>2012</w:t>
            </w:r>
            <w:r>
              <w:rPr>
                <w:color w:val="auto"/>
                <w:sz w:val="24"/>
              </w:rPr>
              <w:t>年</w:t>
            </w:r>
            <w:r>
              <w:rPr>
                <w:rFonts w:hint="eastAsia"/>
                <w:color w:val="auto"/>
                <w:sz w:val="24"/>
              </w:rPr>
              <w:t>6</w:t>
            </w:r>
            <w:r>
              <w:rPr>
                <w:color w:val="auto"/>
                <w:sz w:val="24"/>
              </w:rPr>
              <w:t>月</w:t>
            </w:r>
            <w:r>
              <w:rPr>
                <w:rFonts w:hint="eastAsia"/>
                <w:color w:val="auto"/>
                <w:sz w:val="24"/>
              </w:rPr>
              <w:t>25</w:t>
            </w:r>
            <w:r>
              <w:rPr>
                <w:color w:val="auto"/>
                <w:sz w:val="24"/>
              </w:rPr>
              <w:t>日</w:t>
            </w:r>
            <w:r>
              <w:rPr>
                <w:rFonts w:hint="eastAsia"/>
                <w:color w:val="auto"/>
                <w:sz w:val="24"/>
              </w:rPr>
              <w:t>通过阳东县环境保护局审批同意建设</w:t>
            </w:r>
            <w:r>
              <w:rPr>
                <w:color w:val="auto"/>
                <w:sz w:val="24"/>
              </w:rPr>
              <w:t>，</w:t>
            </w:r>
            <w:r>
              <w:rPr>
                <w:rFonts w:hint="eastAsia"/>
                <w:color w:val="auto"/>
                <w:sz w:val="24"/>
              </w:rPr>
              <w:t>审批文件名称及文号：</w:t>
            </w:r>
            <w:r>
              <w:rPr>
                <w:rFonts w:hint="eastAsia"/>
                <w:color w:val="auto"/>
                <w:sz w:val="24"/>
                <w:u w:val="single"/>
              </w:rPr>
              <w:t>《关于&lt;阳江市纳谷科技有限公司铝氧化表面处理车间项目环境影响报告书&gt;的审查意见》（东环建审〔</w:t>
            </w:r>
            <w:r>
              <w:rPr>
                <w:color w:val="auto"/>
                <w:sz w:val="24"/>
                <w:u w:val="single"/>
              </w:rPr>
              <w:t>20</w:t>
            </w:r>
            <w:r>
              <w:rPr>
                <w:rFonts w:hint="eastAsia"/>
                <w:color w:val="auto"/>
                <w:sz w:val="24"/>
                <w:u w:val="single"/>
              </w:rPr>
              <w:t>12〕85</w:t>
            </w:r>
            <w:r>
              <w:rPr>
                <w:color w:val="auto"/>
                <w:sz w:val="24"/>
                <w:u w:val="single"/>
              </w:rPr>
              <w:t>号</w:t>
            </w:r>
            <w:r>
              <w:rPr>
                <w:rFonts w:hint="eastAsia"/>
                <w:color w:val="auto"/>
                <w:sz w:val="24"/>
                <w:u w:val="single"/>
              </w:rPr>
              <w:t>）</w:t>
            </w:r>
            <w:r>
              <w:rPr>
                <w:color w:val="auto"/>
                <w:sz w:val="24"/>
              </w:rPr>
              <w:t>。</w:t>
            </w:r>
          </w:p>
          <w:p w14:paraId="5C9CCCD5">
            <w:pPr>
              <w:adjustRightInd w:val="0"/>
              <w:snapToGrid w:val="0"/>
              <w:spacing w:line="360" w:lineRule="auto"/>
              <w:ind w:firstLine="480" w:firstLineChars="200"/>
              <w:rPr>
                <w:b/>
                <w:color w:val="auto"/>
                <w:sz w:val="24"/>
              </w:rPr>
            </w:pPr>
            <w:r>
              <w:rPr>
                <w:rFonts w:hint="eastAsia"/>
                <w:color w:val="auto"/>
                <w:sz w:val="24"/>
              </w:rPr>
              <w:t>现有项目于2012年9月6日进行阳江纳谷科技有限公司铝氧化表面处理车间建设项目竣工环境保护验收申请，于2012年9月11日通过阳东县环境保护局同意验收意见，审批文号：</w:t>
            </w:r>
            <w:r>
              <w:rPr>
                <w:rFonts w:hint="eastAsia"/>
                <w:color w:val="auto"/>
                <w:sz w:val="24"/>
                <w:u w:val="single"/>
              </w:rPr>
              <w:t>东环验〔2012〕39</w:t>
            </w:r>
            <w:r>
              <w:rPr>
                <w:color w:val="auto"/>
                <w:sz w:val="24"/>
                <w:u w:val="single"/>
              </w:rPr>
              <w:t>号</w:t>
            </w:r>
            <w:r>
              <w:rPr>
                <w:rFonts w:hint="eastAsia"/>
                <w:color w:val="auto"/>
                <w:sz w:val="24"/>
              </w:rPr>
              <w:t>。</w:t>
            </w:r>
          </w:p>
          <w:p w14:paraId="066AF2AE">
            <w:pPr>
              <w:adjustRightInd w:val="0"/>
              <w:snapToGrid w:val="0"/>
              <w:spacing w:line="360" w:lineRule="auto"/>
              <w:ind w:firstLine="480" w:firstLineChars="200"/>
              <w:rPr>
                <w:rFonts w:hint="eastAsia"/>
                <w:b/>
                <w:color w:val="auto"/>
                <w:sz w:val="24"/>
              </w:rPr>
            </w:pPr>
            <w:r>
              <w:rPr>
                <w:rFonts w:hint="eastAsia"/>
                <w:color w:val="auto"/>
                <w:sz w:val="24"/>
              </w:rPr>
              <w:t>现有</w:t>
            </w:r>
            <w:r>
              <w:rPr>
                <w:color w:val="auto"/>
                <w:sz w:val="24"/>
              </w:rPr>
              <w:t>项目于</w:t>
            </w:r>
            <w:r>
              <w:rPr>
                <w:rFonts w:hint="eastAsia"/>
                <w:color w:val="auto"/>
                <w:sz w:val="24"/>
              </w:rPr>
              <w:t>2018年</w:t>
            </w:r>
            <w:r>
              <w:rPr>
                <w:color w:val="auto"/>
                <w:sz w:val="24"/>
              </w:rPr>
              <w:t>委托</w:t>
            </w:r>
            <w:r>
              <w:rPr>
                <w:rFonts w:hint="eastAsia"/>
                <w:color w:val="auto"/>
                <w:sz w:val="24"/>
              </w:rPr>
              <w:t>河北洁源安评环保咨询</w:t>
            </w:r>
            <w:r>
              <w:rPr>
                <w:color w:val="auto"/>
                <w:sz w:val="24"/>
              </w:rPr>
              <w:t>有限公司编制了《</w:t>
            </w:r>
            <w:r>
              <w:rPr>
                <w:rFonts w:hint="eastAsia"/>
                <w:color w:val="auto"/>
                <w:sz w:val="24"/>
              </w:rPr>
              <w:t>阳江纳谷科技有限公司铝氧化表面处理车间扩建项目环境影响报告表</w:t>
            </w:r>
            <w:r>
              <w:rPr>
                <w:color w:val="auto"/>
                <w:sz w:val="24"/>
              </w:rPr>
              <w:t>》，于</w:t>
            </w:r>
            <w:r>
              <w:rPr>
                <w:rFonts w:hint="eastAsia"/>
                <w:color w:val="auto"/>
                <w:sz w:val="24"/>
              </w:rPr>
              <w:t>2018</w:t>
            </w:r>
            <w:r>
              <w:rPr>
                <w:color w:val="auto"/>
                <w:sz w:val="24"/>
              </w:rPr>
              <w:t>年</w:t>
            </w:r>
            <w:r>
              <w:rPr>
                <w:rFonts w:hint="eastAsia"/>
                <w:color w:val="auto"/>
                <w:sz w:val="24"/>
              </w:rPr>
              <w:t>8</w:t>
            </w:r>
            <w:r>
              <w:rPr>
                <w:color w:val="auto"/>
                <w:sz w:val="24"/>
              </w:rPr>
              <w:t>月</w:t>
            </w:r>
            <w:r>
              <w:rPr>
                <w:rFonts w:hint="eastAsia"/>
                <w:color w:val="auto"/>
                <w:sz w:val="24"/>
              </w:rPr>
              <w:t>21</w:t>
            </w:r>
            <w:r>
              <w:rPr>
                <w:color w:val="auto"/>
                <w:sz w:val="24"/>
              </w:rPr>
              <w:t>日</w:t>
            </w:r>
            <w:r>
              <w:rPr>
                <w:rFonts w:hint="eastAsia"/>
                <w:color w:val="auto"/>
                <w:sz w:val="24"/>
              </w:rPr>
              <w:t>通过阳江市阳东区环境保护局审批同意建设</w:t>
            </w:r>
            <w:r>
              <w:rPr>
                <w:color w:val="auto"/>
                <w:sz w:val="24"/>
              </w:rPr>
              <w:t>，</w:t>
            </w:r>
            <w:r>
              <w:rPr>
                <w:rFonts w:hint="eastAsia"/>
                <w:color w:val="auto"/>
                <w:sz w:val="24"/>
              </w:rPr>
              <w:t>审批文件名称及审批文号：</w:t>
            </w:r>
            <w:r>
              <w:rPr>
                <w:rFonts w:hint="eastAsia"/>
                <w:color w:val="auto"/>
                <w:sz w:val="24"/>
                <w:u w:val="single"/>
              </w:rPr>
              <w:t>《关于阳江纳谷科技有限公司铝氧化表面处理车间扩建项目环境影响报告表的审查意见》（东环审〔</w:t>
            </w:r>
            <w:r>
              <w:rPr>
                <w:color w:val="auto"/>
                <w:sz w:val="24"/>
                <w:u w:val="single"/>
              </w:rPr>
              <w:t>20</w:t>
            </w:r>
            <w:r>
              <w:rPr>
                <w:rFonts w:hint="eastAsia"/>
                <w:color w:val="auto"/>
                <w:sz w:val="24"/>
                <w:u w:val="single"/>
              </w:rPr>
              <w:t>18〕87</w:t>
            </w:r>
            <w:r>
              <w:rPr>
                <w:color w:val="auto"/>
                <w:sz w:val="24"/>
                <w:u w:val="single"/>
              </w:rPr>
              <w:t>号</w:t>
            </w:r>
            <w:r>
              <w:rPr>
                <w:rFonts w:hint="eastAsia"/>
                <w:color w:val="auto"/>
                <w:sz w:val="24"/>
                <w:u w:val="single"/>
              </w:rPr>
              <w:t>）</w:t>
            </w:r>
            <w:r>
              <w:rPr>
                <w:color w:val="auto"/>
                <w:sz w:val="24"/>
              </w:rPr>
              <w:t>。</w:t>
            </w:r>
          </w:p>
          <w:p w14:paraId="4FECB4E2">
            <w:pPr>
              <w:adjustRightInd w:val="0"/>
              <w:snapToGrid w:val="0"/>
              <w:spacing w:line="360" w:lineRule="auto"/>
              <w:ind w:firstLine="480" w:firstLineChars="200"/>
              <w:rPr>
                <w:rFonts w:hint="eastAsia"/>
                <w:color w:val="auto"/>
                <w:sz w:val="24"/>
              </w:rPr>
            </w:pPr>
            <w:r>
              <w:rPr>
                <w:rFonts w:hint="eastAsia"/>
                <w:color w:val="auto"/>
                <w:sz w:val="24"/>
              </w:rPr>
              <w:t>现有项目于2022年12月29日进行阳江纳谷科技有限公司铝氧化表面处理车间扩建项目自主验收，</w:t>
            </w:r>
            <w:r>
              <w:rPr>
                <w:rFonts w:hint="eastAsia"/>
                <w:color w:val="auto"/>
                <w:sz w:val="24"/>
                <w:u w:val="single"/>
              </w:rPr>
              <w:t>通过专家组的验收。</w:t>
            </w:r>
          </w:p>
          <w:p w14:paraId="46E41A5E">
            <w:pPr>
              <w:adjustRightInd w:val="0"/>
              <w:snapToGrid w:val="0"/>
              <w:spacing w:line="360" w:lineRule="auto"/>
              <w:ind w:firstLine="480" w:firstLineChars="200"/>
              <w:rPr>
                <w:rFonts w:hint="eastAsia"/>
                <w:b/>
                <w:color w:val="auto"/>
                <w:sz w:val="24"/>
              </w:rPr>
            </w:pPr>
            <w:r>
              <w:rPr>
                <w:rFonts w:hint="eastAsia"/>
                <w:color w:val="auto"/>
                <w:sz w:val="24"/>
              </w:rPr>
              <w:t>现有项目于2025年07月30日变更排污许可证，取得阳江市生态环境局颁发的《排污许可证》，证书</w:t>
            </w:r>
            <w:r>
              <w:rPr>
                <w:color w:val="auto"/>
                <w:sz w:val="24"/>
              </w:rPr>
              <w:t>编号：</w:t>
            </w:r>
            <w:r>
              <w:rPr>
                <w:rFonts w:hint="eastAsia"/>
                <w:color w:val="auto"/>
                <w:sz w:val="24"/>
                <w:u w:val="single"/>
              </w:rPr>
              <w:t>91441700757899564Y001U</w:t>
            </w:r>
            <w:r>
              <w:rPr>
                <w:rFonts w:hint="eastAsia"/>
                <w:color w:val="auto"/>
                <w:sz w:val="24"/>
              </w:rPr>
              <w:t>，有效期：自2025年07月30日至2030年07月29日。</w:t>
            </w:r>
          </w:p>
          <w:p w14:paraId="37D460F0">
            <w:pPr>
              <w:adjustRightInd w:val="0"/>
              <w:snapToGrid w:val="0"/>
              <w:spacing w:line="360" w:lineRule="auto"/>
              <w:ind w:firstLine="482" w:firstLineChars="200"/>
              <w:rPr>
                <w:rFonts w:hint="eastAsia"/>
                <w:b/>
                <w:color w:val="auto"/>
                <w:sz w:val="24"/>
              </w:rPr>
            </w:pPr>
            <w:r>
              <w:rPr>
                <w:rFonts w:hint="eastAsia"/>
                <w:b/>
                <w:color w:val="auto"/>
                <w:sz w:val="24"/>
              </w:rPr>
              <w:t>2、现有生产工艺及产污环节</w:t>
            </w:r>
          </w:p>
          <w:p w14:paraId="6997BA64">
            <w:pPr>
              <w:adjustRightInd w:val="0"/>
              <w:snapToGrid w:val="0"/>
              <w:spacing w:line="360" w:lineRule="auto"/>
              <w:ind w:firstLine="482" w:firstLineChars="200"/>
              <w:rPr>
                <w:color w:val="auto"/>
                <w:sz w:val="24"/>
              </w:rPr>
            </w:pPr>
            <w:r>
              <w:rPr>
                <w:rFonts w:hint="eastAsia"/>
                <w:b/>
                <w:color w:val="auto"/>
                <w:sz w:val="24"/>
              </w:rPr>
              <w:t>（1）整体生产工艺流程及产污环节</w:t>
            </w:r>
          </w:p>
          <w:p w14:paraId="7CD67B0C">
            <w:pPr>
              <w:adjustRightInd w:val="0"/>
              <w:snapToGrid w:val="0"/>
              <w:spacing w:line="360" w:lineRule="auto"/>
              <w:ind w:firstLine="480" w:firstLineChars="200"/>
              <w:rPr>
                <w:color w:val="auto"/>
                <w:sz w:val="24"/>
              </w:rPr>
            </w:pPr>
            <w:r>
              <w:rPr>
                <w:rFonts w:hint="eastAsia"/>
                <w:color w:val="auto"/>
                <w:sz w:val="24"/>
              </w:rPr>
              <w:t>现有</w:t>
            </w:r>
            <w:r>
              <w:rPr>
                <w:color w:val="auto"/>
                <w:sz w:val="24"/>
              </w:rPr>
              <w:t>项目</w:t>
            </w:r>
            <w:r>
              <w:rPr>
                <w:rFonts w:hint="eastAsia"/>
                <w:color w:val="auto"/>
                <w:sz w:val="24"/>
              </w:rPr>
              <w:t>整体生产工艺流程</w:t>
            </w:r>
            <w:r>
              <w:rPr>
                <w:color w:val="auto"/>
                <w:sz w:val="24"/>
              </w:rPr>
              <w:t>及产污环节见图</w:t>
            </w:r>
            <w:r>
              <w:rPr>
                <w:rFonts w:hint="eastAsia"/>
                <w:color w:val="auto"/>
                <w:sz w:val="24"/>
              </w:rPr>
              <w:t>2-</w:t>
            </w:r>
            <w:r>
              <w:rPr>
                <w:rFonts w:hint="eastAsia"/>
                <w:color w:val="auto"/>
                <w:sz w:val="24"/>
                <w:lang w:val="en-US" w:eastAsia="zh-CN"/>
              </w:rPr>
              <w:t>6</w:t>
            </w:r>
            <w:r>
              <w:rPr>
                <w:color w:val="auto"/>
                <w:sz w:val="24"/>
              </w:rPr>
              <w:t>和</w:t>
            </w:r>
            <w:r>
              <w:rPr>
                <w:rFonts w:hint="eastAsia"/>
                <w:color w:val="auto"/>
                <w:sz w:val="24"/>
              </w:rPr>
              <w:t>2-</w:t>
            </w:r>
            <w:r>
              <w:rPr>
                <w:rFonts w:hint="eastAsia"/>
                <w:color w:val="auto"/>
                <w:sz w:val="24"/>
                <w:lang w:val="en-US" w:eastAsia="zh-CN"/>
              </w:rPr>
              <w:t>7</w:t>
            </w:r>
            <w:r>
              <w:rPr>
                <w:color w:val="auto"/>
                <w:sz w:val="24"/>
              </w:rPr>
              <w:t>所示。</w:t>
            </w:r>
          </w:p>
          <w:p w14:paraId="4B3B6AB4">
            <w:pPr>
              <w:spacing w:line="360" w:lineRule="auto"/>
              <w:jc w:val="center"/>
              <w:rPr>
                <w:b/>
                <w:bCs/>
                <w:color w:val="auto"/>
              </w:rPr>
            </w:pPr>
            <w:r>
              <w:rPr>
                <w:b/>
                <w:bCs/>
                <w:color w:val="auto"/>
              </w:rPr>
              <w:object>
                <v:shape id="_x0000_i1030" o:spt="75" type="#_x0000_t75" style="height:228.5pt;width:475pt;" o:ole="t" filled="f" o:preferrelative="t" stroked="f" coordsize="21600,21600">
                  <v:path/>
                  <v:fill on="f" focussize="0,0"/>
                  <v:stroke on="f" joinstyle="miter"/>
                  <v:imagedata r:id="rId27" o:title=""/>
                  <o:lock v:ext="edit" aspectratio="f"/>
                  <w10:wrap type="none"/>
                  <w10:anchorlock/>
                </v:shape>
                <o:OLEObject Type="Embed" ProgID="Visio.Drawing.15" ShapeID="_x0000_i1030" DrawAspect="Content" ObjectID="_1468075730" r:id="rId26">
                  <o:LockedField>false</o:LockedField>
                </o:OLEObject>
              </w:object>
            </w:r>
          </w:p>
          <w:p w14:paraId="4179523C">
            <w:pPr>
              <w:adjustRightInd w:val="0"/>
              <w:snapToGrid w:val="0"/>
              <w:spacing w:line="360" w:lineRule="auto"/>
              <w:ind w:firstLine="422" w:firstLineChars="200"/>
              <w:jc w:val="center"/>
              <w:rPr>
                <w:rFonts w:hint="eastAsia"/>
                <w:b/>
                <w:color w:val="auto"/>
              </w:rPr>
            </w:pPr>
            <w:r>
              <w:rPr>
                <w:rFonts w:hint="eastAsia"/>
                <w:b/>
                <w:color w:val="auto"/>
              </w:rPr>
              <w:t>图2-</w:t>
            </w:r>
            <w:r>
              <w:rPr>
                <w:rFonts w:hint="eastAsia"/>
                <w:b/>
                <w:color w:val="auto"/>
                <w:lang w:val="en-US" w:eastAsia="zh-CN"/>
              </w:rPr>
              <w:t>6</w:t>
            </w:r>
            <w:r>
              <w:rPr>
                <w:rFonts w:hint="eastAsia"/>
                <w:b/>
                <w:color w:val="auto"/>
              </w:rPr>
              <w:t xml:space="preserve"> 现有项目整体生产工艺流程及产污环节图</w:t>
            </w:r>
          </w:p>
          <w:p w14:paraId="66548F47">
            <w:pPr>
              <w:adjustRightInd w:val="0"/>
              <w:snapToGrid w:val="0"/>
              <w:spacing w:line="360" w:lineRule="auto"/>
              <w:ind w:firstLine="482" w:firstLineChars="200"/>
              <w:rPr>
                <w:b/>
                <w:bCs/>
                <w:color w:val="auto"/>
                <w:sz w:val="24"/>
              </w:rPr>
            </w:pPr>
            <w:r>
              <w:rPr>
                <w:b/>
                <w:bCs/>
                <w:color w:val="auto"/>
                <w:sz w:val="24"/>
              </w:rPr>
              <w:t>工艺流程简述：</w:t>
            </w:r>
          </w:p>
          <w:p w14:paraId="55097B92">
            <w:pPr>
              <w:adjustRightInd w:val="0"/>
              <w:snapToGrid w:val="0"/>
              <w:spacing w:line="360" w:lineRule="auto"/>
              <w:ind w:firstLine="480" w:firstLineChars="200"/>
              <w:rPr>
                <w:rFonts w:hint="eastAsia"/>
                <w:color w:val="auto"/>
                <w:sz w:val="24"/>
              </w:rPr>
            </w:pPr>
            <w:r>
              <w:rPr>
                <w:rFonts w:hint="eastAsia"/>
                <w:color w:val="auto"/>
                <w:sz w:val="24"/>
              </w:rPr>
              <w:t>首先对运输至厂内的铝管利用切割机进行切割，在切割的过程产生较大的噪声、边角料及粉尘。经过切割而成的铝管先后进行车、铣等机加工，由于机加工使用切削液，因此机加工过程不会有粉尘产生，主要产生废切削液、边角料和设备运行噪声，再进入压铸机进行压铸出所需形状，此过程会有边角料和设备运行噪声，为了提高产品的外观，还需进行抛光，抛光过程会产生粉尘和设备运行噪声，并得到铝制品。经过五金加工的铝制品进入表面氧化处理的车间进行加工，经过表面处理后的铝制品进入装配生产线进行装配，最后得到成品，该过程将产生一定量的不合格品。</w:t>
            </w:r>
          </w:p>
          <w:p w14:paraId="67D675A4">
            <w:pPr>
              <w:adjustRightInd w:val="0"/>
              <w:snapToGrid w:val="0"/>
              <w:spacing w:line="360" w:lineRule="auto"/>
              <w:ind w:firstLine="480" w:firstLineChars="200"/>
              <w:rPr>
                <w:color w:val="auto"/>
                <w:sz w:val="24"/>
              </w:rPr>
            </w:pPr>
            <w:r>
              <w:rPr>
                <w:rFonts w:hint="eastAsia"/>
                <w:color w:val="auto"/>
                <w:sz w:val="24"/>
              </w:rPr>
              <w:t>PP塑料粒进入注塑车间，按一定的配比投入注塑机进行注塑成型，得出塑料件，在此过程中产生一定量的有机废气、臭气、冷却水。塑料件经过修边后进入装配车间，在修边过程将产生一定量的塑料边角料</w:t>
            </w:r>
            <w:r>
              <w:rPr>
                <w:color w:val="auto"/>
                <w:sz w:val="24"/>
              </w:rPr>
              <w:t>。</w:t>
            </w:r>
          </w:p>
          <w:p w14:paraId="296BFA1C">
            <w:pPr>
              <w:adjustRightInd w:val="0"/>
              <w:snapToGrid w:val="0"/>
              <w:spacing w:line="360" w:lineRule="auto"/>
              <w:ind w:firstLine="482" w:firstLineChars="200"/>
              <w:rPr>
                <w:b/>
                <w:color w:val="auto"/>
                <w:sz w:val="24"/>
              </w:rPr>
            </w:pPr>
            <w:r>
              <w:rPr>
                <w:rFonts w:hint="eastAsia"/>
                <w:b/>
                <w:color w:val="auto"/>
                <w:sz w:val="24"/>
              </w:rPr>
              <w:t>（2）阳极氧化</w:t>
            </w:r>
            <w:r>
              <w:rPr>
                <w:b/>
                <w:color w:val="auto"/>
                <w:sz w:val="24"/>
              </w:rPr>
              <w:t>生产工艺流程</w:t>
            </w:r>
          </w:p>
          <w:p w14:paraId="416251D0">
            <w:pPr>
              <w:adjustRightInd w:val="0"/>
              <w:snapToGrid w:val="0"/>
              <w:spacing w:line="360" w:lineRule="auto"/>
              <w:ind w:firstLine="482" w:firstLineChars="200"/>
              <w:rPr>
                <w:b/>
                <w:color w:val="auto"/>
                <w:sz w:val="24"/>
              </w:rPr>
            </w:pPr>
          </w:p>
          <w:p w14:paraId="31518313">
            <w:pPr>
              <w:adjustRightInd w:val="0"/>
              <w:snapToGrid w:val="0"/>
              <w:spacing w:line="360" w:lineRule="auto"/>
              <w:ind w:firstLine="482" w:firstLineChars="200"/>
              <w:rPr>
                <w:b/>
                <w:color w:val="auto"/>
                <w:sz w:val="24"/>
              </w:rPr>
            </w:pPr>
          </w:p>
          <w:p w14:paraId="508D35FE">
            <w:pPr>
              <w:adjustRightInd w:val="0"/>
              <w:snapToGrid w:val="0"/>
              <w:spacing w:line="360" w:lineRule="auto"/>
              <w:ind w:firstLine="482" w:firstLineChars="200"/>
              <w:rPr>
                <w:b/>
                <w:color w:val="auto"/>
                <w:sz w:val="24"/>
              </w:rPr>
            </w:pPr>
          </w:p>
          <w:p w14:paraId="319B8318">
            <w:pPr>
              <w:adjustRightInd w:val="0"/>
              <w:snapToGrid w:val="0"/>
              <w:spacing w:line="360" w:lineRule="auto"/>
              <w:ind w:firstLine="482" w:firstLineChars="200"/>
              <w:rPr>
                <w:b/>
                <w:color w:val="auto"/>
                <w:sz w:val="24"/>
              </w:rPr>
            </w:pPr>
          </w:p>
          <w:p w14:paraId="6CA4A1EF">
            <w:pPr>
              <w:adjustRightInd w:val="0"/>
              <w:snapToGrid w:val="0"/>
              <w:spacing w:line="360" w:lineRule="auto"/>
              <w:ind w:firstLine="482" w:firstLineChars="200"/>
              <w:rPr>
                <w:b/>
                <w:color w:val="auto"/>
                <w:sz w:val="24"/>
              </w:rPr>
            </w:pPr>
          </w:p>
          <w:p w14:paraId="34EFDBAB">
            <w:pPr>
              <w:adjustRightInd w:val="0"/>
              <w:snapToGrid w:val="0"/>
              <w:spacing w:line="360" w:lineRule="auto"/>
              <w:ind w:firstLine="482" w:firstLineChars="200"/>
              <w:rPr>
                <w:b/>
                <w:color w:val="auto"/>
                <w:sz w:val="24"/>
              </w:rPr>
            </w:pPr>
          </w:p>
          <w:p w14:paraId="6FCE3098">
            <w:pPr>
              <w:adjustRightInd w:val="0"/>
              <w:snapToGrid w:val="0"/>
              <w:spacing w:line="360" w:lineRule="auto"/>
              <w:ind w:firstLine="482" w:firstLineChars="200"/>
              <w:rPr>
                <w:b/>
                <w:color w:val="auto"/>
                <w:sz w:val="24"/>
              </w:rPr>
            </w:pPr>
          </w:p>
          <w:p w14:paraId="2E66BC5F">
            <w:pPr>
              <w:widowControl w:val="0"/>
              <w:adjustRightInd w:val="0"/>
              <w:snapToGrid w:val="0"/>
              <w:spacing w:line="360" w:lineRule="auto"/>
              <w:jc w:val="center"/>
              <w:rPr>
                <w:rFonts w:hint="eastAsia"/>
                <w:b/>
                <w:color w:val="auto"/>
              </w:rPr>
            </w:pPr>
            <w:r>
              <w:rPr>
                <w:rFonts w:hint="eastAsia"/>
                <w:b/>
                <w:color w:val="auto"/>
              </w:rPr>
              <w:object>
                <v:shape id="_x0000_i1031" o:spt="75" type="#_x0000_t75" style="height:548.05pt;width:475.2pt;" o:ole="t" filled="f" o:preferrelative="t" stroked="f" coordsize="21600,21600">
                  <v:path/>
                  <v:fill on="f" focussize="0,0"/>
                  <v:stroke on="f"/>
                  <v:imagedata r:id="rId29" o:title=""/>
                  <o:lock v:ext="edit" aspectratio="f"/>
                  <w10:wrap type="none"/>
                  <w10:anchorlock/>
                </v:shape>
                <o:OLEObject Type="Embed" ProgID="Visio.Drawing.15" ShapeID="_x0000_i1031" DrawAspect="Content" ObjectID="_1468075731" r:id="rId28">
                  <o:LockedField>false</o:LockedField>
                </o:OLEObject>
              </w:object>
            </w:r>
          </w:p>
          <w:p w14:paraId="365544D4">
            <w:pPr>
              <w:widowControl w:val="0"/>
              <w:adjustRightInd w:val="0"/>
              <w:snapToGrid w:val="0"/>
              <w:spacing w:line="360" w:lineRule="auto"/>
              <w:jc w:val="center"/>
              <w:rPr>
                <w:rFonts w:hint="eastAsia"/>
                <w:b/>
                <w:color w:val="auto"/>
              </w:rPr>
            </w:pPr>
            <w:r>
              <w:rPr>
                <w:rFonts w:hint="eastAsia"/>
                <w:b/>
                <w:color w:val="auto"/>
              </w:rPr>
              <w:t>图2-</w:t>
            </w:r>
            <w:r>
              <w:rPr>
                <w:rFonts w:hint="eastAsia"/>
                <w:b/>
                <w:color w:val="auto"/>
                <w:lang w:val="en-US" w:eastAsia="zh-CN"/>
              </w:rPr>
              <w:t>7</w:t>
            </w:r>
            <w:r>
              <w:rPr>
                <w:rFonts w:hint="eastAsia"/>
                <w:b/>
                <w:color w:val="auto"/>
              </w:rPr>
              <w:t xml:space="preserve"> 现有项目阳极氧化生产工艺流程及产污图</w:t>
            </w:r>
          </w:p>
          <w:p w14:paraId="003E5B53">
            <w:pPr>
              <w:adjustRightInd w:val="0"/>
              <w:snapToGrid w:val="0"/>
              <w:spacing w:line="360" w:lineRule="auto"/>
              <w:ind w:firstLine="482" w:firstLineChars="200"/>
              <w:rPr>
                <w:b/>
                <w:bCs/>
                <w:color w:val="auto"/>
                <w:sz w:val="24"/>
              </w:rPr>
            </w:pPr>
            <w:r>
              <w:rPr>
                <w:b/>
                <w:bCs/>
                <w:color w:val="auto"/>
                <w:sz w:val="24"/>
              </w:rPr>
              <w:t>工艺流程简述：</w:t>
            </w:r>
          </w:p>
          <w:p w14:paraId="73423E9D">
            <w:pPr>
              <w:adjustRightInd w:val="0"/>
              <w:snapToGrid w:val="0"/>
              <w:spacing w:line="360" w:lineRule="auto"/>
              <w:ind w:firstLine="480" w:firstLineChars="200"/>
              <w:rPr>
                <w:rFonts w:hint="eastAsia"/>
                <w:color w:val="auto"/>
                <w:sz w:val="24"/>
              </w:rPr>
            </w:pPr>
            <w:r>
              <w:rPr>
                <w:rFonts w:hint="eastAsia"/>
                <w:color w:val="auto"/>
                <w:sz w:val="24"/>
              </w:rPr>
              <w:t>从五金加工得出的铝制品将进入厂内的阳极氧化车间进行表面处理。</w:t>
            </w:r>
          </w:p>
          <w:p w14:paraId="4F690778">
            <w:pPr>
              <w:adjustRightInd w:val="0"/>
              <w:snapToGrid w:val="0"/>
              <w:spacing w:line="360" w:lineRule="auto"/>
              <w:ind w:firstLine="482" w:firstLineChars="200"/>
              <w:rPr>
                <w:rFonts w:hint="eastAsia"/>
                <w:color w:val="auto"/>
                <w:sz w:val="24"/>
              </w:rPr>
            </w:pPr>
            <w:r>
              <w:rPr>
                <w:rFonts w:hint="eastAsia"/>
                <w:b/>
                <w:bCs/>
                <w:color w:val="auto"/>
                <w:sz w:val="24"/>
              </w:rPr>
              <w:t>脱脂：</w:t>
            </w:r>
            <w:r>
              <w:rPr>
                <w:rFonts w:hint="eastAsia"/>
                <w:color w:val="auto"/>
                <w:sz w:val="24"/>
              </w:rPr>
              <w:t>脱脂目的是为了去掉被处理铝材表面的油污或锈油，工人手上的油脂印痕等。目前铝材表面除油的方法包括碱性、中性和酸性法。项目铝阳极氧化表面处理工艺以酸性脱油剂作为脱脂剂，其原理为油脂在酸的存在下也能进行水解反应生成甘油和相应的高级脂肪酸。具体操作为首先将铝制品进行挂件，放入脱酯槽中除脂、脱腊、除自然氧化膜，除油后再放入水洗槽中经过溢流水洗。脱脂过程在常温下进行，脱脂时间一般以2~8分钟为宜，脱脂后需用水清洗，本项目清洗次数为2次。</w:t>
            </w:r>
          </w:p>
          <w:p w14:paraId="0B50672E">
            <w:pPr>
              <w:adjustRightInd w:val="0"/>
              <w:snapToGrid w:val="0"/>
              <w:spacing w:line="360" w:lineRule="auto"/>
              <w:ind w:firstLine="482" w:firstLineChars="200"/>
              <w:rPr>
                <w:rFonts w:hint="eastAsia"/>
                <w:color w:val="auto"/>
                <w:sz w:val="24"/>
              </w:rPr>
            </w:pPr>
            <w:r>
              <w:rPr>
                <w:rFonts w:hint="eastAsia"/>
                <w:b/>
                <w:bCs/>
                <w:color w:val="auto"/>
                <w:sz w:val="24"/>
              </w:rPr>
              <w:t>喷砂：</w:t>
            </w:r>
            <w:r>
              <w:rPr>
                <w:rFonts w:hint="eastAsia"/>
                <w:color w:val="auto"/>
                <w:sz w:val="24"/>
              </w:rPr>
              <w:t>项目铝阳极氧化表面处理工艺采用分体式回收循环喷砂机，该机型在工作时没有粉尘污染，磨料自动回收、分离，可循环使用。该机型在工作时，因所使用的工作喷砂头直接压合在工件表面，加压砂料直接打在工件的表面后反弹回来，砂料及粉尘都被约束在喷砂工作头内，在工作头的内腔上侧由设备制造负压实现对砂料及粉尘的收集，磨料自动回收，可循环使用。因此产生的粉尘量极少。</w:t>
            </w:r>
          </w:p>
          <w:p w14:paraId="2693085C">
            <w:pPr>
              <w:adjustRightInd w:val="0"/>
              <w:snapToGrid w:val="0"/>
              <w:spacing w:line="360" w:lineRule="auto"/>
              <w:ind w:firstLine="482" w:firstLineChars="200"/>
              <w:rPr>
                <w:rFonts w:hint="eastAsia"/>
                <w:color w:val="auto"/>
                <w:sz w:val="24"/>
              </w:rPr>
            </w:pPr>
            <w:r>
              <w:rPr>
                <w:rFonts w:hint="eastAsia"/>
                <w:b/>
                <w:bCs/>
                <w:color w:val="auto"/>
                <w:sz w:val="24"/>
              </w:rPr>
              <w:t>前处理：</w:t>
            </w:r>
            <w:r>
              <w:rPr>
                <w:rFonts w:hint="eastAsia"/>
                <w:color w:val="auto"/>
                <w:sz w:val="24"/>
              </w:rPr>
              <w:t>项目铝阳极氧化表面处理工艺中，铝制品前处理将按照产品的要求分为碱蚀和酸蚀两种。</w:t>
            </w:r>
          </w:p>
          <w:p w14:paraId="71B4712F">
            <w:pPr>
              <w:adjustRightInd w:val="0"/>
              <w:snapToGrid w:val="0"/>
              <w:spacing w:line="360" w:lineRule="auto"/>
              <w:ind w:firstLine="482" w:firstLineChars="200"/>
              <w:rPr>
                <w:rFonts w:hint="eastAsia"/>
                <w:color w:val="auto"/>
                <w:sz w:val="24"/>
              </w:rPr>
            </w:pPr>
            <w:r>
              <w:rPr>
                <w:rFonts w:hint="eastAsia"/>
                <w:b/>
                <w:bCs/>
                <w:color w:val="auto"/>
                <w:sz w:val="24"/>
              </w:rPr>
              <w:t>碱蚀：</w:t>
            </w:r>
            <w:r>
              <w:rPr>
                <w:rFonts w:hint="eastAsia"/>
                <w:color w:val="auto"/>
                <w:sz w:val="24"/>
              </w:rPr>
              <w:t>碱蚀原理为了进一步除掉制品表面的赃物，并将制品表面的自然氧化膜清除掉，使基体金属表面暴露出来，为阳极氧化均匀导电、生成均匀氧化膜打好基础；另外，延长碱蚀时间，可去机械纹、起砂，美观铝材外观。项目采用目前最普遍的碱蚀方法，即用50~60g/L的氢氧化钠水溶液在50~60℃的工作温度下进行碱洗，其反应过程如下：</w:t>
            </w:r>
          </w:p>
          <w:p w14:paraId="32670805">
            <w:pPr>
              <w:adjustRightInd w:val="0"/>
              <w:snapToGrid w:val="0"/>
              <w:spacing w:line="360" w:lineRule="auto"/>
              <w:ind w:firstLine="480" w:firstLineChars="200"/>
              <w:rPr>
                <w:rFonts w:hint="eastAsia"/>
                <w:color w:val="auto"/>
                <w:sz w:val="24"/>
              </w:rPr>
            </w:pPr>
            <w:r>
              <w:rPr>
                <w:rFonts w:hint="eastAsia"/>
                <w:color w:val="auto"/>
                <w:sz w:val="24"/>
              </w:rPr>
              <w:t>Al</w:t>
            </w:r>
            <w:r>
              <w:rPr>
                <w:rFonts w:hint="eastAsia"/>
                <w:color w:val="auto"/>
                <w:sz w:val="24"/>
                <w:vertAlign w:val="subscript"/>
              </w:rPr>
              <w:t>2</w:t>
            </w:r>
            <w:r>
              <w:rPr>
                <w:rFonts w:hint="eastAsia"/>
                <w:color w:val="auto"/>
                <w:sz w:val="24"/>
              </w:rPr>
              <w:t>O</w:t>
            </w:r>
            <w:r>
              <w:rPr>
                <w:rFonts w:hint="eastAsia"/>
                <w:color w:val="auto"/>
                <w:sz w:val="24"/>
                <w:vertAlign w:val="subscript"/>
              </w:rPr>
              <w:t>3</w:t>
            </w:r>
            <w:r>
              <w:rPr>
                <w:rFonts w:hint="eastAsia"/>
                <w:color w:val="auto"/>
                <w:sz w:val="24"/>
              </w:rPr>
              <w:t>+2NaOH=2NaA1O</w:t>
            </w:r>
            <w:r>
              <w:rPr>
                <w:rFonts w:hint="eastAsia"/>
                <w:color w:val="auto"/>
                <w:sz w:val="24"/>
                <w:vertAlign w:val="subscript"/>
              </w:rPr>
              <w:t>2</w:t>
            </w:r>
            <w:r>
              <w:rPr>
                <w:rFonts w:hint="eastAsia"/>
                <w:color w:val="auto"/>
                <w:sz w:val="24"/>
              </w:rPr>
              <w:t>+H</w:t>
            </w:r>
            <w:r>
              <w:rPr>
                <w:rFonts w:hint="eastAsia"/>
                <w:color w:val="auto"/>
                <w:sz w:val="24"/>
                <w:vertAlign w:val="subscript"/>
              </w:rPr>
              <w:t>2</w:t>
            </w:r>
            <w:r>
              <w:rPr>
                <w:rFonts w:hint="eastAsia"/>
                <w:color w:val="auto"/>
                <w:sz w:val="24"/>
              </w:rPr>
              <w:t>O</w:t>
            </w:r>
          </w:p>
          <w:p w14:paraId="35AB69AE">
            <w:pPr>
              <w:adjustRightInd w:val="0"/>
              <w:snapToGrid w:val="0"/>
              <w:spacing w:line="360" w:lineRule="auto"/>
              <w:ind w:firstLine="480" w:firstLineChars="200"/>
              <w:rPr>
                <w:rFonts w:hint="eastAsia"/>
                <w:color w:val="auto"/>
                <w:sz w:val="24"/>
              </w:rPr>
            </w:pPr>
            <w:r>
              <w:rPr>
                <w:rFonts w:hint="eastAsia"/>
                <w:color w:val="auto"/>
                <w:sz w:val="24"/>
              </w:rPr>
              <w:t>2Al+2NaOH+2H</w:t>
            </w:r>
            <w:r>
              <w:rPr>
                <w:rFonts w:hint="eastAsia"/>
                <w:color w:val="auto"/>
                <w:sz w:val="24"/>
                <w:vertAlign w:val="subscript"/>
              </w:rPr>
              <w:t>2</w:t>
            </w:r>
            <w:r>
              <w:rPr>
                <w:rFonts w:hint="eastAsia"/>
                <w:color w:val="auto"/>
                <w:sz w:val="24"/>
              </w:rPr>
              <w:t>O=2NaA1O</w:t>
            </w:r>
            <w:r>
              <w:rPr>
                <w:rFonts w:hint="eastAsia"/>
                <w:color w:val="auto"/>
                <w:sz w:val="24"/>
                <w:vertAlign w:val="subscript"/>
              </w:rPr>
              <w:t>2</w:t>
            </w:r>
            <w:r>
              <w:rPr>
                <w:rFonts w:hint="eastAsia"/>
                <w:color w:val="auto"/>
                <w:sz w:val="24"/>
              </w:rPr>
              <w:t>+3H</w:t>
            </w:r>
            <w:r>
              <w:rPr>
                <w:rFonts w:hint="eastAsia"/>
                <w:color w:val="auto"/>
                <w:sz w:val="24"/>
                <w:vertAlign w:val="subscript"/>
              </w:rPr>
              <w:t>2</w:t>
            </w:r>
            <w:r>
              <w:rPr>
                <w:rFonts w:hint="eastAsia"/>
                <w:color w:val="auto"/>
                <w:sz w:val="24"/>
              </w:rPr>
              <w:t>↑</w:t>
            </w:r>
          </w:p>
          <w:p w14:paraId="0C020517">
            <w:pPr>
              <w:adjustRightInd w:val="0"/>
              <w:snapToGrid w:val="0"/>
              <w:spacing w:line="360" w:lineRule="auto"/>
              <w:ind w:firstLine="480" w:firstLineChars="200"/>
              <w:rPr>
                <w:rFonts w:hint="eastAsia"/>
                <w:color w:val="auto"/>
                <w:sz w:val="24"/>
              </w:rPr>
            </w:pPr>
            <w:r>
              <w:rPr>
                <w:rFonts w:hint="eastAsia"/>
                <w:color w:val="auto"/>
                <w:sz w:val="24"/>
              </w:rPr>
              <w:t>NaAlO</w:t>
            </w:r>
            <w:r>
              <w:rPr>
                <w:rFonts w:hint="eastAsia"/>
                <w:color w:val="auto"/>
                <w:sz w:val="24"/>
                <w:vertAlign w:val="subscript"/>
              </w:rPr>
              <w:t>2</w:t>
            </w:r>
            <w:r>
              <w:rPr>
                <w:rFonts w:hint="eastAsia"/>
                <w:color w:val="auto"/>
                <w:sz w:val="24"/>
              </w:rPr>
              <w:t>+2H</w:t>
            </w:r>
            <w:r>
              <w:rPr>
                <w:rFonts w:hint="eastAsia"/>
                <w:color w:val="auto"/>
                <w:sz w:val="24"/>
                <w:vertAlign w:val="subscript"/>
              </w:rPr>
              <w:t>2</w:t>
            </w:r>
            <w:r>
              <w:rPr>
                <w:rFonts w:hint="eastAsia"/>
                <w:color w:val="auto"/>
                <w:sz w:val="24"/>
              </w:rPr>
              <w:t>O=Al(OH)</w:t>
            </w:r>
            <w:r>
              <w:rPr>
                <w:rFonts w:hint="eastAsia"/>
                <w:color w:val="auto"/>
                <w:sz w:val="24"/>
                <w:vertAlign w:val="subscript"/>
              </w:rPr>
              <w:t>3</w:t>
            </w:r>
            <w:r>
              <w:rPr>
                <w:rFonts w:hint="eastAsia"/>
                <w:color w:val="auto"/>
                <w:sz w:val="24"/>
              </w:rPr>
              <w:t>↓+Na(OH)</w:t>
            </w:r>
          </w:p>
          <w:p w14:paraId="448A04C5">
            <w:pPr>
              <w:adjustRightInd w:val="0"/>
              <w:snapToGrid w:val="0"/>
              <w:spacing w:line="360" w:lineRule="auto"/>
              <w:ind w:firstLine="480" w:firstLineChars="200"/>
              <w:rPr>
                <w:rFonts w:hint="eastAsia"/>
                <w:color w:val="auto"/>
                <w:sz w:val="24"/>
              </w:rPr>
            </w:pPr>
            <w:r>
              <w:rPr>
                <w:rFonts w:hint="eastAsia"/>
                <w:color w:val="auto"/>
                <w:sz w:val="24"/>
              </w:rPr>
              <w:t>碱蚀过程有氢气生成，为保证安全，设计时要求进行槽边设置抽风系统，使氢气和碱雾一起排出。该项目通过使用片碱作为碱蚀剂和调节槽液浓度等参数控制铝的损耗量，而目前铝型材企业表面处理工序的铝材损耗低于传统工艺，碱蚀过程铝材耗量为每吨型材铝耗约为每吨型材铝耗在1kg。</w:t>
            </w:r>
          </w:p>
          <w:p w14:paraId="7DE5C2FE">
            <w:pPr>
              <w:adjustRightInd w:val="0"/>
              <w:snapToGrid w:val="0"/>
              <w:spacing w:line="360" w:lineRule="auto"/>
              <w:ind w:firstLine="480" w:firstLineChars="200"/>
              <w:rPr>
                <w:rFonts w:hint="eastAsia"/>
                <w:color w:val="auto"/>
                <w:sz w:val="24"/>
              </w:rPr>
            </w:pPr>
            <w:r>
              <w:rPr>
                <w:rFonts w:hint="eastAsia"/>
                <w:color w:val="auto"/>
                <w:sz w:val="24"/>
              </w:rPr>
              <w:t>碱蚀后水洗十分重要，如果清洗不彻底将影响最终的着色质量，清洗目的是去除铝材表面的因碱腐蚀而残留的碱液和污物，此外还起冷却铝材的作用。项目扩建后铝阳极氧化表面处理工艺碱蚀后需要进行2次洗水。</w:t>
            </w:r>
          </w:p>
          <w:p w14:paraId="72768AC6">
            <w:pPr>
              <w:adjustRightInd w:val="0"/>
              <w:snapToGrid w:val="0"/>
              <w:spacing w:line="360" w:lineRule="auto"/>
              <w:ind w:firstLine="482" w:firstLineChars="200"/>
              <w:rPr>
                <w:rFonts w:hint="eastAsia"/>
                <w:color w:val="auto"/>
                <w:sz w:val="24"/>
              </w:rPr>
            </w:pPr>
            <w:r>
              <w:rPr>
                <w:rFonts w:hint="eastAsia"/>
                <w:b/>
                <w:bCs/>
                <w:color w:val="auto"/>
                <w:sz w:val="24"/>
              </w:rPr>
              <w:t>酸蚀：</w:t>
            </w:r>
            <w:r>
              <w:rPr>
                <w:rFonts w:hint="eastAsia"/>
                <w:color w:val="auto"/>
                <w:sz w:val="24"/>
              </w:rPr>
              <w:t>酸蚀工序主要起去机械纹和砂面的作用，相当于对铝件进行化学抛光的作用。项目铝阳极氧化表面处理工艺中，酸蚀工序使用硫酸、磷酸和硝酸，不添加氟化氢铵等助剂，主要是先利用硝酸铝制品进行出光，然后利用磷酸和硫酸进行化学抛光。酸腐蚀有低铝耗、表面腐蚀均匀、光泽强等特点，传统的酸蚀工艺每吨型材铝耗在5~10kg范围内，项目铝阳极氧化表面处理工艺中的酸蚀工序具有低污染、低损耗的特点，铝的损耗量低于传统工艺。砂槽需要定期过滤，槽液不需要更换。长时间不过滤则会出现时间久也不上砂或点状腐蚀。</w:t>
            </w:r>
          </w:p>
          <w:p w14:paraId="48B6BB8D">
            <w:pPr>
              <w:adjustRightInd w:val="0"/>
              <w:snapToGrid w:val="0"/>
              <w:spacing w:line="360" w:lineRule="auto"/>
              <w:ind w:firstLine="480" w:firstLineChars="200"/>
              <w:rPr>
                <w:rFonts w:hint="eastAsia"/>
                <w:color w:val="auto"/>
                <w:sz w:val="24"/>
              </w:rPr>
            </w:pPr>
            <w:r>
              <w:rPr>
                <w:rFonts w:hint="eastAsia"/>
                <w:color w:val="auto"/>
                <w:sz w:val="24"/>
              </w:rPr>
              <w:t>项目铝阳极氧化表面处理工艺的铝制品酸蚀过程中，在硝酸出光后要求对铝件进行水洗，水洗次数为2次；在化学抛光后同样要求对铝件进行水洗，水洗次数为3次。</w:t>
            </w:r>
          </w:p>
          <w:p w14:paraId="2545E02C">
            <w:pPr>
              <w:adjustRightInd w:val="0"/>
              <w:snapToGrid w:val="0"/>
              <w:spacing w:line="360" w:lineRule="auto"/>
              <w:ind w:firstLine="482" w:firstLineChars="200"/>
              <w:rPr>
                <w:rFonts w:hint="eastAsia"/>
                <w:color w:val="auto"/>
                <w:sz w:val="24"/>
              </w:rPr>
            </w:pPr>
            <w:r>
              <w:rPr>
                <w:rFonts w:hint="eastAsia"/>
                <w:b/>
                <w:bCs/>
                <w:color w:val="auto"/>
                <w:sz w:val="24"/>
              </w:rPr>
              <w:t>氧化：</w:t>
            </w:r>
            <w:r>
              <w:rPr>
                <w:rFonts w:hint="eastAsia"/>
                <w:color w:val="auto"/>
                <w:sz w:val="24"/>
              </w:rPr>
              <w:t>氧化有化学氧化和阳极氧化，化学氧化设备简单，处理过程也不复杂，但生成的氧化膜薄，一般在1~3</w:t>
            </w:r>
            <w:r>
              <w:rPr>
                <w:color w:val="auto"/>
                <w:sz w:val="24"/>
              </w:rPr>
              <w:t>μm</w:t>
            </w:r>
            <w:r>
              <w:rPr>
                <w:rFonts w:hint="eastAsia"/>
                <w:color w:val="auto"/>
                <w:sz w:val="24"/>
              </w:rPr>
              <w:t>，因而其性能不如阳极氧化的好，铝阳极氧化表面处理工艺中采用硫酸阳极表面氧化处理工艺。</w:t>
            </w:r>
          </w:p>
          <w:p w14:paraId="04B5CA8F">
            <w:pPr>
              <w:adjustRightInd w:val="0"/>
              <w:snapToGrid w:val="0"/>
              <w:spacing w:line="360" w:lineRule="auto"/>
              <w:ind w:firstLine="480" w:firstLineChars="200"/>
              <w:rPr>
                <w:rFonts w:hint="eastAsia"/>
                <w:color w:val="auto"/>
                <w:sz w:val="24"/>
              </w:rPr>
            </w:pPr>
            <w:r>
              <w:rPr>
                <w:rFonts w:hint="eastAsia"/>
                <w:color w:val="auto"/>
                <w:sz w:val="24"/>
              </w:rPr>
              <w:t>原理将铝及其合金置于适当的电解液中，项目铝阳极氧化表面处理工艺中采用的电解液的成分是硫酸，以铝制品为阳极，在外加电流作用下，使其表面生成氧化膜，其具有较高硬度，良好的耐热和绝缘性，抗蚀能力高，多孔，吸附能力好等特点。通电以后，阳极和阴极上发生如下反应</w:t>
            </w:r>
            <w:r>
              <w:rPr>
                <w:rFonts w:hint="eastAsia"/>
                <w:color w:val="auto"/>
                <w:sz w:val="24"/>
                <w:lang w:eastAsia="zh-CN"/>
              </w:rPr>
              <w:t>：</w:t>
            </w:r>
          </w:p>
          <w:p w14:paraId="4D2889DE">
            <w:pPr>
              <w:adjustRightInd w:val="0"/>
              <w:snapToGrid w:val="0"/>
              <w:spacing w:line="360" w:lineRule="auto"/>
              <w:ind w:firstLine="480" w:firstLineChars="200"/>
              <w:rPr>
                <w:rFonts w:hint="eastAsia"/>
                <w:color w:val="auto"/>
                <w:sz w:val="24"/>
              </w:rPr>
            </w:pPr>
            <w:r>
              <w:rPr>
                <w:rFonts w:hint="eastAsia"/>
                <w:color w:val="auto"/>
                <w:sz w:val="24"/>
              </w:rPr>
              <w:t>2H++2e</w:t>
            </w:r>
            <w:r>
              <w:rPr>
                <w:rFonts w:hint="eastAsia"/>
                <w:color w:val="auto"/>
                <w:sz w:val="24"/>
                <w:vertAlign w:val="superscript"/>
              </w:rPr>
              <w:t>-</w:t>
            </w:r>
            <w:r>
              <w:rPr>
                <w:rFonts w:hint="eastAsia"/>
                <w:color w:val="auto"/>
                <w:sz w:val="24"/>
              </w:rPr>
              <w:t>=H</w:t>
            </w:r>
            <w:r>
              <w:rPr>
                <w:rFonts w:hint="eastAsia"/>
                <w:color w:val="auto"/>
                <w:sz w:val="24"/>
                <w:vertAlign w:val="subscript"/>
              </w:rPr>
              <w:t>2</w:t>
            </w:r>
            <w:r>
              <w:rPr>
                <w:rFonts w:hint="eastAsia"/>
                <w:color w:val="auto"/>
                <w:sz w:val="24"/>
              </w:rPr>
              <w:t>↑</w:t>
            </w:r>
          </w:p>
          <w:p w14:paraId="273DF326">
            <w:pPr>
              <w:adjustRightInd w:val="0"/>
              <w:snapToGrid w:val="0"/>
              <w:spacing w:line="360" w:lineRule="auto"/>
              <w:ind w:firstLine="480" w:firstLineChars="200"/>
              <w:rPr>
                <w:rFonts w:hint="eastAsia"/>
                <w:color w:val="auto"/>
                <w:sz w:val="24"/>
              </w:rPr>
            </w:pPr>
            <w:r>
              <w:rPr>
                <w:rFonts w:hint="eastAsia"/>
                <w:color w:val="auto"/>
                <w:sz w:val="24"/>
              </w:rPr>
              <w:t>4OH</w:t>
            </w:r>
            <w:r>
              <w:rPr>
                <w:rFonts w:hint="eastAsia"/>
                <w:color w:val="auto"/>
                <w:sz w:val="24"/>
                <w:vertAlign w:val="superscript"/>
              </w:rPr>
              <w:t>-</w:t>
            </w:r>
            <w:r>
              <w:rPr>
                <w:rFonts w:hint="eastAsia"/>
                <w:color w:val="auto"/>
                <w:sz w:val="24"/>
              </w:rPr>
              <w:t>+4e</w:t>
            </w:r>
            <w:r>
              <w:rPr>
                <w:rFonts w:hint="eastAsia"/>
                <w:color w:val="auto"/>
                <w:sz w:val="24"/>
                <w:vertAlign w:val="superscript"/>
              </w:rPr>
              <w:t>-</w:t>
            </w:r>
            <w:r>
              <w:rPr>
                <w:rFonts w:hint="eastAsia"/>
                <w:color w:val="auto"/>
                <w:sz w:val="24"/>
              </w:rPr>
              <w:t>=2H</w:t>
            </w:r>
            <w:r>
              <w:rPr>
                <w:rFonts w:hint="eastAsia"/>
                <w:color w:val="auto"/>
                <w:sz w:val="24"/>
                <w:vertAlign w:val="subscript"/>
              </w:rPr>
              <w:t>2</w:t>
            </w:r>
            <w:r>
              <w:rPr>
                <w:rFonts w:hint="eastAsia"/>
                <w:color w:val="auto"/>
                <w:sz w:val="24"/>
              </w:rPr>
              <w:t>O+O</w:t>
            </w:r>
            <w:r>
              <w:rPr>
                <w:rFonts w:hint="eastAsia"/>
                <w:color w:val="auto"/>
                <w:sz w:val="24"/>
                <w:vertAlign w:val="subscript"/>
              </w:rPr>
              <w:t>2</w:t>
            </w:r>
            <w:r>
              <w:rPr>
                <w:rFonts w:hint="eastAsia"/>
                <w:color w:val="auto"/>
                <w:sz w:val="24"/>
              </w:rPr>
              <w:t>↑</w:t>
            </w:r>
          </w:p>
          <w:p w14:paraId="0EA5C90E">
            <w:pPr>
              <w:adjustRightInd w:val="0"/>
              <w:snapToGrid w:val="0"/>
              <w:spacing w:line="360" w:lineRule="auto"/>
              <w:ind w:firstLine="480" w:firstLineChars="200"/>
              <w:rPr>
                <w:rFonts w:hint="eastAsia"/>
                <w:color w:val="auto"/>
                <w:sz w:val="24"/>
              </w:rPr>
            </w:pPr>
            <w:r>
              <w:rPr>
                <w:rFonts w:hint="eastAsia"/>
                <w:color w:val="auto"/>
                <w:sz w:val="24"/>
              </w:rPr>
              <w:t>2A1</w:t>
            </w:r>
            <w:r>
              <w:rPr>
                <w:rFonts w:hint="eastAsia"/>
                <w:color w:val="auto"/>
                <w:sz w:val="24"/>
                <w:vertAlign w:val="subscript"/>
              </w:rPr>
              <w:t>3</w:t>
            </w:r>
            <w:r>
              <w:rPr>
                <w:rFonts w:hint="eastAsia"/>
                <w:color w:val="auto"/>
                <w:sz w:val="24"/>
              </w:rPr>
              <w:t>++3O</w:t>
            </w:r>
            <w:r>
              <w:rPr>
                <w:rFonts w:hint="eastAsia"/>
                <w:color w:val="auto"/>
                <w:sz w:val="24"/>
                <w:vertAlign w:val="superscript"/>
              </w:rPr>
              <w:t>2-</w:t>
            </w:r>
            <w:r>
              <w:rPr>
                <w:rFonts w:hint="eastAsia"/>
                <w:color w:val="auto"/>
                <w:sz w:val="24"/>
              </w:rPr>
              <w:t>=Al</w:t>
            </w:r>
            <w:r>
              <w:rPr>
                <w:rFonts w:hint="eastAsia"/>
                <w:color w:val="auto"/>
                <w:sz w:val="24"/>
                <w:vertAlign w:val="subscript"/>
              </w:rPr>
              <w:t>2</w:t>
            </w:r>
            <w:r>
              <w:rPr>
                <w:rFonts w:hint="eastAsia"/>
                <w:color w:val="auto"/>
                <w:sz w:val="24"/>
              </w:rPr>
              <w:t>O</w:t>
            </w:r>
            <w:r>
              <w:rPr>
                <w:rFonts w:hint="eastAsia"/>
                <w:color w:val="auto"/>
                <w:sz w:val="24"/>
                <w:vertAlign w:val="subscript"/>
              </w:rPr>
              <w:t>3</w:t>
            </w:r>
            <w:r>
              <w:rPr>
                <w:rFonts w:hint="eastAsia"/>
                <w:color w:val="auto"/>
                <w:sz w:val="24"/>
              </w:rPr>
              <w:t>+热量</w:t>
            </w:r>
          </w:p>
          <w:p w14:paraId="091EE62C">
            <w:pPr>
              <w:adjustRightInd w:val="0"/>
              <w:snapToGrid w:val="0"/>
              <w:spacing w:line="360" w:lineRule="auto"/>
              <w:ind w:firstLine="480" w:firstLineChars="200"/>
              <w:rPr>
                <w:rFonts w:hint="eastAsia"/>
                <w:color w:val="auto"/>
                <w:sz w:val="24"/>
              </w:rPr>
            </w:pPr>
            <w:r>
              <w:rPr>
                <w:rFonts w:hint="eastAsia"/>
                <w:color w:val="auto"/>
                <w:sz w:val="24"/>
              </w:rPr>
              <w:t>作为阳极的铝被阳极反应生成的氧所氧化，形成氧化铝膜，这里的氧化包括分子态的O</w:t>
            </w:r>
            <w:r>
              <w:rPr>
                <w:rFonts w:hint="eastAsia"/>
                <w:color w:val="auto"/>
                <w:sz w:val="24"/>
                <w:vertAlign w:val="subscript"/>
              </w:rPr>
              <w:t>2</w:t>
            </w:r>
            <w:r>
              <w:rPr>
                <w:rFonts w:hint="eastAsia"/>
                <w:color w:val="auto"/>
                <w:sz w:val="24"/>
              </w:rPr>
              <w:t>、原子O和离子O</w:t>
            </w:r>
            <w:r>
              <w:rPr>
                <w:rFonts w:hint="eastAsia"/>
                <w:color w:val="auto"/>
                <w:sz w:val="24"/>
                <w:vertAlign w:val="superscript"/>
              </w:rPr>
              <w:t>2-</w:t>
            </w:r>
            <w:r>
              <w:rPr>
                <w:rFonts w:hint="eastAsia"/>
                <w:color w:val="auto"/>
                <w:sz w:val="24"/>
              </w:rPr>
              <w:t>，通常在反应式中以分子氧代表。在阳极上所形成的氧不是全部都与铝作用生成氧化铝膜，还有一部分氧以气态形式从阳极逸出。开始在铝表面形成一层薄而致密的氧化膜后，一部分膜由于和硫酸起反应而发生溶解，反应式如下:</w:t>
            </w:r>
          </w:p>
          <w:p w14:paraId="0170CF6D">
            <w:pPr>
              <w:adjustRightInd w:val="0"/>
              <w:snapToGrid w:val="0"/>
              <w:spacing w:line="360" w:lineRule="auto"/>
              <w:ind w:firstLine="480" w:firstLineChars="200"/>
              <w:rPr>
                <w:rFonts w:hint="eastAsia"/>
                <w:color w:val="auto"/>
                <w:sz w:val="24"/>
              </w:rPr>
            </w:pPr>
            <w:r>
              <w:rPr>
                <w:rFonts w:hint="eastAsia"/>
                <w:color w:val="auto"/>
                <w:sz w:val="24"/>
              </w:rPr>
              <w:t>A1</w:t>
            </w:r>
            <w:r>
              <w:rPr>
                <w:rFonts w:hint="eastAsia"/>
                <w:color w:val="auto"/>
                <w:sz w:val="24"/>
                <w:vertAlign w:val="subscript"/>
              </w:rPr>
              <w:t>2</w:t>
            </w:r>
            <w:r>
              <w:rPr>
                <w:rFonts w:hint="eastAsia"/>
                <w:color w:val="auto"/>
                <w:sz w:val="24"/>
              </w:rPr>
              <w:t>O</w:t>
            </w:r>
            <w:r>
              <w:rPr>
                <w:rFonts w:hint="eastAsia"/>
                <w:color w:val="auto"/>
                <w:sz w:val="24"/>
                <w:vertAlign w:val="subscript"/>
              </w:rPr>
              <w:t>3</w:t>
            </w:r>
            <w:r>
              <w:rPr>
                <w:rFonts w:hint="eastAsia"/>
                <w:color w:val="auto"/>
                <w:sz w:val="24"/>
              </w:rPr>
              <w:t>+3H</w:t>
            </w:r>
            <w:r>
              <w:rPr>
                <w:rFonts w:hint="eastAsia"/>
                <w:color w:val="auto"/>
                <w:sz w:val="24"/>
                <w:vertAlign w:val="subscript"/>
              </w:rPr>
              <w:t>2</w:t>
            </w:r>
            <w:r>
              <w:rPr>
                <w:rFonts w:hint="eastAsia"/>
                <w:color w:val="auto"/>
                <w:sz w:val="24"/>
              </w:rPr>
              <w:t>SO</w:t>
            </w:r>
            <w:r>
              <w:rPr>
                <w:rFonts w:hint="eastAsia"/>
                <w:color w:val="auto"/>
                <w:sz w:val="24"/>
                <w:vertAlign w:val="subscript"/>
              </w:rPr>
              <w:t>4</w:t>
            </w:r>
            <w:r>
              <w:rPr>
                <w:rFonts w:hint="eastAsia"/>
                <w:color w:val="auto"/>
                <w:sz w:val="24"/>
              </w:rPr>
              <w:t>→A1</w:t>
            </w:r>
            <w:r>
              <w:rPr>
                <w:rFonts w:hint="eastAsia"/>
                <w:color w:val="auto"/>
                <w:sz w:val="24"/>
                <w:vertAlign w:val="subscript"/>
              </w:rPr>
              <w:t>2</w:t>
            </w:r>
            <w:r>
              <w:rPr>
                <w:rFonts w:hint="eastAsia"/>
                <w:color w:val="auto"/>
                <w:sz w:val="24"/>
              </w:rPr>
              <w:t>（SO</w:t>
            </w:r>
            <w:r>
              <w:rPr>
                <w:rFonts w:hint="eastAsia"/>
                <w:color w:val="auto"/>
                <w:sz w:val="24"/>
                <w:vertAlign w:val="subscript"/>
              </w:rPr>
              <w:t>4</w:t>
            </w:r>
            <w:r>
              <w:rPr>
                <w:rFonts w:hint="eastAsia"/>
                <w:color w:val="auto"/>
                <w:sz w:val="24"/>
              </w:rPr>
              <w:t>）</w:t>
            </w:r>
            <w:r>
              <w:rPr>
                <w:rFonts w:hint="eastAsia"/>
                <w:color w:val="auto"/>
                <w:sz w:val="24"/>
                <w:vertAlign w:val="subscript"/>
              </w:rPr>
              <w:t>3</w:t>
            </w:r>
            <w:r>
              <w:rPr>
                <w:rFonts w:hint="eastAsia"/>
                <w:color w:val="auto"/>
                <w:sz w:val="24"/>
              </w:rPr>
              <w:t>+3H</w:t>
            </w:r>
            <w:r>
              <w:rPr>
                <w:rFonts w:hint="eastAsia"/>
                <w:color w:val="auto"/>
                <w:sz w:val="24"/>
                <w:vertAlign w:val="subscript"/>
              </w:rPr>
              <w:t>2</w:t>
            </w:r>
            <w:r>
              <w:rPr>
                <w:rFonts w:hint="eastAsia"/>
                <w:color w:val="auto"/>
                <w:sz w:val="24"/>
              </w:rPr>
              <w:t>O</w:t>
            </w:r>
          </w:p>
          <w:p w14:paraId="5FD226DE">
            <w:pPr>
              <w:adjustRightInd w:val="0"/>
              <w:snapToGrid w:val="0"/>
              <w:spacing w:line="360" w:lineRule="auto"/>
              <w:ind w:firstLine="480" w:firstLineChars="200"/>
              <w:rPr>
                <w:rFonts w:hint="eastAsia"/>
                <w:color w:val="auto"/>
                <w:sz w:val="24"/>
              </w:rPr>
            </w:pPr>
            <w:r>
              <w:rPr>
                <w:rFonts w:hint="eastAsia"/>
                <w:color w:val="auto"/>
                <w:sz w:val="24"/>
              </w:rPr>
              <w:t>通过以上反应，使得致密的氧化膜变得多孔。随之电解液又渗入到空隙中同露出的铝作用生成一层新的氧化膜，如此循环，不断地在靠金属表面处生成新的氧化膜，也不断地创造出多孔的外层膜，结果生成了由厚而多孔的外层和薄而致密的内层所组成的氧化膜。氧化处理过程中，内层膜的基本保持不变，一般在0.014~0.05</w:t>
            </w:r>
            <w:r>
              <w:rPr>
                <w:color w:val="auto"/>
                <w:sz w:val="24"/>
              </w:rPr>
              <w:t>μm</w:t>
            </w:r>
            <w:r>
              <w:rPr>
                <w:rFonts w:hint="eastAsia"/>
                <w:color w:val="auto"/>
                <w:sz w:val="24"/>
              </w:rPr>
              <w:t>，而多孔外层膜的厚度随时间而加厚。</w:t>
            </w:r>
          </w:p>
          <w:p w14:paraId="1C29FB2D">
            <w:pPr>
              <w:adjustRightInd w:val="0"/>
              <w:snapToGrid w:val="0"/>
              <w:spacing w:line="360" w:lineRule="auto"/>
              <w:ind w:firstLine="480" w:firstLineChars="200"/>
              <w:rPr>
                <w:rFonts w:hint="eastAsia"/>
                <w:color w:val="auto"/>
                <w:sz w:val="24"/>
              </w:rPr>
            </w:pPr>
            <w:r>
              <w:rPr>
                <w:rFonts w:hint="eastAsia"/>
                <w:color w:val="auto"/>
                <w:sz w:val="24"/>
              </w:rPr>
              <w:t>项目采用的电解液的成分是硫酸。硫酸浓度控制在每立方150克/升，铝离子浓度不高于0.25克/升。在稀硫酸电解液中通以直流和交流电对铝进行阳极氧化处理，可获得12~13微米厚、吸附性较好的无色透明氧化膜。</w:t>
            </w:r>
          </w:p>
          <w:p w14:paraId="1195BB34">
            <w:pPr>
              <w:adjustRightInd w:val="0"/>
              <w:snapToGrid w:val="0"/>
              <w:spacing w:line="360" w:lineRule="auto"/>
              <w:ind w:firstLine="480" w:firstLineChars="200"/>
              <w:rPr>
                <w:rFonts w:hint="eastAsia"/>
                <w:color w:val="auto"/>
                <w:sz w:val="24"/>
              </w:rPr>
            </w:pPr>
            <w:r>
              <w:rPr>
                <w:rFonts w:hint="eastAsia"/>
                <w:color w:val="auto"/>
                <w:sz w:val="24"/>
              </w:rPr>
              <w:t>铝制品表面氧化处理后需利用纯水进行水洗，水洗次数为3次。</w:t>
            </w:r>
          </w:p>
          <w:p w14:paraId="383B62CD">
            <w:pPr>
              <w:adjustRightInd w:val="0"/>
              <w:snapToGrid w:val="0"/>
              <w:spacing w:line="360" w:lineRule="auto"/>
              <w:ind w:firstLine="482" w:firstLineChars="200"/>
              <w:rPr>
                <w:rFonts w:hint="eastAsia"/>
                <w:color w:val="auto"/>
                <w:sz w:val="24"/>
              </w:rPr>
            </w:pPr>
            <w:r>
              <w:rPr>
                <w:rFonts w:hint="eastAsia"/>
                <w:b/>
                <w:bCs/>
                <w:color w:val="auto"/>
                <w:sz w:val="24"/>
              </w:rPr>
              <w:t>着色：</w:t>
            </w:r>
            <w:r>
              <w:rPr>
                <w:rFonts w:hint="eastAsia"/>
                <w:color w:val="auto"/>
                <w:sz w:val="24"/>
              </w:rPr>
              <w:t>铝制品经过阳极氧化后在表面上形成洁净的透明多孔的阳极氧化膜，将带有氧化层的铝制品进入染料槽与有机活性染料液接触进行着色，同时在染料槽通过电加热，对铝表面加热封闭，制成带有有机活性染料层的铝。经过着色后的铝制品需利用纯水进行水洗，水洗次数为3次。</w:t>
            </w:r>
          </w:p>
          <w:p w14:paraId="594A330E">
            <w:pPr>
              <w:adjustRightInd w:val="0"/>
              <w:snapToGrid w:val="0"/>
              <w:spacing w:line="360" w:lineRule="auto"/>
              <w:ind w:firstLine="482" w:firstLineChars="200"/>
              <w:rPr>
                <w:rFonts w:hint="eastAsia"/>
                <w:color w:val="auto"/>
                <w:sz w:val="24"/>
              </w:rPr>
            </w:pPr>
            <w:r>
              <w:rPr>
                <w:rFonts w:hint="eastAsia"/>
                <w:b/>
                <w:bCs/>
                <w:color w:val="auto"/>
                <w:sz w:val="24"/>
              </w:rPr>
              <w:t>封孔：</w:t>
            </w:r>
            <w:r>
              <w:rPr>
                <w:rFonts w:hint="eastAsia"/>
                <w:color w:val="auto"/>
                <w:sz w:val="24"/>
              </w:rPr>
              <w:t>其主要作用是将铝材表面细小毛孔实施封闭，使铝材起到耐腐蚀作用。经阳极氧化后的铝材表面不管着色与否，均需进行封闭处理，以提高氧化膜抗蚀、绝缘和耐磨等性能以及减弱它对杂质或油污的吸附。</w:t>
            </w:r>
          </w:p>
          <w:p w14:paraId="0E957F19">
            <w:pPr>
              <w:adjustRightInd w:val="0"/>
              <w:snapToGrid w:val="0"/>
              <w:spacing w:line="360" w:lineRule="auto"/>
              <w:ind w:firstLine="480" w:firstLineChars="200"/>
              <w:rPr>
                <w:rFonts w:hint="eastAsia"/>
                <w:color w:val="auto"/>
                <w:sz w:val="24"/>
              </w:rPr>
            </w:pPr>
            <w:r>
              <w:rPr>
                <w:rFonts w:hint="eastAsia"/>
                <w:color w:val="auto"/>
                <w:sz w:val="24"/>
              </w:rPr>
              <w:t>氧化膜封闭的方法有很多，有热水封闭法、蒸汽封闭法、盐溶液封闭法和有机涂层封闭法等。常用封孔方法有高温封孔、冷封孔和中温封孔，项目铝阳极氧化表面处理工艺中采用中温封孔法，封孔剂采用以醋酸镍，封孔温度在40-60℃。</w:t>
            </w:r>
          </w:p>
          <w:p w14:paraId="1839A1D9">
            <w:pPr>
              <w:adjustRightInd w:val="0"/>
              <w:snapToGrid w:val="0"/>
              <w:spacing w:line="360" w:lineRule="auto"/>
              <w:ind w:firstLine="480" w:firstLineChars="200"/>
              <w:rPr>
                <w:rFonts w:hint="eastAsia"/>
                <w:color w:val="auto"/>
                <w:sz w:val="24"/>
              </w:rPr>
            </w:pPr>
            <w:r>
              <w:rPr>
                <w:rFonts w:hint="eastAsia"/>
                <w:color w:val="auto"/>
                <w:sz w:val="24"/>
              </w:rPr>
              <w:t>经过着色后的铝制品需利用纯水进行水洗，水洗次数为3次。其中先经过1次热纯水水洗和2次冷纯水水洗。</w:t>
            </w:r>
          </w:p>
          <w:p w14:paraId="7602CB69">
            <w:pPr>
              <w:adjustRightInd w:val="0"/>
              <w:snapToGrid w:val="0"/>
              <w:spacing w:line="360" w:lineRule="auto"/>
              <w:ind w:firstLine="480" w:firstLineChars="200"/>
              <w:rPr>
                <w:rFonts w:hint="eastAsia"/>
                <w:color w:val="auto"/>
                <w:sz w:val="24"/>
              </w:rPr>
            </w:pPr>
            <w:r>
              <w:rPr>
                <w:rFonts w:hint="eastAsia"/>
                <w:color w:val="auto"/>
                <w:sz w:val="24"/>
              </w:rPr>
              <w:t>综上所述，阳极表面氧化处理主要就是借助电解、氧化反应原理来完成。表面处理工序所有的槽液都不排放，生产消耗后按比例补充槽中产生的沉淀渣定期进行排渣和压渣处理。</w:t>
            </w:r>
          </w:p>
          <w:p w14:paraId="64426338">
            <w:pPr>
              <w:adjustRightInd w:val="0"/>
              <w:snapToGrid w:val="0"/>
              <w:spacing w:line="360" w:lineRule="auto"/>
              <w:ind w:firstLine="482" w:firstLineChars="200"/>
              <w:rPr>
                <w:b/>
                <w:bCs/>
                <w:color w:val="auto"/>
                <w:sz w:val="24"/>
              </w:rPr>
            </w:pPr>
            <w:r>
              <w:rPr>
                <w:rFonts w:hint="eastAsia"/>
                <w:b/>
                <w:bCs/>
                <w:color w:val="auto"/>
                <w:sz w:val="24"/>
              </w:rPr>
              <w:t>（三）现有</w:t>
            </w:r>
            <w:r>
              <w:rPr>
                <w:b/>
                <w:bCs/>
                <w:color w:val="auto"/>
                <w:sz w:val="24"/>
              </w:rPr>
              <w:t>项目污染物实际排放情况及防治措施</w:t>
            </w:r>
          </w:p>
          <w:p w14:paraId="61E540B8">
            <w:pPr>
              <w:adjustRightInd w:val="0"/>
              <w:snapToGrid w:val="0"/>
              <w:spacing w:line="360" w:lineRule="auto"/>
              <w:ind w:firstLine="480" w:firstLineChars="200"/>
              <w:rPr>
                <w:color w:val="auto"/>
                <w:sz w:val="24"/>
              </w:rPr>
            </w:pPr>
            <w:r>
              <w:rPr>
                <w:rFonts w:hint="eastAsia"/>
                <w:color w:val="auto"/>
                <w:sz w:val="24"/>
              </w:rPr>
              <w:t>现有</w:t>
            </w:r>
            <w:r>
              <w:rPr>
                <w:color w:val="auto"/>
                <w:sz w:val="24"/>
              </w:rPr>
              <w:t>项目</w:t>
            </w:r>
            <w:r>
              <w:rPr>
                <w:rFonts w:hint="eastAsia"/>
                <w:color w:val="auto"/>
                <w:sz w:val="24"/>
              </w:rPr>
              <w:t>外排为生活污水和少部分生产废水；废气主要为酸蚀过程产生的硝酸雾，化学抛光和阳极氧化过程产生的硫酸雾，碱蚀过程产生的碱雾，切割、抛光、喷砂过程产生的粉尘，</w:t>
            </w:r>
            <w:r>
              <w:rPr>
                <w:color w:val="auto"/>
                <w:sz w:val="24"/>
              </w:rPr>
              <w:t>注塑</w:t>
            </w:r>
            <w:r>
              <w:rPr>
                <w:rFonts w:hint="eastAsia"/>
                <w:color w:val="auto"/>
                <w:sz w:val="24"/>
              </w:rPr>
              <w:t>、着色、烘干</w:t>
            </w:r>
            <w:r>
              <w:rPr>
                <w:color w:val="auto"/>
                <w:sz w:val="24"/>
              </w:rPr>
              <w:t>过程产生的有机废气及异味</w:t>
            </w:r>
            <w:r>
              <w:rPr>
                <w:rFonts w:hint="eastAsia"/>
                <w:color w:val="auto"/>
                <w:sz w:val="24"/>
              </w:rPr>
              <w:t>；</w:t>
            </w:r>
            <w:r>
              <w:rPr>
                <w:color w:val="auto"/>
                <w:sz w:val="24"/>
              </w:rPr>
              <w:t>生产设备及环保设备的运行噪声</w:t>
            </w:r>
            <w:r>
              <w:rPr>
                <w:rFonts w:hint="eastAsia"/>
                <w:color w:val="auto"/>
                <w:sz w:val="24"/>
              </w:rPr>
              <w:t>；员工</w:t>
            </w:r>
            <w:r>
              <w:rPr>
                <w:color w:val="auto"/>
                <w:sz w:val="24"/>
              </w:rPr>
              <w:t>生活垃圾</w:t>
            </w:r>
            <w:r>
              <w:rPr>
                <w:rFonts w:hint="eastAsia"/>
                <w:color w:val="auto"/>
                <w:sz w:val="24"/>
              </w:rPr>
              <w:t>，一般工业固体废物（金属粉尘废渣、金属机加工边角料、塑料制品边角料），危废固废（综合废水处理站产生的污泥，碱蚀铝制品处理槽含铝废渣，除油、酸蚀、碱蚀、阳极氧化、着色、封孔清理的槽渣，浓缩含镍废水</w:t>
            </w:r>
            <w:r>
              <w:rPr>
                <w:rFonts w:hint="eastAsia"/>
                <w:color w:val="auto"/>
                <w:sz w:val="24"/>
                <w:lang w:eastAsia="zh-CN"/>
              </w:rPr>
              <w:t>，</w:t>
            </w:r>
            <w:r>
              <w:rPr>
                <w:rFonts w:hint="eastAsia"/>
                <w:color w:val="auto"/>
                <w:sz w:val="24"/>
              </w:rPr>
              <w:t>染料的包装废料，烧碱的包装废料，各类酸液的包装废料，废切削液、废活性炭、碱液喷淋塔沉渣，废染料、废机油）</w:t>
            </w:r>
            <w:r>
              <w:rPr>
                <w:color w:val="auto"/>
                <w:sz w:val="24"/>
              </w:rPr>
              <w:t>。</w:t>
            </w:r>
          </w:p>
          <w:p w14:paraId="32F0C9D5">
            <w:pPr>
              <w:adjustRightInd w:val="0"/>
              <w:snapToGrid w:val="0"/>
              <w:spacing w:line="360" w:lineRule="auto"/>
              <w:ind w:firstLine="482" w:firstLineChars="200"/>
              <w:rPr>
                <w:rFonts w:hint="eastAsia"/>
                <w:b/>
                <w:bCs/>
                <w:color w:val="auto"/>
                <w:sz w:val="24"/>
              </w:rPr>
            </w:pPr>
            <w:r>
              <w:rPr>
                <w:rFonts w:hint="eastAsia"/>
                <w:b/>
                <w:bCs/>
                <w:color w:val="auto"/>
                <w:sz w:val="24"/>
              </w:rPr>
              <w:t>1、废气</w:t>
            </w:r>
          </w:p>
          <w:p w14:paraId="5A7BB4F0">
            <w:pPr>
              <w:adjustRightInd w:val="0"/>
              <w:snapToGrid w:val="0"/>
              <w:spacing w:line="360" w:lineRule="auto"/>
              <w:ind w:firstLine="480" w:firstLineChars="200"/>
              <w:rPr>
                <w:rFonts w:hint="eastAsia"/>
                <w:color w:val="auto"/>
                <w:sz w:val="24"/>
              </w:rPr>
            </w:pPr>
            <w:r>
              <w:rPr>
                <w:rFonts w:hint="eastAsia"/>
                <w:color w:val="auto"/>
                <w:sz w:val="24"/>
              </w:rPr>
              <w:t>（1）切割、抛光粉尘通过集气罩收集后进入</w:t>
            </w:r>
            <w:r>
              <w:rPr>
                <w:color w:val="auto"/>
                <w:sz w:val="24"/>
              </w:rPr>
              <w:t>“</w:t>
            </w:r>
            <w:r>
              <w:rPr>
                <w:rFonts w:hint="eastAsia"/>
                <w:color w:val="auto"/>
                <w:sz w:val="24"/>
              </w:rPr>
              <w:t>水喷淋塔</w:t>
            </w:r>
            <w:r>
              <w:rPr>
                <w:color w:val="auto"/>
                <w:sz w:val="24"/>
              </w:rPr>
              <w:t>”处理后，经15m高排气筒（DA002）高空排放</w:t>
            </w:r>
            <w:r>
              <w:rPr>
                <w:rFonts w:hint="eastAsia"/>
                <w:color w:val="auto"/>
                <w:sz w:val="24"/>
              </w:rPr>
              <w:t>。</w:t>
            </w:r>
          </w:p>
          <w:p w14:paraId="56D93CBE">
            <w:pPr>
              <w:adjustRightInd w:val="0"/>
              <w:snapToGrid w:val="0"/>
              <w:spacing w:line="360" w:lineRule="auto"/>
              <w:ind w:firstLine="480" w:firstLineChars="200"/>
              <w:rPr>
                <w:rFonts w:hint="eastAsia"/>
                <w:color w:val="auto"/>
                <w:sz w:val="24"/>
              </w:rPr>
            </w:pPr>
            <w:r>
              <w:rPr>
                <w:rFonts w:hint="eastAsia"/>
                <w:color w:val="auto"/>
                <w:sz w:val="24"/>
              </w:rPr>
              <w:t>（2）碱蚀产生的碱雾通过两侧集气罩后收集进入</w:t>
            </w:r>
            <w:r>
              <w:rPr>
                <w:color w:val="auto"/>
                <w:sz w:val="24"/>
              </w:rPr>
              <w:t>“</w:t>
            </w:r>
            <w:r>
              <w:rPr>
                <w:rFonts w:hint="eastAsia"/>
                <w:color w:val="auto"/>
                <w:sz w:val="24"/>
              </w:rPr>
              <w:t>水喷淋塔</w:t>
            </w:r>
            <w:r>
              <w:rPr>
                <w:color w:val="auto"/>
                <w:sz w:val="24"/>
              </w:rPr>
              <w:t>”处理后，经</w:t>
            </w:r>
            <w:r>
              <w:rPr>
                <w:rFonts w:hint="eastAsia"/>
                <w:color w:val="auto"/>
                <w:sz w:val="24"/>
              </w:rPr>
              <w:t>30</w:t>
            </w:r>
            <w:r>
              <w:rPr>
                <w:color w:val="auto"/>
                <w:sz w:val="24"/>
              </w:rPr>
              <w:t>m高排气筒（DA00</w:t>
            </w:r>
            <w:r>
              <w:rPr>
                <w:rFonts w:hint="eastAsia"/>
                <w:color w:val="auto"/>
                <w:sz w:val="24"/>
              </w:rPr>
              <w:t>3</w:t>
            </w:r>
            <w:r>
              <w:rPr>
                <w:color w:val="auto"/>
                <w:sz w:val="24"/>
              </w:rPr>
              <w:t>）高空排放</w:t>
            </w:r>
            <w:r>
              <w:rPr>
                <w:rFonts w:hint="eastAsia"/>
                <w:color w:val="auto"/>
                <w:sz w:val="24"/>
              </w:rPr>
              <w:t>。</w:t>
            </w:r>
          </w:p>
          <w:p w14:paraId="66FC31E4">
            <w:pPr>
              <w:adjustRightInd w:val="0"/>
              <w:snapToGrid w:val="0"/>
              <w:spacing w:line="360" w:lineRule="auto"/>
              <w:ind w:firstLine="480" w:firstLineChars="200"/>
              <w:rPr>
                <w:rFonts w:hint="eastAsia"/>
                <w:color w:val="auto"/>
                <w:sz w:val="24"/>
              </w:rPr>
            </w:pPr>
            <w:r>
              <w:rPr>
                <w:rFonts w:hint="eastAsia"/>
                <w:color w:val="auto"/>
                <w:sz w:val="24"/>
              </w:rPr>
              <w:t>（3）酸蚀产生的硝酸雾、化学抛光和阳极氧化产生的硫酸雾通过两侧集气罩收集后进入</w:t>
            </w:r>
            <w:r>
              <w:rPr>
                <w:color w:val="auto"/>
                <w:sz w:val="24"/>
              </w:rPr>
              <w:t>“</w:t>
            </w:r>
            <w:r>
              <w:rPr>
                <w:rFonts w:hint="eastAsia"/>
                <w:color w:val="auto"/>
                <w:sz w:val="24"/>
              </w:rPr>
              <w:t>碱液喷淋塔</w:t>
            </w:r>
            <w:r>
              <w:rPr>
                <w:color w:val="auto"/>
                <w:sz w:val="24"/>
              </w:rPr>
              <w:t>”处理后，经</w:t>
            </w:r>
            <w:r>
              <w:rPr>
                <w:rFonts w:hint="eastAsia"/>
                <w:color w:val="auto"/>
                <w:sz w:val="24"/>
              </w:rPr>
              <w:t>30</w:t>
            </w:r>
            <w:r>
              <w:rPr>
                <w:color w:val="auto"/>
                <w:sz w:val="24"/>
              </w:rPr>
              <w:t>m高排气筒（DA00</w:t>
            </w:r>
            <w:r>
              <w:rPr>
                <w:rFonts w:hint="eastAsia"/>
                <w:color w:val="auto"/>
                <w:sz w:val="24"/>
              </w:rPr>
              <w:t>4</w:t>
            </w:r>
            <w:r>
              <w:rPr>
                <w:color w:val="auto"/>
                <w:sz w:val="24"/>
              </w:rPr>
              <w:t>）高空排放</w:t>
            </w:r>
            <w:r>
              <w:rPr>
                <w:rFonts w:hint="eastAsia"/>
                <w:color w:val="auto"/>
                <w:sz w:val="24"/>
              </w:rPr>
              <w:t>。</w:t>
            </w:r>
          </w:p>
          <w:p w14:paraId="7412F51B">
            <w:pPr>
              <w:adjustRightInd w:val="0"/>
              <w:snapToGrid w:val="0"/>
              <w:spacing w:line="360" w:lineRule="auto"/>
              <w:ind w:firstLine="480" w:firstLineChars="200"/>
              <w:rPr>
                <w:rFonts w:hint="eastAsia"/>
                <w:color w:val="auto"/>
                <w:sz w:val="24"/>
              </w:rPr>
            </w:pPr>
            <w:r>
              <w:rPr>
                <w:rFonts w:hint="eastAsia"/>
                <w:color w:val="auto"/>
                <w:sz w:val="24"/>
              </w:rPr>
              <w:t>（4）注塑成型产生的非甲烷总烃通过密闭间设置集气罩收集后，着色产生的非甲烷总烃通过两侧集气罩收集后，烘干产生的非甲烷总烃通过管道收集后进入</w:t>
            </w:r>
            <w:r>
              <w:rPr>
                <w:color w:val="auto"/>
                <w:sz w:val="24"/>
              </w:rPr>
              <w:t>“</w:t>
            </w:r>
            <w:r>
              <w:rPr>
                <w:rFonts w:hint="eastAsia"/>
                <w:color w:val="auto"/>
                <w:sz w:val="24"/>
                <w:lang w:val="en-US" w:eastAsia="zh-CN"/>
              </w:rPr>
              <w:t>水喷淋塔+除雾器+</w:t>
            </w:r>
            <w:r>
              <w:rPr>
                <w:rFonts w:hint="eastAsia"/>
                <w:color w:val="auto"/>
                <w:sz w:val="24"/>
              </w:rPr>
              <w:t>两级活性炭吸附装置</w:t>
            </w:r>
            <w:r>
              <w:rPr>
                <w:color w:val="auto"/>
                <w:sz w:val="24"/>
              </w:rPr>
              <w:t>”处理后，经</w:t>
            </w:r>
            <w:r>
              <w:rPr>
                <w:rFonts w:hint="eastAsia"/>
                <w:color w:val="auto"/>
                <w:sz w:val="24"/>
              </w:rPr>
              <w:t>2</w:t>
            </w:r>
            <w:r>
              <w:rPr>
                <w:color w:val="auto"/>
                <w:sz w:val="24"/>
              </w:rPr>
              <w:t>0m高排气筒（DA00</w:t>
            </w:r>
            <w:r>
              <w:rPr>
                <w:rFonts w:hint="eastAsia"/>
                <w:color w:val="auto"/>
                <w:sz w:val="24"/>
              </w:rPr>
              <w:t>5</w:t>
            </w:r>
            <w:r>
              <w:rPr>
                <w:color w:val="auto"/>
                <w:sz w:val="24"/>
              </w:rPr>
              <w:t>）高空排放</w:t>
            </w:r>
            <w:r>
              <w:rPr>
                <w:rFonts w:hint="eastAsia"/>
                <w:color w:val="auto"/>
                <w:sz w:val="24"/>
              </w:rPr>
              <w:t>。</w:t>
            </w:r>
          </w:p>
          <w:p w14:paraId="165201A0">
            <w:pPr>
              <w:adjustRightInd w:val="0"/>
              <w:snapToGrid w:val="0"/>
              <w:spacing w:line="360" w:lineRule="auto"/>
              <w:ind w:firstLine="480" w:firstLineChars="200"/>
              <w:rPr>
                <w:rFonts w:hint="eastAsia"/>
                <w:color w:val="auto"/>
                <w:sz w:val="24"/>
              </w:rPr>
            </w:pPr>
            <w:r>
              <w:rPr>
                <w:rFonts w:hint="eastAsia"/>
                <w:color w:val="auto"/>
                <w:sz w:val="24"/>
              </w:rPr>
              <w:t>（5）备用发电机燃轻质柴油废气（SO</w:t>
            </w:r>
            <w:r>
              <w:rPr>
                <w:rFonts w:hint="eastAsia"/>
                <w:color w:val="auto"/>
                <w:sz w:val="24"/>
                <w:vertAlign w:val="subscript"/>
              </w:rPr>
              <w:t>2</w:t>
            </w:r>
            <w:r>
              <w:rPr>
                <w:rFonts w:hint="eastAsia"/>
                <w:color w:val="auto"/>
                <w:sz w:val="24"/>
              </w:rPr>
              <w:t>、NOx、烟尘）通过管道收集后进入</w:t>
            </w:r>
            <w:r>
              <w:rPr>
                <w:color w:val="auto"/>
                <w:sz w:val="24"/>
              </w:rPr>
              <w:t>“</w:t>
            </w:r>
            <w:r>
              <w:rPr>
                <w:rFonts w:hint="eastAsia"/>
                <w:color w:val="auto"/>
                <w:sz w:val="24"/>
              </w:rPr>
              <w:t>水喷淋塔</w:t>
            </w:r>
            <w:r>
              <w:rPr>
                <w:color w:val="auto"/>
                <w:sz w:val="24"/>
              </w:rPr>
              <w:t>”处理后，经</w:t>
            </w:r>
            <w:r>
              <w:rPr>
                <w:rFonts w:hint="eastAsia"/>
                <w:color w:val="auto"/>
                <w:sz w:val="24"/>
              </w:rPr>
              <w:t>15</w:t>
            </w:r>
            <w:r>
              <w:rPr>
                <w:color w:val="auto"/>
                <w:sz w:val="24"/>
              </w:rPr>
              <w:t>m高排气筒（DA00</w:t>
            </w:r>
            <w:r>
              <w:rPr>
                <w:rFonts w:hint="eastAsia"/>
                <w:color w:val="auto"/>
                <w:sz w:val="24"/>
              </w:rPr>
              <w:t>6</w:t>
            </w:r>
            <w:r>
              <w:rPr>
                <w:color w:val="auto"/>
                <w:sz w:val="24"/>
              </w:rPr>
              <w:t>）高空排放</w:t>
            </w:r>
            <w:r>
              <w:rPr>
                <w:rFonts w:hint="eastAsia"/>
                <w:color w:val="auto"/>
                <w:sz w:val="24"/>
              </w:rPr>
              <w:t>。</w:t>
            </w:r>
          </w:p>
          <w:p w14:paraId="6315117E">
            <w:pPr>
              <w:adjustRightInd w:val="0"/>
              <w:snapToGrid w:val="0"/>
              <w:spacing w:line="360" w:lineRule="auto"/>
              <w:ind w:firstLine="480" w:firstLineChars="200"/>
              <w:rPr>
                <w:color w:val="auto"/>
                <w:sz w:val="24"/>
              </w:rPr>
            </w:pPr>
            <w:r>
              <w:rPr>
                <w:rFonts w:hint="eastAsia"/>
                <w:color w:val="auto"/>
                <w:sz w:val="24"/>
              </w:rPr>
              <w:t>（6）</w:t>
            </w:r>
            <w:r>
              <w:rPr>
                <w:color w:val="auto"/>
                <w:sz w:val="24"/>
              </w:rPr>
              <w:t>厨房油烟通过集气罩收集后进入“</w:t>
            </w:r>
            <w:r>
              <w:rPr>
                <w:rFonts w:hint="eastAsia"/>
                <w:color w:val="auto"/>
                <w:sz w:val="24"/>
              </w:rPr>
              <w:t>油烟净化器</w:t>
            </w:r>
            <w:r>
              <w:rPr>
                <w:color w:val="auto"/>
                <w:sz w:val="24"/>
              </w:rPr>
              <w:t>”处理后，通过专用烟道（DA00</w:t>
            </w:r>
            <w:r>
              <w:rPr>
                <w:rFonts w:hint="eastAsia"/>
                <w:color w:val="auto"/>
                <w:sz w:val="24"/>
              </w:rPr>
              <w:t>7</w:t>
            </w:r>
            <w:r>
              <w:rPr>
                <w:color w:val="auto"/>
                <w:sz w:val="24"/>
              </w:rPr>
              <w:t>）引至楼顶排放</w:t>
            </w:r>
            <w:r>
              <w:rPr>
                <w:rFonts w:hint="eastAsia"/>
                <w:color w:val="auto"/>
                <w:sz w:val="24"/>
              </w:rPr>
              <w:t>。</w:t>
            </w:r>
          </w:p>
          <w:p w14:paraId="3A4CFBB8">
            <w:pPr>
              <w:adjustRightInd w:val="0"/>
              <w:snapToGrid w:val="0"/>
              <w:spacing w:line="360" w:lineRule="auto"/>
              <w:ind w:firstLine="480" w:firstLineChars="200"/>
              <w:rPr>
                <w:color w:val="auto"/>
                <w:sz w:val="24"/>
              </w:rPr>
            </w:pPr>
            <w:r>
              <w:rPr>
                <w:rFonts w:hint="eastAsia"/>
                <w:color w:val="auto"/>
                <w:sz w:val="24"/>
              </w:rPr>
              <w:t>（7）喷砂产生的粉尘通过设备自带过滤回收设备处理后无组织排放。</w:t>
            </w:r>
          </w:p>
          <w:p w14:paraId="36619FBB">
            <w:pPr>
              <w:adjustRightInd w:val="0"/>
              <w:snapToGrid w:val="0"/>
              <w:spacing w:line="360" w:lineRule="auto"/>
              <w:ind w:firstLine="480" w:firstLineChars="200"/>
              <w:rPr>
                <w:rFonts w:hint="eastAsia"/>
                <w:color w:val="auto"/>
                <w:sz w:val="24"/>
              </w:rPr>
            </w:pPr>
            <w:r>
              <w:rPr>
                <w:rFonts w:hint="eastAsia"/>
                <w:color w:val="auto"/>
                <w:sz w:val="24"/>
              </w:rPr>
              <w:t>根据建设单位提供</w:t>
            </w:r>
            <w:r>
              <w:rPr>
                <w:rFonts w:hint="eastAsia" w:ascii="Times New Roman" w:hAnsi="Times New Roman" w:eastAsia="宋体" w:cs="Times New Roman"/>
                <w:color w:val="auto"/>
                <w:sz w:val="24"/>
              </w:rPr>
              <w:t>的现有项目委托</w:t>
            </w:r>
            <w:r>
              <w:rPr>
                <w:rFonts w:hint="eastAsia" w:ascii="Times New Roman" w:hAnsi="Times New Roman" w:eastAsia="宋体" w:cs="Times New Roman"/>
                <w:color w:val="auto"/>
                <w:sz w:val="24"/>
                <w:lang w:eastAsia="zh-CN"/>
              </w:rPr>
              <w:t>广东</w:t>
            </w:r>
            <w:r>
              <w:rPr>
                <w:rFonts w:hint="eastAsia" w:ascii="Times New Roman" w:hAnsi="Times New Roman" w:eastAsia="宋体" w:cs="Times New Roman"/>
                <w:color w:val="auto"/>
                <w:sz w:val="24"/>
                <w:lang w:val="en-US" w:eastAsia="zh-CN"/>
              </w:rPr>
              <w:t>绿诚</w:t>
            </w:r>
            <w:r>
              <w:rPr>
                <w:rFonts w:hint="eastAsia" w:ascii="Times New Roman" w:hAnsi="Times New Roman" w:eastAsia="宋体" w:cs="Times New Roman"/>
                <w:color w:val="auto"/>
                <w:sz w:val="24"/>
                <w:lang w:eastAsia="zh-CN"/>
              </w:rPr>
              <w:t>检测技术有限公司</w:t>
            </w:r>
            <w:r>
              <w:rPr>
                <w:rFonts w:hint="eastAsia" w:ascii="Times New Roman" w:hAnsi="Times New Roman" w:eastAsia="宋体" w:cs="Times New Roman"/>
                <w:color w:val="auto"/>
                <w:sz w:val="24"/>
              </w:rPr>
              <w:t>于2026年05月07日的废气污染物日常检测报告（报告编号：LCHJ202604068-03），</w:t>
            </w:r>
            <w:r>
              <w:rPr>
                <w:rFonts w:hint="eastAsia" w:ascii="Times New Roman" w:hAnsi="Times New Roman" w:eastAsia="宋体" w:cs="Times New Roman"/>
                <w:color w:val="auto"/>
                <w:sz w:val="24"/>
                <w:lang w:val="en-US" w:eastAsia="zh-CN"/>
              </w:rPr>
              <w:t>广东汇锦检测技术有限公司于2026年05年06日的废气污染物日常检测报告（报告编号：GDHJ-26050636），广东</w:t>
            </w:r>
            <w:r>
              <w:rPr>
                <w:rFonts w:hint="eastAsia" w:cs="Times New Roman"/>
                <w:color w:val="auto"/>
                <w:sz w:val="24"/>
                <w:lang w:val="en-US" w:eastAsia="zh-CN"/>
              </w:rPr>
              <w:t>绿诚检测技术</w:t>
            </w:r>
            <w:r>
              <w:rPr>
                <w:rFonts w:hint="eastAsia" w:ascii="Times New Roman" w:hAnsi="Times New Roman" w:eastAsia="宋体" w:cs="Times New Roman"/>
                <w:color w:val="auto"/>
                <w:sz w:val="24"/>
                <w:lang w:val="en-US" w:eastAsia="zh-CN"/>
              </w:rPr>
              <w:t>有限公司于2026年0</w:t>
            </w:r>
            <w:r>
              <w:rPr>
                <w:rFonts w:hint="eastAsia" w:cs="Times New Roman"/>
                <w:color w:val="auto"/>
                <w:sz w:val="24"/>
                <w:lang w:val="en-US" w:eastAsia="zh-CN"/>
              </w:rPr>
              <w:t>8</w:t>
            </w:r>
            <w:r>
              <w:rPr>
                <w:rFonts w:hint="eastAsia" w:ascii="Times New Roman" w:hAnsi="Times New Roman" w:eastAsia="宋体" w:cs="Times New Roman"/>
                <w:color w:val="auto"/>
                <w:sz w:val="24"/>
                <w:lang w:val="en-US" w:eastAsia="zh-CN"/>
              </w:rPr>
              <w:t>月</w:t>
            </w:r>
            <w:r>
              <w:rPr>
                <w:rFonts w:hint="eastAsia" w:cs="Times New Roman"/>
                <w:color w:val="auto"/>
                <w:sz w:val="24"/>
                <w:lang w:val="en-US" w:eastAsia="zh-CN"/>
              </w:rPr>
              <w:t>07</w:t>
            </w:r>
            <w:r>
              <w:rPr>
                <w:rFonts w:hint="eastAsia" w:ascii="Times New Roman" w:hAnsi="Times New Roman" w:eastAsia="宋体" w:cs="Times New Roman"/>
                <w:color w:val="auto"/>
                <w:sz w:val="24"/>
                <w:lang w:val="en-US" w:eastAsia="zh-CN"/>
              </w:rPr>
              <w:t>日的废气污染物日常检测报告（报告编号：</w:t>
            </w:r>
            <w:r>
              <w:rPr>
                <w:rFonts w:hint="eastAsia" w:cs="Times New Roman"/>
                <w:color w:val="auto"/>
                <w:sz w:val="24"/>
                <w:lang w:val="en-US" w:eastAsia="zh-CN"/>
              </w:rPr>
              <w:t>LCHJ202608014-01</w:t>
            </w:r>
            <w:r>
              <w:rPr>
                <w:rFonts w:hint="eastAsia"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rPr>
              <w:t>见附件9。</w:t>
            </w:r>
          </w:p>
          <w:p w14:paraId="5A399343">
            <w:pPr>
              <w:adjustRightInd w:val="0"/>
              <w:snapToGrid w:val="0"/>
              <w:ind w:firstLine="422" w:firstLineChars="200"/>
              <w:jc w:val="center"/>
              <w:rPr>
                <w:b/>
                <w:color w:val="auto"/>
                <w:szCs w:val="21"/>
              </w:rPr>
            </w:pPr>
            <w:r>
              <w:rPr>
                <w:b/>
                <w:color w:val="auto"/>
                <w:szCs w:val="21"/>
              </w:rPr>
              <w:t>表2-1</w:t>
            </w:r>
            <w:r>
              <w:rPr>
                <w:rFonts w:hint="eastAsia"/>
                <w:b/>
                <w:color w:val="auto"/>
                <w:szCs w:val="21"/>
                <w:lang w:val="en-US" w:eastAsia="zh-CN"/>
              </w:rPr>
              <w:t>4</w:t>
            </w:r>
            <w:r>
              <w:rPr>
                <w:b/>
                <w:color w:val="auto"/>
                <w:szCs w:val="21"/>
              </w:rPr>
              <w:t>切割、抛光工序有组织废气粉尘监测结果及评价一览表</w:t>
            </w:r>
          </w:p>
          <w:tbl>
            <w:tblPr>
              <w:tblStyle w:val="43"/>
              <w:tblW w:w="95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191"/>
              <w:gridCol w:w="933"/>
              <w:gridCol w:w="1717"/>
              <w:gridCol w:w="970"/>
              <w:gridCol w:w="1875"/>
              <w:gridCol w:w="945"/>
              <w:gridCol w:w="1080"/>
            </w:tblGrid>
            <w:tr w14:paraId="3C25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5" w:type="dxa"/>
                  <w:vAlign w:val="center"/>
                </w:tcPr>
                <w:p w14:paraId="6DD3525F">
                  <w:pPr>
                    <w:widowControl w:val="0"/>
                    <w:spacing w:line="240" w:lineRule="auto"/>
                    <w:jc w:val="center"/>
                    <w:rPr>
                      <w:b/>
                      <w:bCs/>
                      <w:color w:val="auto"/>
                      <w:szCs w:val="21"/>
                    </w:rPr>
                  </w:pPr>
                  <w:r>
                    <w:rPr>
                      <w:b/>
                      <w:bCs/>
                      <w:color w:val="auto"/>
                      <w:szCs w:val="21"/>
                    </w:rPr>
                    <w:t>检测</w:t>
                  </w:r>
                </w:p>
                <w:p w14:paraId="5F0BE8F7">
                  <w:pPr>
                    <w:widowControl w:val="0"/>
                    <w:spacing w:line="240" w:lineRule="auto"/>
                    <w:jc w:val="center"/>
                    <w:rPr>
                      <w:b/>
                      <w:bCs/>
                      <w:color w:val="auto"/>
                      <w:szCs w:val="21"/>
                    </w:rPr>
                  </w:pPr>
                  <w:r>
                    <w:rPr>
                      <w:b/>
                      <w:bCs/>
                      <w:color w:val="auto"/>
                      <w:szCs w:val="21"/>
                    </w:rPr>
                    <w:t>日期</w:t>
                  </w:r>
                </w:p>
              </w:tc>
              <w:tc>
                <w:tcPr>
                  <w:tcW w:w="1191" w:type="dxa"/>
                  <w:vAlign w:val="center"/>
                </w:tcPr>
                <w:p w14:paraId="66F53FA4">
                  <w:pPr>
                    <w:widowControl w:val="0"/>
                    <w:spacing w:line="240" w:lineRule="auto"/>
                    <w:jc w:val="center"/>
                    <w:rPr>
                      <w:b/>
                      <w:bCs/>
                      <w:color w:val="auto"/>
                      <w:szCs w:val="21"/>
                    </w:rPr>
                  </w:pPr>
                  <w:r>
                    <w:rPr>
                      <w:color w:val="auto"/>
                      <w:szCs w:val="21"/>
                    </w:rPr>
                    <w:t>2026.05.07</w:t>
                  </w:r>
                </w:p>
              </w:tc>
              <w:tc>
                <w:tcPr>
                  <w:tcW w:w="933" w:type="dxa"/>
                  <w:vAlign w:val="center"/>
                </w:tcPr>
                <w:p w14:paraId="699776B4">
                  <w:pPr>
                    <w:widowControl w:val="0"/>
                    <w:spacing w:line="240" w:lineRule="auto"/>
                    <w:jc w:val="center"/>
                    <w:rPr>
                      <w:b/>
                      <w:bCs/>
                      <w:color w:val="auto"/>
                      <w:szCs w:val="21"/>
                    </w:rPr>
                  </w:pPr>
                  <w:r>
                    <w:rPr>
                      <w:b/>
                      <w:bCs/>
                      <w:color w:val="auto"/>
                      <w:szCs w:val="21"/>
                    </w:rPr>
                    <w:t>现场气象条件</w:t>
                  </w:r>
                </w:p>
              </w:tc>
              <w:tc>
                <w:tcPr>
                  <w:tcW w:w="2687" w:type="dxa"/>
                  <w:gridSpan w:val="2"/>
                  <w:vAlign w:val="center"/>
                </w:tcPr>
                <w:p w14:paraId="72B1C874">
                  <w:pPr>
                    <w:widowControl w:val="0"/>
                    <w:spacing w:line="240" w:lineRule="auto"/>
                    <w:jc w:val="center"/>
                    <w:rPr>
                      <w:b/>
                      <w:bCs/>
                      <w:color w:val="auto"/>
                      <w:szCs w:val="21"/>
                    </w:rPr>
                  </w:pPr>
                  <w:r>
                    <w:rPr>
                      <w:color w:val="auto"/>
                      <w:szCs w:val="21"/>
                    </w:rPr>
                    <w:t>天气状况：阴，</w:t>
                  </w:r>
                  <w:r>
                    <w:rPr>
                      <w:bCs/>
                      <w:color w:val="auto"/>
                      <w:szCs w:val="21"/>
                    </w:rPr>
                    <w:t>风速：1.2m/s</w:t>
                  </w:r>
                  <w:r>
                    <w:rPr>
                      <w:color w:val="auto"/>
                      <w:szCs w:val="21"/>
                    </w:rPr>
                    <w:t>。</w:t>
                  </w:r>
                </w:p>
              </w:tc>
              <w:tc>
                <w:tcPr>
                  <w:tcW w:w="1875" w:type="dxa"/>
                  <w:vAlign w:val="center"/>
                </w:tcPr>
                <w:p w14:paraId="29640E04">
                  <w:pPr>
                    <w:widowControl w:val="0"/>
                    <w:spacing w:line="240" w:lineRule="auto"/>
                    <w:jc w:val="center"/>
                    <w:rPr>
                      <w:b/>
                      <w:bCs/>
                      <w:color w:val="auto"/>
                      <w:szCs w:val="21"/>
                    </w:rPr>
                  </w:pPr>
                  <w:r>
                    <w:rPr>
                      <w:b/>
                      <w:bCs/>
                      <w:color w:val="auto"/>
                      <w:szCs w:val="21"/>
                    </w:rPr>
                    <w:t>排气筒高度</w:t>
                  </w:r>
                </w:p>
              </w:tc>
              <w:tc>
                <w:tcPr>
                  <w:tcW w:w="2025" w:type="dxa"/>
                  <w:gridSpan w:val="2"/>
                  <w:vAlign w:val="center"/>
                </w:tcPr>
                <w:p w14:paraId="7E7A7D4D">
                  <w:pPr>
                    <w:widowControl w:val="0"/>
                    <w:spacing w:line="240" w:lineRule="auto"/>
                    <w:jc w:val="center"/>
                    <w:rPr>
                      <w:b/>
                      <w:bCs/>
                      <w:color w:val="auto"/>
                      <w:szCs w:val="21"/>
                    </w:rPr>
                  </w:pPr>
                  <w:r>
                    <w:rPr>
                      <w:color w:val="auto"/>
                      <w:szCs w:val="21"/>
                    </w:rPr>
                    <w:t>15m</w:t>
                  </w:r>
                </w:p>
              </w:tc>
            </w:tr>
            <w:tr w14:paraId="6FB0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15598968">
                  <w:pPr>
                    <w:widowControl w:val="0"/>
                    <w:spacing w:line="240" w:lineRule="auto"/>
                    <w:jc w:val="center"/>
                    <w:rPr>
                      <w:color w:val="auto"/>
                      <w:szCs w:val="21"/>
                    </w:rPr>
                  </w:pPr>
                  <w:r>
                    <w:rPr>
                      <w:b/>
                      <w:bCs/>
                      <w:color w:val="auto"/>
                      <w:szCs w:val="21"/>
                    </w:rPr>
                    <w:t>检测项目</w:t>
                  </w:r>
                </w:p>
              </w:tc>
              <w:tc>
                <w:tcPr>
                  <w:tcW w:w="933" w:type="dxa"/>
                  <w:vAlign w:val="center"/>
                </w:tcPr>
                <w:p w14:paraId="26F9215E">
                  <w:pPr>
                    <w:widowControl w:val="0"/>
                    <w:spacing w:line="240" w:lineRule="auto"/>
                    <w:jc w:val="center"/>
                    <w:rPr>
                      <w:color w:val="auto"/>
                      <w:szCs w:val="21"/>
                    </w:rPr>
                  </w:pPr>
                  <w:r>
                    <w:rPr>
                      <w:b/>
                      <w:bCs/>
                      <w:color w:val="auto"/>
                      <w:szCs w:val="21"/>
                    </w:rPr>
                    <w:t>单位</w:t>
                  </w:r>
                </w:p>
              </w:tc>
              <w:tc>
                <w:tcPr>
                  <w:tcW w:w="1717" w:type="dxa"/>
                  <w:vAlign w:val="center"/>
                </w:tcPr>
                <w:p w14:paraId="3E81CAAC">
                  <w:pPr>
                    <w:widowControl w:val="0"/>
                    <w:spacing w:line="240" w:lineRule="auto"/>
                    <w:jc w:val="center"/>
                    <w:rPr>
                      <w:rFonts w:hint="eastAsia" w:eastAsia="宋体"/>
                      <w:color w:val="auto"/>
                      <w:szCs w:val="21"/>
                      <w:lang w:eastAsia="zh-CN"/>
                    </w:rPr>
                  </w:pPr>
                  <w:r>
                    <w:rPr>
                      <w:b/>
                      <w:bCs/>
                      <w:color w:val="auto"/>
                      <w:szCs w:val="21"/>
                    </w:rPr>
                    <w:t>厂房2栋天台抛光集尘塔进气口</w:t>
                  </w:r>
                  <w:r>
                    <w:rPr>
                      <w:rFonts w:hint="eastAsia"/>
                      <w:b/>
                      <w:bCs/>
                      <w:color w:val="auto"/>
                      <w:szCs w:val="21"/>
                      <w:lang w:eastAsia="zh-CN"/>
                    </w:rPr>
                    <w:t>（</w:t>
                  </w:r>
                  <w:r>
                    <w:rPr>
                      <w:rFonts w:hint="eastAsia"/>
                      <w:b/>
                      <w:bCs/>
                      <w:color w:val="auto"/>
                      <w:szCs w:val="21"/>
                      <w:lang w:val="en-US" w:eastAsia="zh-CN"/>
                    </w:rPr>
                    <w:t>DA002</w:t>
                  </w:r>
                  <w:r>
                    <w:rPr>
                      <w:rFonts w:hint="eastAsia"/>
                      <w:b/>
                      <w:bCs/>
                      <w:color w:val="auto"/>
                      <w:szCs w:val="21"/>
                      <w:lang w:eastAsia="zh-CN"/>
                    </w:rPr>
                    <w:t>）</w:t>
                  </w:r>
                </w:p>
              </w:tc>
              <w:tc>
                <w:tcPr>
                  <w:tcW w:w="970" w:type="dxa"/>
                  <w:vAlign w:val="center"/>
                </w:tcPr>
                <w:p w14:paraId="1448F2D1">
                  <w:pPr>
                    <w:widowControl w:val="0"/>
                    <w:spacing w:line="240" w:lineRule="auto"/>
                    <w:jc w:val="center"/>
                    <w:rPr>
                      <w:b/>
                      <w:bCs/>
                      <w:color w:val="auto"/>
                      <w:szCs w:val="21"/>
                    </w:rPr>
                  </w:pPr>
                  <w:r>
                    <w:rPr>
                      <w:b/>
                      <w:bCs/>
                      <w:color w:val="auto"/>
                      <w:szCs w:val="21"/>
                    </w:rPr>
                    <w:t>标准限值</w:t>
                  </w:r>
                </w:p>
              </w:tc>
              <w:tc>
                <w:tcPr>
                  <w:tcW w:w="1875" w:type="dxa"/>
                  <w:vAlign w:val="center"/>
                </w:tcPr>
                <w:p w14:paraId="4D97F698">
                  <w:pPr>
                    <w:widowControl w:val="0"/>
                    <w:spacing w:line="240" w:lineRule="auto"/>
                    <w:jc w:val="center"/>
                    <w:rPr>
                      <w:color w:val="auto"/>
                      <w:szCs w:val="21"/>
                    </w:rPr>
                  </w:pPr>
                  <w:r>
                    <w:rPr>
                      <w:b/>
                      <w:bCs/>
                      <w:color w:val="auto"/>
                      <w:szCs w:val="21"/>
                    </w:rPr>
                    <w:t>厂房2栋天台抛光集尘塔出气口</w:t>
                  </w:r>
                  <w:r>
                    <w:rPr>
                      <w:rFonts w:hint="eastAsia"/>
                      <w:b/>
                      <w:bCs/>
                      <w:color w:val="auto"/>
                      <w:szCs w:val="21"/>
                      <w:lang w:eastAsia="zh-CN"/>
                    </w:rPr>
                    <w:t>（</w:t>
                  </w:r>
                  <w:r>
                    <w:rPr>
                      <w:rFonts w:hint="eastAsia"/>
                      <w:b/>
                      <w:bCs/>
                      <w:color w:val="auto"/>
                      <w:szCs w:val="21"/>
                      <w:lang w:val="en-US" w:eastAsia="zh-CN"/>
                    </w:rPr>
                    <w:t>DA002</w:t>
                  </w:r>
                  <w:r>
                    <w:rPr>
                      <w:rFonts w:hint="eastAsia"/>
                      <w:b/>
                      <w:bCs/>
                      <w:color w:val="auto"/>
                      <w:szCs w:val="21"/>
                      <w:lang w:eastAsia="zh-CN"/>
                    </w:rPr>
                    <w:t>）</w:t>
                  </w:r>
                </w:p>
              </w:tc>
              <w:tc>
                <w:tcPr>
                  <w:tcW w:w="945" w:type="dxa"/>
                  <w:vAlign w:val="center"/>
                </w:tcPr>
                <w:p w14:paraId="59DC07AC">
                  <w:pPr>
                    <w:widowControl w:val="0"/>
                    <w:spacing w:line="240" w:lineRule="auto"/>
                    <w:jc w:val="center"/>
                    <w:rPr>
                      <w:color w:val="auto"/>
                      <w:szCs w:val="21"/>
                    </w:rPr>
                  </w:pPr>
                  <w:r>
                    <w:rPr>
                      <w:b/>
                      <w:bCs/>
                      <w:color w:val="auto"/>
                      <w:szCs w:val="21"/>
                    </w:rPr>
                    <w:t>标准限值</w:t>
                  </w:r>
                </w:p>
              </w:tc>
              <w:tc>
                <w:tcPr>
                  <w:tcW w:w="1080" w:type="dxa"/>
                  <w:vAlign w:val="center"/>
                </w:tcPr>
                <w:p w14:paraId="691F453F">
                  <w:pPr>
                    <w:widowControl w:val="0"/>
                    <w:spacing w:line="240" w:lineRule="auto"/>
                    <w:jc w:val="center"/>
                    <w:rPr>
                      <w:color w:val="auto"/>
                      <w:szCs w:val="21"/>
                    </w:rPr>
                  </w:pPr>
                  <w:r>
                    <w:rPr>
                      <w:b/>
                      <w:bCs/>
                      <w:color w:val="auto"/>
                      <w:szCs w:val="21"/>
                    </w:rPr>
                    <w:t>判定</w:t>
                  </w:r>
                </w:p>
              </w:tc>
            </w:tr>
            <w:tr w14:paraId="4C07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5F61F636">
                  <w:pPr>
                    <w:jc w:val="center"/>
                    <w:rPr>
                      <w:color w:val="auto"/>
                      <w:szCs w:val="21"/>
                    </w:rPr>
                  </w:pPr>
                  <w:r>
                    <w:rPr>
                      <w:color w:val="auto"/>
                      <w:szCs w:val="21"/>
                    </w:rPr>
                    <w:t>烟气流速</w:t>
                  </w:r>
                </w:p>
              </w:tc>
              <w:tc>
                <w:tcPr>
                  <w:tcW w:w="933" w:type="dxa"/>
                  <w:vAlign w:val="center"/>
                </w:tcPr>
                <w:p w14:paraId="4C2F5274">
                  <w:pPr>
                    <w:jc w:val="center"/>
                    <w:rPr>
                      <w:color w:val="auto"/>
                      <w:szCs w:val="21"/>
                    </w:rPr>
                  </w:pPr>
                  <w:r>
                    <w:rPr>
                      <w:color w:val="auto"/>
                      <w:szCs w:val="21"/>
                    </w:rPr>
                    <w:t>m/s</w:t>
                  </w:r>
                </w:p>
              </w:tc>
              <w:tc>
                <w:tcPr>
                  <w:tcW w:w="1717" w:type="dxa"/>
                  <w:vAlign w:val="center"/>
                </w:tcPr>
                <w:p w14:paraId="4E7B0801">
                  <w:pPr>
                    <w:jc w:val="center"/>
                    <w:rPr>
                      <w:color w:val="auto"/>
                      <w:szCs w:val="21"/>
                    </w:rPr>
                  </w:pPr>
                  <w:r>
                    <w:rPr>
                      <w:color w:val="auto"/>
                      <w:kern w:val="0"/>
                      <w:szCs w:val="21"/>
                      <w:lang w:bidi="ar"/>
                    </w:rPr>
                    <w:t>3.8</w:t>
                  </w:r>
                </w:p>
              </w:tc>
              <w:tc>
                <w:tcPr>
                  <w:tcW w:w="970" w:type="dxa"/>
                  <w:vAlign w:val="center"/>
                </w:tcPr>
                <w:p w14:paraId="60EEDC5D">
                  <w:pPr>
                    <w:jc w:val="center"/>
                    <w:rPr>
                      <w:color w:val="auto"/>
                      <w:kern w:val="0"/>
                      <w:szCs w:val="21"/>
                      <w:lang w:bidi="ar"/>
                    </w:rPr>
                  </w:pPr>
                  <w:r>
                    <w:rPr>
                      <w:color w:val="auto"/>
                      <w:szCs w:val="21"/>
                    </w:rPr>
                    <w:t>/</w:t>
                  </w:r>
                </w:p>
              </w:tc>
              <w:tc>
                <w:tcPr>
                  <w:tcW w:w="1875" w:type="dxa"/>
                  <w:vAlign w:val="center"/>
                </w:tcPr>
                <w:p w14:paraId="4688B8FF">
                  <w:pPr>
                    <w:jc w:val="center"/>
                    <w:rPr>
                      <w:color w:val="auto"/>
                      <w:szCs w:val="21"/>
                    </w:rPr>
                  </w:pPr>
                  <w:r>
                    <w:rPr>
                      <w:color w:val="auto"/>
                      <w:szCs w:val="21"/>
                    </w:rPr>
                    <w:t>3.2</w:t>
                  </w:r>
                </w:p>
              </w:tc>
              <w:tc>
                <w:tcPr>
                  <w:tcW w:w="945" w:type="dxa"/>
                  <w:vAlign w:val="center"/>
                </w:tcPr>
                <w:p w14:paraId="062DE6FB">
                  <w:pPr>
                    <w:jc w:val="center"/>
                    <w:rPr>
                      <w:color w:val="auto"/>
                      <w:szCs w:val="21"/>
                    </w:rPr>
                  </w:pPr>
                  <w:r>
                    <w:rPr>
                      <w:color w:val="auto"/>
                      <w:szCs w:val="21"/>
                    </w:rPr>
                    <w:t>/</w:t>
                  </w:r>
                </w:p>
              </w:tc>
              <w:tc>
                <w:tcPr>
                  <w:tcW w:w="1080" w:type="dxa"/>
                  <w:vAlign w:val="center"/>
                </w:tcPr>
                <w:p w14:paraId="2A02E495">
                  <w:pPr>
                    <w:jc w:val="center"/>
                    <w:rPr>
                      <w:color w:val="auto"/>
                      <w:szCs w:val="21"/>
                    </w:rPr>
                  </w:pPr>
                  <w:r>
                    <w:rPr>
                      <w:color w:val="auto"/>
                      <w:szCs w:val="21"/>
                    </w:rPr>
                    <w:t>/</w:t>
                  </w:r>
                </w:p>
              </w:tc>
            </w:tr>
            <w:tr w14:paraId="2793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6549D1ED">
                  <w:pPr>
                    <w:jc w:val="center"/>
                    <w:rPr>
                      <w:color w:val="auto"/>
                      <w:szCs w:val="21"/>
                    </w:rPr>
                  </w:pPr>
                  <w:r>
                    <w:rPr>
                      <w:color w:val="auto"/>
                      <w:szCs w:val="21"/>
                    </w:rPr>
                    <w:t>烟气温度</w:t>
                  </w:r>
                </w:p>
              </w:tc>
              <w:tc>
                <w:tcPr>
                  <w:tcW w:w="933" w:type="dxa"/>
                  <w:vAlign w:val="center"/>
                </w:tcPr>
                <w:p w14:paraId="5C075CEB">
                  <w:pPr>
                    <w:jc w:val="center"/>
                    <w:rPr>
                      <w:color w:val="auto"/>
                      <w:szCs w:val="21"/>
                    </w:rPr>
                  </w:pPr>
                  <w:r>
                    <w:rPr>
                      <w:color w:val="auto"/>
                      <w:szCs w:val="21"/>
                    </w:rPr>
                    <w:t>℃</w:t>
                  </w:r>
                </w:p>
              </w:tc>
              <w:tc>
                <w:tcPr>
                  <w:tcW w:w="1717" w:type="dxa"/>
                  <w:vAlign w:val="center"/>
                </w:tcPr>
                <w:p w14:paraId="21848BD3">
                  <w:pPr>
                    <w:jc w:val="center"/>
                    <w:rPr>
                      <w:color w:val="auto"/>
                      <w:szCs w:val="21"/>
                    </w:rPr>
                  </w:pPr>
                  <w:r>
                    <w:rPr>
                      <w:color w:val="auto"/>
                      <w:szCs w:val="21"/>
                    </w:rPr>
                    <w:t>27</w:t>
                  </w:r>
                </w:p>
              </w:tc>
              <w:tc>
                <w:tcPr>
                  <w:tcW w:w="970" w:type="dxa"/>
                  <w:vAlign w:val="center"/>
                </w:tcPr>
                <w:p w14:paraId="74F4D911">
                  <w:pPr>
                    <w:jc w:val="center"/>
                    <w:rPr>
                      <w:color w:val="auto"/>
                      <w:szCs w:val="21"/>
                    </w:rPr>
                  </w:pPr>
                  <w:r>
                    <w:rPr>
                      <w:color w:val="auto"/>
                      <w:szCs w:val="21"/>
                    </w:rPr>
                    <w:t>/</w:t>
                  </w:r>
                </w:p>
              </w:tc>
              <w:tc>
                <w:tcPr>
                  <w:tcW w:w="1875" w:type="dxa"/>
                  <w:vAlign w:val="center"/>
                </w:tcPr>
                <w:p w14:paraId="703862F3">
                  <w:pPr>
                    <w:jc w:val="center"/>
                    <w:rPr>
                      <w:color w:val="auto"/>
                      <w:szCs w:val="21"/>
                    </w:rPr>
                  </w:pPr>
                  <w:r>
                    <w:rPr>
                      <w:color w:val="auto"/>
                      <w:szCs w:val="21"/>
                    </w:rPr>
                    <w:t>28</w:t>
                  </w:r>
                </w:p>
              </w:tc>
              <w:tc>
                <w:tcPr>
                  <w:tcW w:w="945" w:type="dxa"/>
                  <w:vAlign w:val="center"/>
                </w:tcPr>
                <w:p w14:paraId="3E38F532">
                  <w:pPr>
                    <w:jc w:val="center"/>
                    <w:rPr>
                      <w:color w:val="auto"/>
                      <w:szCs w:val="21"/>
                    </w:rPr>
                  </w:pPr>
                  <w:r>
                    <w:rPr>
                      <w:color w:val="auto"/>
                      <w:szCs w:val="21"/>
                    </w:rPr>
                    <w:t>/</w:t>
                  </w:r>
                </w:p>
              </w:tc>
              <w:tc>
                <w:tcPr>
                  <w:tcW w:w="1080" w:type="dxa"/>
                  <w:vAlign w:val="center"/>
                </w:tcPr>
                <w:p w14:paraId="2A234ED1">
                  <w:pPr>
                    <w:jc w:val="center"/>
                    <w:rPr>
                      <w:color w:val="auto"/>
                      <w:szCs w:val="21"/>
                    </w:rPr>
                  </w:pPr>
                  <w:r>
                    <w:rPr>
                      <w:color w:val="auto"/>
                      <w:szCs w:val="21"/>
                    </w:rPr>
                    <w:t>/</w:t>
                  </w:r>
                </w:p>
              </w:tc>
            </w:tr>
            <w:tr w14:paraId="082CE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5BA1EA87">
                  <w:pPr>
                    <w:jc w:val="center"/>
                    <w:rPr>
                      <w:color w:val="auto"/>
                      <w:szCs w:val="21"/>
                    </w:rPr>
                  </w:pPr>
                  <w:r>
                    <w:rPr>
                      <w:color w:val="auto"/>
                      <w:szCs w:val="21"/>
                    </w:rPr>
                    <w:t>烟气压力</w:t>
                  </w:r>
                </w:p>
              </w:tc>
              <w:tc>
                <w:tcPr>
                  <w:tcW w:w="933" w:type="dxa"/>
                  <w:vAlign w:val="center"/>
                </w:tcPr>
                <w:p w14:paraId="6DAF250A">
                  <w:pPr>
                    <w:jc w:val="center"/>
                    <w:rPr>
                      <w:color w:val="auto"/>
                      <w:szCs w:val="21"/>
                    </w:rPr>
                  </w:pPr>
                  <w:r>
                    <w:rPr>
                      <w:color w:val="auto"/>
                      <w:szCs w:val="21"/>
                    </w:rPr>
                    <w:t>KPa</w:t>
                  </w:r>
                </w:p>
              </w:tc>
              <w:tc>
                <w:tcPr>
                  <w:tcW w:w="1717" w:type="dxa"/>
                  <w:vAlign w:val="center"/>
                </w:tcPr>
                <w:p w14:paraId="732CF554">
                  <w:pPr>
                    <w:jc w:val="center"/>
                    <w:rPr>
                      <w:color w:val="auto"/>
                      <w:szCs w:val="21"/>
                    </w:rPr>
                  </w:pPr>
                  <w:r>
                    <w:rPr>
                      <w:color w:val="auto"/>
                      <w:szCs w:val="21"/>
                    </w:rPr>
                    <w:t>100.5</w:t>
                  </w:r>
                </w:p>
              </w:tc>
              <w:tc>
                <w:tcPr>
                  <w:tcW w:w="970" w:type="dxa"/>
                  <w:vAlign w:val="center"/>
                </w:tcPr>
                <w:p w14:paraId="1ECC8BBB">
                  <w:pPr>
                    <w:jc w:val="center"/>
                    <w:rPr>
                      <w:color w:val="auto"/>
                      <w:szCs w:val="21"/>
                    </w:rPr>
                  </w:pPr>
                  <w:r>
                    <w:rPr>
                      <w:color w:val="auto"/>
                      <w:szCs w:val="21"/>
                    </w:rPr>
                    <w:t>/</w:t>
                  </w:r>
                </w:p>
              </w:tc>
              <w:tc>
                <w:tcPr>
                  <w:tcW w:w="1875" w:type="dxa"/>
                  <w:vAlign w:val="center"/>
                </w:tcPr>
                <w:p w14:paraId="28195449">
                  <w:pPr>
                    <w:jc w:val="center"/>
                    <w:rPr>
                      <w:color w:val="auto"/>
                      <w:szCs w:val="21"/>
                    </w:rPr>
                  </w:pPr>
                  <w:r>
                    <w:rPr>
                      <w:color w:val="auto"/>
                      <w:szCs w:val="21"/>
                    </w:rPr>
                    <w:t>101.0</w:t>
                  </w:r>
                </w:p>
              </w:tc>
              <w:tc>
                <w:tcPr>
                  <w:tcW w:w="945" w:type="dxa"/>
                  <w:vAlign w:val="center"/>
                </w:tcPr>
                <w:p w14:paraId="6EC335B4">
                  <w:pPr>
                    <w:jc w:val="center"/>
                    <w:rPr>
                      <w:color w:val="auto"/>
                      <w:szCs w:val="21"/>
                    </w:rPr>
                  </w:pPr>
                  <w:r>
                    <w:rPr>
                      <w:color w:val="auto"/>
                      <w:szCs w:val="21"/>
                    </w:rPr>
                    <w:t>/</w:t>
                  </w:r>
                </w:p>
              </w:tc>
              <w:tc>
                <w:tcPr>
                  <w:tcW w:w="1080" w:type="dxa"/>
                  <w:vAlign w:val="center"/>
                </w:tcPr>
                <w:p w14:paraId="51F03BA4">
                  <w:pPr>
                    <w:jc w:val="center"/>
                    <w:rPr>
                      <w:color w:val="auto"/>
                      <w:szCs w:val="21"/>
                    </w:rPr>
                  </w:pPr>
                  <w:r>
                    <w:rPr>
                      <w:color w:val="auto"/>
                      <w:szCs w:val="21"/>
                    </w:rPr>
                    <w:t>/</w:t>
                  </w:r>
                </w:p>
              </w:tc>
            </w:tr>
            <w:tr w14:paraId="336B9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3DF9708F">
                  <w:pPr>
                    <w:jc w:val="center"/>
                    <w:rPr>
                      <w:color w:val="auto"/>
                      <w:szCs w:val="21"/>
                    </w:rPr>
                  </w:pPr>
                  <w:r>
                    <w:rPr>
                      <w:color w:val="auto"/>
                      <w:szCs w:val="21"/>
                    </w:rPr>
                    <w:t>烟气含湿量</w:t>
                  </w:r>
                </w:p>
              </w:tc>
              <w:tc>
                <w:tcPr>
                  <w:tcW w:w="933" w:type="dxa"/>
                  <w:vAlign w:val="center"/>
                </w:tcPr>
                <w:p w14:paraId="255FED4D">
                  <w:pPr>
                    <w:jc w:val="center"/>
                    <w:rPr>
                      <w:color w:val="auto"/>
                      <w:szCs w:val="21"/>
                    </w:rPr>
                  </w:pPr>
                  <w:r>
                    <w:rPr>
                      <w:color w:val="auto"/>
                      <w:szCs w:val="21"/>
                    </w:rPr>
                    <w:t>%</w:t>
                  </w:r>
                </w:p>
              </w:tc>
              <w:tc>
                <w:tcPr>
                  <w:tcW w:w="1717" w:type="dxa"/>
                  <w:vAlign w:val="center"/>
                </w:tcPr>
                <w:p w14:paraId="6C1F6428">
                  <w:pPr>
                    <w:jc w:val="center"/>
                    <w:rPr>
                      <w:color w:val="auto"/>
                      <w:szCs w:val="21"/>
                    </w:rPr>
                  </w:pPr>
                  <w:r>
                    <w:rPr>
                      <w:color w:val="auto"/>
                      <w:szCs w:val="21"/>
                    </w:rPr>
                    <w:t>2.5</w:t>
                  </w:r>
                </w:p>
              </w:tc>
              <w:tc>
                <w:tcPr>
                  <w:tcW w:w="970" w:type="dxa"/>
                  <w:vAlign w:val="center"/>
                </w:tcPr>
                <w:p w14:paraId="0B5253C9">
                  <w:pPr>
                    <w:jc w:val="center"/>
                    <w:rPr>
                      <w:color w:val="auto"/>
                      <w:szCs w:val="21"/>
                    </w:rPr>
                  </w:pPr>
                  <w:r>
                    <w:rPr>
                      <w:color w:val="auto"/>
                      <w:szCs w:val="21"/>
                    </w:rPr>
                    <w:t>/</w:t>
                  </w:r>
                </w:p>
              </w:tc>
              <w:tc>
                <w:tcPr>
                  <w:tcW w:w="1875" w:type="dxa"/>
                  <w:vAlign w:val="center"/>
                </w:tcPr>
                <w:p w14:paraId="7065063B">
                  <w:pPr>
                    <w:jc w:val="center"/>
                    <w:rPr>
                      <w:color w:val="auto"/>
                      <w:szCs w:val="21"/>
                    </w:rPr>
                  </w:pPr>
                  <w:r>
                    <w:rPr>
                      <w:color w:val="auto"/>
                      <w:szCs w:val="21"/>
                    </w:rPr>
                    <w:t>2.8</w:t>
                  </w:r>
                </w:p>
              </w:tc>
              <w:tc>
                <w:tcPr>
                  <w:tcW w:w="945" w:type="dxa"/>
                  <w:vAlign w:val="center"/>
                </w:tcPr>
                <w:p w14:paraId="6EACF8D2">
                  <w:pPr>
                    <w:jc w:val="center"/>
                    <w:rPr>
                      <w:color w:val="auto"/>
                      <w:szCs w:val="21"/>
                    </w:rPr>
                  </w:pPr>
                  <w:r>
                    <w:rPr>
                      <w:color w:val="auto"/>
                      <w:szCs w:val="21"/>
                    </w:rPr>
                    <w:t>/</w:t>
                  </w:r>
                </w:p>
              </w:tc>
              <w:tc>
                <w:tcPr>
                  <w:tcW w:w="1080" w:type="dxa"/>
                  <w:vAlign w:val="center"/>
                </w:tcPr>
                <w:p w14:paraId="7CD285FF">
                  <w:pPr>
                    <w:jc w:val="center"/>
                    <w:rPr>
                      <w:color w:val="auto"/>
                      <w:szCs w:val="21"/>
                    </w:rPr>
                  </w:pPr>
                  <w:r>
                    <w:rPr>
                      <w:color w:val="auto"/>
                      <w:szCs w:val="21"/>
                    </w:rPr>
                    <w:t>/</w:t>
                  </w:r>
                </w:p>
              </w:tc>
            </w:tr>
            <w:tr w14:paraId="0FE2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4157FD0E">
                  <w:pPr>
                    <w:jc w:val="center"/>
                    <w:rPr>
                      <w:color w:val="auto"/>
                      <w:szCs w:val="21"/>
                    </w:rPr>
                  </w:pPr>
                  <w:r>
                    <w:rPr>
                      <w:color w:val="auto"/>
                      <w:szCs w:val="21"/>
                    </w:rPr>
                    <w:t>烟道截面积</w:t>
                  </w:r>
                </w:p>
              </w:tc>
              <w:tc>
                <w:tcPr>
                  <w:tcW w:w="933" w:type="dxa"/>
                  <w:vAlign w:val="center"/>
                </w:tcPr>
                <w:p w14:paraId="6793EB6F">
                  <w:pPr>
                    <w:jc w:val="center"/>
                    <w:rPr>
                      <w:color w:val="auto"/>
                      <w:szCs w:val="21"/>
                    </w:rPr>
                  </w:pPr>
                  <w:r>
                    <w:rPr>
                      <w:color w:val="auto"/>
                      <w:szCs w:val="21"/>
                    </w:rPr>
                    <w:t>m</w:t>
                  </w:r>
                  <w:r>
                    <w:rPr>
                      <w:color w:val="auto"/>
                      <w:szCs w:val="21"/>
                      <w:vertAlign w:val="superscript"/>
                    </w:rPr>
                    <w:t>2</w:t>
                  </w:r>
                </w:p>
              </w:tc>
              <w:tc>
                <w:tcPr>
                  <w:tcW w:w="1717" w:type="dxa"/>
                  <w:vAlign w:val="center"/>
                </w:tcPr>
                <w:p w14:paraId="30BBEA00">
                  <w:pPr>
                    <w:jc w:val="center"/>
                    <w:rPr>
                      <w:color w:val="auto"/>
                      <w:szCs w:val="21"/>
                    </w:rPr>
                  </w:pPr>
                  <w:r>
                    <w:rPr>
                      <w:color w:val="auto"/>
                      <w:szCs w:val="21"/>
                    </w:rPr>
                    <w:t>0.6362</w:t>
                  </w:r>
                </w:p>
              </w:tc>
              <w:tc>
                <w:tcPr>
                  <w:tcW w:w="970" w:type="dxa"/>
                  <w:vAlign w:val="center"/>
                </w:tcPr>
                <w:p w14:paraId="340CD253">
                  <w:pPr>
                    <w:jc w:val="center"/>
                    <w:rPr>
                      <w:color w:val="auto"/>
                      <w:szCs w:val="21"/>
                    </w:rPr>
                  </w:pPr>
                  <w:r>
                    <w:rPr>
                      <w:color w:val="auto"/>
                      <w:szCs w:val="21"/>
                    </w:rPr>
                    <w:t>/</w:t>
                  </w:r>
                </w:p>
              </w:tc>
              <w:tc>
                <w:tcPr>
                  <w:tcW w:w="1875" w:type="dxa"/>
                  <w:vAlign w:val="center"/>
                </w:tcPr>
                <w:p w14:paraId="6AED8933">
                  <w:pPr>
                    <w:jc w:val="center"/>
                    <w:rPr>
                      <w:color w:val="auto"/>
                      <w:szCs w:val="21"/>
                    </w:rPr>
                  </w:pPr>
                  <w:r>
                    <w:rPr>
                      <w:color w:val="auto"/>
                      <w:szCs w:val="21"/>
                    </w:rPr>
                    <w:t>0.5600</w:t>
                  </w:r>
                </w:p>
              </w:tc>
              <w:tc>
                <w:tcPr>
                  <w:tcW w:w="945" w:type="dxa"/>
                  <w:vAlign w:val="center"/>
                </w:tcPr>
                <w:p w14:paraId="35B55B92">
                  <w:pPr>
                    <w:jc w:val="center"/>
                    <w:rPr>
                      <w:color w:val="auto"/>
                      <w:szCs w:val="21"/>
                    </w:rPr>
                  </w:pPr>
                  <w:r>
                    <w:rPr>
                      <w:color w:val="auto"/>
                      <w:szCs w:val="21"/>
                    </w:rPr>
                    <w:t>/</w:t>
                  </w:r>
                </w:p>
              </w:tc>
              <w:tc>
                <w:tcPr>
                  <w:tcW w:w="1080" w:type="dxa"/>
                  <w:vAlign w:val="center"/>
                </w:tcPr>
                <w:p w14:paraId="0986B534">
                  <w:pPr>
                    <w:jc w:val="center"/>
                    <w:rPr>
                      <w:color w:val="auto"/>
                      <w:szCs w:val="21"/>
                    </w:rPr>
                  </w:pPr>
                  <w:r>
                    <w:rPr>
                      <w:color w:val="auto"/>
                      <w:szCs w:val="21"/>
                    </w:rPr>
                    <w:t>/</w:t>
                  </w:r>
                </w:p>
              </w:tc>
            </w:tr>
            <w:tr w14:paraId="5085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73A901B5">
                  <w:pPr>
                    <w:jc w:val="center"/>
                    <w:rPr>
                      <w:color w:val="auto"/>
                      <w:szCs w:val="21"/>
                    </w:rPr>
                  </w:pPr>
                  <w:r>
                    <w:rPr>
                      <w:color w:val="auto"/>
                      <w:szCs w:val="21"/>
                    </w:rPr>
                    <w:t>标干流量</w:t>
                  </w:r>
                </w:p>
              </w:tc>
              <w:tc>
                <w:tcPr>
                  <w:tcW w:w="933" w:type="dxa"/>
                  <w:vAlign w:val="center"/>
                </w:tcPr>
                <w:p w14:paraId="35B37D08">
                  <w:pPr>
                    <w:jc w:val="center"/>
                    <w:rPr>
                      <w:color w:val="auto"/>
                      <w:szCs w:val="21"/>
                    </w:rPr>
                  </w:pPr>
                  <w:r>
                    <w:rPr>
                      <w:color w:val="auto"/>
                      <w:szCs w:val="21"/>
                    </w:rPr>
                    <w:t>m</w:t>
                  </w:r>
                  <w:r>
                    <w:rPr>
                      <w:color w:val="auto"/>
                      <w:szCs w:val="21"/>
                      <w:vertAlign w:val="superscript"/>
                    </w:rPr>
                    <w:t>3</w:t>
                  </w:r>
                  <w:r>
                    <w:rPr>
                      <w:color w:val="auto"/>
                      <w:szCs w:val="21"/>
                    </w:rPr>
                    <w:t>/h</w:t>
                  </w:r>
                </w:p>
              </w:tc>
              <w:tc>
                <w:tcPr>
                  <w:tcW w:w="1717" w:type="dxa"/>
                  <w:vAlign w:val="center"/>
                </w:tcPr>
                <w:p w14:paraId="41D0748C">
                  <w:pPr>
                    <w:jc w:val="center"/>
                    <w:textAlignment w:val="center"/>
                    <w:rPr>
                      <w:color w:val="auto"/>
                      <w:szCs w:val="21"/>
                    </w:rPr>
                  </w:pPr>
                  <w:r>
                    <w:rPr>
                      <w:color w:val="auto"/>
                      <w:kern w:val="0"/>
                      <w:szCs w:val="21"/>
                      <w:lang w:bidi="ar"/>
                    </w:rPr>
                    <w:t>22158</w:t>
                  </w:r>
                </w:p>
              </w:tc>
              <w:tc>
                <w:tcPr>
                  <w:tcW w:w="970" w:type="dxa"/>
                  <w:vAlign w:val="center"/>
                </w:tcPr>
                <w:p w14:paraId="7513F420">
                  <w:pPr>
                    <w:jc w:val="center"/>
                    <w:textAlignment w:val="center"/>
                    <w:rPr>
                      <w:color w:val="auto"/>
                      <w:szCs w:val="21"/>
                    </w:rPr>
                  </w:pPr>
                  <w:r>
                    <w:rPr>
                      <w:color w:val="auto"/>
                      <w:kern w:val="0"/>
                      <w:szCs w:val="21"/>
                      <w:lang w:bidi="ar"/>
                    </w:rPr>
                    <w:t>/</w:t>
                  </w:r>
                </w:p>
              </w:tc>
              <w:tc>
                <w:tcPr>
                  <w:tcW w:w="1875" w:type="dxa"/>
                  <w:vAlign w:val="center"/>
                </w:tcPr>
                <w:p w14:paraId="19896497">
                  <w:pPr>
                    <w:jc w:val="center"/>
                    <w:textAlignment w:val="center"/>
                    <w:rPr>
                      <w:color w:val="auto"/>
                      <w:szCs w:val="21"/>
                    </w:rPr>
                  </w:pPr>
                  <w:r>
                    <w:rPr>
                      <w:color w:val="auto"/>
                      <w:kern w:val="0"/>
                      <w:szCs w:val="21"/>
                      <w:lang w:bidi="ar"/>
                    </w:rPr>
                    <w:t>24354</w:t>
                  </w:r>
                </w:p>
              </w:tc>
              <w:tc>
                <w:tcPr>
                  <w:tcW w:w="945" w:type="dxa"/>
                  <w:vAlign w:val="center"/>
                </w:tcPr>
                <w:p w14:paraId="46E4BD29">
                  <w:pPr>
                    <w:jc w:val="center"/>
                    <w:rPr>
                      <w:color w:val="auto"/>
                      <w:szCs w:val="21"/>
                    </w:rPr>
                  </w:pPr>
                  <w:r>
                    <w:rPr>
                      <w:color w:val="auto"/>
                      <w:szCs w:val="21"/>
                    </w:rPr>
                    <w:t>/</w:t>
                  </w:r>
                </w:p>
              </w:tc>
              <w:tc>
                <w:tcPr>
                  <w:tcW w:w="1080" w:type="dxa"/>
                  <w:vAlign w:val="center"/>
                </w:tcPr>
                <w:p w14:paraId="5039B299">
                  <w:pPr>
                    <w:jc w:val="center"/>
                    <w:rPr>
                      <w:color w:val="auto"/>
                      <w:szCs w:val="21"/>
                    </w:rPr>
                  </w:pPr>
                  <w:r>
                    <w:rPr>
                      <w:color w:val="auto"/>
                      <w:szCs w:val="21"/>
                    </w:rPr>
                    <w:t>/</w:t>
                  </w:r>
                </w:p>
              </w:tc>
            </w:tr>
            <w:tr w14:paraId="2E35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5" w:type="dxa"/>
                  <w:vMerge w:val="restart"/>
                  <w:vAlign w:val="center"/>
                </w:tcPr>
                <w:p w14:paraId="2B1505A2">
                  <w:pPr>
                    <w:jc w:val="center"/>
                    <w:textAlignment w:val="center"/>
                    <w:rPr>
                      <w:color w:val="auto"/>
                      <w:szCs w:val="21"/>
                    </w:rPr>
                  </w:pPr>
                  <w:r>
                    <w:rPr>
                      <w:color w:val="auto"/>
                      <w:szCs w:val="21"/>
                    </w:rPr>
                    <w:t>颗粒物</w:t>
                  </w:r>
                </w:p>
              </w:tc>
              <w:tc>
                <w:tcPr>
                  <w:tcW w:w="1191" w:type="dxa"/>
                  <w:vAlign w:val="center"/>
                </w:tcPr>
                <w:p w14:paraId="6085CFAC">
                  <w:pPr>
                    <w:jc w:val="center"/>
                    <w:rPr>
                      <w:color w:val="auto"/>
                      <w:szCs w:val="21"/>
                    </w:rPr>
                  </w:pPr>
                  <w:r>
                    <w:rPr>
                      <w:color w:val="auto"/>
                      <w:szCs w:val="21"/>
                    </w:rPr>
                    <w:t>排放浓度</w:t>
                  </w:r>
                </w:p>
              </w:tc>
              <w:tc>
                <w:tcPr>
                  <w:tcW w:w="933" w:type="dxa"/>
                  <w:vAlign w:val="center"/>
                </w:tcPr>
                <w:p w14:paraId="087CDFB1">
                  <w:pPr>
                    <w:jc w:val="center"/>
                    <w:rPr>
                      <w:color w:val="auto"/>
                      <w:szCs w:val="21"/>
                    </w:rPr>
                  </w:pPr>
                  <w:r>
                    <w:rPr>
                      <w:color w:val="auto"/>
                      <w:szCs w:val="21"/>
                    </w:rPr>
                    <w:t>mg/m</w:t>
                  </w:r>
                  <w:r>
                    <w:rPr>
                      <w:color w:val="auto"/>
                      <w:szCs w:val="21"/>
                      <w:vertAlign w:val="superscript"/>
                    </w:rPr>
                    <w:t>3</w:t>
                  </w:r>
                </w:p>
              </w:tc>
              <w:tc>
                <w:tcPr>
                  <w:tcW w:w="1717" w:type="dxa"/>
                  <w:vAlign w:val="center"/>
                </w:tcPr>
                <w:p w14:paraId="399E337C">
                  <w:pPr>
                    <w:jc w:val="center"/>
                    <w:textAlignment w:val="center"/>
                    <w:rPr>
                      <w:color w:val="auto"/>
                      <w:szCs w:val="21"/>
                    </w:rPr>
                  </w:pPr>
                  <w:r>
                    <w:rPr>
                      <w:color w:val="auto"/>
                      <w:szCs w:val="21"/>
                    </w:rPr>
                    <w:t>68.0</w:t>
                  </w:r>
                </w:p>
              </w:tc>
              <w:tc>
                <w:tcPr>
                  <w:tcW w:w="970" w:type="dxa"/>
                  <w:vAlign w:val="center"/>
                </w:tcPr>
                <w:p w14:paraId="052A0001">
                  <w:pPr>
                    <w:jc w:val="center"/>
                    <w:textAlignment w:val="center"/>
                    <w:rPr>
                      <w:color w:val="auto"/>
                      <w:szCs w:val="21"/>
                    </w:rPr>
                  </w:pPr>
                  <w:r>
                    <w:rPr>
                      <w:color w:val="auto"/>
                      <w:kern w:val="0"/>
                      <w:szCs w:val="21"/>
                      <w:lang w:bidi="ar"/>
                    </w:rPr>
                    <w:t>/</w:t>
                  </w:r>
                </w:p>
              </w:tc>
              <w:tc>
                <w:tcPr>
                  <w:tcW w:w="1875" w:type="dxa"/>
                  <w:vAlign w:val="center"/>
                </w:tcPr>
                <w:p w14:paraId="374EE5AE">
                  <w:pPr>
                    <w:jc w:val="center"/>
                    <w:textAlignment w:val="center"/>
                    <w:rPr>
                      <w:color w:val="auto"/>
                      <w:szCs w:val="21"/>
                    </w:rPr>
                  </w:pPr>
                  <w:r>
                    <w:rPr>
                      <w:color w:val="auto"/>
                      <w:kern w:val="0"/>
                      <w:szCs w:val="21"/>
                      <w:lang w:bidi="ar"/>
                    </w:rPr>
                    <w:t>1.6</w:t>
                  </w:r>
                </w:p>
              </w:tc>
              <w:tc>
                <w:tcPr>
                  <w:tcW w:w="945" w:type="dxa"/>
                  <w:vAlign w:val="center"/>
                </w:tcPr>
                <w:p w14:paraId="68CE0A57">
                  <w:pPr>
                    <w:jc w:val="center"/>
                    <w:rPr>
                      <w:color w:val="auto"/>
                      <w:szCs w:val="21"/>
                    </w:rPr>
                  </w:pPr>
                  <w:r>
                    <w:rPr>
                      <w:color w:val="auto"/>
                      <w:szCs w:val="21"/>
                    </w:rPr>
                    <w:t>120</w:t>
                  </w:r>
                </w:p>
              </w:tc>
              <w:tc>
                <w:tcPr>
                  <w:tcW w:w="1080" w:type="dxa"/>
                  <w:vAlign w:val="center"/>
                </w:tcPr>
                <w:p w14:paraId="436FAC68">
                  <w:pPr>
                    <w:jc w:val="center"/>
                    <w:rPr>
                      <w:color w:val="auto"/>
                      <w:szCs w:val="21"/>
                    </w:rPr>
                  </w:pPr>
                  <w:r>
                    <w:rPr>
                      <w:color w:val="auto"/>
                      <w:szCs w:val="21"/>
                    </w:rPr>
                    <w:t>符合</w:t>
                  </w:r>
                </w:p>
              </w:tc>
            </w:tr>
            <w:tr w14:paraId="3B09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5" w:type="dxa"/>
                  <w:vMerge w:val="continue"/>
                  <w:vAlign w:val="center"/>
                </w:tcPr>
                <w:p w14:paraId="66FE9486">
                  <w:pPr>
                    <w:jc w:val="center"/>
                    <w:rPr>
                      <w:color w:val="auto"/>
                      <w:szCs w:val="21"/>
                    </w:rPr>
                  </w:pPr>
                </w:p>
              </w:tc>
              <w:tc>
                <w:tcPr>
                  <w:tcW w:w="1191" w:type="dxa"/>
                  <w:vAlign w:val="center"/>
                </w:tcPr>
                <w:p w14:paraId="4F94D044">
                  <w:pPr>
                    <w:jc w:val="center"/>
                    <w:rPr>
                      <w:color w:val="auto"/>
                      <w:szCs w:val="21"/>
                    </w:rPr>
                  </w:pPr>
                  <w:r>
                    <w:rPr>
                      <w:color w:val="auto"/>
                      <w:szCs w:val="21"/>
                    </w:rPr>
                    <w:t>排放速率</w:t>
                  </w:r>
                </w:p>
              </w:tc>
              <w:tc>
                <w:tcPr>
                  <w:tcW w:w="933" w:type="dxa"/>
                  <w:vAlign w:val="center"/>
                </w:tcPr>
                <w:p w14:paraId="1B0696A6">
                  <w:pPr>
                    <w:jc w:val="center"/>
                    <w:rPr>
                      <w:color w:val="auto"/>
                      <w:szCs w:val="21"/>
                    </w:rPr>
                  </w:pPr>
                  <w:r>
                    <w:rPr>
                      <w:color w:val="auto"/>
                      <w:szCs w:val="21"/>
                    </w:rPr>
                    <w:t>kg/h</w:t>
                  </w:r>
                </w:p>
              </w:tc>
              <w:tc>
                <w:tcPr>
                  <w:tcW w:w="1717" w:type="dxa"/>
                  <w:vAlign w:val="center"/>
                </w:tcPr>
                <w:p w14:paraId="66CE1EE4">
                  <w:pPr>
                    <w:jc w:val="center"/>
                    <w:textAlignment w:val="center"/>
                    <w:rPr>
                      <w:color w:val="auto"/>
                      <w:szCs w:val="21"/>
                    </w:rPr>
                  </w:pPr>
                  <w:r>
                    <w:rPr>
                      <w:color w:val="auto"/>
                      <w:kern w:val="0"/>
                      <w:szCs w:val="21"/>
                      <w:lang w:bidi="ar"/>
                    </w:rPr>
                    <w:t>1.51</w:t>
                  </w:r>
                </w:p>
              </w:tc>
              <w:tc>
                <w:tcPr>
                  <w:tcW w:w="970" w:type="dxa"/>
                  <w:vAlign w:val="center"/>
                </w:tcPr>
                <w:p w14:paraId="0C8400B3">
                  <w:pPr>
                    <w:jc w:val="center"/>
                    <w:rPr>
                      <w:color w:val="auto"/>
                      <w:kern w:val="0"/>
                      <w:szCs w:val="21"/>
                      <w:lang w:bidi="ar"/>
                    </w:rPr>
                  </w:pPr>
                  <w:r>
                    <w:rPr>
                      <w:color w:val="auto"/>
                      <w:kern w:val="0"/>
                      <w:szCs w:val="21"/>
                      <w:lang w:bidi="ar"/>
                    </w:rPr>
                    <w:t>/</w:t>
                  </w:r>
                </w:p>
              </w:tc>
              <w:tc>
                <w:tcPr>
                  <w:tcW w:w="1875" w:type="dxa"/>
                  <w:vAlign w:val="center"/>
                </w:tcPr>
                <w:p w14:paraId="3F1B8DC6">
                  <w:pPr>
                    <w:jc w:val="center"/>
                    <w:textAlignment w:val="center"/>
                    <w:rPr>
                      <w:color w:val="auto"/>
                      <w:szCs w:val="21"/>
                    </w:rPr>
                  </w:pPr>
                  <w:r>
                    <w:rPr>
                      <w:color w:val="auto"/>
                      <w:kern w:val="0"/>
                      <w:szCs w:val="21"/>
                      <w:lang w:bidi="ar"/>
                    </w:rPr>
                    <w:t xml:space="preserve">0.0390 </w:t>
                  </w:r>
                </w:p>
              </w:tc>
              <w:tc>
                <w:tcPr>
                  <w:tcW w:w="945" w:type="dxa"/>
                  <w:vAlign w:val="center"/>
                </w:tcPr>
                <w:p w14:paraId="1F1AA7FE">
                  <w:pPr>
                    <w:jc w:val="center"/>
                    <w:rPr>
                      <w:rFonts w:hint="default" w:eastAsia="宋体"/>
                      <w:color w:val="auto"/>
                      <w:szCs w:val="21"/>
                      <w:lang w:val="en-US" w:eastAsia="zh-CN"/>
                    </w:rPr>
                  </w:pPr>
                  <w:r>
                    <w:rPr>
                      <w:rFonts w:hint="eastAsia"/>
                      <w:color w:val="auto"/>
                      <w:szCs w:val="21"/>
                      <w:lang w:val="en-US" w:eastAsia="zh-CN"/>
                    </w:rPr>
                    <w:t>1.45</w:t>
                  </w:r>
                </w:p>
              </w:tc>
              <w:tc>
                <w:tcPr>
                  <w:tcW w:w="1080" w:type="dxa"/>
                  <w:vAlign w:val="center"/>
                </w:tcPr>
                <w:p w14:paraId="5CAB848D">
                  <w:pPr>
                    <w:jc w:val="center"/>
                    <w:rPr>
                      <w:color w:val="auto"/>
                      <w:szCs w:val="21"/>
                    </w:rPr>
                  </w:pPr>
                  <w:r>
                    <w:rPr>
                      <w:color w:val="auto"/>
                      <w:szCs w:val="21"/>
                    </w:rPr>
                    <w:t>符合</w:t>
                  </w:r>
                </w:p>
              </w:tc>
            </w:tr>
            <w:tr w14:paraId="6024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46" w:type="dxa"/>
                  <w:gridSpan w:val="8"/>
                  <w:vAlign w:val="center"/>
                </w:tcPr>
                <w:p w14:paraId="647C9FCE">
                  <w:pPr>
                    <w:widowControl w:val="0"/>
                    <w:spacing w:line="240" w:lineRule="exact"/>
                    <w:ind w:left="63" w:leftChars="30"/>
                    <w:jc w:val="both"/>
                    <w:rPr>
                      <w:color w:val="auto"/>
                      <w:szCs w:val="21"/>
                    </w:rPr>
                  </w:pPr>
                  <w:r>
                    <w:rPr>
                      <w:color w:val="auto"/>
                      <w:szCs w:val="21"/>
                    </w:rPr>
                    <w:t>备注：</w:t>
                  </w:r>
                </w:p>
                <w:p w14:paraId="1C0B905C">
                  <w:pPr>
                    <w:widowControl w:val="0"/>
                    <w:spacing w:line="240" w:lineRule="exact"/>
                    <w:ind w:left="63" w:leftChars="30"/>
                    <w:jc w:val="both"/>
                    <w:rPr>
                      <w:color w:val="auto"/>
                      <w:szCs w:val="21"/>
                    </w:rPr>
                  </w:pPr>
                  <w:r>
                    <w:rPr>
                      <w:color w:val="auto"/>
                      <w:szCs w:val="21"/>
                    </w:rPr>
                    <w:t>1、执行《大气污染物排放限值》(DB44/27-2001)表2排放标准；</w:t>
                  </w:r>
                </w:p>
                <w:p w14:paraId="02ADC9D4">
                  <w:pPr>
                    <w:widowControl w:val="0"/>
                    <w:spacing w:line="240" w:lineRule="exact"/>
                    <w:ind w:left="63" w:leftChars="30"/>
                    <w:jc w:val="both"/>
                    <w:rPr>
                      <w:color w:val="auto"/>
                      <w:szCs w:val="21"/>
                    </w:rPr>
                  </w:pPr>
                  <w:r>
                    <w:rPr>
                      <w:color w:val="auto"/>
                      <w:szCs w:val="21"/>
                    </w:rPr>
                    <w:t>2、“/”表示标准限值没有要求，标准限值由客户提供。</w:t>
                  </w:r>
                </w:p>
              </w:tc>
            </w:tr>
          </w:tbl>
          <w:p w14:paraId="74E345F1">
            <w:pPr>
              <w:adjustRightInd w:val="0"/>
              <w:snapToGrid w:val="0"/>
              <w:ind w:firstLine="422" w:firstLineChars="200"/>
              <w:jc w:val="center"/>
              <w:rPr>
                <w:b/>
                <w:color w:val="auto"/>
                <w:szCs w:val="21"/>
              </w:rPr>
            </w:pPr>
            <w:r>
              <w:rPr>
                <w:b/>
                <w:color w:val="auto"/>
                <w:szCs w:val="21"/>
              </w:rPr>
              <w:t>表2-1</w:t>
            </w:r>
            <w:r>
              <w:rPr>
                <w:rFonts w:hint="eastAsia"/>
                <w:b/>
                <w:color w:val="auto"/>
                <w:szCs w:val="21"/>
                <w:lang w:val="en-US" w:eastAsia="zh-CN"/>
              </w:rPr>
              <w:t>5</w:t>
            </w:r>
            <w:r>
              <w:rPr>
                <w:b/>
                <w:color w:val="auto"/>
                <w:szCs w:val="21"/>
              </w:rPr>
              <w:t>碱蚀工序有组织废气碱雾监测结果及评价一览表</w:t>
            </w:r>
          </w:p>
          <w:tbl>
            <w:tblPr>
              <w:tblStyle w:val="43"/>
              <w:tblW w:w="9672"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847"/>
              <w:gridCol w:w="660"/>
              <w:gridCol w:w="705"/>
              <w:gridCol w:w="780"/>
              <w:gridCol w:w="1080"/>
              <w:gridCol w:w="1020"/>
              <w:gridCol w:w="975"/>
              <w:gridCol w:w="900"/>
              <w:gridCol w:w="705"/>
            </w:tblGrid>
            <w:tr w14:paraId="4B8126C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7" w:type="dxa"/>
                  <w:vMerge w:val="restart"/>
                  <w:tcBorders>
                    <w:tl2br w:val="nil"/>
                    <w:tr2bl w:val="nil"/>
                  </w:tcBorders>
                  <w:vAlign w:val="center"/>
                </w:tcPr>
                <w:p w14:paraId="4DFF2AC8">
                  <w:pPr>
                    <w:jc w:val="center"/>
                    <w:rPr>
                      <w:b/>
                      <w:bCs/>
                      <w:color w:val="auto"/>
                      <w:szCs w:val="21"/>
                    </w:rPr>
                  </w:pPr>
                  <w:r>
                    <w:rPr>
                      <w:b/>
                      <w:bCs/>
                      <w:color w:val="auto"/>
                      <w:szCs w:val="21"/>
                    </w:rPr>
                    <w:t>检测点位</w:t>
                  </w:r>
                </w:p>
              </w:tc>
              <w:tc>
                <w:tcPr>
                  <w:tcW w:w="660" w:type="dxa"/>
                  <w:vMerge w:val="restart"/>
                  <w:tcBorders>
                    <w:tl2br w:val="nil"/>
                    <w:tr2bl w:val="nil"/>
                  </w:tcBorders>
                  <w:vAlign w:val="center"/>
                </w:tcPr>
                <w:p w14:paraId="130A0881">
                  <w:pPr>
                    <w:jc w:val="center"/>
                    <w:rPr>
                      <w:rFonts w:hint="default" w:eastAsia="宋体"/>
                      <w:b/>
                      <w:bCs/>
                      <w:color w:val="auto"/>
                      <w:szCs w:val="21"/>
                      <w:lang w:val="en-US" w:eastAsia="zh-CN"/>
                    </w:rPr>
                  </w:pPr>
                  <w:r>
                    <w:rPr>
                      <w:rFonts w:hint="eastAsia"/>
                      <w:b/>
                      <w:bCs/>
                      <w:color w:val="auto"/>
                      <w:szCs w:val="21"/>
                      <w:lang w:val="en-US" w:eastAsia="zh-CN"/>
                    </w:rPr>
                    <w:t>检测日期</w:t>
                  </w:r>
                </w:p>
              </w:tc>
              <w:tc>
                <w:tcPr>
                  <w:tcW w:w="705" w:type="dxa"/>
                  <w:vMerge w:val="restart"/>
                  <w:tcBorders>
                    <w:tl2br w:val="nil"/>
                    <w:tr2bl w:val="nil"/>
                  </w:tcBorders>
                  <w:vAlign w:val="center"/>
                </w:tcPr>
                <w:p w14:paraId="51191ACA">
                  <w:pPr>
                    <w:jc w:val="center"/>
                    <w:rPr>
                      <w:b/>
                      <w:bCs/>
                      <w:color w:val="auto"/>
                      <w:szCs w:val="21"/>
                    </w:rPr>
                  </w:pPr>
                  <w:r>
                    <w:rPr>
                      <w:b/>
                      <w:bCs/>
                      <w:color w:val="auto"/>
                      <w:szCs w:val="21"/>
                    </w:rPr>
                    <w:t>检测项目</w:t>
                  </w:r>
                </w:p>
              </w:tc>
              <w:tc>
                <w:tcPr>
                  <w:tcW w:w="780" w:type="dxa"/>
                  <w:vMerge w:val="restart"/>
                  <w:tcBorders>
                    <w:tl2br w:val="nil"/>
                    <w:tr2bl w:val="nil"/>
                  </w:tcBorders>
                  <w:vAlign w:val="center"/>
                </w:tcPr>
                <w:p w14:paraId="4B2592F2">
                  <w:pPr>
                    <w:jc w:val="center"/>
                    <w:rPr>
                      <w:b/>
                      <w:bCs/>
                      <w:color w:val="auto"/>
                      <w:szCs w:val="21"/>
                    </w:rPr>
                  </w:pPr>
                  <w:r>
                    <w:rPr>
                      <w:b/>
                      <w:bCs/>
                      <w:color w:val="auto"/>
                      <w:szCs w:val="21"/>
                    </w:rPr>
                    <w:t>标干流量</w:t>
                  </w:r>
                </w:p>
              </w:tc>
              <w:tc>
                <w:tcPr>
                  <w:tcW w:w="2100" w:type="dxa"/>
                  <w:gridSpan w:val="2"/>
                  <w:tcBorders>
                    <w:tl2br w:val="nil"/>
                    <w:tr2bl w:val="nil"/>
                  </w:tcBorders>
                  <w:vAlign w:val="center"/>
                </w:tcPr>
                <w:p w14:paraId="7B832667">
                  <w:pPr>
                    <w:jc w:val="center"/>
                    <w:rPr>
                      <w:b/>
                      <w:bCs/>
                      <w:color w:val="auto"/>
                      <w:szCs w:val="21"/>
                    </w:rPr>
                  </w:pPr>
                  <w:r>
                    <w:rPr>
                      <w:b/>
                      <w:bCs/>
                      <w:color w:val="auto"/>
                      <w:szCs w:val="21"/>
                    </w:rPr>
                    <w:t>检测结果</w:t>
                  </w:r>
                </w:p>
              </w:tc>
              <w:tc>
                <w:tcPr>
                  <w:tcW w:w="1875" w:type="dxa"/>
                  <w:gridSpan w:val="2"/>
                  <w:tcBorders>
                    <w:tl2br w:val="nil"/>
                    <w:tr2bl w:val="nil"/>
                  </w:tcBorders>
                  <w:vAlign w:val="center"/>
                </w:tcPr>
                <w:p w14:paraId="71652B1C">
                  <w:pPr>
                    <w:jc w:val="center"/>
                    <w:rPr>
                      <w:b/>
                      <w:bCs/>
                      <w:color w:val="auto"/>
                      <w:szCs w:val="21"/>
                    </w:rPr>
                  </w:pPr>
                  <w:r>
                    <w:rPr>
                      <w:b/>
                      <w:bCs/>
                      <w:color w:val="auto"/>
                      <w:szCs w:val="21"/>
                    </w:rPr>
                    <w:t>参考限值</w:t>
                  </w:r>
                </w:p>
              </w:tc>
              <w:tc>
                <w:tcPr>
                  <w:tcW w:w="705" w:type="dxa"/>
                  <w:vMerge w:val="restart"/>
                  <w:tcBorders>
                    <w:tl2br w:val="nil"/>
                    <w:tr2bl w:val="nil"/>
                  </w:tcBorders>
                  <w:vAlign w:val="center"/>
                </w:tcPr>
                <w:p w14:paraId="5133CE60">
                  <w:pPr>
                    <w:jc w:val="center"/>
                    <w:rPr>
                      <w:b/>
                      <w:bCs/>
                      <w:color w:val="auto"/>
                      <w:szCs w:val="21"/>
                    </w:rPr>
                  </w:pPr>
                  <w:r>
                    <w:rPr>
                      <w:b/>
                      <w:bCs/>
                      <w:color w:val="auto"/>
                      <w:szCs w:val="21"/>
                    </w:rPr>
                    <w:t>结果评价</w:t>
                  </w:r>
                </w:p>
              </w:tc>
            </w:tr>
            <w:tr w14:paraId="5610CFD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7" w:type="dxa"/>
                  <w:vMerge w:val="continue"/>
                  <w:tcBorders>
                    <w:tl2br w:val="nil"/>
                    <w:tr2bl w:val="nil"/>
                  </w:tcBorders>
                  <w:vAlign w:val="center"/>
                </w:tcPr>
                <w:p w14:paraId="34BA257E">
                  <w:pPr>
                    <w:jc w:val="center"/>
                    <w:rPr>
                      <w:color w:val="auto"/>
                      <w:szCs w:val="21"/>
                    </w:rPr>
                  </w:pPr>
                </w:p>
              </w:tc>
              <w:tc>
                <w:tcPr>
                  <w:tcW w:w="660" w:type="dxa"/>
                  <w:vMerge w:val="continue"/>
                  <w:tcBorders>
                    <w:tl2br w:val="nil"/>
                    <w:tr2bl w:val="nil"/>
                  </w:tcBorders>
                  <w:vAlign w:val="center"/>
                </w:tcPr>
                <w:p w14:paraId="222BF886">
                  <w:pPr>
                    <w:jc w:val="center"/>
                    <w:rPr>
                      <w:color w:val="auto"/>
                      <w:szCs w:val="21"/>
                    </w:rPr>
                  </w:pPr>
                </w:p>
              </w:tc>
              <w:tc>
                <w:tcPr>
                  <w:tcW w:w="705" w:type="dxa"/>
                  <w:vMerge w:val="continue"/>
                  <w:tcBorders>
                    <w:tl2br w:val="nil"/>
                    <w:tr2bl w:val="nil"/>
                  </w:tcBorders>
                  <w:vAlign w:val="center"/>
                </w:tcPr>
                <w:p w14:paraId="08B1F57F">
                  <w:pPr>
                    <w:jc w:val="center"/>
                    <w:rPr>
                      <w:color w:val="auto"/>
                      <w:szCs w:val="21"/>
                    </w:rPr>
                  </w:pPr>
                </w:p>
              </w:tc>
              <w:tc>
                <w:tcPr>
                  <w:tcW w:w="780" w:type="dxa"/>
                  <w:vMerge w:val="continue"/>
                  <w:tcBorders>
                    <w:tl2br w:val="nil"/>
                    <w:tr2bl w:val="nil"/>
                  </w:tcBorders>
                  <w:vAlign w:val="center"/>
                </w:tcPr>
                <w:p w14:paraId="1B0A8785">
                  <w:pPr>
                    <w:jc w:val="center"/>
                    <w:rPr>
                      <w:color w:val="auto"/>
                      <w:szCs w:val="21"/>
                    </w:rPr>
                  </w:pPr>
                </w:p>
              </w:tc>
              <w:tc>
                <w:tcPr>
                  <w:tcW w:w="1080" w:type="dxa"/>
                  <w:tcBorders>
                    <w:tl2br w:val="nil"/>
                    <w:tr2bl w:val="nil"/>
                  </w:tcBorders>
                  <w:vAlign w:val="center"/>
                </w:tcPr>
                <w:p w14:paraId="7DFDADFD">
                  <w:pPr>
                    <w:jc w:val="center"/>
                    <w:rPr>
                      <w:color w:val="auto"/>
                      <w:szCs w:val="21"/>
                    </w:rPr>
                  </w:pPr>
                  <w:r>
                    <w:rPr>
                      <w:color w:val="auto"/>
                      <w:szCs w:val="21"/>
                    </w:rPr>
                    <w:t>实测浓度</w:t>
                  </w:r>
                </w:p>
              </w:tc>
              <w:tc>
                <w:tcPr>
                  <w:tcW w:w="1020" w:type="dxa"/>
                  <w:tcBorders>
                    <w:tl2br w:val="nil"/>
                    <w:tr2bl w:val="nil"/>
                  </w:tcBorders>
                  <w:vAlign w:val="center"/>
                </w:tcPr>
                <w:p w14:paraId="0808B75A">
                  <w:pPr>
                    <w:jc w:val="center"/>
                    <w:rPr>
                      <w:color w:val="auto"/>
                      <w:szCs w:val="21"/>
                    </w:rPr>
                  </w:pPr>
                  <w:r>
                    <w:rPr>
                      <w:color w:val="auto"/>
                      <w:szCs w:val="21"/>
                    </w:rPr>
                    <w:t>排放速率</w:t>
                  </w:r>
                </w:p>
              </w:tc>
              <w:tc>
                <w:tcPr>
                  <w:tcW w:w="975" w:type="dxa"/>
                  <w:tcBorders>
                    <w:tl2br w:val="nil"/>
                    <w:tr2bl w:val="nil"/>
                  </w:tcBorders>
                  <w:vAlign w:val="center"/>
                </w:tcPr>
                <w:p w14:paraId="516EB5A9">
                  <w:pPr>
                    <w:jc w:val="center"/>
                    <w:rPr>
                      <w:color w:val="auto"/>
                      <w:szCs w:val="21"/>
                    </w:rPr>
                  </w:pPr>
                  <w:r>
                    <w:rPr>
                      <w:color w:val="auto"/>
                      <w:szCs w:val="21"/>
                    </w:rPr>
                    <w:t>排放浓度</w:t>
                  </w:r>
                </w:p>
              </w:tc>
              <w:tc>
                <w:tcPr>
                  <w:tcW w:w="900" w:type="dxa"/>
                  <w:tcBorders>
                    <w:tl2br w:val="nil"/>
                    <w:tr2bl w:val="nil"/>
                  </w:tcBorders>
                  <w:vAlign w:val="center"/>
                </w:tcPr>
                <w:p w14:paraId="1F3BF68E">
                  <w:pPr>
                    <w:jc w:val="center"/>
                    <w:rPr>
                      <w:color w:val="auto"/>
                      <w:szCs w:val="21"/>
                    </w:rPr>
                  </w:pPr>
                  <w:r>
                    <w:rPr>
                      <w:color w:val="auto"/>
                      <w:szCs w:val="21"/>
                    </w:rPr>
                    <w:t>排放速率</w:t>
                  </w:r>
                </w:p>
              </w:tc>
              <w:tc>
                <w:tcPr>
                  <w:tcW w:w="705" w:type="dxa"/>
                  <w:vMerge w:val="continue"/>
                  <w:tcBorders>
                    <w:tl2br w:val="nil"/>
                    <w:tr2bl w:val="nil"/>
                  </w:tcBorders>
                  <w:vAlign w:val="center"/>
                </w:tcPr>
                <w:p w14:paraId="5A6E571D">
                  <w:pPr>
                    <w:jc w:val="center"/>
                    <w:rPr>
                      <w:color w:val="auto"/>
                      <w:szCs w:val="21"/>
                    </w:rPr>
                  </w:pPr>
                </w:p>
              </w:tc>
            </w:tr>
            <w:tr w14:paraId="3B18206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7" w:type="dxa"/>
                  <w:tcBorders>
                    <w:tl2br w:val="nil"/>
                    <w:tr2bl w:val="nil"/>
                  </w:tcBorders>
                  <w:vAlign w:val="center"/>
                </w:tcPr>
                <w:p w14:paraId="225953A5">
                  <w:pPr>
                    <w:jc w:val="center"/>
                    <w:rPr>
                      <w:rFonts w:hint="eastAsia" w:eastAsia="宋体"/>
                      <w:color w:val="auto"/>
                      <w:szCs w:val="21"/>
                      <w:lang w:eastAsia="zh-CN"/>
                    </w:rPr>
                  </w:pPr>
                  <w:r>
                    <w:rPr>
                      <w:color w:val="auto"/>
                      <w:szCs w:val="21"/>
                    </w:rPr>
                    <w:t>厂房1栋天台氧化车间1号过滤塔进气口</w:t>
                  </w:r>
                  <w:r>
                    <w:rPr>
                      <w:rFonts w:hint="eastAsia"/>
                      <w:color w:val="auto"/>
                      <w:szCs w:val="21"/>
                      <w:lang w:eastAsia="zh-CN"/>
                    </w:rPr>
                    <w:t>（</w:t>
                  </w:r>
                  <w:r>
                    <w:rPr>
                      <w:rFonts w:hint="eastAsia"/>
                      <w:color w:val="auto"/>
                      <w:szCs w:val="21"/>
                      <w:lang w:val="en-US" w:eastAsia="zh-CN"/>
                    </w:rPr>
                    <w:t>DA003</w:t>
                  </w:r>
                  <w:r>
                    <w:rPr>
                      <w:rFonts w:hint="eastAsia"/>
                      <w:color w:val="auto"/>
                      <w:szCs w:val="21"/>
                      <w:lang w:eastAsia="zh-CN"/>
                    </w:rPr>
                    <w:t>）</w:t>
                  </w:r>
                </w:p>
              </w:tc>
              <w:tc>
                <w:tcPr>
                  <w:tcW w:w="660" w:type="dxa"/>
                  <w:vMerge w:val="restart"/>
                  <w:tcBorders>
                    <w:tl2br w:val="nil"/>
                    <w:tr2bl w:val="nil"/>
                  </w:tcBorders>
                  <w:vAlign w:val="center"/>
                </w:tcPr>
                <w:p w14:paraId="048FFCBB">
                  <w:pPr>
                    <w:jc w:val="center"/>
                    <w:rPr>
                      <w:rFonts w:hint="default" w:eastAsia="宋体"/>
                      <w:color w:val="auto"/>
                      <w:szCs w:val="21"/>
                      <w:lang w:val="en-US" w:eastAsia="zh-CN"/>
                    </w:rPr>
                  </w:pPr>
                  <w:r>
                    <w:rPr>
                      <w:rFonts w:hint="eastAsia"/>
                      <w:color w:val="auto"/>
                      <w:szCs w:val="21"/>
                      <w:lang w:val="en-US" w:eastAsia="zh-CN"/>
                    </w:rPr>
                    <w:t>2026.05.06</w:t>
                  </w:r>
                </w:p>
              </w:tc>
              <w:tc>
                <w:tcPr>
                  <w:tcW w:w="705" w:type="dxa"/>
                  <w:vMerge w:val="restart"/>
                  <w:tcBorders>
                    <w:tl2br w:val="nil"/>
                    <w:tr2bl w:val="nil"/>
                  </w:tcBorders>
                  <w:vAlign w:val="center"/>
                </w:tcPr>
                <w:p w14:paraId="57EA952A">
                  <w:pPr>
                    <w:jc w:val="center"/>
                    <w:rPr>
                      <w:color w:val="auto"/>
                      <w:szCs w:val="21"/>
                    </w:rPr>
                  </w:pPr>
                  <w:r>
                    <w:rPr>
                      <w:color w:val="auto"/>
                      <w:szCs w:val="21"/>
                    </w:rPr>
                    <w:t>碱雾</w:t>
                  </w:r>
                </w:p>
              </w:tc>
              <w:tc>
                <w:tcPr>
                  <w:tcW w:w="780" w:type="dxa"/>
                  <w:tcBorders>
                    <w:tl2br w:val="nil"/>
                    <w:tr2bl w:val="nil"/>
                  </w:tcBorders>
                  <w:vAlign w:val="center"/>
                </w:tcPr>
                <w:p w14:paraId="5D695D40">
                  <w:pPr>
                    <w:jc w:val="center"/>
                    <w:rPr>
                      <w:color w:val="auto"/>
                      <w:szCs w:val="21"/>
                    </w:rPr>
                  </w:pPr>
                  <w:r>
                    <w:rPr>
                      <w:color w:val="auto"/>
                      <w:kern w:val="0"/>
                      <w:szCs w:val="21"/>
                      <w:lang w:bidi="ar"/>
                    </w:rPr>
                    <w:t>24960</w:t>
                  </w:r>
                </w:p>
              </w:tc>
              <w:tc>
                <w:tcPr>
                  <w:tcW w:w="1080" w:type="dxa"/>
                  <w:tcBorders>
                    <w:tl2br w:val="nil"/>
                    <w:tr2bl w:val="nil"/>
                  </w:tcBorders>
                  <w:vAlign w:val="center"/>
                </w:tcPr>
                <w:p w14:paraId="2E2B36CB">
                  <w:pPr>
                    <w:jc w:val="center"/>
                    <w:rPr>
                      <w:color w:val="auto"/>
                      <w:kern w:val="0"/>
                      <w:szCs w:val="21"/>
                      <w:lang w:bidi="ar"/>
                    </w:rPr>
                  </w:pPr>
                  <w:r>
                    <w:rPr>
                      <w:color w:val="auto"/>
                      <w:kern w:val="0"/>
                      <w:szCs w:val="21"/>
                      <w:lang w:bidi="ar"/>
                    </w:rPr>
                    <w:t>1.8</w:t>
                  </w:r>
                </w:p>
              </w:tc>
              <w:tc>
                <w:tcPr>
                  <w:tcW w:w="1020" w:type="dxa"/>
                  <w:tcBorders>
                    <w:tl2br w:val="nil"/>
                    <w:tr2bl w:val="nil"/>
                  </w:tcBorders>
                  <w:vAlign w:val="center"/>
                </w:tcPr>
                <w:p w14:paraId="4AE1DBB8">
                  <w:pPr>
                    <w:jc w:val="center"/>
                    <w:rPr>
                      <w:color w:val="auto"/>
                      <w:kern w:val="0"/>
                      <w:szCs w:val="21"/>
                      <w:lang w:bidi="ar"/>
                    </w:rPr>
                  </w:pPr>
                  <w:r>
                    <w:rPr>
                      <w:color w:val="auto"/>
                      <w:kern w:val="0"/>
                      <w:szCs w:val="21"/>
                      <w:lang w:bidi="ar"/>
                    </w:rPr>
                    <w:t>0.0449</w:t>
                  </w:r>
                </w:p>
              </w:tc>
              <w:tc>
                <w:tcPr>
                  <w:tcW w:w="975" w:type="dxa"/>
                  <w:tcBorders>
                    <w:tl2br w:val="nil"/>
                    <w:tr2bl w:val="nil"/>
                  </w:tcBorders>
                  <w:vAlign w:val="center"/>
                </w:tcPr>
                <w:p w14:paraId="55B6F0BE">
                  <w:pPr>
                    <w:jc w:val="center"/>
                    <w:rPr>
                      <w:color w:val="auto"/>
                      <w:szCs w:val="21"/>
                    </w:rPr>
                  </w:pPr>
                  <w:r>
                    <w:rPr>
                      <w:color w:val="auto"/>
                      <w:szCs w:val="21"/>
                    </w:rPr>
                    <w:t>/</w:t>
                  </w:r>
                </w:p>
              </w:tc>
              <w:tc>
                <w:tcPr>
                  <w:tcW w:w="900" w:type="dxa"/>
                  <w:tcBorders>
                    <w:tl2br w:val="nil"/>
                    <w:tr2bl w:val="nil"/>
                  </w:tcBorders>
                  <w:vAlign w:val="center"/>
                </w:tcPr>
                <w:p w14:paraId="663E8D20">
                  <w:pPr>
                    <w:jc w:val="center"/>
                    <w:rPr>
                      <w:color w:val="auto"/>
                      <w:szCs w:val="21"/>
                    </w:rPr>
                  </w:pPr>
                  <w:r>
                    <w:rPr>
                      <w:color w:val="auto"/>
                      <w:szCs w:val="21"/>
                    </w:rPr>
                    <w:t>/</w:t>
                  </w:r>
                </w:p>
              </w:tc>
              <w:tc>
                <w:tcPr>
                  <w:tcW w:w="705" w:type="dxa"/>
                  <w:tcBorders>
                    <w:tl2br w:val="nil"/>
                    <w:tr2bl w:val="nil"/>
                  </w:tcBorders>
                  <w:vAlign w:val="center"/>
                </w:tcPr>
                <w:p w14:paraId="08B8F83E">
                  <w:pPr>
                    <w:jc w:val="center"/>
                    <w:rPr>
                      <w:color w:val="auto"/>
                      <w:szCs w:val="21"/>
                    </w:rPr>
                  </w:pPr>
                  <w:r>
                    <w:rPr>
                      <w:color w:val="auto"/>
                      <w:szCs w:val="21"/>
                    </w:rPr>
                    <w:t>/</w:t>
                  </w:r>
                </w:p>
              </w:tc>
            </w:tr>
            <w:tr w14:paraId="4F47A4B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47" w:type="dxa"/>
                  <w:tcBorders>
                    <w:bottom w:val="single" w:color="000000" w:sz="6" w:space="0"/>
                    <w:tl2br w:val="nil"/>
                    <w:tr2bl w:val="nil"/>
                  </w:tcBorders>
                  <w:vAlign w:val="center"/>
                </w:tcPr>
                <w:p w14:paraId="4E3751AD">
                  <w:pPr>
                    <w:jc w:val="center"/>
                    <w:rPr>
                      <w:rFonts w:hint="eastAsia" w:eastAsia="宋体"/>
                      <w:color w:val="auto"/>
                      <w:szCs w:val="21"/>
                      <w:lang w:eastAsia="zh-CN"/>
                    </w:rPr>
                  </w:pPr>
                  <w:r>
                    <w:rPr>
                      <w:color w:val="auto"/>
                      <w:szCs w:val="21"/>
                    </w:rPr>
                    <w:t>厂房1栋天台氧化车间1号过滤塔排放口</w:t>
                  </w:r>
                  <w:r>
                    <w:rPr>
                      <w:rFonts w:hint="eastAsia"/>
                      <w:color w:val="auto"/>
                      <w:szCs w:val="21"/>
                      <w:lang w:eastAsia="zh-CN"/>
                    </w:rPr>
                    <w:t>（</w:t>
                  </w:r>
                  <w:r>
                    <w:rPr>
                      <w:rFonts w:hint="eastAsia"/>
                      <w:color w:val="auto"/>
                      <w:szCs w:val="21"/>
                      <w:lang w:val="en-US" w:eastAsia="zh-CN"/>
                    </w:rPr>
                    <w:t>DA003</w:t>
                  </w:r>
                  <w:r>
                    <w:rPr>
                      <w:rFonts w:hint="eastAsia"/>
                      <w:color w:val="auto"/>
                      <w:szCs w:val="21"/>
                      <w:lang w:eastAsia="zh-CN"/>
                    </w:rPr>
                    <w:t>）</w:t>
                  </w:r>
                </w:p>
              </w:tc>
              <w:tc>
                <w:tcPr>
                  <w:tcW w:w="660" w:type="dxa"/>
                  <w:vMerge w:val="continue"/>
                  <w:tcBorders>
                    <w:bottom w:val="single" w:color="000000" w:sz="6" w:space="0"/>
                    <w:tl2br w:val="nil"/>
                    <w:tr2bl w:val="nil"/>
                  </w:tcBorders>
                  <w:vAlign w:val="center"/>
                </w:tcPr>
                <w:p w14:paraId="75AB5591">
                  <w:pPr>
                    <w:jc w:val="center"/>
                    <w:rPr>
                      <w:color w:val="auto"/>
                      <w:szCs w:val="21"/>
                    </w:rPr>
                  </w:pPr>
                </w:p>
              </w:tc>
              <w:tc>
                <w:tcPr>
                  <w:tcW w:w="705" w:type="dxa"/>
                  <w:vMerge w:val="continue"/>
                  <w:tcBorders>
                    <w:bottom w:val="single" w:color="000000" w:sz="6" w:space="0"/>
                    <w:tl2br w:val="nil"/>
                    <w:tr2bl w:val="nil"/>
                  </w:tcBorders>
                  <w:vAlign w:val="center"/>
                </w:tcPr>
                <w:p w14:paraId="3896A4CE">
                  <w:pPr>
                    <w:jc w:val="center"/>
                    <w:rPr>
                      <w:color w:val="auto"/>
                      <w:szCs w:val="21"/>
                    </w:rPr>
                  </w:pPr>
                </w:p>
              </w:tc>
              <w:tc>
                <w:tcPr>
                  <w:tcW w:w="780" w:type="dxa"/>
                  <w:tcBorders>
                    <w:bottom w:val="single" w:color="000000" w:sz="6" w:space="0"/>
                    <w:tl2br w:val="nil"/>
                    <w:tr2bl w:val="nil"/>
                  </w:tcBorders>
                  <w:vAlign w:val="center"/>
                </w:tcPr>
                <w:p w14:paraId="692D34FC">
                  <w:pPr>
                    <w:jc w:val="center"/>
                    <w:rPr>
                      <w:color w:val="auto"/>
                      <w:szCs w:val="21"/>
                    </w:rPr>
                  </w:pPr>
                  <w:r>
                    <w:rPr>
                      <w:color w:val="auto"/>
                      <w:kern w:val="0"/>
                      <w:szCs w:val="21"/>
                      <w:lang w:bidi="ar"/>
                    </w:rPr>
                    <w:t>34166</w:t>
                  </w:r>
                </w:p>
              </w:tc>
              <w:tc>
                <w:tcPr>
                  <w:tcW w:w="1080" w:type="dxa"/>
                  <w:tcBorders>
                    <w:bottom w:val="single" w:color="000000" w:sz="6" w:space="0"/>
                    <w:tl2br w:val="nil"/>
                    <w:tr2bl w:val="nil"/>
                  </w:tcBorders>
                  <w:vAlign w:val="center"/>
                </w:tcPr>
                <w:p w14:paraId="0656A701">
                  <w:pPr>
                    <w:jc w:val="center"/>
                    <w:rPr>
                      <w:color w:val="auto"/>
                      <w:kern w:val="0"/>
                      <w:szCs w:val="21"/>
                      <w:lang w:bidi="ar"/>
                    </w:rPr>
                  </w:pPr>
                  <w:r>
                    <w:rPr>
                      <w:color w:val="auto"/>
                      <w:kern w:val="0"/>
                      <w:szCs w:val="21"/>
                      <w:lang w:bidi="ar"/>
                    </w:rPr>
                    <w:t>1.1</w:t>
                  </w:r>
                </w:p>
              </w:tc>
              <w:tc>
                <w:tcPr>
                  <w:tcW w:w="1020" w:type="dxa"/>
                  <w:tcBorders>
                    <w:bottom w:val="single" w:color="000000" w:sz="6" w:space="0"/>
                    <w:tl2br w:val="nil"/>
                    <w:tr2bl w:val="nil"/>
                  </w:tcBorders>
                  <w:vAlign w:val="center"/>
                </w:tcPr>
                <w:p w14:paraId="455183B7">
                  <w:pPr>
                    <w:jc w:val="center"/>
                    <w:rPr>
                      <w:color w:val="auto"/>
                      <w:kern w:val="0"/>
                      <w:szCs w:val="21"/>
                      <w:lang w:bidi="ar"/>
                    </w:rPr>
                  </w:pPr>
                  <w:r>
                    <w:rPr>
                      <w:color w:val="auto"/>
                      <w:kern w:val="0"/>
                      <w:szCs w:val="21"/>
                      <w:lang w:bidi="ar"/>
                    </w:rPr>
                    <w:t>0.0376</w:t>
                  </w:r>
                </w:p>
              </w:tc>
              <w:tc>
                <w:tcPr>
                  <w:tcW w:w="975" w:type="dxa"/>
                  <w:tcBorders>
                    <w:bottom w:val="single" w:color="000000" w:sz="6" w:space="0"/>
                    <w:tl2br w:val="nil"/>
                    <w:tr2bl w:val="nil"/>
                  </w:tcBorders>
                  <w:vAlign w:val="center"/>
                </w:tcPr>
                <w:p w14:paraId="6336DFB7">
                  <w:pPr>
                    <w:jc w:val="center"/>
                    <w:rPr>
                      <w:color w:val="auto"/>
                      <w:szCs w:val="21"/>
                    </w:rPr>
                  </w:pPr>
                  <w:r>
                    <w:rPr>
                      <w:color w:val="auto"/>
                      <w:szCs w:val="21"/>
                    </w:rPr>
                    <w:t>10</w:t>
                  </w:r>
                </w:p>
              </w:tc>
              <w:tc>
                <w:tcPr>
                  <w:tcW w:w="900" w:type="dxa"/>
                  <w:tcBorders>
                    <w:bottom w:val="single" w:color="000000" w:sz="6" w:space="0"/>
                    <w:tl2br w:val="nil"/>
                    <w:tr2bl w:val="nil"/>
                  </w:tcBorders>
                  <w:vAlign w:val="center"/>
                </w:tcPr>
                <w:p w14:paraId="4B316052">
                  <w:pPr>
                    <w:jc w:val="center"/>
                    <w:rPr>
                      <w:color w:val="auto"/>
                      <w:szCs w:val="21"/>
                    </w:rPr>
                  </w:pPr>
                  <w:r>
                    <w:rPr>
                      <w:color w:val="auto"/>
                      <w:szCs w:val="21"/>
                    </w:rPr>
                    <w:t>/</w:t>
                  </w:r>
                </w:p>
              </w:tc>
              <w:tc>
                <w:tcPr>
                  <w:tcW w:w="705" w:type="dxa"/>
                  <w:tcBorders>
                    <w:bottom w:val="single" w:color="000000" w:sz="6" w:space="0"/>
                    <w:tl2br w:val="nil"/>
                    <w:tr2bl w:val="nil"/>
                  </w:tcBorders>
                  <w:vAlign w:val="center"/>
                </w:tcPr>
                <w:p w14:paraId="404918C2">
                  <w:pPr>
                    <w:jc w:val="center"/>
                    <w:rPr>
                      <w:color w:val="auto"/>
                      <w:szCs w:val="21"/>
                    </w:rPr>
                  </w:pPr>
                  <w:r>
                    <w:rPr>
                      <w:color w:val="auto"/>
                      <w:szCs w:val="21"/>
                    </w:rPr>
                    <w:t>达标</w:t>
                  </w:r>
                </w:p>
              </w:tc>
            </w:tr>
            <w:tr w14:paraId="25B6F06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72" w:type="dxa"/>
                  <w:gridSpan w:val="9"/>
                  <w:tcBorders>
                    <w:top w:val="single" w:color="000000" w:sz="6" w:space="0"/>
                    <w:tl2br w:val="nil"/>
                    <w:tr2bl w:val="nil"/>
                  </w:tcBorders>
                  <w:vAlign w:val="center"/>
                </w:tcPr>
                <w:p w14:paraId="0A85E874">
                  <w:pPr>
                    <w:spacing w:line="240" w:lineRule="auto"/>
                    <w:jc w:val="both"/>
                    <w:rPr>
                      <w:color w:val="auto"/>
                      <w:szCs w:val="21"/>
                      <w:highlight w:val="none"/>
                    </w:rPr>
                  </w:pPr>
                  <w:r>
                    <w:rPr>
                      <w:color w:val="auto"/>
                      <w:szCs w:val="21"/>
                    </w:rPr>
                    <w:t>备注：</w:t>
                  </w:r>
                </w:p>
                <w:p w14:paraId="4E336EED">
                  <w:pPr>
                    <w:spacing w:line="240" w:lineRule="auto"/>
                    <w:jc w:val="both"/>
                    <w:rPr>
                      <w:color w:val="auto"/>
                      <w:szCs w:val="21"/>
                      <w:highlight w:val="none"/>
                    </w:rPr>
                  </w:pPr>
                  <w:r>
                    <w:rPr>
                      <w:color w:val="auto"/>
                      <w:szCs w:val="21"/>
                      <w:highlight w:val="none"/>
                    </w:rPr>
                    <w:t>1、单位：标干流量m</w:t>
                  </w:r>
                  <w:r>
                    <w:rPr>
                      <w:color w:val="auto"/>
                      <w:szCs w:val="21"/>
                      <w:highlight w:val="none"/>
                      <w:vertAlign w:val="superscript"/>
                    </w:rPr>
                    <w:t>3</w:t>
                  </w:r>
                  <w:r>
                    <w:rPr>
                      <w:color w:val="auto"/>
                      <w:szCs w:val="21"/>
                      <w:highlight w:val="none"/>
                    </w:rPr>
                    <w:t>/h；浓度mg/m</w:t>
                  </w:r>
                  <w:r>
                    <w:rPr>
                      <w:color w:val="auto"/>
                      <w:szCs w:val="21"/>
                      <w:highlight w:val="none"/>
                      <w:vertAlign w:val="superscript"/>
                    </w:rPr>
                    <w:t>3</w:t>
                  </w:r>
                  <w:r>
                    <w:rPr>
                      <w:color w:val="auto"/>
                      <w:szCs w:val="21"/>
                      <w:highlight w:val="none"/>
                    </w:rPr>
                    <w:t>；速率kg/h；</w:t>
                  </w:r>
                </w:p>
                <w:p w14:paraId="26334A33">
                  <w:pPr>
                    <w:spacing w:line="240" w:lineRule="auto"/>
                    <w:jc w:val="both"/>
                    <w:rPr>
                      <w:color w:val="auto"/>
                      <w:szCs w:val="21"/>
                      <w:highlight w:val="none"/>
                    </w:rPr>
                  </w:pPr>
                  <w:r>
                    <w:rPr>
                      <w:color w:val="auto"/>
                      <w:szCs w:val="21"/>
                      <w:highlight w:val="none"/>
                    </w:rPr>
                    <w:t>2、执行《轧钢工业大气污染物排放标准》GB28665-2012；</w:t>
                  </w:r>
                </w:p>
                <w:p w14:paraId="18B240AD">
                  <w:pPr>
                    <w:spacing w:line="240" w:lineRule="auto"/>
                    <w:jc w:val="both"/>
                    <w:rPr>
                      <w:color w:val="auto"/>
                      <w:szCs w:val="21"/>
                      <w:highlight w:val="none"/>
                    </w:rPr>
                  </w:pPr>
                  <w:r>
                    <w:rPr>
                      <w:color w:val="auto"/>
                      <w:szCs w:val="21"/>
                      <w:highlight w:val="none"/>
                    </w:rPr>
                    <w:t>3、检测结果仅对当时采集的样品负责</w:t>
                  </w:r>
                  <w:r>
                    <w:rPr>
                      <w:color w:val="auto"/>
                      <w:szCs w:val="21"/>
                      <w:highlight w:val="none"/>
                      <w:lang w:val="zh-CN"/>
                    </w:rPr>
                    <w:t>。</w:t>
                  </w:r>
                </w:p>
                <w:p w14:paraId="0967DE87">
                  <w:pPr>
                    <w:spacing w:line="240" w:lineRule="auto"/>
                    <w:jc w:val="both"/>
                    <w:rPr>
                      <w:color w:val="auto"/>
                      <w:szCs w:val="21"/>
                      <w:highlight w:val="none"/>
                    </w:rPr>
                  </w:pPr>
                  <w:r>
                    <w:rPr>
                      <w:color w:val="auto"/>
                      <w:szCs w:val="21"/>
                      <w:highlight w:val="none"/>
                    </w:rPr>
                    <w:t>4、环境条件：温度：29.3℃；气压：100.56kPa。</w:t>
                  </w:r>
                </w:p>
                <w:p w14:paraId="70D0A4ED">
                  <w:pPr>
                    <w:spacing w:line="240" w:lineRule="auto"/>
                    <w:jc w:val="both"/>
                    <w:rPr>
                      <w:color w:val="auto"/>
                      <w:szCs w:val="21"/>
                      <w:highlight w:val="none"/>
                    </w:rPr>
                  </w:pPr>
                  <w:r>
                    <w:rPr>
                      <w:color w:val="auto"/>
                      <w:szCs w:val="21"/>
                      <w:highlight w:val="none"/>
                    </w:rPr>
                    <w:t>5、排气筒高度</w:t>
                  </w:r>
                  <w:r>
                    <w:rPr>
                      <w:rFonts w:hint="eastAsia"/>
                      <w:color w:val="auto"/>
                      <w:szCs w:val="21"/>
                      <w:highlight w:val="none"/>
                      <w:lang w:val="en-US" w:eastAsia="zh-CN"/>
                    </w:rPr>
                    <w:t>30</w:t>
                  </w:r>
                  <w:r>
                    <w:rPr>
                      <w:color w:val="auto"/>
                      <w:szCs w:val="21"/>
                      <w:highlight w:val="none"/>
                    </w:rPr>
                    <w:t>m。</w:t>
                  </w:r>
                </w:p>
                <w:p w14:paraId="0F5407AB">
                  <w:pPr>
                    <w:spacing w:line="240" w:lineRule="auto"/>
                    <w:jc w:val="both"/>
                    <w:rPr>
                      <w:color w:val="auto"/>
                      <w:szCs w:val="21"/>
                    </w:rPr>
                  </w:pPr>
                  <w:r>
                    <w:rPr>
                      <w:color w:val="auto"/>
                      <w:szCs w:val="21"/>
                    </w:rPr>
                    <w:t>4、执行标准由委托方提供。</w:t>
                  </w:r>
                </w:p>
              </w:tc>
            </w:tr>
          </w:tbl>
          <w:p w14:paraId="76328679">
            <w:pPr>
              <w:adjustRightInd w:val="0"/>
              <w:snapToGrid w:val="0"/>
              <w:spacing w:line="240" w:lineRule="auto"/>
              <w:ind w:firstLine="422" w:firstLineChars="200"/>
              <w:jc w:val="center"/>
              <w:rPr>
                <w:b/>
                <w:color w:val="auto"/>
                <w:szCs w:val="21"/>
              </w:rPr>
            </w:pPr>
            <w:r>
              <w:rPr>
                <w:b/>
                <w:color w:val="auto"/>
                <w:szCs w:val="21"/>
              </w:rPr>
              <w:t>表2-1</w:t>
            </w:r>
            <w:r>
              <w:rPr>
                <w:rFonts w:hint="eastAsia"/>
                <w:b/>
                <w:color w:val="auto"/>
                <w:szCs w:val="21"/>
                <w:lang w:val="en-US" w:eastAsia="zh-CN"/>
              </w:rPr>
              <w:t>6</w:t>
            </w:r>
            <w:r>
              <w:rPr>
                <w:b/>
                <w:color w:val="auto"/>
                <w:szCs w:val="21"/>
              </w:rPr>
              <w:t>酸蚀、化学抛光、阳极氧化工序有组织废气硝酸雾、硫酸雾监测结果及评价一览表</w:t>
            </w:r>
          </w:p>
          <w:tbl>
            <w:tblPr>
              <w:tblStyle w:val="43"/>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1179"/>
              <w:gridCol w:w="930"/>
              <w:gridCol w:w="2145"/>
              <w:gridCol w:w="738"/>
              <w:gridCol w:w="2292"/>
              <w:gridCol w:w="675"/>
              <w:gridCol w:w="705"/>
            </w:tblGrid>
            <w:tr w14:paraId="1256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912" w:type="dxa"/>
                  <w:vAlign w:val="center"/>
                </w:tcPr>
                <w:p w14:paraId="0B5DB9FC">
                  <w:pPr>
                    <w:widowControl w:val="0"/>
                    <w:spacing w:line="240" w:lineRule="auto"/>
                    <w:jc w:val="center"/>
                    <w:rPr>
                      <w:b/>
                      <w:bCs/>
                      <w:color w:val="auto"/>
                      <w:szCs w:val="21"/>
                    </w:rPr>
                  </w:pPr>
                  <w:r>
                    <w:rPr>
                      <w:b/>
                      <w:bCs/>
                      <w:color w:val="auto"/>
                      <w:szCs w:val="21"/>
                    </w:rPr>
                    <w:t>检测</w:t>
                  </w:r>
                </w:p>
                <w:p w14:paraId="25B4ACEC">
                  <w:pPr>
                    <w:widowControl w:val="0"/>
                    <w:spacing w:line="240" w:lineRule="auto"/>
                    <w:jc w:val="center"/>
                    <w:rPr>
                      <w:b/>
                      <w:bCs/>
                      <w:color w:val="auto"/>
                      <w:szCs w:val="21"/>
                    </w:rPr>
                  </w:pPr>
                  <w:r>
                    <w:rPr>
                      <w:b/>
                      <w:bCs/>
                      <w:color w:val="auto"/>
                      <w:szCs w:val="21"/>
                    </w:rPr>
                    <w:t>日期</w:t>
                  </w:r>
                </w:p>
              </w:tc>
              <w:tc>
                <w:tcPr>
                  <w:tcW w:w="1179" w:type="dxa"/>
                  <w:vAlign w:val="center"/>
                </w:tcPr>
                <w:p w14:paraId="1F5AB24D">
                  <w:pPr>
                    <w:widowControl w:val="0"/>
                    <w:spacing w:line="240" w:lineRule="auto"/>
                    <w:jc w:val="center"/>
                    <w:rPr>
                      <w:b/>
                      <w:bCs/>
                      <w:color w:val="auto"/>
                      <w:szCs w:val="21"/>
                    </w:rPr>
                  </w:pPr>
                  <w:r>
                    <w:rPr>
                      <w:color w:val="auto"/>
                      <w:szCs w:val="21"/>
                    </w:rPr>
                    <w:t>2026.05.06</w:t>
                  </w:r>
                </w:p>
              </w:tc>
              <w:tc>
                <w:tcPr>
                  <w:tcW w:w="930" w:type="dxa"/>
                  <w:vAlign w:val="center"/>
                </w:tcPr>
                <w:p w14:paraId="75770245">
                  <w:pPr>
                    <w:widowControl w:val="0"/>
                    <w:spacing w:line="240" w:lineRule="auto"/>
                    <w:jc w:val="center"/>
                    <w:rPr>
                      <w:b/>
                      <w:bCs/>
                      <w:color w:val="auto"/>
                      <w:szCs w:val="21"/>
                    </w:rPr>
                  </w:pPr>
                  <w:r>
                    <w:rPr>
                      <w:b/>
                      <w:bCs/>
                      <w:color w:val="auto"/>
                      <w:szCs w:val="21"/>
                    </w:rPr>
                    <w:t>现场气象条件</w:t>
                  </w:r>
                </w:p>
              </w:tc>
              <w:tc>
                <w:tcPr>
                  <w:tcW w:w="2883" w:type="dxa"/>
                  <w:gridSpan w:val="2"/>
                  <w:vAlign w:val="center"/>
                </w:tcPr>
                <w:p w14:paraId="719F0A26">
                  <w:pPr>
                    <w:widowControl w:val="0"/>
                    <w:spacing w:line="240" w:lineRule="auto"/>
                    <w:jc w:val="center"/>
                    <w:rPr>
                      <w:b/>
                      <w:bCs/>
                      <w:color w:val="auto"/>
                      <w:szCs w:val="21"/>
                    </w:rPr>
                  </w:pPr>
                  <w:r>
                    <w:rPr>
                      <w:color w:val="auto"/>
                      <w:szCs w:val="21"/>
                    </w:rPr>
                    <w:t>天气状况：阴，</w:t>
                  </w:r>
                  <w:r>
                    <w:rPr>
                      <w:bCs/>
                      <w:color w:val="auto"/>
                      <w:szCs w:val="21"/>
                    </w:rPr>
                    <w:t>风速：1.2m/s</w:t>
                  </w:r>
                  <w:r>
                    <w:rPr>
                      <w:color w:val="auto"/>
                      <w:szCs w:val="21"/>
                    </w:rPr>
                    <w:t>。</w:t>
                  </w:r>
                </w:p>
              </w:tc>
              <w:tc>
                <w:tcPr>
                  <w:tcW w:w="2292" w:type="dxa"/>
                  <w:vAlign w:val="center"/>
                </w:tcPr>
                <w:p w14:paraId="7D554205">
                  <w:pPr>
                    <w:widowControl w:val="0"/>
                    <w:spacing w:line="240" w:lineRule="auto"/>
                    <w:jc w:val="center"/>
                    <w:rPr>
                      <w:color w:val="auto"/>
                      <w:szCs w:val="21"/>
                      <w:highlight w:val="none"/>
                    </w:rPr>
                  </w:pPr>
                  <w:r>
                    <w:rPr>
                      <w:b/>
                      <w:bCs/>
                      <w:color w:val="auto"/>
                      <w:szCs w:val="21"/>
                      <w:highlight w:val="none"/>
                    </w:rPr>
                    <w:t>排气筒高度</w:t>
                  </w:r>
                </w:p>
              </w:tc>
              <w:tc>
                <w:tcPr>
                  <w:tcW w:w="1380" w:type="dxa"/>
                  <w:gridSpan w:val="2"/>
                  <w:vAlign w:val="center"/>
                </w:tcPr>
                <w:p w14:paraId="4AD2C183">
                  <w:pPr>
                    <w:widowControl w:val="0"/>
                    <w:spacing w:line="240" w:lineRule="auto"/>
                    <w:jc w:val="center"/>
                    <w:rPr>
                      <w:color w:val="auto"/>
                      <w:szCs w:val="21"/>
                      <w:highlight w:val="none"/>
                    </w:rPr>
                  </w:pPr>
                  <w:r>
                    <w:rPr>
                      <w:rFonts w:hint="eastAsia"/>
                      <w:color w:val="auto"/>
                      <w:szCs w:val="21"/>
                      <w:highlight w:val="none"/>
                      <w:lang w:val="en-US" w:eastAsia="zh-CN"/>
                    </w:rPr>
                    <w:t>30</w:t>
                  </w:r>
                  <w:r>
                    <w:rPr>
                      <w:color w:val="auto"/>
                      <w:szCs w:val="21"/>
                      <w:highlight w:val="none"/>
                    </w:rPr>
                    <w:t>m</w:t>
                  </w:r>
                </w:p>
              </w:tc>
            </w:tr>
            <w:tr w14:paraId="0B57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91" w:type="dxa"/>
                  <w:gridSpan w:val="2"/>
                  <w:vAlign w:val="center"/>
                </w:tcPr>
                <w:p w14:paraId="1EDD88BD">
                  <w:pPr>
                    <w:widowControl w:val="0"/>
                    <w:spacing w:line="240" w:lineRule="auto"/>
                    <w:jc w:val="center"/>
                    <w:rPr>
                      <w:b/>
                      <w:bCs/>
                      <w:color w:val="auto"/>
                      <w:szCs w:val="21"/>
                    </w:rPr>
                  </w:pPr>
                  <w:r>
                    <w:rPr>
                      <w:b/>
                      <w:bCs/>
                      <w:color w:val="auto"/>
                      <w:szCs w:val="21"/>
                    </w:rPr>
                    <w:t>检测项目</w:t>
                  </w:r>
                </w:p>
              </w:tc>
              <w:tc>
                <w:tcPr>
                  <w:tcW w:w="930" w:type="dxa"/>
                  <w:vAlign w:val="center"/>
                </w:tcPr>
                <w:p w14:paraId="33D383DE">
                  <w:pPr>
                    <w:widowControl w:val="0"/>
                    <w:spacing w:line="240" w:lineRule="auto"/>
                    <w:jc w:val="center"/>
                    <w:rPr>
                      <w:b/>
                      <w:bCs/>
                      <w:color w:val="auto"/>
                      <w:szCs w:val="21"/>
                    </w:rPr>
                  </w:pPr>
                  <w:r>
                    <w:rPr>
                      <w:b/>
                      <w:bCs/>
                      <w:color w:val="auto"/>
                      <w:szCs w:val="21"/>
                    </w:rPr>
                    <w:t>单位</w:t>
                  </w:r>
                </w:p>
              </w:tc>
              <w:tc>
                <w:tcPr>
                  <w:tcW w:w="2145" w:type="dxa"/>
                  <w:vAlign w:val="center"/>
                </w:tcPr>
                <w:p w14:paraId="5476A0E2">
                  <w:pPr>
                    <w:widowControl w:val="0"/>
                    <w:spacing w:line="240" w:lineRule="auto"/>
                    <w:jc w:val="center"/>
                    <w:rPr>
                      <w:rFonts w:hint="eastAsia" w:eastAsia="宋体"/>
                      <w:b/>
                      <w:bCs/>
                      <w:color w:val="auto"/>
                      <w:szCs w:val="21"/>
                      <w:lang w:eastAsia="zh-CN"/>
                    </w:rPr>
                  </w:pPr>
                  <w:r>
                    <w:rPr>
                      <w:b/>
                      <w:bCs/>
                      <w:color w:val="auto"/>
                      <w:szCs w:val="21"/>
                    </w:rPr>
                    <w:t>厂房1栋天台氧化车间2号过滤塔进气口</w:t>
                  </w:r>
                  <w:r>
                    <w:rPr>
                      <w:rFonts w:hint="eastAsia"/>
                      <w:b/>
                      <w:bCs/>
                      <w:color w:val="auto"/>
                      <w:szCs w:val="21"/>
                      <w:lang w:eastAsia="zh-CN"/>
                    </w:rPr>
                    <w:t>（</w:t>
                  </w:r>
                  <w:r>
                    <w:rPr>
                      <w:rFonts w:hint="eastAsia"/>
                      <w:b/>
                      <w:bCs/>
                      <w:color w:val="auto"/>
                      <w:szCs w:val="21"/>
                      <w:lang w:val="en-US" w:eastAsia="zh-CN"/>
                    </w:rPr>
                    <w:t>DA004</w:t>
                  </w:r>
                  <w:r>
                    <w:rPr>
                      <w:rFonts w:hint="eastAsia"/>
                      <w:b/>
                      <w:bCs/>
                      <w:color w:val="auto"/>
                      <w:szCs w:val="21"/>
                      <w:lang w:eastAsia="zh-CN"/>
                    </w:rPr>
                    <w:t>）</w:t>
                  </w:r>
                </w:p>
              </w:tc>
              <w:tc>
                <w:tcPr>
                  <w:tcW w:w="738" w:type="dxa"/>
                  <w:vAlign w:val="center"/>
                </w:tcPr>
                <w:p w14:paraId="6606D1A5">
                  <w:pPr>
                    <w:widowControl w:val="0"/>
                    <w:spacing w:line="240" w:lineRule="auto"/>
                    <w:jc w:val="center"/>
                    <w:rPr>
                      <w:b/>
                      <w:bCs/>
                      <w:color w:val="auto"/>
                      <w:szCs w:val="21"/>
                    </w:rPr>
                  </w:pPr>
                  <w:r>
                    <w:rPr>
                      <w:b/>
                      <w:bCs/>
                      <w:color w:val="auto"/>
                      <w:szCs w:val="21"/>
                    </w:rPr>
                    <w:t>标准</w:t>
                  </w:r>
                </w:p>
                <w:p w14:paraId="2EA59516">
                  <w:pPr>
                    <w:widowControl w:val="0"/>
                    <w:spacing w:line="240" w:lineRule="auto"/>
                    <w:jc w:val="center"/>
                    <w:rPr>
                      <w:b/>
                      <w:bCs/>
                      <w:color w:val="auto"/>
                      <w:szCs w:val="21"/>
                    </w:rPr>
                  </w:pPr>
                  <w:r>
                    <w:rPr>
                      <w:b/>
                      <w:bCs/>
                      <w:color w:val="auto"/>
                      <w:szCs w:val="21"/>
                    </w:rPr>
                    <w:t>限值</w:t>
                  </w:r>
                </w:p>
              </w:tc>
              <w:tc>
                <w:tcPr>
                  <w:tcW w:w="2292" w:type="dxa"/>
                  <w:vAlign w:val="center"/>
                </w:tcPr>
                <w:p w14:paraId="21554748">
                  <w:pPr>
                    <w:widowControl w:val="0"/>
                    <w:spacing w:line="240" w:lineRule="auto"/>
                    <w:jc w:val="center"/>
                    <w:rPr>
                      <w:rFonts w:hint="eastAsia" w:eastAsia="宋体"/>
                      <w:b/>
                      <w:bCs/>
                      <w:color w:val="auto"/>
                      <w:szCs w:val="21"/>
                      <w:lang w:eastAsia="zh-CN"/>
                    </w:rPr>
                  </w:pPr>
                  <w:r>
                    <w:rPr>
                      <w:b/>
                      <w:bCs/>
                      <w:color w:val="auto"/>
                      <w:szCs w:val="21"/>
                    </w:rPr>
                    <w:t>厂房1栋天台氧化车间2号过滤塔排放口</w:t>
                  </w:r>
                  <w:r>
                    <w:rPr>
                      <w:rFonts w:hint="eastAsia"/>
                      <w:b/>
                      <w:bCs/>
                      <w:color w:val="auto"/>
                      <w:szCs w:val="21"/>
                      <w:lang w:eastAsia="zh-CN"/>
                    </w:rPr>
                    <w:t>（</w:t>
                  </w:r>
                  <w:r>
                    <w:rPr>
                      <w:rFonts w:hint="eastAsia"/>
                      <w:b/>
                      <w:bCs/>
                      <w:color w:val="auto"/>
                      <w:szCs w:val="21"/>
                      <w:lang w:val="en-US" w:eastAsia="zh-CN"/>
                    </w:rPr>
                    <w:t>DA004</w:t>
                  </w:r>
                  <w:r>
                    <w:rPr>
                      <w:rFonts w:hint="eastAsia"/>
                      <w:b/>
                      <w:bCs/>
                      <w:color w:val="auto"/>
                      <w:szCs w:val="21"/>
                      <w:lang w:eastAsia="zh-CN"/>
                    </w:rPr>
                    <w:t>）</w:t>
                  </w:r>
                </w:p>
              </w:tc>
              <w:tc>
                <w:tcPr>
                  <w:tcW w:w="675" w:type="dxa"/>
                  <w:vAlign w:val="center"/>
                </w:tcPr>
                <w:p w14:paraId="5F9C6A46">
                  <w:pPr>
                    <w:widowControl w:val="0"/>
                    <w:spacing w:line="240" w:lineRule="auto"/>
                    <w:jc w:val="center"/>
                    <w:rPr>
                      <w:b/>
                      <w:bCs/>
                      <w:color w:val="auto"/>
                      <w:szCs w:val="21"/>
                    </w:rPr>
                  </w:pPr>
                  <w:r>
                    <w:rPr>
                      <w:b/>
                      <w:bCs/>
                      <w:color w:val="auto"/>
                      <w:szCs w:val="21"/>
                    </w:rPr>
                    <w:t>标准</w:t>
                  </w:r>
                </w:p>
                <w:p w14:paraId="0EA5E676">
                  <w:pPr>
                    <w:widowControl w:val="0"/>
                    <w:spacing w:line="240" w:lineRule="auto"/>
                    <w:jc w:val="center"/>
                    <w:rPr>
                      <w:b/>
                      <w:bCs/>
                      <w:color w:val="auto"/>
                      <w:szCs w:val="21"/>
                    </w:rPr>
                  </w:pPr>
                  <w:r>
                    <w:rPr>
                      <w:b/>
                      <w:bCs/>
                      <w:color w:val="auto"/>
                      <w:szCs w:val="21"/>
                    </w:rPr>
                    <w:t>限值</w:t>
                  </w:r>
                </w:p>
              </w:tc>
              <w:tc>
                <w:tcPr>
                  <w:tcW w:w="705" w:type="dxa"/>
                  <w:vAlign w:val="center"/>
                </w:tcPr>
                <w:p w14:paraId="0D86E6FB">
                  <w:pPr>
                    <w:widowControl w:val="0"/>
                    <w:spacing w:line="240" w:lineRule="auto"/>
                    <w:jc w:val="center"/>
                    <w:rPr>
                      <w:b/>
                      <w:bCs/>
                      <w:color w:val="auto"/>
                      <w:szCs w:val="21"/>
                    </w:rPr>
                  </w:pPr>
                  <w:r>
                    <w:rPr>
                      <w:b/>
                      <w:bCs/>
                      <w:color w:val="auto"/>
                      <w:szCs w:val="21"/>
                    </w:rPr>
                    <w:t>判定</w:t>
                  </w:r>
                </w:p>
              </w:tc>
            </w:tr>
            <w:tr w14:paraId="132B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91" w:type="dxa"/>
                  <w:gridSpan w:val="2"/>
                  <w:vAlign w:val="center"/>
                </w:tcPr>
                <w:p w14:paraId="457E85A2">
                  <w:pPr>
                    <w:spacing w:line="240" w:lineRule="auto"/>
                    <w:jc w:val="center"/>
                    <w:rPr>
                      <w:b/>
                      <w:bCs/>
                      <w:color w:val="auto"/>
                      <w:szCs w:val="21"/>
                    </w:rPr>
                  </w:pPr>
                  <w:r>
                    <w:rPr>
                      <w:color w:val="auto"/>
                      <w:szCs w:val="21"/>
                    </w:rPr>
                    <w:t>烟气流速</w:t>
                  </w:r>
                </w:p>
              </w:tc>
              <w:tc>
                <w:tcPr>
                  <w:tcW w:w="930" w:type="dxa"/>
                  <w:vAlign w:val="center"/>
                </w:tcPr>
                <w:p w14:paraId="21D983FA">
                  <w:pPr>
                    <w:spacing w:line="240" w:lineRule="auto"/>
                    <w:jc w:val="center"/>
                    <w:rPr>
                      <w:color w:val="auto"/>
                      <w:szCs w:val="21"/>
                    </w:rPr>
                  </w:pPr>
                  <w:r>
                    <w:rPr>
                      <w:color w:val="auto"/>
                      <w:szCs w:val="21"/>
                    </w:rPr>
                    <w:t>m/s</w:t>
                  </w:r>
                </w:p>
              </w:tc>
              <w:tc>
                <w:tcPr>
                  <w:tcW w:w="2145" w:type="dxa"/>
                  <w:vAlign w:val="center"/>
                </w:tcPr>
                <w:p w14:paraId="30A8C56B">
                  <w:pPr>
                    <w:spacing w:line="240" w:lineRule="auto"/>
                    <w:jc w:val="center"/>
                    <w:rPr>
                      <w:color w:val="auto"/>
                      <w:kern w:val="0"/>
                      <w:szCs w:val="21"/>
                      <w:lang w:bidi="ar"/>
                    </w:rPr>
                  </w:pPr>
                  <w:r>
                    <w:rPr>
                      <w:color w:val="auto"/>
                      <w:kern w:val="0"/>
                      <w:szCs w:val="21"/>
                      <w:lang w:bidi="ar"/>
                    </w:rPr>
                    <w:t>6.9</w:t>
                  </w:r>
                </w:p>
              </w:tc>
              <w:tc>
                <w:tcPr>
                  <w:tcW w:w="738" w:type="dxa"/>
                  <w:vAlign w:val="center"/>
                </w:tcPr>
                <w:p w14:paraId="55AA6B2B">
                  <w:pPr>
                    <w:spacing w:line="240" w:lineRule="auto"/>
                    <w:jc w:val="center"/>
                    <w:rPr>
                      <w:color w:val="auto"/>
                      <w:kern w:val="0"/>
                      <w:szCs w:val="21"/>
                      <w:lang w:bidi="ar"/>
                    </w:rPr>
                  </w:pPr>
                  <w:r>
                    <w:rPr>
                      <w:color w:val="auto"/>
                      <w:szCs w:val="21"/>
                    </w:rPr>
                    <w:t>/</w:t>
                  </w:r>
                </w:p>
              </w:tc>
              <w:tc>
                <w:tcPr>
                  <w:tcW w:w="2292" w:type="dxa"/>
                  <w:vAlign w:val="center"/>
                </w:tcPr>
                <w:p w14:paraId="05DE2D89">
                  <w:pPr>
                    <w:spacing w:line="240" w:lineRule="auto"/>
                    <w:jc w:val="center"/>
                    <w:rPr>
                      <w:color w:val="auto"/>
                      <w:kern w:val="0"/>
                      <w:szCs w:val="21"/>
                      <w:lang w:bidi="ar"/>
                    </w:rPr>
                  </w:pPr>
                  <w:r>
                    <w:rPr>
                      <w:color w:val="auto"/>
                      <w:szCs w:val="21"/>
                    </w:rPr>
                    <w:t>6.4</w:t>
                  </w:r>
                </w:p>
              </w:tc>
              <w:tc>
                <w:tcPr>
                  <w:tcW w:w="675" w:type="dxa"/>
                  <w:vAlign w:val="center"/>
                </w:tcPr>
                <w:p w14:paraId="37859D3D">
                  <w:pPr>
                    <w:spacing w:line="240" w:lineRule="auto"/>
                    <w:jc w:val="center"/>
                    <w:rPr>
                      <w:color w:val="auto"/>
                      <w:szCs w:val="21"/>
                    </w:rPr>
                  </w:pPr>
                  <w:r>
                    <w:rPr>
                      <w:color w:val="auto"/>
                      <w:szCs w:val="21"/>
                    </w:rPr>
                    <w:t>/</w:t>
                  </w:r>
                </w:p>
              </w:tc>
              <w:tc>
                <w:tcPr>
                  <w:tcW w:w="705" w:type="dxa"/>
                  <w:vAlign w:val="center"/>
                </w:tcPr>
                <w:p w14:paraId="1BEDF70B">
                  <w:pPr>
                    <w:spacing w:line="240" w:lineRule="auto"/>
                    <w:jc w:val="center"/>
                    <w:rPr>
                      <w:color w:val="auto"/>
                      <w:szCs w:val="21"/>
                    </w:rPr>
                  </w:pPr>
                  <w:r>
                    <w:rPr>
                      <w:color w:val="auto"/>
                      <w:szCs w:val="21"/>
                    </w:rPr>
                    <w:t>/</w:t>
                  </w:r>
                </w:p>
              </w:tc>
            </w:tr>
            <w:tr w14:paraId="2504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91" w:type="dxa"/>
                  <w:gridSpan w:val="2"/>
                  <w:vAlign w:val="center"/>
                </w:tcPr>
                <w:p w14:paraId="774CF129">
                  <w:pPr>
                    <w:spacing w:line="240" w:lineRule="auto"/>
                    <w:jc w:val="center"/>
                    <w:rPr>
                      <w:b/>
                      <w:bCs/>
                      <w:color w:val="auto"/>
                      <w:szCs w:val="21"/>
                    </w:rPr>
                  </w:pPr>
                  <w:r>
                    <w:rPr>
                      <w:color w:val="auto"/>
                      <w:szCs w:val="21"/>
                    </w:rPr>
                    <w:t>烟气温度</w:t>
                  </w:r>
                </w:p>
              </w:tc>
              <w:tc>
                <w:tcPr>
                  <w:tcW w:w="930" w:type="dxa"/>
                  <w:vAlign w:val="center"/>
                </w:tcPr>
                <w:p w14:paraId="5DCCA369">
                  <w:pPr>
                    <w:spacing w:line="240" w:lineRule="auto"/>
                    <w:jc w:val="center"/>
                    <w:rPr>
                      <w:color w:val="auto"/>
                      <w:szCs w:val="21"/>
                    </w:rPr>
                  </w:pPr>
                  <w:r>
                    <w:rPr>
                      <w:color w:val="auto"/>
                      <w:szCs w:val="21"/>
                    </w:rPr>
                    <w:t>℃</w:t>
                  </w:r>
                </w:p>
              </w:tc>
              <w:tc>
                <w:tcPr>
                  <w:tcW w:w="2145" w:type="dxa"/>
                  <w:vAlign w:val="center"/>
                </w:tcPr>
                <w:p w14:paraId="0EA5D42E">
                  <w:pPr>
                    <w:spacing w:line="240" w:lineRule="auto"/>
                    <w:jc w:val="center"/>
                    <w:rPr>
                      <w:color w:val="auto"/>
                      <w:kern w:val="0"/>
                      <w:szCs w:val="21"/>
                      <w:lang w:bidi="ar"/>
                    </w:rPr>
                  </w:pPr>
                  <w:r>
                    <w:rPr>
                      <w:color w:val="auto"/>
                      <w:szCs w:val="21"/>
                    </w:rPr>
                    <w:t>29</w:t>
                  </w:r>
                </w:p>
              </w:tc>
              <w:tc>
                <w:tcPr>
                  <w:tcW w:w="738" w:type="dxa"/>
                  <w:vAlign w:val="center"/>
                </w:tcPr>
                <w:p w14:paraId="0AC9A4CF">
                  <w:pPr>
                    <w:spacing w:line="240" w:lineRule="auto"/>
                    <w:jc w:val="center"/>
                    <w:rPr>
                      <w:color w:val="auto"/>
                      <w:szCs w:val="21"/>
                    </w:rPr>
                  </w:pPr>
                  <w:r>
                    <w:rPr>
                      <w:color w:val="auto"/>
                      <w:szCs w:val="21"/>
                    </w:rPr>
                    <w:t>/</w:t>
                  </w:r>
                </w:p>
              </w:tc>
              <w:tc>
                <w:tcPr>
                  <w:tcW w:w="2292" w:type="dxa"/>
                  <w:vAlign w:val="center"/>
                </w:tcPr>
                <w:p w14:paraId="74C4403C">
                  <w:pPr>
                    <w:spacing w:line="240" w:lineRule="auto"/>
                    <w:jc w:val="center"/>
                    <w:rPr>
                      <w:color w:val="auto"/>
                      <w:kern w:val="0"/>
                      <w:szCs w:val="21"/>
                      <w:lang w:bidi="ar"/>
                    </w:rPr>
                  </w:pPr>
                  <w:r>
                    <w:rPr>
                      <w:color w:val="auto"/>
                      <w:szCs w:val="21"/>
                    </w:rPr>
                    <w:t>27</w:t>
                  </w:r>
                </w:p>
              </w:tc>
              <w:tc>
                <w:tcPr>
                  <w:tcW w:w="675" w:type="dxa"/>
                  <w:vAlign w:val="center"/>
                </w:tcPr>
                <w:p w14:paraId="27E12FFD">
                  <w:pPr>
                    <w:spacing w:line="240" w:lineRule="auto"/>
                    <w:jc w:val="center"/>
                    <w:rPr>
                      <w:color w:val="auto"/>
                      <w:szCs w:val="21"/>
                    </w:rPr>
                  </w:pPr>
                  <w:r>
                    <w:rPr>
                      <w:color w:val="auto"/>
                      <w:szCs w:val="21"/>
                    </w:rPr>
                    <w:t>/</w:t>
                  </w:r>
                </w:p>
              </w:tc>
              <w:tc>
                <w:tcPr>
                  <w:tcW w:w="705" w:type="dxa"/>
                  <w:vAlign w:val="center"/>
                </w:tcPr>
                <w:p w14:paraId="04FACFDC">
                  <w:pPr>
                    <w:spacing w:line="240" w:lineRule="auto"/>
                    <w:jc w:val="center"/>
                    <w:rPr>
                      <w:color w:val="auto"/>
                      <w:szCs w:val="21"/>
                    </w:rPr>
                  </w:pPr>
                  <w:r>
                    <w:rPr>
                      <w:color w:val="auto"/>
                      <w:szCs w:val="21"/>
                    </w:rPr>
                    <w:t>/</w:t>
                  </w:r>
                </w:p>
              </w:tc>
            </w:tr>
            <w:tr w14:paraId="39F6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91" w:type="dxa"/>
                  <w:gridSpan w:val="2"/>
                  <w:vAlign w:val="center"/>
                </w:tcPr>
                <w:p w14:paraId="4744DBAF">
                  <w:pPr>
                    <w:spacing w:line="240" w:lineRule="auto"/>
                    <w:jc w:val="center"/>
                    <w:rPr>
                      <w:b/>
                      <w:bCs/>
                      <w:color w:val="auto"/>
                      <w:szCs w:val="21"/>
                    </w:rPr>
                  </w:pPr>
                  <w:r>
                    <w:rPr>
                      <w:color w:val="auto"/>
                      <w:szCs w:val="21"/>
                    </w:rPr>
                    <w:t>烟气压力</w:t>
                  </w:r>
                </w:p>
              </w:tc>
              <w:tc>
                <w:tcPr>
                  <w:tcW w:w="930" w:type="dxa"/>
                  <w:vAlign w:val="center"/>
                </w:tcPr>
                <w:p w14:paraId="37AC9AB2">
                  <w:pPr>
                    <w:spacing w:line="240" w:lineRule="auto"/>
                    <w:jc w:val="center"/>
                    <w:rPr>
                      <w:color w:val="auto"/>
                      <w:szCs w:val="21"/>
                    </w:rPr>
                  </w:pPr>
                  <w:r>
                    <w:rPr>
                      <w:color w:val="auto"/>
                      <w:szCs w:val="21"/>
                    </w:rPr>
                    <w:t>KPa</w:t>
                  </w:r>
                </w:p>
              </w:tc>
              <w:tc>
                <w:tcPr>
                  <w:tcW w:w="2145" w:type="dxa"/>
                  <w:vAlign w:val="center"/>
                </w:tcPr>
                <w:p w14:paraId="73B77B7F">
                  <w:pPr>
                    <w:spacing w:line="240" w:lineRule="auto"/>
                    <w:jc w:val="center"/>
                    <w:rPr>
                      <w:color w:val="auto"/>
                      <w:kern w:val="0"/>
                      <w:szCs w:val="21"/>
                      <w:lang w:bidi="ar"/>
                    </w:rPr>
                  </w:pPr>
                  <w:r>
                    <w:rPr>
                      <w:color w:val="auto"/>
                      <w:szCs w:val="21"/>
                    </w:rPr>
                    <w:t>101.56</w:t>
                  </w:r>
                </w:p>
              </w:tc>
              <w:tc>
                <w:tcPr>
                  <w:tcW w:w="738" w:type="dxa"/>
                  <w:vAlign w:val="center"/>
                </w:tcPr>
                <w:p w14:paraId="6109B95C">
                  <w:pPr>
                    <w:spacing w:line="240" w:lineRule="auto"/>
                    <w:jc w:val="center"/>
                    <w:rPr>
                      <w:color w:val="auto"/>
                      <w:szCs w:val="21"/>
                    </w:rPr>
                  </w:pPr>
                  <w:r>
                    <w:rPr>
                      <w:color w:val="auto"/>
                      <w:szCs w:val="21"/>
                    </w:rPr>
                    <w:t>/</w:t>
                  </w:r>
                </w:p>
              </w:tc>
              <w:tc>
                <w:tcPr>
                  <w:tcW w:w="2292" w:type="dxa"/>
                  <w:vAlign w:val="center"/>
                </w:tcPr>
                <w:p w14:paraId="4D18F2EF">
                  <w:pPr>
                    <w:spacing w:line="240" w:lineRule="auto"/>
                    <w:jc w:val="center"/>
                    <w:rPr>
                      <w:color w:val="auto"/>
                      <w:kern w:val="0"/>
                      <w:szCs w:val="21"/>
                      <w:lang w:bidi="ar"/>
                    </w:rPr>
                  </w:pPr>
                  <w:r>
                    <w:rPr>
                      <w:color w:val="auto"/>
                      <w:szCs w:val="21"/>
                    </w:rPr>
                    <w:t>101.63</w:t>
                  </w:r>
                </w:p>
              </w:tc>
              <w:tc>
                <w:tcPr>
                  <w:tcW w:w="675" w:type="dxa"/>
                  <w:vAlign w:val="center"/>
                </w:tcPr>
                <w:p w14:paraId="512CA5F9">
                  <w:pPr>
                    <w:spacing w:line="240" w:lineRule="auto"/>
                    <w:jc w:val="center"/>
                    <w:rPr>
                      <w:color w:val="auto"/>
                      <w:szCs w:val="21"/>
                    </w:rPr>
                  </w:pPr>
                  <w:r>
                    <w:rPr>
                      <w:color w:val="auto"/>
                      <w:szCs w:val="21"/>
                    </w:rPr>
                    <w:t>/</w:t>
                  </w:r>
                </w:p>
              </w:tc>
              <w:tc>
                <w:tcPr>
                  <w:tcW w:w="705" w:type="dxa"/>
                  <w:vAlign w:val="center"/>
                </w:tcPr>
                <w:p w14:paraId="38E8118E">
                  <w:pPr>
                    <w:spacing w:line="240" w:lineRule="auto"/>
                    <w:jc w:val="center"/>
                    <w:rPr>
                      <w:color w:val="auto"/>
                      <w:szCs w:val="21"/>
                    </w:rPr>
                  </w:pPr>
                  <w:r>
                    <w:rPr>
                      <w:color w:val="auto"/>
                      <w:szCs w:val="21"/>
                    </w:rPr>
                    <w:t>/</w:t>
                  </w:r>
                </w:p>
              </w:tc>
            </w:tr>
            <w:tr w14:paraId="234E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91" w:type="dxa"/>
                  <w:gridSpan w:val="2"/>
                  <w:vAlign w:val="center"/>
                </w:tcPr>
                <w:p w14:paraId="3A2B51C3">
                  <w:pPr>
                    <w:spacing w:line="240" w:lineRule="auto"/>
                    <w:jc w:val="center"/>
                    <w:rPr>
                      <w:b/>
                      <w:bCs/>
                      <w:color w:val="auto"/>
                      <w:szCs w:val="21"/>
                    </w:rPr>
                  </w:pPr>
                  <w:r>
                    <w:rPr>
                      <w:color w:val="auto"/>
                      <w:szCs w:val="21"/>
                    </w:rPr>
                    <w:t>烟气含湿量</w:t>
                  </w:r>
                </w:p>
              </w:tc>
              <w:tc>
                <w:tcPr>
                  <w:tcW w:w="930" w:type="dxa"/>
                  <w:vAlign w:val="center"/>
                </w:tcPr>
                <w:p w14:paraId="2AEC69BA">
                  <w:pPr>
                    <w:spacing w:line="240" w:lineRule="auto"/>
                    <w:jc w:val="center"/>
                    <w:rPr>
                      <w:color w:val="auto"/>
                      <w:szCs w:val="21"/>
                    </w:rPr>
                  </w:pPr>
                  <w:r>
                    <w:rPr>
                      <w:color w:val="auto"/>
                      <w:szCs w:val="21"/>
                    </w:rPr>
                    <w:t>%</w:t>
                  </w:r>
                </w:p>
              </w:tc>
              <w:tc>
                <w:tcPr>
                  <w:tcW w:w="2145" w:type="dxa"/>
                  <w:vAlign w:val="center"/>
                </w:tcPr>
                <w:p w14:paraId="4AA0CDC6">
                  <w:pPr>
                    <w:spacing w:line="240" w:lineRule="auto"/>
                    <w:jc w:val="center"/>
                    <w:rPr>
                      <w:color w:val="auto"/>
                      <w:kern w:val="0"/>
                      <w:szCs w:val="21"/>
                      <w:lang w:bidi="ar"/>
                    </w:rPr>
                  </w:pPr>
                  <w:r>
                    <w:rPr>
                      <w:color w:val="auto"/>
                      <w:kern w:val="0"/>
                      <w:szCs w:val="21"/>
                      <w:lang w:bidi="ar"/>
                    </w:rPr>
                    <w:t>2.4</w:t>
                  </w:r>
                </w:p>
              </w:tc>
              <w:tc>
                <w:tcPr>
                  <w:tcW w:w="738" w:type="dxa"/>
                  <w:vAlign w:val="center"/>
                </w:tcPr>
                <w:p w14:paraId="16031088">
                  <w:pPr>
                    <w:spacing w:line="240" w:lineRule="auto"/>
                    <w:jc w:val="center"/>
                    <w:rPr>
                      <w:color w:val="auto"/>
                      <w:kern w:val="0"/>
                      <w:szCs w:val="21"/>
                      <w:lang w:bidi="ar"/>
                    </w:rPr>
                  </w:pPr>
                  <w:r>
                    <w:rPr>
                      <w:color w:val="auto"/>
                      <w:szCs w:val="21"/>
                    </w:rPr>
                    <w:t>/</w:t>
                  </w:r>
                </w:p>
              </w:tc>
              <w:tc>
                <w:tcPr>
                  <w:tcW w:w="2292" w:type="dxa"/>
                  <w:vAlign w:val="center"/>
                </w:tcPr>
                <w:p w14:paraId="0E9DDE97">
                  <w:pPr>
                    <w:spacing w:line="240" w:lineRule="auto"/>
                    <w:jc w:val="center"/>
                    <w:rPr>
                      <w:color w:val="auto"/>
                      <w:kern w:val="0"/>
                      <w:szCs w:val="21"/>
                      <w:lang w:bidi="ar"/>
                    </w:rPr>
                  </w:pPr>
                  <w:r>
                    <w:rPr>
                      <w:color w:val="auto"/>
                      <w:szCs w:val="21"/>
                    </w:rPr>
                    <w:t>2.7</w:t>
                  </w:r>
                </w:p>
              </w:tc>
              <w:tc>
                <w:tcPr>
                  <w:tcW w:w="675" w:type="dxa"/>
                  <w:vAlign w:val="center"/>
                </w:tcPr>
                <w:p w14:paraId="59710EA3">
                  <w:pPr>
                    <w:spacing w:line="240" w:lineRule="auto"/>
                    <w:jc w:val="center"/>
                    <w:rPr>
                      <w:color w:val="auto"/>
                      <w:szCs w:val="21"/>
                    </w:rPr>
                  </w:pPr>
                  <w:r>
                    <w:rPr>
                      <w:color w:val="auto"/>
                      <w:szCs w:val="21"/>
                    </w:rPr>
                    <w:t>/</w:t>
                  </w:r>
                </w:p>
              </w:tc>
              <w:tc>
                <w:tcPr>
                  <w:tcW w:w="705" w:type="dxa"/>
                  <w:vAlign w:val="center"/>
                </w:tcPr>
                <w:p w14:paraId="614B5D80">
                  <w:pPr>
                    <w:spacing w:line="240" w:lineRule="auto"/>
                    <w:jc w:val="center"/>
                    <w:rPr>
                      <w:color w:val="auto"/>
                      <w:szCs w:val="21"/>
                    </w:rPr>
                  </w:pPr>
                  <w:r>
                    <w:rPr>
                      <w:color w:val="auto"/>
                      <w:szCs w:val="21"/>
                    </w:rPr>
                    <w:t>/</w:t>
                  </w:r>
                </w:p>
              </w:tc>
            </w:tr>
            <w:tr w14:paraId="6CDC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91" w:type="dxa"/>
                  <w:gridSpan w:val="2"/>
                  <w:vAlign w:val="center"/>
                </w:tcPr>
                <w:p w14:paraId="26CC6E36">
                  <w:pPr>
                    <w:spacing w:line="240" w:lineRule="auto"/>
                    <w:jc w:val="center"/>
                    <w:rPr>
                      <w:b/>
                      <w:bCs/>
                      <w:color w:val="auto"/>
                      <w:szCs w:val="21"/>
                    </w:rPr>
                  </w:pPr>
                  <w:r>
                    <w:rPr>
                      <w:color w:val="auto"/>
                      <w:szCs w:val="21"/>
                    </w:rPr>
                    <w:t>烟道截面积</w:t>
                  </w:r>
                </w:p>
              </w:tc>
              <w:tc>
                <w:tcPr>
                  <w:tcW w:w="930" w:type="dxa"/>
                  <w:vAlign w:val="center"/>
                </w:tcPr>
                <w:p w14:paraId="0BACDE18">
                  <w:pPr>
                    <w:spacing w:line="240" w:lineRule="auto"/>
                    <w:jc w:val="center"/>
                    <w:rPr>
                      <w:color w:val="auto"/>
                      <w:szCs w:val="21"/>
                    </w:rPr>
                  </w:pPr>
                  <w:r>
                    <w:rPr>
                      <w:color w:val="auto"/>
                      <w:szCs w:val="21"/>
                    </w:rPr>
                    <w:t>m</w:t>
                  </w:r>
                  <w:r>
                    <w:rPr>
                      <w:color w:val="auto"/>
                      <w:szCs w:val="21"/>
                      <w:vertAlign w:val="superscript"/>
                    </w:rPr>
                    <w:t>2</w:t>
                  </w:r>
                </w:p>
              </w:tc>
              <w:tc>
                <w:tcPr>
                  <w:tcW w:w="2145" w:type="dxa"/>
                  <w:vAlign w:val="center"/>
                </w:tcPr>
                <w:p w14:paraId="01D0F558">
                  <w:pPr>
                    <w:spacing w:line="240" w:lineRule="auto"/>
                    <w:jc w:val="center"/>
                    <w:textAlignment w:val="center"/>
                    <w:rPr>
                      <w:color w:val="auto"/>
                      <w:kern w:val="0"/>
                      <w:szCs w:val="21"/>
                      <w:lang w:bidi="ar"/>
                    </w:rPr>
                  </w:pPr>
                  <w:r>
                    <w:rPr>
                      <w:color w:val="auto"/>
                      <w:kern w:val="0"/>
                      <w:szCs w:val="21"/>
                      <w:lang w:bidi="ar"/>
                    </w:rPr>
                    <w:t>0.7854</w:t>
                  </w:r>
                </w:p>
              </w:tc>
              <w:tc>
                <w:tcPr>
                  <w:tcW w:w="738" w:type="dxa"/>
                  <w:vAlign w:val="center"/>
                </w:tcPr>
                <w:p w14:paraId="4860F467">
                  <w:pPr>
                    <w:spacing w:line="240" w:lineRule="auto"/>
                    <w:jc w:val="center"/>
                    <w:rPr>
                      <w:color w:val="auto"/>
                      <w:kern w:val="0"/>
                      <w:szCs w:val="21"/>
                      <w:lang w:bidi="ar"/>
                    </w:rPr>
                  </w:pPr>
                  <w:r>
                    <w:rPr>
                      <w:color w:val="auto"/>
                      <w:szCs w:val="21"/>
                    </w:rPr>
                    <w:t>/</w:t>
                  </w:r>
                </w:p>
              </w:tc>
              <w:tc>
                <w:tcPr>
                  <w:tcW w:w="2292" w:type="dxa"/>
                  <w:vAlign w:val="center"/>
                </w:tcPr>
                <w:p w14:paraId="4A8CFF8B">
                  <w:pPr>
                    <w:spacing w:line="240" w:lineRule="auto"/>
                    <w:jc w:val="center"/>
                    <w:textAlignment w:val="center"/>
                    <w:rPr>
                      <w:color w:val="auto"/>
                      <w:kern w:val="0"/>
                      <w:szCs w:val="21"/>
                      <w:lang w:bidi="ar"/>
                    </w:rPr>
                  </w:pPr>
                  <w:r>
                    <w:rPr>
                      <w:color w:val="auto"/>
                      <w:kern w:val="0"/>
                      <w:szCs w:val="21"/>
                      <w:lang w:bidi="ar"/>
                    </w:rPr>
                    <w:t>0.3318</w:t>
                  </w:r>
                </w:p>
              </w:tc>
              <w:tc>
                <w:tcPr>
                  <w:tcW w:w="675" w:type="dxa"/>
                  <w:vAlign w:val="center"/>
                </w:tcPr>
                <w:p w14:paraId="1E344619">
                  <w:pPr>
                    <w:spacing w:line="240" w:lineRule="auto"/>
                    <w:jc w:val="center"/>
                    <w:rPr>
                      <w:color w:val="auto"/>
                      <w:szCs w:val="21"/>
                    </w:rPr>
                  </w:pPr>
                  <w:r>
                    <w:rPr>
                      <w:color w:val="auto"/>
                      <w:szCs w:val="21"/>
                    </w:rPr>
                    <w:t>/</w:t>
                  </w:r>
                </w:p>
              </w:tc>
              <w:tc>
                <w:tcPr>
                  <w:tcW w:w="705" w:type="dxa"/>
                  <w:vAlign w:val="center"/>
                </w:tcPr>
                <w:p w14:paraId="5671F550">
                  <w:pPr>
                    <w:spacing w:line="240" w:lineRule="auto"/>
                    <w:jc w:val="center"/>
                    <w:rPr>
                      <w:color w:val="auto"/>
                      <w:szCs w:val="21"/>
                    </w:rPr>
                  </w:pPr>
                  <w:r>
                    <w:rPr>
                      <w:color w:val="auto"/>
                      <w:szCs w:val="21"/>
                    </w:rPr>
                    <w:t>/</w:t>
                  </w:r>
                </w:p>
              </w:tc>
            </w:tr>
            <w:tr w14:paraId="7B6F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091" w:type="dxa"/>
                  <w:gridSpan w:val="2"/>
                  <w:vAlign w:val="center"/>
                </w:tcPr>
                <w:p w14:paraId="6FE903DD">
                  <w:pPr>
                    <w:spacing w:line="240" w:lineRule="auto"/>
                    <w:jc w:val="center"/>
                    <w:rPr>
                      <w:color w:val="auto"/>
                      <w:szCs w:val="21"/>
                    </w:rPr>
                  </w:pPr>
                  <w:r>
                    <w:rPr>
                      <w:color w:val="auto"/>
                      <w:szCs w:val="21"/>
                    </w:rPr>
                    <w:t>标干流量</w:t>
                  </w:r>
                </w:p>
              </w:tc>
              <w:tc>
                <w:tcPr>
                  <w:tcW w:w="930" w:type="dxa"/>
                  <w:vAlign w:val="center"/>
                </w:tcPr>
                <w:p w14:paraId="59461EB5">
                  <w:pPr>
                    <w:spacing w:line="240" w:lineRule="auto"/>
                    <w:jc w:val="center"/>
                    <w:rPr>
                      <w:color w:val="auto"/>
                      <w:szCs w:val="21"/>
                    </w:rPr>
                  </w:pPr>
                  <w:r>
                    <w:rPr>
                      <w:color w:val="auto"/>
                      <w:szCs w:val="21"/>
                    </w:rPr>
                    <w:t>m</w:t>
                  </w:r>
                  <w:r>
                    <w:rPr>
                      <w:color w:val="auto"/>
                      <w:szCs w:val="21"/>
                      <w:vertAlign w:val="superscript"/>
                    </w:rPr>
                    <w:t>3</w:t>
                  </w:r>
                  <w:r>
                    <w:rPr>
                      <w:color w:val="auto"/>
                      <w:szCs w:val="21"/>
                    </w:rPr>
                    <w:t>/h</w:t>
                  </w:r>
                </w:p>
              </w:tc>
              <w:tc>
                <w:tcPr>
                  <w:tcW w:w="2145" w:type="dxa"/>
                  <w:vAlign w:val="center"/>
                </w:tcPr>
                <w:p w14:paraId="7214F578">
                  <w:pPr>
                    <w:spacing w:line="240" w:lineRule="auto"/>
                    <w:jc w:val="center"/>
                    <w:textAlignment w:val="center"/>
                    <w:rPr>
                      <w:color w:val="auto"/>
                      <w:szCs w:val="21"/>
                    </w:rPr>
                  </w:pPr>
                  <w:r>
                    <w:rPr>
                      <w:color w:val="auto"/>
                      <w:kern w:val="0"/>
                      <w:szCs w:val="21"/>
                      <w:lang w:bidi="ar"/>
                    </w:rPr>
                    <w:t>17242</w:t>
                  </w:r>
                </w:p>
              </w:tc>
              <w:tc>
                <w:tcPr>
                  <w:tcW w:w="738" w:type="dxa"/>
                  <w:vAlign w:val="center"/>
                </w:tcPr>
                <w:p w14:paraId="2919F621">
                  <w:pPr>
                    <w:spacing w:line="240" w:lineRule="auto"/>
                    <w:jc w:val="center"/>
                    <w:textAlignment w:val="center"/>
                    <w:rPr>
                      <w:color w:val="auto"/>
                      <w:kern w:val="0"/>
                      <w:szCs w:val="21"/>
                      <w:lang w:bidi="ar"/>
                    </w:rPr>
                  </w:pPr>
                  <w:r>
                    <w:rPr>
                      <w:color w:val="auto"/>
                      <w:kern w:val="0"/>
                      <w:szCs w:val="21"/>
                      <w:lang w:bidi="ar"/>
                    </w:rPr>
                    <w:t>/</w:t>
                  </w:r>
                </w:p>
              </w:tc>
              <w:tc>
                <w:tcPr>
                  <w:tcW w:w="2292" w:type="dxa"/>
                  <w:vAlign w:val="center"/>
                </w:tcPr>
                <w:p w14:paraId="64041B70">
                  <w:pPr>
                    <w:spacing w:line="240" w:lineRule="auto"/>
                    <w:jc w:val="center"/>
                    <w:textAlignment w:val="center"/>
                    <w:rPr>
                      <w:color w:val="auto"/>
                      <w:szCs w:val="21"/>
                    </w:rPr>
                  </w:pPr>
                  <w:r>
                    <w:rPr>
                      <w:color w:val="auto"/>
                      <w:kern w:val="0"/>
                      <w:szCs w:val="21"/>
                      <w:lang w:bidi="ar"/>
                    </w:rPr>
                    <w:t>22015</w:t>
                  </w:r>
                </w:p>
              </w:tc>
              <w:tc>
                <w:tcPr>
                  <w:tcW w:w="675" w:type="dxa"/>
                  <w:vAlign w:val="center"/>
                </w:tcPr>
                <w:p w14:paraId="0C9D9486">
                  <w:pPr>
                    <w:spacing w:line="240" w:lineRule="auto"/>
                    <w:jc w:val="center"/>
                    <w:rPr>
                      <w:color w:val="auto"/>
                      <w:szCs w:val="21"/>
                    </w:rPr>
                  </w:pPr>
                  <w:r>
                    <w:rPr>
                      <w:color w:val="auto"/>
                      <w:szCs w:val="21"/>
                    </w:rPr>
                    <w:t>/</w:t>
                  </w:r>
                </w:p>
              </w:tc>
              <w:tc>
                <w:tcPr>
                  <w:tcW w:w="705" w:type="dxa"/>
                  <w:vAlign w:val="center"/>
                </w:tcPr>
                <w:p w14:paraId="14577D53">
                  <w:pPr>
                    <w:spacing w:line="240" w:lineRule="auto"/>
                    <w:jc w:val="center"/>
                    <w:rPr>
                      <w:color w:val="auto"/>
                      <w:szCs w:val="21"/>
                    </w:rPr>
                  </w:pPr>
                  <w:r>
                    <w:rPr>
                      <w:color w:val="auto"/>
                      <w:szCs w:val="21"/>
                    </w:rPr>
                    <w:t>/</w:t>
                  </w:r>
                </w:p>
              </w:tc>
            </w:tr>
            <w:tr w14:paraId="2532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12" w:type="dxa"/>
                  <w:vMerge w:val="restart"/>
                  <w:vAlign w:val="center"/>
                </w:tcPr>
                <w:p w14:paraId="006D39EF">
                  <w:pPr>
                    <w:spacing w:line="240" w:lineRule="auto"/>
                    <w:jc w:val="center"/>
                    <w:rPr>
                      <w:color w:val="auto"/>
                      <w:szCs w:val="21"/>
                    </w:rPr>
                  </w:pPr>
                  <w:r>
                    <w:rPr>
                      <w:bCs/>
                      <w:color w:val="auto"/>
                      <w:szCs w:val="21"/>
                    </w:rPr>
                    <w:t>硫酸雾</w:t>
                  </w:r>
                </w:p>
              </w:tc>
              <w:tc>
                <w:tcPr>
                  <w:tcW w:w="1179" w:type="dxa"/>
                  <w:vAlign w:val="center"/>
                </w:tcPr>
                <w:p w14:paraId="7954304E">
                  <w:pPr>
                    <w:spacing w:line="240" w:lineRule="auto"/>
                    <w:jc w:val="center"/>
                    <w:rPr>
                      <w:color w:val="auto"/>
                      <w:szCs w:val="21"/>
                    </w:rPr>
                  </w:pPr>
                  <w:r>
                    <w:rPr>
                      <w:color w:val="auto"/>
                      <w:szCs w:val="21"/>
                    </w:rPr>
                    <w:t>排放浓度</w:t>
                  </w:r>
                </w:p>
              </w:tc>
              <w:tc>
                <w:tcPr>
                  <w:tcW w:w="930" w:type="dxa"/>
                  <w:vAlign w:val="center"/>
                </w:tcPr>
                <w:p w14:paraId="2DCE202B">
                  <w:pPr>
                    <w:spacing w:line="240" w:lineRule="auto"/>
                    <w:jc w:val="center"/>
                    <w:rPr>
                      <w:color w:val="auto"/>
                      <w:szCs w:val="21"/>
                    </w:rPr>
                  </w:pPr>
                  <w:r>
                    <w:rPr>
                      <w:color w:val="auto"/>
                      <w:szCs w:val="21"/>
                    </w:rPr>
                    <w:t>mg/m</w:t>
                  </w:r>
                  <w:r>
                    <w:rPr>
                      <w:color w:val="auto"/>
                      <w:szCs w:val="21"/>
                      <w:vertAlign w:val="superscript"/>
                    </w:rPr>
                    <w:t>3</w:t>
                  </w:r>
                </w:p>
              </w:tc>
              <w:tc>
                <w:tcPr>
                  <w:tcW w:w="2145" w:type="dxa"/>
                  <w:vAlign w:val="center"/>
                </w:tcPr>
                <w:p w14:paraId="57B4CBFD">
                  <w:pPr>
                    <w:spacing w:line="240" w:lineRule="auto"/>
                    <w:jc w:val="center"/>
                    <w:textAlignment w:val="center"/>
                    <w:rPr>
                      <w:color w:val="auto"/>
                      <w:szCs w:val="21"/>
                    </w:rPr>
                  </w:pPr>
                  <w:r>
                    <w:rPr>
                      <w:color w:val="auto"/>
                      <w:kern w:val="0"/>
                      <w:szCs w:val="21"/>
                      <w:lang w:bidi="ar"/>
                    </w:rPr>
                    <w:t>0.40</w:t>
                  </w:r>
                </w:p>
              </w:tc>
              <w:tc>
                <w:tcPr>
                  <w:tcW w:w="738" w:type="dxa"/>
                  <w:vAlign w:val="center"/>
                </w:tcPr>
                <w:p w14:paraId="4E0295DB">
                  <w:pPr>
                    <w:spacing w:line="240" w:lineRule="auto"/>
                    <w:jc w:val="center"/>
                    <w:textAlignment w:val="center"/>
                    <w:rPr>
                      <w:color w:val="auto"/>
                      <w:kern w:val="0"/>
                      <w:szCs w:val="21"/>
                      <w:lang w:bidi="ar"/>
                    </w:rPr>
                  </w:pPr>
                  <w:r>
                    <w:rPr>
                      <w:color w:val="auto"/>
                      <w:kern w:val="0"/>
                      <w:szCs w:val="21"/>
                      <w:lang w:bidi="ar"/>
                    </w:rPr>
                    <w:t>/</w:t>
                  </w:r>
                </w:p>
              </w:tc>
              <w:tc>
                <w:tcPr>
                  <w:tcW w:w="2292" w:type="dxa"/>
                  <w:vAlign w:val="center"/>
                </w:tcPr>
                <w:p w14:paraId="543BD071">
                  <w:pPr>
                    <w:spacing w:line="240" w:lineRule="auto"/>
                    <w:jc w:val="center"/>
                    <w:textAlignment w:val="center"/>
                    <w:rPr>
                      <w:color w:val="auto"/>
                      <w:szCs w:val="21"/>
                    </w:rPr>
                  </w:pPr>
                  <w:r>
                    <w:rPr>
                      <w:color w:val="auto"/>
                      <w:kern w:val="0"/>
                      <w:szCs w:val="21"/>
                      <w:lang w:bidi="ar"/>
                    </w:rPr>
                    <w:t>ND</w:t>
                  </w:r>
                </w:p>
              </w:tc>
              <w:tc>
                <w:tcPr>
                  <w:tcW w:w="675" w:type="dxa"/>
                  <w:vAlign w:val="center"/>
                </w:tcPr>
                <w:p w14:paraId="15B86FBF">
                  <w:pPr>
                    <w:spacing w:line="240" w:lineRule="auto"/>
                    <w:jc w:val="center"/>
                    <w:rPr>
                      <w:rFonts w:hint="default" w:eastAsia="宋体"/>
                      <w:color w:val="auto"/>
                      <w:szCs w:val="21"/>
                      <w:lang w:val="en-US" w:eastAsia="zh-CN"/>
                    </w:rPr>
                  </w:pPr>
                  <w:r>
                    <w:rPr>
                      <w:rFonts w:hint="eastAsia"/>
                      <w:color w:val="auto"/>
                      <w:szCs w:val="21"/>
                      <w:lang w:val="en-US" w:eastAsia="zh-CN"/>
                    </w:rPr>
                    <w:t>15</w:t>
                  </w:r>
                </w:p>
              </w:tc>
              <w:tc>
                <w:tcPr>
                  <w:tcW w:w="705" w:type="dxa"/>
                  <w:vAlign w:val="center"/>
                </w:tcPr>
                <w:p w14:paraId="5FA3AD0E">
                  <w:pPr>
                    <w:spacing w:line="240" w:lineRule="auto"/>
                    <w:jc w:val="center"/>
                    <w:rPr>
                      <w:color w:val="auto"/>
                      <w:szCs w:val="21"/>
                    </w:rPr>
                  </w:pPr>
                  <w:r>
                    <w:rPr>
                      <w:color w:val="auto"/>
                      <w:szCs w:val="21"/>
                    </w:rPr>
                    <w:t>符合</w:t>
                  </w:r>
                </w:p>
              </w:tc>
            </w:tr>
            <w:tr w14:paraId="23EE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12" w:type="dxa"/>
                  <w:vMerge w:val="continue"/>
                  <w:vAlign w:val="center"/>
                </w:tcPr>
                <w:p w14:paraId="2A10A5E6">
                  <w:pPr>
                    <w:spacing w:line="240" w:lineRule="auto"/>
                    <w:jc w:val="center"/>
                    <w:rPr>
                      <w:color w:val="auto"/>
                      <w:szCs w:val="21"/>
                    </w:rPr>
                  </w:pPr>
                </w:p>
              </w:tc>
              <w:tc>
                <w:tcPr>
                  <w:tcW w:w="1179" w:type="dxa"/>
                  <w:vAlign w:val="center"/>
                </w:tcPr>
                <w:p w14:paraId="5BB93461">
                  <w:pPr>
                    <w:spacing w:line="240" w:lineRule="auto"/>
                    <w:jc w:val="center"/>
                    <w:rPr>
                      <w:color w:val="auto"/>
                      <w:szCs w:val="21"/>
                    </w:rPr>
                  </w:pPr>
                  <w:r>
                    <w:rPr>
                      <w:color w:val="auto"/>
                      <w:szCs w:val="21"/>
                    </w:rPr>
                    <w:t>排放速率</w:t>
                  </w:r>
                </w:p>
              </w:tc>
              <w:tc>
                <w:tcPr>
                  <w:tcW w:w="930" w:type="dxa"/>
                  <w:vAlign w:val="center"/>
                </w:tcPr>
                <w:p w14:paraId="6B1B668B">
                  <w:pPr>
                    <w:spacing w:line="240" w:lineRule="auto"/>
                    <w:jc w:val="center"/>
                    <w:rPr>
                      <w:color w:val="auto"/>
                      <w:szCs w:val="21"/>
                    </w:rPr>
                  </w:pPr>
                  <w:r>
                    <w:rPr>
                      <w:color w:val="auto"/>
                      <w:szCs w:val="21"/>
                    </w:rPr>
                    <w:t>kg/h</w:t>
                  </w:r>
                </w:p>
              </w:tc>
              <w:tc>
                <w:tcPr>
                  <w:tcW w:w="2145" w:type="dxa"/>
                  <w:vAlign w:val="center"/>
                </w:tcPr>
                <w:p w14:paraId="1539E5A0">
                  <w:pPr>
                    <w:spacing w:line="240" w:lineRule="auto"/>
                    <w:jc w:val="center"/>
                    <w:textAlignment w:val="center"/>
                    <w:rPr>
                      <w:color w:val="auto"/>
                      <w:szCs w:val="21"/>
                    </w:rPr>
                  </w:pPr>
                  <w:r>
                    <w:rPr>
                      <w:color w:val="auto"/>
                      <w:kern w:val="0"/>
                      <w:szCs w:val="21"/>
                      <w:lang w:bidi="ar"/>
                    </w:rPr>
                    <w:t xml:space="preserve">0.00690 </w:t>
                  </w:r>
                </w:p>
              </w:tc>
              <w:tc>
                <w:tcPr>
                  <w:tcW w:w="738" w:type="dxa"/>
                  <w:vAlign w:val="center"/>
                </w:tcPr>
                <w:p w14:paraId="692AD9CE">
                  <w:pPr>
                    <w:spacing w:line="240" w:lineRule="auto"/>
                    <w:jc w:val="center"/>
                    <w:rPr>
                      <w:color w:val="auto"/>
                      <w:kern w:val="0"/>
                      <w:szCs w:val="21"/>
                      <w:lang w:bidi="ar"/>
                    </w:rPr>
                  </w:pPr>
                  <w:r>
                    <w:rPr>
                      <w:color w:val="auto"/>
                      <w:kern w:val="0"/>
                      <w:szCs w:val="21"/>
                      <w:lang w:bidi="ar"/>
                    </w:rPr>
                    <w:t>/</w:t>
                  </w:r>
                </w:p>
              </w:tc>
              <w:tc>
                <w:tcPr>
                  <w:tcW w:w="2292" w:type="dxa"/>
                  <w:vAlign w:val="center"/>
                </w:tcPr>
                <w:p w14:paraId="2BF293E5">
                  <w:pPr>
                    <w:spacing w:line="240" w:lineRule="auto"/>
                    <w:jc w:val="center"/>
                    <w:textAlignment w:val="center"/>
                    <w:rPr>
                      <w:color w:val="auto"/>
                      <w:szCs w:val="21"/>
                    </w:rPr>
                  </w:pPr>
                  <w:r>
                    <w:rPr>
                      <w:color w:val="auto"/>
                      <w:kern w:val="0"/>
                      <w:szCs w:val="21"/>
                      <w:lang w:bidi="ar"/>
                    </w:rPr>
                    <w:t>0.0022</w:t>
                  </w:r>
                </w:p>
              </w:tc>
              <w:tc>
                <w:tcPr>
                  <w:tcW w:w="675" w:type="dxa"/>
                  <w:vAlign w:val="center"/>
                </w:tcPr>
                <w:p w14:paraId="14208CCA">
                  <w:pPr>
                    <w:spacing w:line="240" w:lineRule="auto"/>
                    <w:jc w:val="center"/>
                    <w:rPr>
                      <w:rFonts w:hint="eastAsia" w:eastAsia="宋体"/>
                      <w:color w:val="auto"/>
                      <w:szCs w:val="21"/>
                      <w:lang w:eastAsia="zh-CN"/>
                    </w:rPr>
                  </w:pPr>
                  <w:r>
                    <w:rPr>
                      <w:rFonts w:hint="eastAsia"/>
                      <w:color w:val="auto"/>
                      <w:szCs w:val="21"/>
                      <w:lang w:val="en-US" w:eastAsia="zh-CN"/>
                    </w:rPr>
                    <w:t>/</w:t>
                  </w:r>
                </w:p>
              </w:tc>
              <w:tc>
                <w:tcPr>
                  <w:tcW w:w="705" w:type="dxa"/>
                  <w:vAlign w:val="center"/>
                </w:tcPr>
                <w:p w14:paraId="3FC5D7A2">
                  <w:pPr>
                    <w:spacing w:line="240" w:lineRule="auto"/>
                    <w:jc w:val="center"/>
                    <w:rPr>
                      <w:color w:val="auto"/>
                      <w:szCs w:val="21"/>
                    </w:rPr>
                  </w:pPr>
                  <w:r>
                    <w:rPr>
                      <w:color w:val="auto"/>
                      <w:szCs w:val="21"/>
                    </w:rPr>
                    <w:t>符合</w:t>
                  </w:r>
                </w:p>
              </w:tc>
            </w:tr>
            <w:tr w14:paraId="7182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12" w:type="dxa"/>
                  <w:vMerge w:val="restart"/>
                  <w:vAlign w:val="center"/>
                </w:tcPr>
                <w:p w14:paraId="02A06791">
                  <w:pPr>
                    <w:spacing w:line="240" w:lineRule="auto"/>
                    <w:jc w:val="center"/>
                    <w:rPr>
                      <w:color w:val="auto"/>
                      <w:szCs w:val="21"/>
                    </w:rPr>
                  </w:pPr>
                  <w:r>
                    <w:rPr>
                      <w:color w:val="auto"/>
                      <w:szCs w:val="21"/>
                    </w:rPr>
                    <w:t>硝酸雾</w:t>
                  </w:r>
                </w:p>
              </w:tc>
              <w:tc>
                <w:tcPr>
                  <w:tcW w:w="1179" w:type="dxa"/>
                  <w:vAlign w:val="center"/>
                </w:tcPr>
                <w:p w14:paraId="5EB1DB66">
                  <w:pPr>
                    <w:spacing w:line="240" w:lineRule="auto"/>
                    <w:jc w:val="center"/>
                    <w:rPr>
                      <w:color w:val="auto"/>
                      <w:szCs w:val="21"/>
                    </w:rPr>
                  </w:pPr>
                  <w:r>
                    <w:rPr>
                      <w:color w:val="auto"/>
                      <w:szCs w:val="21"/>
                    </w:rPr>
                    <w:t>排放浓度</w:t>
                  </w:r>
                </w:p>
              </w:tc>
              <w:tc>
                <w:tcPr>
                  <w:tcW w:w="930" w:type="dxa"/>
                  <w:vAlign w:val="center"/>
                </w:tcPr>
                <w:p w14:paraId="683ABAF6">
                  <w:pPr>
                    <w:spacing w:line="240" w:lineRule="auto"/>
                    <w:jc w:val="center"/>
                    <w:rPr>
                      <w:color w:val="auto"/>
                      <w:szCs w:val="21"/>
                    </w:rPr>
                  </w:pPr>
                  <w:r>
                    <w:rPr>
                      <w:color w:val="auto"/>
                      <w:szCs w:val="21"/>
                    </w:rPr>
                    <w:t>mg/m</w:t>
                  </w:r>
                  <w:r>
                    <w:rPr>
                      <w:color w:val="auto"/>
                      <w:szCs w:val="21"/>
                      <w:vertAlign w:val="superscript"/>
                    </w:rPr>
                    <w:t>3</w:t>
                  </w:r>
                </w:p>
              </w:tc>
              <w:tc>
                <w:tcPr>
                  <w:tcW w:w="2145" w:type="dxa"/>
                  <w:vAlign w:val="center"/>
                </w:tcPr>
                <w:p w14:paraId="30235738">
                  <w:pPr>
                    <w:spacing w:line="240" w:lineRule="auto"/>
                    <w:jc w:val="center"/>
                    <w:textAlignment w:val="center"/>
                    <w:rPr>
                      <w:color w:val="auto"/>
                      <w:kern w:val="0"/>
                      <w:szCs w:val="21"/>
                      <w:lang w:bidi="ar"/>
                    </w:rPr>
                  </w:pPr>
                  <w:r>
                    <w:rPr>
                      <w:color w:val="auto"/>
                      <w:kern w:val="0"/>
                      <w:szCs w:val="21"/>
                      <w:lang w:bidi="ar"/>
                    </w:rPr>
                    <w:t>ND</w:t>
                  </w:r>
                </w:p>
              </w:tc>
              <w:tc>
                <w:tcPr>
                  <w:tcW w:w="738" w:type="dxa"/>
                  <w:vAlign w:val="center"/>
                </w:tcPr>
                <w:p w14:paraId="56D5CFBE">
                  <w:pPr>
                    <w:spacing w:line="240" w:lineRule="auto"/>
                    <w:jc w:val="center"/>
                    <w:rPr>
                      <w:color w:val="auto"/>
                      <w:kern w:val="0"/>
                      <w:szCs w:val="21"/>
                      <w:lang w:bidi="ar"/>
                    </w:rPr>
                  </w:pPr>
                  <w:r>
                    <w:rPr>
                      <w:color w:val="auto"/>
                      <w:kern w:val="0"/>
                      <w:szCs w:val="21"/>
                      <w:lang w:bidi="ar"/>
                    </w:rPr>
                    <w:t>/</w:t>
                  </w:r>
                </w:p>
              </w:tc>
              <w:tc>
                <w:tcPr>
                  <w:tcW w:w="2292" w:type="dxa"/>
                  <w:vAlign w:val="center"/>
                </w:tcPr>
                <w:p w14:paraId="638F820A">
                  <w:pPr>
                    <w:spacing w:line="240" w:lineRule="auto"/>
                    <w:jc w:val="center"/>
                    <w:textAlignment w:val="center"/>
                    <w:rPr>
                      <w:color w:val="auto"/>
                      <w:kern w:val="0"/>
                      <w:szCs w:val="21"/>
                      <w:lang w:bidi="ar"/>
                    </w:rPr>
                  </w:pPr>
                  <w:r>
                    <w:rPr>
                      <w:color w:val="auto"/>
                      <w:kern w:val="0"/>
                      <w:szCs w:val="21"/>
                      <w:lang w:bidi="ar"/>
                    </w:rPr>
                    <w:t>ND</w:t>
                  </w:r>
                </w:p>
              </w:tc>
              <w:tc>
                <w:tcPr>
                  <w:tcW w:w="675" w:type="dxa"/>
                  <w:vAlign w:val="center"/>
                </w:tcPr>
                <w:p w14:paraId="137CA78E">
                  <w:pPr>
                    <w:spacing w:line="240" w:lineRule="auto"/>
                    <w:jc w:val="center"/>
                    <w:rPr>
                      <w:color w:val="auto"/>
                      <w:szCs w:val="21"/>
                    </w:rPr>
                  </w:pPr>
                  <w:r>
                    <w:rPr>
                      <w:rFonts w:hint="eastAsia"/>
                      <w:color w:val="auto"/>
                      <w:szCs w:val="21"/>
                      <w:lang w:val="en-US" w:eastAsia="zh-CN"/>
                    </w:rPr>
                    <w:t>1</w:t>
                  </w:r>
                  <w:r>
                    <w:rPr>
                      <w:color w:val="auto"/>
                      <w:szCs w:val="21"/>
                    </w:rPr>
                    <w:t>00</w:t>
                  </w:r>
                </w:p>
              </w:tc>
              <w:tc>
                <w:tcPr>
                  <w:tcW w:w="705" w:type="dxa"/>
                  <w:vAlign w:val="center"/>
                </w:tcPr>
                <w:p w14:paraId="3034B7F9">
                  <w:pPr>
                    <w:spacing w:line="240" w:lineRule="auto"/>
                    <w:jc w:val="center"/>
                    <w:rPr>
                      <w:color w:val="auto"/>
                      <w:szCs w:val="21"/>
                    </w:rPr>
                  </w:pPr>
                  <w:r>
                    <w:rPr>
                      <w:color w:val="auto"/>
                      <w:szCs w:val="21"/>
                    </w:rPr>
                    <w:t>符合</w:t>
                  </w:r>
                </w:p>
              </w:tc>
            </w:tr>
            <w:tr w14:paraId="3E4C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12" w:type="dxa"/>
                  <w:vMerge w:val="continue"/>
                  <w:vAlign w:val="center"/>
                </w:tcPr>
                <w:p w14:paraId="37719B4E">
                  <w:pPr>
                    <w:spacing w:line="240" w:lineRule="auto"/>
                    <w:jc w:val="center"/>
                    <w:rPr>
                      <w:color w:val="auto"/>
                      <w:szCs w:val="21"/>
                    </w:rPr>
                  </w:pPr>
                </w:p>
              </w:tc>
              <w:tc>
                <w:tcPr>
                  <w:tcW w:w="1179" w:type="dxa"/>
                  <w:vAlign w:val="center"/>
                </w:tcPr>
                <w:p w14:paraId="1C5FDA60">
                  <w:pPr>
                    <w:spacing w:line="240" w:lineRule="auto"/>
                    <w:jc w:val="center"/>
                    <w:rPr>
                      <w:color w:val="auto"/>
                      <w:szCs w:val="21"/>
                    </w:rPr>
                  </w:pPr>
                  <w:r>
                    <w:rPr>
                      <w:color w:val="auto"/>
                      <w:szCs w:val="21"/>
                    </w:rPr>
                    <w:t>排放速率</w:t>
                  </w:r>
                </w:p>
              </w:tc>
              <w:tc>
                <w:tcPr>
                  <w:tcW w:w="930" w:type="dxa"/>
                  <w:vAlign w:val="center"/>
                </w:tcPr>
                <w:p w14:paraId="244962F4">
                  <w:pPr>
                    <w:spacing w:line="240" w:lineRule="auto"/>
                    <w:jc w:val="center"/>
                    <w:rPr>
                      <w:color w:val="auto"/>
                      <w:szCs w:val="21"/>
                    </w:rPr>
                  </w:pPr>
                  <w:r>
                    <w:rPr>
                      <w:color w:val="auto"/>
                      <w:szCs w:val="21"/>
                    </w:rPr>
                    <w:t>kg/h</w:t>
                  </w:r>
                </w:p>
              </w:tc>
              <w:tc>
                <w:tcPr>
                  <w:tcW w:w="2145" w:type="dxa"/>
                  <w:vAlign w:val="center"/>
                </w:tcPr>
                <w:p w14:paraId="2E65E875">
                  <w:pPr>
                    <w:spacing w:line="240" w:lineRule="auto"/>
                    <w:jc w:val="center"/>
                    <w:textAlignment w:val="center"/>
                    <w:rPr>
                      <w:color w:val="auto"/>
                      <w:kern w:val="0"/>
                      <w:szCs w:val="21"/>
                      <w:lang w:bidi="ar"/>
                    </w:rPr>
                  </w:pPr>
                  <w:r>
                    <w:rPr>
                      <w:color w:val="auto"/>
                      <w:kern w:val="0"/>
                      <w:szCs w:val="21"/>
                      <w:lang w:bidi="ar"/>
                    </w:rPr>
                    <w:t xml:space="preserve">0.000431 </w:t>
                  </w:r>
                </w:p>
              </w:tc>
              <w:tc>
                <w:tcPr>
                  <w:tcW w:w="738" w:type="dxa"/>
                  <w:vAlign w:val="center"/>
                </w:tcPr>
                <w:p w14:paraId="1693A4BA">
                  <w:pPr>
                    <w:spacing w:line="240" w:lineRule="auto"/>
                    <w:jc w:val="center"/>
                    <w:rPr>
                      <w:color w:val="auto"/>
                      <w:kern w:val="0"/>
                      <w:szCs w:val="21"/>
                      <w:lang w:bidi="ar"/>
                    </w:rPr>
                  </w:pPr>
                  <w:r>
                    <w:rPr>
                      <w:color w:val="auto"/>
                      <w:kern w:val="0"/>
                      <w:szCs w:val="21"/>
                      <w:lang w:bidi="ar"/>
                    </w:rPr>
                    <w:t>/</w:t>
                  </w:r>
                </w:p>
              </w:tc>
              <w:tc>
                <w:tcPr>
                  <w:tcW w:w="2292" w:type="dxa"/>
                  <w:vAlign w:val="center"/>
                </w:tcPr>
                <w:p w14:paraId="39232D57">
                  <w:pPr>
                    <w:spacing w:line="240" w:lineRule="auto"/>
                    <w:jc w:val="center"/>
                    <w:textAlignment w:val="center"/>
                    <w:rPr>
                      <w:color w:val="auto"/>
                      <w:kern w:val="0"/>
                      <w:szCs w:val="21"/>
                      <w:lang w:bidi="ar"/>
                    </w:rPr>
                  </w:pPr>
                  <w:r>
                    <w:rPr>
                      <w:color w:val="auto"/>
                      <w:kern w:val="0"/>
                      <w:szCs w:val="21"/>
                      <w:lang w:bidi="ar"/>
                    </w:rPr>
                    <w:t>0.00055</w:t>
                  </w:r>
                </w:p>
              </w:tc>
              <w:tc>
                <w:tcPr>
                  <w:tcW w:w="675" w:type="dxa"/>
                  <w:vAlign w:val="center"/>
                </w:tcPr>
                <w:p w14:paraId="158F3E2C">
                  <w:pPr>
                    <w:spacing w:line="240" w:lineRule="auto"/>
                    <w:jc w:val="center"/>
                    <w:rPr>
                      <w:color w:val="auto"/>
                      <w:szCs w:val="21"/>
                    </w:rPr>
                  </w:pPr>
                  <w:r>
                    <w:rPr>
                      <w:color w:val="auto"/>
                      <w:szCs w:val="21"/>
                    </w:rPr>
                    <w:t>/</w:t>
                  </w:r>
                </w:p>
              </w:tc>
              <w:tc>
                <w:tcPr>
                  <w:tcW w:w="705" w:type="dxa"/>
                  <w:vAlign w:val="center"/>
                </w:tcPr>
                <w:p w14:paraId="3350D01D">
                  <w:pPr>
                    <w:spacing w:line="240" w:lineRule="auto"/>
                    <w:jc w:val="center"/>
                    <w:rPr>
                      <w:color w:val="auto"/>
                      <w:szCs w:val="21"/>
                    </w:rPr>
                  </w:pPr>
                  <w:r>
                    <w:rPr>
                      <w:color w:val="auto"/>
                      <w:szCs w:val="21"/>
                    </w:rPr>
                    <w:t>/</w:t>
                  </w:r>
                </w:p>
              </w:tc>
            </w:tr>
            <w:tr w14:paraId="0BC2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6" w:type="dxa"/>
                  <w:gridSpan w:val="8"/>
                  <w:vAlign w:val="center"/>
                </w:tcPr>
                <w:p w14:paraId="1F03AE7E">
                  <w:pPr>
                    <w:spacing w:line="240" w:lineRule="auto"/>
                    <w:jc w:val="both"/>
                    <w:rPr>
                      <w:color w:val="auto"/>
                      <w:szCs w:val="21"/>
                    </w:rPr>
                  </w:pPr>
                  <w:r>
                    <w:rPr>
                      <w:color w:val="auto"/>
                      <w:szCs w:val="21"/>
                    </w:rPr>
                    <w:t>备注：</w:t>
                  </w:r>
                </w:p>
                <w:p w14:paraId="6B49DF41">
                  <w:pPr>
                    <w:spacing w:line="240" w:lineRule="auto"/>
                    <w:jc w:val="both"/>
                    <w:rPr>
                      <w:color w:val="auto"/>
                      <w:szCs w:val="21"/>
                    </w:rPr>
                  </w:pPr>
                  <w:r>
                    <w:rPr>
                      <w:color w:val="auto"/>
                      <w:szCs w:val="21"/>
                    </w:rPr>
                    <w:t>1、硫酸雾、硝酸雾执行《电镀污染物排放标准》GB21900-2008。</w:t>
                  </w:r>
                </w:p>
                <w:p w14:paraId="0C06A565">
                  <w:pPr>
                    <w:spacing w:line="240" w:lineRule="auto"/>
                    <w:rPr>
                      <w:color w:val="auto"/>
                      <w:szCs w:val="21"/>
                    </w:rPr>
                  </w:pPr>
                  <w:r>
                    <w:rPr>
                      <w:color w:val="auto"/>
                      <w:szCs w:val="21"/>
                    </w:rPr>
                    <w:t>2、“/”表示标准限值没有要求，标准限值由客户提供。</w:t>
                  </w:r>
                </w:p>
                <w:p w14:paraId="7603D301">
                  <w:pPr>
                    <w:spacing w:line="240" w:lineRule="auto"/>
                    <w:rPr>
                      <w:color w:val="auto"/>
                      <w:szCs w:val="21"/>
                    </w:rPr>
                  </w:pPr>
                  <w:r>
                    <w:rPr>
                      <w:color w:val="auto"/>
                      <w:szCs w:val="21"/>
                    </w:rPr>
                    <w:t>3、若样品浓度低于方法检出限时，用“ND”或“&lt;检出限”表示，并以1/2检出限计算排放速率。</w:t>
                  </w:r>
                </w:p>
              </w:tc>
            </w:tr>
          </w:tbl>
          <w:p w14:paraId="4861075C">
            <w:pPr>
              <w:adjustRightInd w:val="0"/>
              <w:snapToGrid w:val="0"/>
              <w:spacing w:line="240" w:lineRule="auto"/>
              <w:ind w:firstLine="422" w:firstLineChars="200"/>
              <w:jc w:val="center"/>
              <w:rPr>
                <w:b/>
                <w:color w:val="auto"/>
                <w:szCs w:val="21"/>
              </w:rPr>
            </w:pPr>
            <w:r>
              <w:rPr>
                <w:b/>
                <w:color w:val="auto"/>
                <w:szCs w:val="21"/>
              </w:rPr>
              <w:t>表2-1</w:t>
            </w:r>
            <w:r>
              <w:rPr>
                <w:rFonts w:hint="eastAsia"/>
                <w:b/>
                <w:color w:val="auto"/>
                <w:szCs w:val="21"/>
                <w:lang w:val="en-US" w:eastAsia="zh-CN"/>
              </w:rPr>
              <w:t>7</w:t>
            </w:r>
            <w:r>
              <w:rPr>
                <w:b/>
                <w:color w:val="auto"/>
                <w:szCs w:val="21"/>
              </w:rPr>
              <w:t>注塑、着色、烘干工序有组织有机废气监测结果及评价一览表</w:t>
            </w:r>
          </w:p>
          <w:tbl>
            <w:tblPr>
              <w:tblStyle w:val="43"/>
              <w:tblW w:w="95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191"/>
              <w:gridCol w:w="933"/>
              <w:gridCol w:w="1717"/>
              <w:gridCol w:w="970"/>
              <w:gridCol w:w="1875"/>
              <w:gridCol w:w="945"/>
              <w:gridCol w:w="1080"/>
            </w:tblGrid>
            <w:tr w14:paraId="77F2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5" w:type="dxa"/>
                  <w:vAlign w:val="center"/>
                </w:tcPr>
                <w:p w14:paraId="0C606F44">
                  <w:pPr>
                    <w:widowControl w:val="0"/>
                    <w:spacing w:line="240" w:lineRule="auto"/>
                    <w:jc w:val="center"/>
                    <w:rPr>
                      <w:b/>
                      <w:bCs/>
                      <w:color w:val="auto"/>
                      <w:szCs w:val="21"/>
                    </w:rPr>
                  </w:pPr>
                  <w:r>
                    <w:rPr>
                      <w:b/>
                      <w:bCs/>
                      <w:color w:val="auto"/>
                      <w:szCs w:val="21"/>
                    </w:rPr>
                    <w:t>检测</w:t>
                  </w:r>
                </w:p>
                <w:p w14:paraId="23467F54">
                  <w:pPr>
                    <w:widowControl w:val="0"/>
                    <w:spacing w:line="240" w:lineRule="auto"/>
                    <w:jc w:val="center"/>
                    <w:rPr>
                      <w:b/>
                      <w:bCs/>
                      <w:color w:val="auto"/>
                      <w:szCs w:val="21"/>
                    </w:rPr>
                  </w:pPr>
                  <w:r>
                    <w:rPr>
                      <w:b/>
                      <w:bCs/>
                      <w:color w:val="auto"/>
                      <w:szCs w:val="21"/>
                    </w:rPr>
                    <w:t>日期</w:t>
                  </w:r>
                </w:p>
              </w:tc>
              <w:tc>
                <w:tcPr>
                  <w:tcW w:w="1191" w:type="dxa"/>
                  <w:vAlign w:val="center"/>
                </w:tcPr>
                <w:p w14:paraId="0E2E609F">
                  <w:pPr>
                    <w:widowControl w:val="0"/>
                    <w:spacing w:line="240" w:lineRule="auto"/>
                    <w:jc w:val="center"/>
                    <w:rPr>
                      <w:b/>
                      <w:bCs/>
                      <w:color w:val="auto"/>
                      <w:szCs w:val="21"/>
                    </w:rPr>
                  </w:pPr>
                  <w:r>
                    <w:rPr>
                      <w:color w:val="auto"/>
                      <w:szCs w:val="21"/>
                    </w:rPr>
                    <w:t>2026.0</w:t>
                  </w:r>
                  <w:r>
                    <w:rPr>
                      <w:rFonts w:hint="eastAsia"/>
                      <w:color w:val="auto"/>
                      <w:szCs w:val="21"/>
                      <w:lang w:val="en-US" w:eastAsia="zh-CN"/>
                    </w:rPr>
                    <w:t>8</w:t>
                  </w:r>
                  <w:r>
                    <w:rPr>
                      <w:color w:val="auto"/>
                      <w:szCs w:val="21"/>
                    </w:rPr>
                    <w:t>.07</w:t>
                  </w:r>
                </w:p>
              </w:tc>
              <w:tc>
                <w:tcPr>
                  <w:tcW w:w="933" w:type="dxa"/>
                  <w:vAlign w:val="center"/>
                </w:tcPr>
                <w:p w14:paraId="1DF8B9FA">
                  <w:pPr>
                    <w:widowControl w:val="0"/>
                    <w:spacing w:line="240" w:lineRule="auto"/>
                    <w:jc w:val="center"/>
                    <w:rPr>
                      <w:b/>
                      <w:bCs/>
                      <w:color w:val="auto"/>
                      <w:szCs w:val="21"/>
                    </w:rPr>
                  </w:pPr>
                  <w:r>
                    <w:rPr>
                      <w:b/>
                      <w:bCs/>
                      <w:color w:val="auto"/>
                      <w:szCs w:val="21"/>
                    </w:rPr>
                    <w:t>现场气象条件</w:t>
                  </w:r>
                </w:p>
              </w:tc>
              <w:tc>
                <w:tcPr>
                  <w:tcW w:w="2687" w:type="dxa"/>
                  <w:gridSpan w:val="2"/>
                  <w:vAlign w:val="center"/>
                </w:tcPr>
                <w:p w14:paraId="0E1AD726">
                  <w:pPr>
                    <w:widowControl w:val="0"/>
                    <w:spacing w:line="240" w:lineRule="auto"/>
                    <w:jc w:val="center"/>
                    <w:rPr>
                      <w:rFonts w:hint="default"/>
                      <w:b/>
                      <w:bCs/>
                      <w:color w:val="auto"/>
                      <w:szCs w:val="21"/>
                      <w:lang w:val="en-US"/>
                    </w:rPr>
                  </w:pPr>
                  <w:r>
                    <w:rPr>
                      <w:color w:val="auto"/>
                      <w:szCs w:val="21"/>
                    </w:rPr>
                    <w:t>天气状况：</w:t>
                  </w:r>
                  <w:r>
                    <w:rPr>
                      <w:rFonts w:hint="eastAsia"/>
                      <w:color w:val="auto"/>
                      <w:szCs w:val="21"/>
                      <w:lang w:val="en-US" w:eastAsia="zh-CN"/>
                    </w:rPr>
                    <w:t>晴</w:t>
                  </w:r>
                  <w:r>
                    <w:rPr>
                      <w:color w:val="auto"/>
                      <w:szCs w:val="21"/>
                    </w:rPr>
                    <w:t>，</w:t>
                  </w:r>
                  <w:r>
                    <w:rPr>
                      <w:rFonts w:hint="eastAsia"/>
                      <w:color w:val="auto"/>
                      <w:szCs w:val="21"/>
                      <w:lang w:val="en-US" w:eastAsia="zh-CN"/>
                    </w:rPr>
                    <w:t>温度：30.1℃，大气压：101.1kPa</w:t>
                  </w:r>
                </w:p>
              </w:tc>
              <w:tc>
                <w:tcPr>
                  <w:tcW w:w="1875" w:type="dxa"/>
                  <w:vAlign w:val="center"/>
                </w:tcPr>
                <w:p w14:paraId="0519C1CA">
                  <w:pPr>
                    <w:widowControl w:val="0"/>
                    <w:spacing w:line="240" w:lineRule="auto"/>
                    <w:jc w:val="center"/>
                    <w:rPr>
                      <w:b/>
                      <w:bCs/>
                      <w:color w:val="auto"/>
                      <w:szCs w:val="21"/>
                    </w:rPr>
                  </w:pPr>
                  <w:r>
                    <w:rPr>
                      <w:b/>
                      <w:bCs/>
                      <w:color w:val="auto"/>
                      <w:szCs w:val="21"/>
                    </w:rPr>
                    <w:t>排气筒高度</w:t>
                  </w:r>
                </w:p>
              </w:tc>
              <w:tc>
                <w:tcPr>
                  <w:tcW w:w="2025" w:type="dxa"/>
                  <w:gridSpan w:val="2"/>
                  <w:vAlign w:val="center"/>
                </w:tcPr>
                <w:p w14:paraId="7554B7CD">
                  <w:pPr>
                    <w:widowControl w:val="0"/>
                    <w:spacing w:line="240" w:lineRule="auto"/>
                    <w:jc w:val="center"/>
                    <w:rPr>
                      <w:b/>
                      <w:bCs/>
                      <w:color w:val="auto"/>
                      <w:szCs w:val="21"/>
                    </w:rPr>
                  </w:pPr>
                  <w:r>
                    <w:rPr>
                      <w:rFonts w:hint="eastAsia"/>
                      <w:color w:val="auto"/>
                      <w:szCs w:val="21"/>
                      <w:lang w:val="en-US" w:eastAsia="zh-CN"/>
                    </w:rPr>
                    <w:t>20</w:t>
                  </w:r>
                  <w:r>
                    <w:rPr>
                      <w:color w:val="auto"/>
                      <w:szCs w:val="21"/>
                    </w:rPr>
                    <w:t>m</w:t>
                  </w:r>
                </w:p>
              </w:tc>
            </w:tr>
            <w:tr w14:paraId="08BA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57B8CAC2">
                  <w:pPr>
                    <w:widowControl w:val="0"/>
                    <w:spacing w:line="240" w:lineRule="auto"/>
                    <w:jc w:val="center"/>
                    <w:rPr>
                      <w:color w:val="auto"/>
                      <w:szCs w:val="21"/>
                    </w:rPr>
                  </w:pPr>
                  <w:r>
                    <w:rPr>
                      <w:b/>
                      <w:bCs/>
                      <w:color w:val="auto"/>
                      <w:szCs w:val="21"/>
                    </w:rPr>
                    <w:t>检测项目</w:t>
                  </w:r>
                </w:p>
              </w:tc>
              <w:tc>
                <w:tcPr>
                  <w:tcW w:w="933" w:type="dxa"/>
                  <w:vAlign w:val="center"/>
                </w:tcPr>
                <w:p w14:paraId="07AEB20B">
                  <w:pPr>
                    <w:widowControl w:val="0"/>
                    <w:spacing w:line="240" w:lineRule="auto"/>
                    <w:jc w:val="center"/>
                    <w:rPr>
                      <w:color w:val="auto"/>
                      <w:szCs w:val="21"/>
                    </w:rPr>
                  </w:pPr>
                  <w:r>
                    <w:rPr>
                      <w:b/>
                      <w:bCs/>
                      <w:color w:val="auto"/>
                      <w:szCs w:val="21"/>
                    </w:rPr>
                    <w:t>单位</w:t>
                  </w:r>
                </w:p>
              </w:tc>
              <w:tc>
                <w:tcPr>
                  <w:tcW w:w="1717" w:type="dxa"/>
                  <w:vAlign w:val="center"/>
                </w:tcPr>
                <w:p w14:paraId="0C36F0ED">
                  <w:pPr>
                    <w:widowControl w:val="0"/>
                    <w:spacing w:line="240" w:lineRule="auto"/>
                    <w:jc w:val="center"/>
                    <w:rPr>
                      <w:rFonts w:hint="eastAsia" w:eastAsia="宋体"/>
                      <w:color w:val="auto"/>
                      <w:szCs w:val="21"/>
                      <w:lang w:eastAsia="zh-CN"/>
                    </w:rPr>
                  </w:pPr>
                  <w:r>
                    <w:rPr>
                      <w:rFonts w:hint="eastAsia"/>
                      <w:b/>
                      <w:bCs/>
                      <w:color w:val="auto"/>
                      <w:szCs w:val="21"/>
                      <w:lang w:val="en-US" w:eastAsia="zh-CN"/>
                    </w:rPr>
                    <w:t>厂区南侧有机废气</w:t>
                  </w:r>
                  <w:r>
                    <w:rPr>
                      <w:b/>
                      <w:bCs/>
                      <w:color w:val="auto"/>
                      <w:szCs w:val="21"/>
                    </w:rPr>
                    <w:t>进气口</w:t>
                  </w:r>
                  <w:r>
                    <w:rPr>
                      <w:rFonts w:hint="eastAsia"/>
                      <w:b/>
                      <w:bCs/>
                      <w:color w:val="auto"/>
                      <w:szCs w:val="21"/>
                      <w:lang w:eastAsia="zh-CN"/>
                    </w:rPr>
                    <w:t>（</w:t>
                  </w:r>
                  <w:r>
                    <w:rPr>
                      <w:rFonts w:hint="eastAsia"/>
                      <w:b/>
                      <w:bCs/>
                      <w:color w:val="auto"/>
                      <w:szCs w:val="21"/>
                      <w:lang w:val="en-US" w:eastAsia="zh-CN"/>
                    </w:rPr>
                    <w:t>DA005</w:t>
                  </w:r>
                  <w:r>
                    <w:rPr>
                      <w:rFonts w:hint="eastAsia"/>
                      <w:b/>
                      <w:bCs/>
                      <w:color w:val="auto"/>
                      <w:szCs w:val="21"/>
                      <w:lang w:eastAsia="zh-CN"/>
                    </w:rPr>
                    <w:t>）</w:t>
                  </w:r>
                </w:p>
              </w:tc>
              <w:tc>
                <w:tcPr>
                  <w:tcW w:w="970" w:type="dxa"/>
                  <w:vAlign w:val="center"/>
                </w:tcPr>
                <w:p w14:paraId="27F224AE">
                  <w:pPr>
                    <w:widowControl w:val="0"/>
                    <w:spacing w:line="240" w:lineRule="auto"/>
                    <w:jc w:val="center"/>
                    <w:rPr>
                      <w:b/>
                      <w:bCs/>
                      <w:color w:val="auto"/>
                      <w:szCs w:val="21"/>
                    </w:rPr>
                  </w:pPr>
                  <w:r>
                    <w:rPr>
                      <w:b/>
                      <w:bCs/>
                      <w:color w:val="auto"/>
                      <w:szCs w:val="21"/>
                    </w:rPr>
                    <w:t>标准限值</w:t>
                  </w:r>
                </w:p>
              </w:tc>
              <w:tc>
                <w:tcPr>
                  <w:tcW w:w="1875" w:type="dxa"/>
                  <w:vAlign w:val="center"/>
                </w:tcPr>
                <w:p w14:paraId="0E1217A0">
                  <w:pPr>
                    <w:widowControl w:val="0"/>
                    <w:spacing w:line="240" w:lineRule="auto"/>
                    <w:jc w:val="center"/>
                    <w:rPr>
                      <w:color w:val="auto"/>
                      <w:szCs w:val="21"/>
                    </w:rPr>
                  </w:pPr>
                  <w:r>
                    <w:rPr>
                      <w:rFonts w:hint="eastAsia"/>
                      <w:b/>
                      <w:bCs/>
                      <w:color w:val="auto"/>
                      <w:szCs w:val="21"/>
                      <w:lang w:val="en-US" w:eastAsia="zh-CN"/>
                    </w:rPr>
                    <w:t>厂区南侧有机废气排</w:t>
                  </w:r>
                  <w:r>
                    <w:rPr>
                      <w:b/>
                      <w:bCs/>
                      <w:color w:val="auto"/>
                      <w:szCs w:val="21"/>
                    </w:rPr>
                    <w:t>气口</w:t>
                  </w:r>
                  <w:r>
                    <w:rPr>
                      <w:rFonts w:hint="eastAsia"/>
                      <w:b/>
                      <w:bCs/>
                      <w:color w:val="auto"/>
                      <w:szCs w:val="21"/>
                      <w:lang w:eastAsia="zh-CN"/>
                    </w:rPr>
                    <w:t>（</w:t>
                  </w:r>
                  <w:r>
                    <w:rPr>
                      <w:rFonts w:hint="eastAsia"/>
                      <w:b/>
                      <w:bCs/>
                      <w:color w:val="auto"/>
                      <w:szCs w:val="21"/>
                      <w:lang w:val="en-US" w:eastAsia="zh-CN"/>
                    </w:rPr>
                    <w:t>DA005</w:t>
                  </w:r>
                  <w:r>
                    <w:rPr>
                      <w:rFonts w:hint="eastAsia"/>
                      <w:b/>
                      <w:bCs/>
                      <w:color w:val="auto"/>
                      <w:szCs w:val="21"/>
                      <w:lang w:eastAsia="zh-CN"/>
                    </w:rPr>
                    <w:t>）</w:t>
                  </w:r>
                </w:p>
              </w:tc>
              <w:tc>
                <w:tcPr>
                  <w:tcW w:w="945" w:type="dxa"/>
                  <w:vAlign w:val="center"/>
                </w:tcPr>
                <w:p w14:paraId="20542292">
                  <w:pPr>
                    <w:widowControl w:val="0"/>
                    <w:spacing w:line="240" w:lineRule="auto"/>
                    <w:jc w:val="center"/>
                    <w:rPr>
                      <w:color w:val="auto"/>
                      <w:szCs w:val="21"/>
                    </w:rPr>
                  </w:pPr>
                  <w:r>
                    <w:rPr>
                      <w:b/>
                      <w:bCs/>
                      <w:color w:val="auto"/>
                      <w:szCs w:val="21"/>
                    </w:rPr>
                    <w:t>标准限值</w:t>
                  </w:r>
                </w:p>
              </w:tc>
              <w:tc>
                <w:tcPr>
                  <w:tcW w:w="1080" w:type="dxa"/>
                  <w:vAlign w:val="center"/>
                </w:tcPr>
                <w:p w14:paraId="57D7069F">
                  <w:pPr>
                    <w:widowControl w:val="0"/>
                    <w:spacing w:line="240" w:lineRule="auto"/>
                    <w:jc w:val="center"/>
                    <w:rPr>
                      <w:color w:val="auto"/>
                      <w:szCs w:val="21"/>
                    </w:rPr>
                  </w:pPr>
                  <w:r>
                    <w:rPr>
                      <w:b/>
                      <w:bCs/>
                      <w:color w:val="auto"/>
                      <w:szCs w:val="21"/>
                    </w:rPr>
                    <w:t>判定</w:t>
                  </w:r>
                </w:p>
              </w:tc>
            </w:tr>
            <w:tr w14:paraId="0B37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2085C86F">
                  <w:pPr>
                    <w:jc w:val="center"/>
                    <w:rPr>
                      <w:color w:val="auto"/>
                      <w:szCs w:val="21"/>
                    </w:rPr>
                  </w:pPr>
                  <w:r>
                    <w:rPr>
                      <w:color w:val="auto"/>
                      <w:szCs w:val="21"/>
                    </w:rPr>
                    <w:t>烟气流速</w:t>
                  </w:r>
                </w:p>
              </w:tc>
              <w:tc>
                <w:tcPr>
                  <w:tcW w:w="933" w:type="dxa"/>
                  <w:vAlign w:val="center"/>
                </w:tcPr>
                <w:p w14:paraId="309DE6C5">
                  <w:pPr>
                    <w:jc w:val="center"/>
                    <w:rPr>
                      <w:color w:val="auto"/>
                      <w:szCs w:val="21"/>
                    </w:rPr>
                  </w:pPr>
                  <w:r>
                    <w:rPr>
                      <w:color w:val="auto"/>
                      <w:szCs w:val="21"/>
                    </w:rPr>
                    <w:t>m/s</w:t>
                  </w:r>
                </w:p>
              </w:tc>
              <w:tc>
                <w:tcPr>
                  <w:tcW w:w="1717" w:type="dxa"/>
                  <w:vAlign w:val="center"/>
                </w:tcPr>
                <w:p w14:paraId="1A252D02">
                  <w:pPr>
                    <w:jc w:val="center"/>
                    <w:rPr>
                      <w:rFonts w:hint="default" w:eastAsia="宋体"/>
                      <w:color w:val="auto"/>
                      <w:szCs w:val="21"/>
                      <w:lang w:val="en-US" w:eastAsia="zh-CN"/>
                    </w:rPr>
                  </w:pPr>
                  <w:r>
                    <w:rPr>
                      <w:rFonts w:hint="eastAsia"/>
                      <w:color w:val="auto"/>
                      <w:kern w:val="0"/>
                      <w:szCs w:val="21"/>
                      <w:lang w:val="en-US" w:eastAsia="zh-CN" w:bidi="ar"/>
                    </w:rPr>
                    <w:t>10.5</w:t>
                  </w:r>
                </w:p>
              </w:tc>
              <w:tc>
                <w:tcPr>
                  <w:tcW w:w="970" w:type="dxa"/>
                  <w:vAlign w:val="center"/>
                </w:tcPr>
                <w:p w14:paraId="7E68765E">
                  <w:pPr>
                    <w:jc w:val="center"/>
                    <w:rPr>
                      <w:color w:val="auto"/>
                      <w:kern w:val="0"/>
                      <w:szCs w:val="21"/>
                      <w:lang w:bidi="ar"/>
                    </w:rPr>
                  </w:pPr>
                  <w:r>
                    <w:rPr>
                      <w:color w:val="auto"/>
                      <w:szCs w:val="21"/>
                    </w:rPr>
                    <w:t>/</w:t>
                  </w:r>
                </w:p>
              </w:tc>
              <w:tc>
                <w:tcPr>
                  <w:tcW w:w="1875" w:type="dxa"/>
                  <w:vAlign w:val="center"/>
                </w:tcPr>
                <w:p w14:paraId="3F9B078F">
                  <w:pPr>
                    <w:jc w:val="center"/>
                    <w:rPr>
                      <w:rFonts w:hint="default" w:eastAsia="宋体"/>
                      <w:color w:val="auto"/>
                      <w:szCs w:val="21"/>
                      <w:lang w:val="en-US" w:eastAsia="zh-CN"/>
                    </w:rPr>
                  </w:pPr>
                  <w:r>
                    <w:rPr>
                      <w:rFonts w:hint="eastAsia"/>
                      <w:color w:val="auto"/>
                      <w:szCs w:val="21"/>
                      <w:lang w:val="en-US" w:eastAsia="zh-CN"/>
                    </w:rPr>
                    <w:t>11.8</w:t>
                  </w:r>
                </w:p>
              </w:tc>
              <w:tc>
                <w:tcPr>
                  <w:tcW w:w="945" w:type="dxa"/>
                  <w:vAlign w:val="center"/>
                </w:tcPr>
                <w:p w14:paraId="76BC59D5">
                  <w:pPr>
                    <w:jc w:val="center"/>
                    <w:rPr>
                      <w:color w:val="auto"/>
                      <w:szCs w:val="21"/>
                    </w:rPr>
                  </w:pPr>
                  <w:r>
                    <w:rPr>
                      <w:color w:val="auto"/>
                      <w:szCs w:val="21"/>
                    </w:rPr>
                    <w:t>/</w:t>
                  </w:r>
                </w:p>
              </w:tc>
              <w:tc>
                <w:tcPr>
                  <w:tcW w:w="1080" w:type="dxa"/>
                  <w:vAlign w:val="center"/>
                </w:tcPr>
                <w:p w14:paraId="6A0F0333">
                  <w:pPr>
                    <w:jc w:val="center"/>
                    <w:rPr>
                      <w:color w:val="auto"/>
                      <w:szCs w:val="21"/>
                    </w:rPr>
                  </w:pPr>
                  <w:r>
                    <w:rPr>
                      <w:color w:val="auto"/>
                      <w:szCs w:val="21"/>
                    </w:rPr>
                    <w:t>/</w:t>
                  </w:r>
                </w:p>
              </w:tc>
            </w:tr>
            <w:tr w14:paraId="54D3D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6A9C1CB7">
                  <w:pPr>
                    <w:jc w:val="center"/>
                    <w:rPr>
                      <w:color w:val="auto"/>
                      <w:szCs w:val="21"/>
                    </w:rPr>
                  </w:pPr>
                  <w:r>
                    <w:rPr>
                      <w:color w:val="auto"/>
                      <w:szCs w:val="21"/>
                    </w:rPr>
                    <w:t>烟气温度</w:t>
                  </w:r>
                </w:p>
              </w:tc>
              <w:tc>
                <w:tcPr>
                  <w:tcW w:w="933" w:type="dxa"/>
                  <w:vAlign w:val="center"/>
                </w:tcPr>
                <w:p w14:paraId="138C4B28">
                  <w:pPr>
                    <w:jc w:val="center"/>
                    <w:rPr>
                      <w:color w:val="auto"/>
                      <w:szCs w:val="21"/>
                    </w:rPr>
                  </w:pPr>
                  <w:r>
                    <w:rPr>
                      <w:color w:val="auto"/>
                      <w:szCs w:val="21"/>
                    </w:rPr>
                    <w:t>℃</w:t>
                  </w:r>
                </w:p>
              </w:tc>
              <w:tc>
                <w:tcPr>
                  <w:tcW w:w="1717" w:type="dxa"/>
                  <w:vAlign w:val="center"/>
                </w:tcPr>
                <w:p w14:paraId="1D4C30E3">
                  <w:pPr>
                    <w:jc w:val="center"/>
                    <w:rPr>
                      <w:rFonts w:hint="default" w:eastAsia="宋体"/>
                      <w:color w:val="auto"/>
                      <w:szCs w:val="21"/>
                      <w:lang w:val="en-US" w:eastAsia="zh-CN"/>
                    </w:rPr>
                  </w:pPr>
                  <w:r>
                    <w:rPr>
                      <w:rFonts w:hint="eastAsia"/>
                      <w:color w:val="auto"/>
                      <w:szCs w:val="21"/>
                      <w:lang w:val="en-US" w:eastAsia="zh-CN"/>
                    </w:rPr>
                    <w:t>29.0</w:t>
                  </w:r>
                </w:p>
              </w:tc>
              <w:tc>
                <w:tcPr>
                  <w:tcW w:w="970" w:type="dxa"/>
                  <w:vAlign w:val="center"/>
                </w:tcPr>
                <w:p w14:paraId="7EC8505E">
                  <w:pPr>
                    <w:jc w:val="center"/>
                    <w:rPr>
                      <w:color w:val="auto"/>
                      <w:szCs w:val="21"/>
                    </w:rPr>
                  </w:pPr>
                  <w:r>
                    <w:rPr>
                      <w:color w:val="auto"/>
                      <w:szCs w:val="21"/>
                    </w:rPr>
                    <w:t>/</w:t>
                  </w:r>
                </w:p>
              </w:tc>
              <w:tc>
                <w:tcPr>
                  <w:tcW w:w="1875" w:type="dxa"/>
                  <w:vAlign w:val="center"/>
                </w:tcPr>
                <w:p w14:paraId="28F73D87">
                  <w:pPr>
                    <w:jc w:val="center"/>
                    <w:rPr>
                      <w:rFonts w:hint="default" w:eastAsia="宋体"/>
                      <w:color w:val="auto"/>
                      <w:szCs w:val="21"/>
                      <w:lang w:val="en-US" w:eastAsia="zh-CN"/>
                    </w:rPr>
                  </w:pPr>
                  <w:r>
                    <w:rPr>
                      <w:rFonts w:hint="eastAsia"/>
                      <w:color w:val="auto"/>
                      <w:szCs w:val="21"/>
                      <w:lang w:val="en-US" w:eastAsia="zh-CN"/>
                    </w:rPr>
                    <w:t>30</w:t>
                  </w:r>
                </w:p>
              </w:tc>
              <w:tc>
                <w:tcPr>
                  <w:tcW w:w="945" w:type="dxa"/>
                  <w:vAlign w:val="center"/>
                </w:tcPr>
                <w:p w14:paraId="271EC1CF">
                  <w:pPr>
                    <w:jc w:val="center"/>
                    <w:rPr>
                      <w:color w:val="auto"/>
                      <w:szCs w:val="21"/>
                    </w:rPr>
                  </w:pPr>
                  <w:r>
                    <w:rPr>
                      <w:color w:val="auto"/>
                      <w:szCs w:val="21"/>
                    </w:rPr>
                    <w:t>/</w:t>
                  </w:r>
                </w:p>
              </w:tc>
              <w:tc>
                <w:tcPr>
                  <w:tcW w:w="1080" w:type="dxa"/>
                  <w:vAlign w:val="center"/>
                </w:tcPr>
                <w:p w14:paraId="43E71416">
                  <w:pPr>
                    <w:jc w:val="center"/>
                    <w:rPr>
                      <w:color w:val="auto"/>
                      <w:szCs w:val="21"/>
                    </w:rPr>
                  </w:pPr>
                  <w:r>
                    <w:rPr>
                      <w:color w:val="auto"/>
                      <w:szCs w:val="21"/>
                    </w:rPr>
                    <w:t>/</w:t>
                  </w:r>
                </w:p>
              </w:tc>
            </w:tr>
            <w:tr w14:paraId="2F13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7F11CFE2">
                  <w:pPr>
                    <w:jc w:val="center"/>
                    <w:rPr>
                      <w:color w:val="auto"/>
                      <w:szCs w:val="21"/>
                    </w:rPr>
                  </w:pPr>
                  <w:r>
                    <w:rPr>
                      <w:color w:val="auto"/>
                      <w:szCs w:val="21"/>
                    </w:rPr>
                    <w:t>烟气含湿量</w:t>
                  </w:r>
                </w:p>
              </w:tc>
              <w:tc>
                <w:tcPr>
                  <w:tcW w:w="933" w:type="dxa"/>
                  <w:vAlign w:val="center"/>
                </w:tcPr>
                <w:p w14:paraId="61C451DE">
                  <w:pPr>
                    <w:jc w:val="center"/>
                    <w:rPr>
                      <w:color w:val="auto"/>
                      <w:szCs w:val="21"/>
                    </w:rPr>
                  </w:pPr>
                  <w:r>
                    <w:rPr>
                      <w:color w:val="auto"/>
                      <w:szCs w:val="21"/>
                    </w:rPr>
                    <w:t>%</w:t>
                  </w:r>
                </w:p>
              </w:tc>
              <w:tc>
                <w:tcPr>
                  <w:tcW w:w="1717" w:type="dxa"/>
                  <w:vAlign w:val="center"/>
                </w:tcPr>
                <w:p w14:paraId="127D28D9">
                  <w:pPr>
                    <w:jc w:val="center"/>
                    <w:rPr>
                      <w:rFonts w:hint="default" w:eastAsia="宋体"/>
                      <w:color w:val="auto"/>
                      <w:szCs w:val="21"/>
                      <w:lang w:val="en-US" w:eastAsia="zh-CN"/>
                    </w:rPr>
                  </w:pPr>
                  <w:r>
                    <w:rPr>
                      <w:rFonts w:hint="eastAsia"/>
                      <w:color w:val="auto"/>
                      <w:szCs w:val="21"/>
                      <w:lang w:val="en-US" w:eastAsia="zh-CN"/>
                    </w:rPr>
                    <w:t>2.0</w:t>
                  </w:r>
                </w:p>
              </w:tc>
              <w:tc>
                <w:tcPr>
                  <w:tcW w:w="970" w:type="dxa"/>
                  <w:vAlign w:val="center"/>
                </w:tcPr>
                <w:p w14:paraId="617379C4">
                  <w:pPr>
                    <w:jc w:val="center"/>
                    <w:rPr>
                      <w:color w:val="auto"/>
                      <w:szCs w:val="21"/>
                    </w:rPr>
                  </w:pPr>
                  <w:r>
                    <w:rPr>
                      <w:color w:val="auto"/>
                      <w:szCs w:val="21"/>
                    </w:rPr>
                    <w:t>/</w:t>
                  </w:r>
                </w:p>
              </w:tc>
              <w:tc>
                <w:tcPr>
                  <w:tcW w:w="1875" w:type="dxa"/>
                  <w:vAlign w:val="center"/>
                </w:tcPr>
                <w:p w14:paraId="31635AAD">
                  <w:pPr>
                    <w:jc w:val="center"/>
                    <w:rPr>
                      <w:rFonts w:hint="default" w:eastAsia="宋体"/>
                      <w:color w:val="auto"/>
                      <w:szCs w:val="21"/>
                      <w:lang w:val="en-US" w:eastAsia="zh-CN"/>
                    </w:rPr>
                  </w:pPr>
                  <w:r>
                    <w:rPr>
                      <w:rFonts w:hint="eastAsia"/>
                      <w:color w:val="auto"/>
                      <w:szCs w:val="21"/>
                      <w:lang w:val="en-US" w:eastAsia="zh-CN"/>
                    </w:rPr>
                    <w:t>3.0</w:t>
                  </w:r>
                </w:p>
              </w:tc>
              <w:tc>
                <w:tcPr>
                  <w:tcW w:w="945" w:type="dxa"/>
                  <w:vAlign w:val="center"/>
                </w:tcPr>
                <w:p w14:paraId="2E0930DB">
                  <w:pPr>
                    <w:jc w:val="center"/>
                    <w:rPr>
                      <w:color w:val="auto"/>
                      <w:szCs w:val="21"/>
                    </w:rPr>
                  </w:pPr>
                  <w:r>
                    <w:rPr>
                      <w:color w:val="auto"/>
                      <w:szCs w:val="21"/>
                    </w:rPr>
                    <w:t>/</w:t>
                  </w:r>
                </w:p>
              </w:tc>
              <w:tc>
                <w:tcPr>
                  <w:tcW w:w="1080" w:type="dxa"/>
                  <w:vAlign w:val="center"/>
                </w:tcPr>
                <w:p w14:paraId="28B1D556">
                  <w:pPr>
                    <w:jc w:val="center"/>
                    <w:rPr>
                      <w:color w:val="auto"/>
                      <w:szCs w:val="21"/>
                    </w:rPr>
                  </w:pPr>
                  <w:r>
                    <w:rPr>
                      <w:color w:val="auto"/>
                      <w:szCs w:val="21"/>
                    </w:rPr>
                    <w:t>/</w:t>
                  </w:r>
                </w:p>
              </w:tc>
            </w:tr>
            <w:tr w14:paraId="2DCF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3373571B">
                  <w:pPr>
                    <w:jc w:val="center"/>
                    <w:rPr>
                      <w:color w:val="auto"/>
                      <w:szCs w:val="21"/>
                    </w:rPr>
                  </w:pPr>
                  <w:r>
                    <w:rPr>
                      <w:color w:val="auto"/>
                      <w:szCs w:val="21"/>
                    </w:rPr>
                    <w:t>烟道截面积</w:t>
                  </w:r>
                </w:p>
              </w:tc>
              <w:tc>
                <w:tcPr>
                  <w:tcW w:w="933" w:type="dxa"/>
                  <w:vAlign w:val="center"/>
                </w:tcPr>
                <w:p w14:paraId="68F51986">
                  <w:pPr>
                    <w:jc w:val="center"/>
                    <w:rPr>
                      <w:color w:val="auto"/>
                      <w:szCs w:val="21"/>
                    </w:rPr>
                  </w:pPr>
                  <w:r>
                    <w:rPr>
                      <w:color w:val="auto"/>
                      <w:szCs w:val="21"/>
                    </w:rPr>
                    <w:t>m</w:t>
                  </w:r>
                  <w:r>
                    <w:rPr>
                      <w:color w:val="auto"/>
                      <w:szCs w:val="21"/>
                      <w:vertAlign w:val="superscript"/>
                    </w:rPr>
                    <w:t>2</w:t>
                  </w:r>
                </w:p>
              </w:tc>
              <w:tc>
                <w:tcPr>
                  <w:tcW w:w="1717" w:type="dxa"/>
                  <w:vAlign w:val="center"/>
                </w:tcPr>
                <w:p w14:paraId="0DAF6DDD">
                  <w:pPr>
                    <w:jc w:val="center"/>
                    <w:rPr>
                      <w:rFonts w:hint="default" w:eastAsia="宋体"/>
                      <w:color w:val="auto"/>
                      <w:szCs w:val="21"/>
                      <w:lang w:val="en-US" w:eastAsia="zh-CN"/>
                    </w:rPr>
                  </w:pPr>
                  <w:r>
                    <w:rPr>
                      <w:rFonts w:hint="eastAsia"/>
                      <w:color w:val="auto"/>
                      <w:szCs w:val="21"/>
                      <w:lang w:val="en-US" w:eastAsia="zh-CN"/>
                    </w:rPr>
                    <w:t>0.5027</w:t>
                  </w:r>
                </w:p>
              </w:tc>
              <w:tc>
                <w:tcPr>
                  <w:tcW w:w="970" w:type="dxa"/>
                  <w:vAlign w:val="center"/>
                </w:tcPr>
                <w:p w14:paraId="6289D665">
                  <w:pPr>
                    <w:jc w:val="center"/>
                    <w:rPr>
                      <w:color w:val="auto"/>
                      <w:szCs w:val="21"/>
                    </w:rPr>
                  </w:pPr>
                  <w:r>
                    <w:rPr>
                      <w:color w:val="auto"/>
                      <w:szCs w:val="21"/>
                    </w:rPr>
                    <w:t>/</w:t>
                  </w:r>
                </w:p>
              </w:tc>
              <w:tc>
                <w:tcPr>
                  <w:tcW w:w="1875" w:type="dxa"/>
                  <w:vAlign w:val="center"/>
                </w:tcPr>
                <w:p w14:paraId="180AA994">
                  <w:pPr>
                    <w:jc w:val="center"/>
                    <w:rPr>
                      <w:rFonts w:hint="default" w:eastAsia="宋体"/>
                      <w:color w:val="auto"/>
                      <w:szCs w:val="21"/>
                      <w:lang w:val="en-US" w:eastAsia="zh-CN"/>
                    </w:rPr>
                  </w:pPr>
                  <w:r>
                    <w:rPr>
                      <w:rFonts w:hint="eastAsia"/>
                      <w:color w:val="auto"/>
                      <w:szCs w:val="21"/>
                      <w:lang w:val="en-US" w:eastAsia="zh-CN"/>
                    </w:rPr>
                    <w:t>0.5027</w:t>
                  </w:r>
                </w:p>
              </w:tc>
              <w:tc>
                <w:tcPr>
                  <w:tcW w:w="945" w:type="dxa"/>
                  <w:vAlign w:val="center"/>
                </w:tcPr>
                <w:p w14:paraId="4CA2B18A">
                  <w:pPr>
                    <w:jc w:val="center"/>
                    <w:rPr>
                      <w:color w:val="auto"/>
                      <w:szCs w:val="21"/>
                    </w:rPr>
                  </w:pPr>
                  <w:r>
                    <w:rPr>
                      <w:color w:val="auto"/>
                      <w:szCs w:val="21"/>
                    </w:rPr>
                    <w:t>/</w:t>
                  </w:r>
                </w:p>
              </w:tc>
              <w:tc>
                <w:tcPr>
                  <w:tcW w:w="1080" w:type="dxa"/>
                  <w:vAlign w:val="center"/>
                </w:tcPr>
                <w:p w14:paraId="2FEDE438">
                  <w:pPr>
                    <w:jc w:val="center"/>
                    <w:rPr>
                      <w:color w:val="auto"/>
                      <w:szCs w:val="21"/>
                    </w:rPr>
                  </w:pPr>
                  <w:r>
                    <w:rPr>
                      <w:color w:val="auto"/>
                      <w:szCs w:val="21"/>
                    </w:rPr>
                    <w:t>/</w:t>
                  </w:r>
                </w:p>
              </w:tc>
            </w:tr>
            <w:tr w14:paraId="33A9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26" w:type="dxa"/>
                  <w:gridSpan w:val="2"/>
                  <w:vAlign w:val="center"/>
                </w:tcPr>
                <w:p w14:paraId="28ED3CE7">
                  <w:pPr>
                    <w:jc w:val="center"/>
                    <w:rPr>
                      <w:color w:val="auto"/>
                      <w:szCs w:val="21"/>
                    </w:rPr>
                  </w:pPr>
                  <w:r>
                    <w:rPr>
                      <w:color w:val="auto"/>
                      <w:szCs w:val="21"/>
                    </w:rPr>
                    <w:t>标干流量</w:t>
                  </w:r>
                </w:p>
              </w:tc>
              <w:tc>
                <w:tcPr>
                  <w:tcW w:w="933" w:type="dxa"/>
                  <w:vAlign w:val="center"/>
                </w:tcPr>
                <w:p w14:paraId="395921E8">
                  <w:pPr>
                    <w:jc w:val="center"/>
                    <w:rPr>
                      <w:color w:val="auto"/>
                      <w:szCs w:val="21"/>
                    </w:rPr>
                  </w:pPr>
                  <w:r>
                    <w:rPr>
                      <w:color w:val="auto"/>
                      <w:szCs w:val="21"/>
                    </w:rPr>
                    <w:t>m</w:t>
                  </w:r>
                  <w:r>
                    <w:rPr>
                      <w:color w:val="auto"/>
                      <w:szCs w:val="21"/>
                      <w:vertAlign w:val="superscript"/>
                    </w:rPr>
                    <w:t>3</w:t>
                  </w:r>
                  <w:r>
                    <w:rPr>
                      <w:color w:val="auto"/>
                      <w:szCs w:val="21"/>
                    </w:rPr>
                    <w:t>/h</w:t>
                  </w:r>
                </w:p>
              </w:tc>
              <w:tc>
                <w:tcPr>
                  <w:tcW w:w="1717" w:type="dxa"/>
                  <w:vAlign w:val="center"/>
                </w:tcPr>
                <w:p w14:paraId="79259BE8">
                  <w:pPr>
                    <w:jc w:val="center"/>
                    <w:textAlignment w:val="center"/>
                    <w:rPr>
                      <w:rFonts w:hint="default" w:eastAsia="宋体"/>
                      <w:color w:val="auto"/>
                      <w:szCs w:val="21"/>
                      <w:lang w:val="en-US" w:eastAsia="zh-CN"/>
                    </w:rPr>
                  </w:pPr>
                  <w:r>
                    <w:rPr>
                      <w:rFonts w:hint="eastAsia"/>
                      <w:color w:val="auto"/>
                      <w:kern w:val="0"/>
                      <w:szCs w:val="21"/>
                      <w:lang w:val="en-US" w:eastAsia="zh-CN" w:bidi="ar"/>
                    </w:rPr>
                    <w:t>16571</w:t>
                  </w:r>
                </w:p>
              </w:tc>
              <w:tc>
                <w:tcPr>
                  <w:tcW w:w="970" w:type="dxa"/>
                  <w:vAlign w:val="center"/>
                </w:tcPr>
                <w:p w14:paraId="32445AB2">
                  <w:pPr>
                    <w:jc w:val="center"/>
                    <w:textAlignment w:val="center"/>
                    <w:rPr>
                      <w:color w:val="auto"/>
                      <w:szCs w:val="21"/>
                    </w:rPr>
                  </w:pPr>
                  <w:r>
                    <w:rPr>
                      <w:color w:val="auto"/>
                      <w:kern w:val="0"/>
                      <w:szCs w:val="21"/>
                      <w:lang w:bidi="ar"/>
                    </w:rPr>
                    <w:t>/</w:t>
                  </w:r>
                </w:p>
              </w:tc>
              <w:tc>
                <w:tcPr>
                  <w:tcW w:w="1875" w:type="dxa"/>
                  <w:vAlign w:val="center"/>
                </w:tcPr>
                <w:p w14:paraId="02323031">
                  <w:pPr>
                    <w:jc w:val="center"/>
                    <w:textAlignment w:val="center"/>
                    <w:rPr>
                      <w:rFonts w:hint="default" w:eastAsia="宋体"/>
                      <w:color w:val="auto"/>
                      <w:szCs w:val="21"/>
                      <w:lang w:val="en-US" w:eastAsia="zh-CN"/>
                    </w:rPr>
                  </w:pPr>
                  <w:r>
                    <w:rPr>
                      <w:rFonts w:hint="eastAsia"/>
                      <w:color w:val="auto"/>
                      <w:kern w:val="0"/>
                      <w:szCs w:val="21"/>
                      <w:lang w:val="en-US" w:eastAsia="zh-CN" w:bidi="ar"/>
                    </w:rPr>
                    <w:t>18623</w:t>
                  </w:r>
                </w:p>
              </w:tc>
              <w:tc>
                <w:tcPr>
                  <w:tcW w:w="945" w:type="dxa"/>
                  <w:vAlign w:val="center"/>
                </w:tcPr>
                <w:p w14:paraId="179A0211">
                  <w:pPr>
                    <w:jc w:val="center"/>
                    <w:rPr>
                      <w:color w:val="auto"/>
                      <w:szCs w:val="21"/>
                    </w:rPr>
                  </w:pPr>
                  <w:r>
                    <w:rPr>
                      <w:color w:val="auto"/>
                      <w:szCs w:val="21"/>
                    </w:rPr>
                    <w:t>/</w:t>
                  </w:r>
                </w:p>
              </w:tc>
              <w:tc>
                <w:tcPr>
                  <w:tcW w:w="1080" w:type="dxa"/>
                  <w:vAlign w:val="center"/>
                </w:tcPr>
                <w:p w14:paraId="0509CF6D">
                  <w:pPr>
                    <w:jc w:val="center"/>
                    <w:rPr>
                      <w:color w:val="auto"/>
                      <w:szCs w:val="21"/>
                    </w:rPr>
                  </w:pPr>
                  <w:r>
                    <w:rPr>
                      <w:color w:val="auto"/>
                      <w:szCs w:val="21"/>
                    </w:rPr>
                    <w:t>/</w:t>
                  </w:r>
                </w:p>
              </w:tc>
            </w:tr>
            <w:tr w14:paraId="312C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5" w:type="dxa"/>
                  <w:vMerge w:val="restart"/>
                  <w:vAlign w:val="center"/>
                </w:tcPr>
                <w:p w14:paraId="52BA8464">
                  <w:pPr>
                    <w:jc w:val="center"/>
                    <w:textAlignment w:val="center"/>
                    <w:rPr>
                      <w:color w:val="auto"/>
                      <w:szCs w:val="21"/>
                    </w:rPr>
                  </w:pPr>
                  <w:r>
                    <w:rPr>
                      <w:color w:val="auto"/>
                      <w:szCs w:val="21"/>
                    </w:rPr>
                    <w:t>颗粒物</w:t>
                  </w:r>
                </w:p>
              </w:tc>
              <w:tc>
                <w:tcPr>
                  <w:tcW w:w="1191" w:type="dxa"/>
                  <w:vAlign w:val="center"/>
                </w:tcPr>
                <w:p w14:paraId="0DD1FA41">
                  <w:pPr>
                    <w:jc w:val="center"/>
                    <w:rPr>
                      <w:color w:val="auto"/>
                      <w:szCs w:val="21"/>
                    </w:rPr>
                  </w:pPr>
                  <w:r>
                    <w:rPr>
                      <w:color w:val="auto"/>
                      <w:szCs w:val="21"/>
                    </w:rPr>
                    <w:t>排放浓度</w:t>
                  </w:r>
                </w:p>
              </w:tc>
              <w:tc>
                <w:tcPr>
                  <w:tcW w:w="933" w:type="dxa"/>
                  <w:vAlign w:val="center"/>
                </w:tcPr>
                <w:p w14:paraId="5BBE9500">
                  <w:pPr>
                    <w:jc w:val="center"/>
                    <w:rPr>
                      <w:color w:val="auto"/>
                      <w:szCs w:val="21"/>
                    </w:rPr>
                  </w:pPr>
                  <w:r>
                    <w:rPr>
                      <w:color w:val="auto"/>
                      <w:szCs w:val="21"/>
                    </w:rPr>
                    <w:t>mg/m</w:t>
                  </w:r>
                  <w:r>
                    <w:rPr>
                      <w:color w:val="auto"/>
                      <w:szCs w:val="21"/>
                      <w:vertAlign w:val="superscript"/>
                    </w:rPr>
                    <w:t>3</w:t>
                  </w:r>
                </w:p>
              </w:tc>
              <w:tc>
                <w:tcPr>
                  <w:tcW w:w="1717" w:type="dxa"/>
                  <w:vAlign w:val="center"/>
                </w:tcPr>
                <w:p w14:paraId="7DEE1324">
                  <w:pPr>
                    <w:jc w:val="center"/>
                    <w:textAlignment w:val="center"/>
                    <w:rPr>
                      <w:rFonts w:hint="default" w:eastAsia="宋体"/>
                      <w:color w:val="auto"/>
                      <w:szCs w:val="21"/>
                      <w:lang w:val="en-US" w:eastAsia="zh-CN"/>
                    </w:rPr>
                  </w:pPr>
                  <w:r>
                    <w:rPr>
                      <w:rFonts w:hint="eastAsia"/>
                      <w:color w:val="auto"/>
                      <w:szCs w:val="21"/>
                      <w:lang w:val="en-US" w:eastAsia="zh-CN"/>
                    </w:rPr>
                    <w:t>11.8</w:t>
                  </w:r>
                </w:p>
              </w:tc>
              <w:tc>
                <w:tcPr>
                  <w:tcW w:w="970" w:type="dxa"/>
                  <w:vAlign w:val="center"/>
                </w:tcPr>
                <w:p w14:paraId="2C4E852F">
                  <w:pPr>
                    <w:jc w:val="center"/>
                    <w:textAlignment w:val="center"/>
                    <w:rPr>
                      <w:color w:val="auto"/>
                      <w:szCs w:val="21"/>
                    </w:rPr>
                  </w:pPr>
                  <w:r>
                    <w:rPr>
                      <w:color w:val="auto"/>
                      <w:kern w:val="0"/>
                      <w:szCs w:val="21"/>
                      <w:lang w:bidi="ar"/>
                    </w:rPr>
                    <w:t>/</w:t>
                  </w:r>
                </w:p>
              </w:tc>
              <w:tc>
                <w:tcPr>
                  <w:tcW w:w="1875" w:type="dxa"/>
                  <w:vAlign w:val="center"/>
                </w:tcPr>
                <w:p w14:paraId="1278AF3A">
                  <w:pPr>
                    <w:jc w:val="center"/>
                    <w:textAlignment w:val="center"/>
                    <w:rPr>
                      <w:rFonts w:hint="default" w:eastAsia="宋体"/>
                      <w:color w:val="auto"/>
                      <w:szCs w:val="21"/>
                      <w:lang w:val="en-US" w:eastAsia="zh-CN"/>
                    </w:rPr>
                  </w:pPr>
                  <w:r>
                    <w:rPr>
                      <w:rFonts w:hint="eastAsia"/>
                      <w:color w:val="auto"/>
                      <w:kern w:val="0"/>
                      <w:szCs w:val="21"/>
                      <w:lang w:val="en-US" w:eastAsia="zh-CN" w:bidi="ar"/>
                    </w:rPr>
                    <w:t>1.86</w:t>
                  </w:r>
                </w:p>
              </w:tc>
              <w:tc>
                <w:tcPr>
                  <w:tcW w:w="945" w:type="dxa"/>
                  <w:vAlign w:val="center"/>
                </w:tcPr>
                <w:p w14:paraId="403A54E0">
                  <w:pPr>
                    <w:jc w:val="center"/>
                    <w:rPr>
                      <w:rFonts w:hint="default" w:eastAsia="宋体"/>
                      <w:color w:val="auto"/>
                      <w:szCs w:val="21"/>
                      <w:lang w:val="en-US" w:eastAsia="zh-CN"/>
                    </w:rPr>
                  </w:pPr>
                  <w:r>
                    <w:rPr>
                      <w:rFonts w:hint="eastAsia"/>
                      <w:color w:val="auto"/>
                      <w:szCs w:val="21"/>
                      <w:lang w:val="en-US" w:eastAsia="zh-CN"/>
                    </w:rPr>
                    <w:t>100</w:t>
                  </w:r>
                </w:p>
              </w:tc>
              <w:tc>
                <w:tcPr>
                  <w:tcW w:w="1080" w:type="dxa"/>
                  <w:vAlign w:val="center"/>
                </w:tcPr>
                <w:p w14:paraId="25E039E7">
                  <w:pPr>
                    <w:jc w:val="center"/>
                    <w:rPr>
                      <w:color w:val="auto"/>
                      <w:szCs w:val="21"/>
                    </w:rPr>
                  </w:pPr>
                  <w:r>
                    <w:rPr>
                      <w:color w:val="auto"/>
                      <w:szCs w:val="21"/>
                    </w:rPr>
                    <w:t>符合</w:t>
                  </w:r>
                </w:p>
              </w:tc>
            </w:tr>
            <w:tr w14:paraId="7E8E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5" w:type="dxa"/>
                  <w:vMerge w:val="continue"/>
                  <w:vAlign w:val="center"/>
                </w:tcPr>
                <w:p w14:paraId="5E26D664">
                  <w:pPr>
                    <w:jc w:val="center"/>
                    <w:rPr>
                      <w:color w:val="auto"/>
                      <w:szCs w:val="21"/>
                    </w:rPr>
                  </w:pPr>
                </w:p>
              </w:tc>
              <w:tc>
                <w:tcPr>
                  <w:tcW w:w="1191" w:type="dxa"/>
                  <w:vAlign w:val="center"/>
                </w:tcPr>
                <w:p w14:paraId="161134F9">
                  <w:pPr>
                    <w:jc w:val="center"/>
                    <w:rPr>
                      <w:color w:val="auto"/>
                      <w:szCs w:val="21"/>
                    </w:rPr>
                  </w:pPr>
                  <w:r>
                    <w:rPr>
                      <w:color w:val="auto"/>
                      <w:szCs w:val="21"/>
                    </w:rPr>
                    <w:t>排放速率</w:t>
                  </w:r>
                </w:p>
              </w:tc>
              <w:tc>
                <w:tcPr>
                  <w:tcW w:w="933" w:type="dxa"/>
                  <w:vAlign w:val="center"/>
                </w:tcPr>
                <w:p w14:paraId="1088387C">
                  <w:pPr>
                    <w:jc w:val="center"/>
                    <w:rPr>
                      <w:color w:val="auto"/>
                      <w:szCs w:val="21"/>
                    </w:rPr>
                  </w:pPr>
                  <w:r>
                    <w:rPr>
                      <w:color w:val="auto"/>
                      <w:szCs w:val="21"/>
                    </w:rPr>
                    <w:t>kg/h</w:t>
                  </w:r>
                </w:p>
              </w:tc>
              <w:tc>
                <w:tcPr>
                  <w:tcW w:w="1717" w:type="dxa"/>
                  <w:vAlign w:val="center"/>
                </w:tcPr>
                <w:p w14:paraId="2BB413BE">
                  <w:pPr>
                    <w:jc w:val="center"/>
                    <w:textAlignment w:val="center"/>
                    <w:rPr>
                      <w:rFonts w:hint="default" w:eastAsia="宋体"/>
                      <w:color w:val="auto"/>
                      <w:szCs w:val="21"/>
                      <w:lang w:val="en-US" w:eastAsia="zh-CN"/>
                    </w:rPr>
                  </w:pPr>
                  <w:r>
                    <w:rPr>
                      <w:rFonts w:hint="eastAsia"/>
                      <w:color w:val="auto"/>
                      <w:kern w:val="0"/>
                      <w:szCs w:val="21"/>
                      <w:lang w:val="en-US" w:eastAsia="zh-CN" w:bidi="ar"/>
                    </w:rPr>
                    <w:t>0.196</w:t>
                  </w:r>
                </w:p>
              </w:tc>
              <w:tc>
                <w:tcPr>
                  <w:tcW w:w="970" w:type="dxa"/>
                  <w:vAlign w:val="center"/>
                </w:tcPr>
                <w:p w14:paraId="59C3DAB5">
                  <w:pPr>
                    <w:jc w:val="center"/>
                    <w:rPr>
                      <w:color w:val="auto"/>
                      <w:kern w:val="0"/>
                      <w:szCs w:val="21"/>
                      <w:lang w:bidi="ar"/>
                    </w:rPr>
                  </w:pPr>
                  <w:r>
                    <w:rPr>
                      <w:color w:val="auto"/>
                      <w:kern w:val="0"/>
                      <w:szCs w:val="21"/>
                      <w:lang w:bidi="ar"/>
                    </w:rPr>
                    <w:t>/</w:t>
                  </w:r>
                </w:p>
              </w:tc>
              <w:tc>
                <w:tcPr>
                  <w:tcW w:w="1875" w:type="dxa"/>
                  <w:vAlign w:val="center"/>
                </w:tcPr>
                <w:p w14:paraId="474BFCA0">
                  <w:pPr>
                    <w:jc w:val="center"/>
                    <w:textAlignment w:val="center"/>
                    <w:rPr>
                      <w:rFonts w:hint="default" w:eastAsia="宋体"/>
                      <w:color w:val="auto"/>
                      <w:szCs w:val="21"/>
                      <w:lang w:val="en-US" w:eastAsia="zh-CN"/>
                    </w:rPr>
                  </w:pPr>
                  <w:r>
                    <w:rPr>
                      <w:rFonts w:hint="eastAsia"/>
                      <w:color w:val="auto"/>
                      <w:kern w:val="0"/>
                      <w:szCs w:val="21"/>
                      <w:lang w:val="en-US" w:eastAsia="zh-CN" w:bidi="ar"/>
                    </w:rPr>
                    <w:t>0.0346</w:t>
                  </w:r>
                </w:p>
              </w:tc>
              <w:tc>
                <w:tcPr>
                  <w:tcW w:w="945" w:type="dxa"/>
                  <w:vAlign w:val="center"/>
                </w:tcPr>
                <w:p w14:paraId="7BD6A00E">
                  <w:pPr>
                    <w:jc w:val="center"/>
                    <w:rPr>
                      <w:rFonts w:hint="eastAsia" w:eastAsia="宋体"/>
                      <w:color w:val="auto"/>
                      <w:szCs w:val="21"/>
                      <w:lang w:val="en-US" w:eastAsia="zh-CN"/>
                    </w:rPr>
                  </w:pPr>
                  <w:r>
                    <w:rPr>
                      <w:rFonts w:hint="eastAsia"/>
                      <w:color w:val="auto"/>
                      <w:szCs w:val="21"/>
                      <w:lang w:val="en-US" w:eastAsia="zh-CN"/>
                    </w:rPr>
                    <w:t>/</w:t>
                  </w:r>
                </w:p>
              </w:tc>
              <w:tc>
                <w:tcPr>
                  <w:tcW w:w="1080" w:type="dxa"/>
                  <w:vAlign w:val="center"/>
                </w:tcPr>
                <w:p w14:paraId="3C3E3944">
                  <w:pPr>
                    <w:jc w:val="center"/>
                    <w:rPr>
                      <w:rFonts w:hint="eastAsia" w:eastAsia="宋体"/>
                      <w:color w:val="auto"/>
                      <w:szCs w:val="21"/>
                      <w:lang w:val="en-US" w:eastAsia="zh-CN"/>
                    </w:rPr>
                  </w:pPr>
                  <w:r>
                    <w:rPr>
                      <w:rFonts w:hint="eastAsia"/>
                      <w:color w:val="auto"/>
                      <w:szCs w:val="21"/>
                      <w:lang w:val="en-US" w:eastAsia="zh-CN"/>
                    </w:rPr>
                    <w:t>/</w:t>
                  </w:r>
                </w:p>
              </w:tc>
            </w:tr>
            <w:tr w14:paraId="5816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46" w:type="dxa"/>
                  <w:gridSpan w:val="8"/>
                  <w:vAlign w:val="center"/>
                </w:tcPr>
                <w:p w14:paraId="456D6D90">
                  <w:pPr>
                    <w:widowControl w:val="0"/>
                    <w:spacing w:line="240" w:lineRule="exact"/>
                    <w:ind w:left="63" w:leftChars="30"/>
                    <w:jc w:val="both"/>
                    <w:rPr>
                      <w:color w:val="auto"/>
                      <w:szCs w:val="21"/>
                    </w:rPr>
                  </w:pPr>
                  <w:r>
                    <w:rPr>
                      <w:color w:val="auto"/>
                      <w:szCs w:val="21"/>
                    </w:rPr>
                    <w:t>备注：</w:t>
                  </w:r>
                </w:p>
                <w:p w14:paraId="44D75087">
                  <w:pPr>
                    <w:widowControl w:val="0"/>
                    <w:spacing w:line="240" w:lineRule="exact"/>
                    <w:ind w:left="63" w:leftChars="30"/>
                    <w:jc w:val="both"/>
                    <w:rPr>
                      <w:color w:val="auto"/>
                      <w:szCs w:val="21"/>
                    </w:rPr>
                  </w:pPr>
                  <w:r>
                    <w:rPr>
                      <w:color w:val="auto"/>
                      <w:szCs w:val="21"/>
                    </w:rPr>
                    <w:t>1、</w:t>
                  </w:r>
                  <w:r>
                    <w:rPr>
                      <w:rFonts w:hint="eastAsia"/>
                      <w:color w:val="auto"/>
                      <w:szCs w:val="21"/>
                      <w:lang w:val="en-US" w:eastAsia="zh-CN"/>
                    </w:rPr>
                    <w:t>标准限</w:t>
                  </w:r>
                  <w:r>
                    <w:rPr>
                      <w:rFonts w:hint="eastAsia" w:ascii="Times New Roman" w:hAnsi="Times New Roman" w:eastAsia="宋体" w:cs="Times New Roman"/>
                      <w:color w:val="auto"/>
                      <w:szCs w:val="21"/>
                      <w:lang w:val="en-US" w:eastAsia="zh-CN"/>
                    </w:rPr>
                    <w:t>值参考《合成树脂工业污染物排放标准》（GB31572-2015，含2024年修改单）表4大气污染物排放限值；</w:t>
                  </w:r>
                </w:p>
                <w:p w14:paraId="716F4B1A">
                  <w:pPr>
                    <w:widowControl w:val="0"/>
                    <w:spacing w:line="240" w:lineRule="exact"/>
                    <w:ind w:left="63" w:leftChars="30"/>
                    <w:jc w:val="both"/>
                    <w:rPr>
                      <w:color w:val="auto"/>
                      <w:szCs w:val="21"/>
                    </w:rPr>
                  </w:pPr>
                  <w:r>
                    <w:rPr>
                      <w:color w:val="auto"/>
                      <w:szCs w:val="21"/>
                    </w:rPr>
                    <w:t>2、“/”表示标准限值没有要求，标准限值由客户提供。</w:t>
                  </w:r>
                </w:p>
                <w:p w14:paraId="2442F9A8">
                  <w:pPr>
                    <w:widowControl w:val="0"/>
                    <w:spacing w:line="240" w:lineRule="exact"/>
                    <w:ind w:left="63" w:leftChars="30"/>
                    <w:jc w:val="both"/>
                    <w:rPr>
                      <w:rFonts w:hint="default" w:eastAsia="宋体"/>
                      <w:color w:val="auto"/>
                      <w:szCs w:val="21"/>
                      <w:lang w:val="en-US" w:eastAsia="zh-CN"/>
                    </w:rPr>
                  </w:pPr>
                  <w:r>
                    <w:rPr>
                      <w:rFonts w:hint="eastAsia"/>
                      <w:color w:val="auto"/>
                      <w:szCs w:val="21"/>
                      <w:lang w:val="en-US" w:eastAsia="zh-CN"/>
                    </w:rPr>
                    <w:t>3、处理设施：水喷淋塔+除雾器+两级活性炭吸附。</w:t>
                  </w:r>
                </w:p>
              </w:tc>
            </w:tr>
          </w:tbl>
          <w:p w14:paraId="0B4E2E63">
            <w:pPr>
              <w:pStyle w:val="89"/>
              <w:ind w:firstLine="422"/>
              <w:rPr>
                <w:rFonts w:ascii="Times New Roman" w:hAnsi="Times New Roman" w:eastAsia="宋体"/>
                <w:color w:val="auto"/>
                <w:sz w:val="21"/>
                <w:szCs w:val="21"/>
              </w:rPr>
            </w:pPr>
          </w:p>
          <w:p w14:paraId="0B06DD37">
            <w:pPr>
              <w:rPr>
                <w:color w:val="auto"/>
              </w:rPr>
            </w:pPr>
          </w:p>
          <w:p w14:paraId="51206182">
            <w:pPr>
              <w:pStyle w:val="89"/>
              <w:ind w:firstLine="422"/>
              <w:rPr>
                <w:rFonts w:ascii="Times New Roman" w:hAnsi="Times New Roman" w:eastAsia="宋体"/>
                <w:color w:val="auto"/>
                <w:sz w:val="21"/>
                <w:szCs w:val="21"/>
              </w:rPr>
            </w:pPr>
            <w:r>
              <w:rPr>
                <w:rFonts w:ascii="Times New Roman" w:hAnsi="Times New Roman" w:eastAsia="宋体"/>
                <w:color w:val="auto"/>
                <w:sz w:val="21"/>
                <w:szCs w:val="21"/>
              </w:rPr>
              <w:t>表</w:t>
            </w:r>
            <w:r>
              <w:rPr>
                <w:rFonts w:hint="eastAsia" w:ascii="Times New Roman" w:hAnsi="Times New Roman" w:eastAsia="宋体"/>
                <w:color w:val="auto"/>
                <w:sz w:val="21"/>
                <w:szCs w:val="21"/>
                <w:lang w:val="en-US" w:eastAsia="zh-CN"/>
              </w:rPr>
              <w:t>2-18</w:t>
            </w:r>
            <w:r>
              <w:rPr>
                <w:rFonts w:ascii="Times New Roman" w:hAnsi="Times New Roman" w:eastAsia="宋体"/>
                <w:color w:val="auto"/>
                <w:sz w:val="21"/>
                <w:szCs w:val="21"/>
              </w:rPr>
              <w:t xml:space="preserve"> 油烟废气检测结果表</w:t>
            </w:r>
          </w:p>
          <w:tbl>
            <w:tblPr>
              <w:tblStyle w:val="43"/>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623"/>
              <w:gridCol w:w="1092"/>
              <w:gridCol w:w="848"/>
              <w:gridCol w:w="835"/>
              <w:gridCol w:w="334"/>
              <w:gridCol w:w="501"/>
              <w:gridCol w:w="835"/>
              <w:gridCol w:w="835"/>
              <w:gridCol w:w="835"/>
              <w:gridCol w:w="841"/>
              <w:gridCol w:w="726"/>
            </w:tblGrid>
            <w:tr w14:paraId="0370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42" w:type="pct"/>
                  <w:gridSpan w:val="2"/>
                  <w:vAlign w:val="center"/>
                </w:tcPr>
                <w:p w14:paraId="62499B34">
                  <w:pPr>
                    <w:widowControl w:val="0"/>
                    <w:spacing w:line="240" w:lineRule="auto"/>
                    <w:jc w:val="center"/>
                    <w:rPr>
                      <w:b/>
                      <w:bCs/>
                      <w:color w:val="auto"/>
                      <w:szCs w:val="21"/>
                    </w:rPr>
                  </w:pPr>
                  <w:r>
                    <w:rPr>
                      <w:b/>
                      <w:bCs/>
                      <w:color w:val="auto"/>
                      <w:szCs w:val="21"/>
                    </w:rPr>
                    <w:t>采样日期</w:t>
                  </w:r>
                </w:p>
              </w:tc>
              <w:tc>
                <w:tcPr>
                  <w:tcW w:w="1050" w:type="pct"/>
                  <w:gridSpan w:val="2"/>
                  <w:vAlign w:val="center"/>
                </w:tcPr>
                <w:p w14:paraId="3CD41812">
                  <w:pPr>
                    <w:widowControl w:val="0"/>
                    <w:spacing w:line="240" w:lineRule="auto"/>
                    <w:jc w:val="center"/>
                    <w:rPr>
                      <w:b/>
                      <w:bCs/>
                      <w:color w:val="auto"/>
                      <w:szCs w:val="21"/>
                    </w:rPr>
                  </w:pPr>
                  <w:r>
                    <w:rPr>
                      <w:color w:val="auto"/>
                      <w:szCs w:val="21"/>
                    </w:rPr>
                    <w:t>2026.05.07</w:t>
                  </w:r>
                </w:p>
              </w:tc>
              <w:tc>
                <w:tcPr>
                  <w:tcW w:w="633" w:type="pct"/>
                  <w:gridSpan w:val="2"/>
                  <w:vAlign w:val="center"/>
                </w:tcPr>
                <w:p w14:paraId="2FAC3FE2">
                  <w:pPr>
                    <w:widowControl w:val="0"/>
                    <w:spacing w:line="240" w:lineRule="auto"/>
                    <w:jc w:val="center"/>
                    <w:rPr>
                      <w:b/>
                      <w:bCs/>
                      <w:color w:val="auto"/>
                      <w:szCs w:val="21"/>
                    </w:rPr>
                  </w:pPr>
                  <w:r>
                    <w:rPr>
                      <w:b/>
                      <w:bCs/>
                      <w:color w:val="auto"/>
                      <w:szCs w:val="21"/>
                    </w:rPr>
                    <w:t>环境条件</w:t>
                  </w:r>
                </w:p>
              </w:tc>
              <w:tc>
                <w:tcPr>
                  <w:tcW w:w="2473" w:type="pct"/>
                  <w:gridSpan w:val="6"/>
                  <w:vAlign w:val="center"/>
                </w:tcPr>
                <w:p w14:paraId="7E1B96AB">
                  <w:pPr>
                    <w:widowControl w:val="0"/>
                    <w:spacing w:line="240" w:lineRule="auto"/>
                    <w:rPr>
                      <w:b/>
                      <w:bCs/>
                      <w:color w:val="auto"/>
                      <w:szCs w:val="21"/>
                    </w:rPr>
                  </w:pPr>
                  <w:r>
                    <w:rPr>
                      <w:color w:val="auto"/>
                      <w:szCs w:val="21"/>
                    </w:rPr>
                    <w:t>天气状况：阴；</w:t>
                  </w:r>
                  <w:r>
                    <w:rPr>
                      <w:bCs/>
                      <w:color w:val="auto"/>
                      <w:szCs w:val="21"/>
                    </w:rPr>
                    <w:t>风速：1.2m/s。</w:t>
                  </w:r>
                </w:p>
              </w:tc>
            </w:tr>
            <w:tr w14:paraId="5A6D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5" w:type="pct"/>
                  <w:vMerge w:val="restart"/>
                  <w:vAlign w:val="center"/>
                </w:tcPr>
                <w:p w14:paraId="7C068D66">
                  <w:pPr>
                    <w:widowControl w:val="0"/>
                    <w:spacing w:line="240" w:lineRule="auto"/>
                    <w:jc w:val="center"/>
                    <w:rPr>
                      <w:b/>
                      <w:bCs/>
                      <w:color w:val="auto"/>
                      <w:szCs w:val="21"/>
                    </w:rPr>
                  </w:pPr>
                  <w:r>
                    <w:rPr>
                      <w:b/>
                      <w:bCs/>
                      <w:color w:val="auto"/>
                      <w:szCs w:val="21"/>
                    </w:rPr>
                    <w:t>检测点位名称</w:t>
                  </w:r>
                </w:p>
              </w:tc>
              <w:tc>
                <w:tcPr>
                  <w:tcW w:w="928" w:type="pct"/>
                  <w:gridSpan w:val="2"/>
                  <w:vMerge w:val="restart"/>
                  <w:vAlign w:val="center"/>
                </w:tcPr>
                <w:p w14:paraId="226B8E9F">
                  <w:pPr>
                    <w:widowControl w:val="0"/>
                    <w:spacing w:line="240" w:lineRule="auto"/>
                    <w:jc w:val="center"/>
                    <w:rPr>
                      <w:b/>
                      <w:bCs/>
                      <w:color w:val="auto"/>
                      <w:szCs w:val="21"/>
                    </w:rPr>
                  </w:pPr>
                  <w:r>
                    <w:rPr>
                      <w:b/>
                      <w:bCs/>
                      <w:color w:val="auto"/>
                      <w:szCs w:val="21"/>
                    </w:rPr>
                    <w:t>检测项目</w:t>
                  </w:r>
                </w:p>
              </w:tc>
              <w:tc>
                <w:tcPr>
                  <w:tcW w:w="459" w:type="pct"/>
                  <w:vMerge w:val="restart"/>
                  <w:vAlign w:val="center"/>
                </w:tcPr>
                <w:p w14:paraId="134B3A50">
                  <w:pPr>
                    <w:widowControl w:val="0"/>
                    <w:spacing w:line="240" w:lineRule="auto"/>
                    <w:jc w:val="center"/>
                    <w:rPr>
                      <w:b/>
                      <w:bCs/>
                      <w:color w:val="auto"/>
                      <w:szCs w:val="21"/>
                    </w:rPr>
                  </w:pPr>
                  <w:r>
                    <w:rPr>
                      <w:b/>
                      <w:bCs/>
                      <w:color w:val="auto"/>
                      <w:szCs w:val="21"/>
                    </w:rPr>
                    <w:t>单位</w:t>
                  </w:r>
                </w:p>
              </w:tc>
              <w:tc>
                <w:tcPr>
                  <w:tcW w:w="2715" w:type="pct"/>
                  <w:gridSpan w:val="7"/>
                  <w:vAlign w:val="center"/>
                </w:tcPr>
                <w:p w14:paraId="4808CCA7">
                  <w:pPr>
                    <w:widowControl w:val="0"/>
                    <w:spacing w:line="240" w:lineRule="auto"/>
                    <w:jc w:val="center"/>
                    <w:rPr>
                      <w:b/>
                      <w:bCs/>
                      <w:color w:val="auto"/>
                      <w:szCs w:val="21"/>
                    </w:rPr>
                  </w:pPr>
                  <w:r>
                    <w:rPr>
                      <w:b/>
                      <w:bCs/>
                      <w:color w:val="auto"/>
                      <w:szCs w:val="21"/>
                    </w:rPr>
                    <w:t>检测结果</w:t>
                  </w:r>
                </w:p>
              </w:tc>
              <w:tc>
                <w:tcPr>
                  <w:tcW w:w="391" w:type="pct"/>
                  <w:vMerge w:val="restart"/>
                  <w:vAlign w:val="center"/>
                </w:tcPr>
                <w:p w14:paraId="14A00859">
                  <w:pPr>
                    <w:widowControl w:val="0"/>
                    <w:spacing w:line="240" w:lineRule="auto"/>
                    <w:jc w:val="center"/>
                    <w:rPr>
                      <w:b/>
                      <w:bCs/>
                      <w:color w:val="auto"/>
                      <w:szCs w:val="21"/>
                    </w:rPr>
                  </w:pPr>
                  <w:r>
                    <w:rPr>
                      <w:b/>
                      <w:bCs/>
                      <w:color w:val="auto"/>
                      <w:szCs w:val="21"/>
                    </w:rPr>
                    <w:t>标准限值</w:t>
                  </w:r>
                </w:p>
              </w:tc>
            </w:tr>
            <w:tr w14:paraId="0DA3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5" w:type="pct"/>
                  <w:vMerge w:val="continue"/>
                  <w:vAlign w:val="center"/>
                </w:tcPr>
                <w:p w14:paraId="235123AC">
                  <w:pPr>
                    <w:widowControl w:val="0"/>
                    <w:spacing w:line="240" w:lineRule="auto"/>
                    <w:jc w:val="center"/>
                    <w:rPr>
                      <w:b/>
                      <w:bCs/>
                      <w:color w:val="auto"/>
                      <w:szCs w:val="21"/>
                    </w:rPr>
                  </w:pPr>
                </w:p>
              </w:tc>
              <w:tc>
                <w:tcPr>
                  <w:tcW w:w="928" w:type="pct"/>
                  <w:gridSpan w:val="2"/>
                  <w:vMerge w:val="continue"/>
                  <w:vAlign w:val="center"/>
                </w:tcPr>
                <w:p w14:paraId="7AD23A2C">
                  <w:pPr>
                    <w:widowControl w:val="0"/>
                    <w:spacing w:line="240" w:lineRule="auto"/>
                    <w:jc w:val="center"/>
                    <w:rPr>
                      <w:b/>
                      <w:bCs/>
                      <w:color w:val="auto"/>
                      <w:szCs w:val="21"/>
                    </w:rPr>
                  </w:pPr>
                </w:p>
              </w:tc>
              <w:tc>
                <w:tcPr>
                  <w:tcW w:w="459" w:type="pct"/>
                  <w:vMerge w:val="continue"/>
                  <w:vAlign w:val="center"/>
                </w:tcPr>
                <w:p w14:paraId="6E0EAF21">
                  <w:pPr>
                    <w:widowControl w:val="0"/>
                    <w:spacing w:line="240" w:lineRule="auto"/>
                    <w:jc w:val="center"/>
                    <w:rPr>
                      <w:b/>
                      <w:bCs/>
                      <w:color w:val="auto"/>
                      <w:szCs w:val="21"/>
                    </w:rPr>
                  </w:pPr>
                </w:p>
              </w:tc>
              <w:tc>
                <w:tcPr>
                  <w:tcW w:w="452" w:type="pct"/>
                  <w:vAlign w:val="center"/>
                </w:tcPr>
                <w:p w14:paraId="44617CA6">
                  <w:pPr>
                    <w:widowControl w:val="0"/>
                    <w:spacing w:line="240" w:lineRule="auto"/>
                    <w:jc w:val="center"/>
                    <w:rPr>
                      <w:b/>
                      <w:bCs/>
                      <w:color w:val="auto"/>
                      <w:szCs w:val="21"/>
                    </w:rPr>
                  </w:pPr>
                  <w:r>
                    <w:rPr>
                      <w:b/>
                      <w:bCs/>
                      <w:color w:val="auto"/>
                      <w:szCs w:val="21"/>
                    </w:rPr>
                    <w:t>第1次</w:t>
                  </w:r>
                </w:p>
              </w:tc>
              <w:tc>
                <w:tcPr>
                  <w:tcW w:w="452" w:type="pct"/>
                  <w:gridSpan w:val="2"/>
                  <w:vAlign w:val="center"/>
                </w:tcPr>
                <w:p w14:paraId="6AF7C94A">
                  <w:pPr>
                    <w:widowControl w:val="0"/>
                    <w:spacing w:line="240" w:lineRule="auto"/>
                    <w:jc w:val="center"/>
                    <w:rPr>
                      <w:b/>
                      <w:bCs/>
                      <w:color w:val="auto"/>
                      <w:szCs w:val="21"/>
                    </w:rPr>
                  </w:pPr>
                  <w:r>
                    <w:rPr>
                      <w:b/>
                      <w:bCs/>
                      <w:color w:val="auto"/>
                      <w:szCs w:val="21"/>
                    </w:rPr>
                    <w:t>第2次</w:t>
                  </w:r>
                </w:p>
              </w:tc>
              <w:tc>
                <w:tcPr>
                  <w:tcW w:w="452" w:type="pct"/>
                  <w:vAlign w:val="center"/>
                </w:tcPr>
                <w:p w14:paraId="3EF205AF">
                  <w:pPr>
                    <w:widowControl w:val="0"/>
                    <w:spacing w:line="240" w:lineRule="auto"/>
                    <w:jc w:val="center"/>
                    <w:rPr>
                      <w:b/>
                      <w:bCs/>
                      <w:color w:val="auto"/>
                      <w:szCs w:val="21"/>
                    </w:rPr>
                  </w:pPr>
                  <w:r>
                    <w:rPr>
                      <w:b/>
                      <w:bCs/>
                      <w:color w:val="auto"/>
                      <w:szCs w:val="21"/>
                    </w:rPr>
                    <w:t>第3次</w:t>
                  </w:r>
                </w:p>
              </w:tc>
              <w:tc>
                <w:tcPr>
                  <w:tcW w:w="452" w:type="pct"/>
                  <w:vAlign w:val="center"/>
                </w:tcPr>
                <w:p w14:paraId="65D0D055">
                  <w:pPr>
                    <w:widowControl w:val="0"/>
                    <w:spacing w:line="240" w:lineRule="auto"/>
                    <w:jc w:val="center"/>
                    <w:rPr>
                      <w:b/>
                      <w:bCs/>
                      <w:color w:val="auto"/>
                      <w:szCs w:val="21"/>
                    </w:rPr>
                  </w:pPr>
                  <w:r>
                    <w:rPr>
                      <w:b/>
                      <w:bCs/>
                      <w:color w:val="auto"/>
                      <w:szCs w:val="21"/>
                    </w:rPr>
                    <w:t>第4次</w:t>
                  </w:r>
                </w:p>
              </w:tc>
              <w:tc>
                <w:tcPr>
                  <w:tcW w:w="452" w:type="pct"/>
                  <w:vAlign w:val="center"/>
                </w:tcPr>
                <w:p w14:paraId="16D52AD8">
                  <w:pPr>
                    <w:widowControl w:val="0"/>
                    <w:spacing w:line="240" w:lineRule="auto"/>
                    <w:jc w:val="center"/>
                    <w:rPr>
                      <w:b/>
                      <w:bCs/>
                      <w:color w:val="auto"/>
                      <w:szCs w:val="21"/>
                    </w:rPr>
                  </w:pPr>
                  <w:r>
                    <w:rPr>
                      <w:b/>
                      <w:bCs/>
                      <w:color w:val="auto"/>
                      <w:szCs w:val="21"/>
                    </w:rPr>
                    <w:t>第5次</w:t>
                  </w:r>
                </w:p>
              </w:tc>
              <w:tc>
                <w:tcPr>
                  <w:tcW w:w="452" w:type="pct"/>
                  <w:vAlign w:val="center"/>
                </w:tcPr>
                <w:p w14:paraId="0AD94B68">
                  <w:pPr>
                    <w:widowControl w:val="0"/>
                    <w:spacing w:line="240" w:lineRule="auto"/>
                    <w:jc w:val="center"/>
                    <w:rPr>
                      <w:b/>
                      <w:bCs/>
                      <w:color w:val="auto"/>
                      <w:szCs w:val="21"/>
                    </w:rPr>
                  </w:pPr>
                  <w:r>
                    <w:rPr>
                      <w:b/>
                      <w:bCs/>
                      <w:color w:val="auto"/>
                      <w:szCs w:val="21"/>
                    </w:rPr>
                    <w:t>均值</w:t>
                  </w:r>
                </w:p>
              </w:tc>
              <w:tc>
                <w:tcPr>
                  <w:tcW w:w="391" w:type="pct"/>
                  <w:vMerge w:val="continue"/>
                  <w:vAlign w:val="center"/>
                </w:tcPr>
                <w:p w14:paraId="4D2E8B54">
                  <w:pPr>
                    <w:widowControl w:val="0"/>
                    <w:spacing w:line="240" w:lineRule="auto"/>
                    <w:jc w:val="center"/>
                    <w:rPr>
                      <w:b/>
                      <w:bCs/>
                      <w:color w:val="auto"/>
                      <w:szCs w:val="21"/>
                    </w:rPr>
                  </w:pPr>
                </w:p>
              </w:tc>
            </w:tr>
            <w:tr w14:paraId="1A2F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5" w:type="pct"/>
                  <w:vMerge w:val="restart"/>
                  <w:vAlign w:val="center"/>
                </w:tcPr>
                <w:p w14:paraId="667B3836">
                  <w:pPr>
                    <w:spacing w:line="240" w:lineRule="auto"/>
                    <w:jc w:val="center"/>
                    <w:rPr>
                      <w:color w:val="auto"/>
                      <w:szCs w:val="21"/>
                    </w:rPr>
                  </w:pPr>
                  <w:r>
                    <w:rPr>
                      <w:color w:val="auto"/>
                      <w:szCs w:val="21"/>
                    </w:rPr>
                    <w:t>油烟管道进口</w:t>
                  </w:r>
                </w:p>
              </w:tc>
              <w:tc>
                <w:tcPr>
                  <w:tcW w:w="928" w:type="pct"/>
                  <w:gridSpan w:val="2"/>
                  <w:vAlign w:val="center"/>
                </w:tcPr>
                <w:p w14:paraId="20284D34">
                  <w:pPr>
                    <w:spacing w:line="240" w:lineRule="auto"/>
                    <w:jc w:val="center"/>
                    <w:rPr>
                      <w:color w:val="auto"/>
                      <w:szCs w:val="21"/>
                    </w:rPr>
                  </w:pPr>
                  <w:r>
                    <w:rPr>
                      <w:color w:val="auto"/>
                      <w:szCs w:val="21"/>
                    </w:rPr>
                    <w:t>标干流量</w:t>
                  </w:r>
                </w:p>
              </w:tc>
              <w:tc>
                <w:tcPr>
                  <w:tcW w:w="459" w:type="pct"/>
                  <w:vAlign w:val="center"/>
                </w:tcPr>
                <w:p w14:paraId="452698B6">
                  <w:pPr>
                    <w:spacing w:line="240" w:lineRule="auto"/>
                    <w:jc w:val="center"/>
                    <w:rPr>
                      <w:color w:val="auto"/>
                      <w:szCs w:val="21"/>
                    </w:rPr>
                  </w:pPr>
                  <w:r>
                    <w:rPr>
                      <w:color w:val="auto"/>
                      <w:szCs w:val="21"/>
                    </w:rPr>
                    <w:t>m</w:t>
                  </w:r>
                  <w:r>
                    <w:rPr>
                      <w:color w:val="auto"/>
                      <w:szCs w:val="21"/>
                      <w:vertAlign w:val="superscript"/>
                    </w:rPr>
                    <w:t>3</w:t>
                  </w:r>
                  <w:r>
                    <w:rPr>
                      <w:color w:val="auto"/>
                      <w:szCs w:val="21"/>
                    </w:rPr>
                    <w:t>/h</w:t>
                  </w:r>
                </w:p>
              </w:tc>
              <w:tc>
                <w:tcPr>
                  <w:tcW w:w="452" w:type="pct"/>
                  <w:vAlign w:val="center"/>
                </w:tcPr>
                <w:p w14:paraId="74BD4944">
                  <w:pPr>
                    <w:spacing w:line="240" w:lineRule="auto"/>
                    <w:ind w:left="-107" w:leftChars="-51" w:right="-107" w:rightChars="-51"/>
                    <w:jc w:val="center"/>
                    <w:rPr>
                      <w:color w:val="auto"/>
                      <w:szCs w:val="21"/>
                    </w:rPr>
                  </w:pPr>
                  <w:r>
                    <w:rPr>
                      <w:color w:val="auto"/>
                      <w:szCs w:val="21"/>
                    </w:rPr>
                    <w:t xml:space="preserve">15538 </w:t>
                  </w:r>
                </w:p>
              </w:tc>
              <w:tc>
                <w:tcPr>
                  <w:tcW w:w="452" w:type="pct"/>
                  <w:gridSpan w:val="2"/>
                  <w:vAlign w:val="center"/>
                </w:tcPr>
                <w:p w14:paraId="1CB0BD07">
                  <w:pPr>
                    <w:spacing w:line="240" w:lineRule="auto"/>
                    <w:ind w:left="-107" w:leftChars="-51" w:right="-107" w:rightChars="-51"/>
                    <w:jc w:val="center"/>
                    <w:rPr>
                      <w:color w:val="auto"/>
                      <w:szCs w:val="21"/>
                    </w:rPr>
                  </w:pPr>
                  <w:r>
                    <w:rPr>
                      <w:color w:val="auto"/>
                      <w:szCs w:val="21"/>
                    </w:rPr>
                    <w:t xml:space="preserve">15091 </w:t>
                  </w:r>
                </w:p>
              </w:tc>
              <w:tc>
                <w:tcPr>
                  <w:tcW w:w="452" w:type="pct"/>
                  <w:vAlign w:val="center"/>
                </w:tcPr>
                <w:p w14:paraId="43506AD1">
                  <w:pPr>
                    <w:spacing w:line="240" w:lineRule="auto"/>
                    <w:ind w:left="-107" w:leftChars="-51" w:right="-107" w:rightChars="-51"/>
                    <w:jc w:val="center"/>
                    <w:rPr>
                      <w:color w:val="auto"/>
                      <w:szCs w:val="21"/>
                    </w:rPr>
                  </w:pPr>
                  <w:r>
                    <w:rPr>
                      <w:color w:val="auto"/>
                      <w:szCs w:val="21"/>
                    </w:rPr>
                    <w:t>15359</w:t>
                  </w:r>
                </w:p>
              </w:tc>
              <w:tc>
                <w:tcPr>
                  <w:tcW w:w="452" w:type="pct"/>
                  <w:vAlign w:val="center"/>
                </w:tcPr>
                <w:p w14:paraId="7F1EB362">
                  <w:pPr>
                    <w:spacing w:line="240" w:lineRule="auto"/>
                    <w:ind w:left="-107" w:leftChars="-51" w:right="-107" w:rightChars="-51"/>
                    <w:jc w:val="center"/>
                    <w:rPr>
                      <w:color w:val="auto"/>
                      <w:szCs w:val="21"/>
                    </w:rPr>
                  </w:pPr>
                  <w:r>
                    <w:rPr>
                      <w:color w:val="auto"/>
                      <w:szCs w:val="21"/>
                    </w:rPr>
                    <w:t xml:space="preserve">14867 </w:t>
                  </w:r>
                </w:p>
              </w:tc>
              <w:tc>
                <w:tcPr>
                  <w:tcW w:w="452" w:type="pct"/>
                  <w:vAlign w:val="center"/>
                </w:tcPr>
                <w:p w14:paraId="57D4A02D">
                  <w:pPr>
                    <w:spacing w:line="240" w:lineRule="auto"/>
                    <w:ind w:left="-107" w:leftChars="-51" w:right="-107" w:rightChars="-51"/>
                    <w:jc w:val="center"/>
                    <w:rPr>
                      <w:color w:val="auto"/>
                      <w:szCs w:val="21"/>
                    </w:rPr>
                  </w:pPr>
                  <w:r>
                    <w:rPr>
                      <w:color w:val="auto"/>
                      <w:szCs w:val="21"/>
                    </w:rPr>
                    <w:t xml:space="preserve">14532 </w:t>
                  </w:r>
                </w:p>
              </w:tc>
              <w:tc>
                <w:tcPr>
                  <w:tcW w:w="452" w:type="pct"/>
                  <w:vAlign w:val="center"/>
                </w:tcPr>
                <w:p w14:paraId="1311B5A4">
                  <w:pPr>
                    <w:spacing w:line="240" w:lineRule="auto"/>
                    <w:ind w:left="-107" w:leftChars="-51" w:right="-107" w:rightChars="-51"/>
                    <w:jc w:val="center"/>
                    <w:rPr>
                      <w:color w:val="auto"/>
                      <w:szCs w:val="21"/>
                    </w:rPr>
                  </w:pPr>
                  <w:r>
                    <w:rPr>
                      <w:color w:val="auto"/>
                      <w:szCs w:val="21"/>
                    </w:rPr>
                    <w:t xml:space="preserve">15077 </w:t>
                  </w:r>
                </w:p>
              </w:tc>
              <w:tc>
                <w:tcPr>
                  <w:tcW w:w="391" w:type="pct"/>
                  <w:vAlign w:val="center"/>
                </w:tcPr>
                <w:p w14:paraId="29721F82">
                  <w:pPr>
                    <w:spacing w:line="240" w:lineRule="auto"/>
                    <w:jc w:val="center"/>
                    <w:textAlignment w:val="center"/>
                    <w:rPr>
                      <w:color w:val="auto"/>
                      <w:szCs w:val="21"/>
                    </w:rPr>
                  </w:pPr>
                  <w:r>
                    <w:rPr>
                      <w:color w:val="auto"/>
                      <w:szCs w:val="21"/>
                    </w:rPr>
                    <w:t>/</w:t>
                  </w:r>
                </w:p>
              </w:tc>
            </w:tr>
            <w:tr w14:paraId="56B8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5" w:type="pct"/>
                  <w:vMerge w:val="continue"/>
                  <w:vAlign w:val="center"/>
                </w:tcPr>
                <w:p w14:paraId="2CD8ADA5">
                  <w:pPr>
                    <w:spacing w:line="240" w:lineRule="auto"/>
                    <w:jc w:val="center"/>
                    <w:rPr>
                      <w:color w:val="auto"/>
                      <w:szCs w:val="21"/>
                    </w:rPr>
                  </w:pPr>
                </w:p>
              </w:tc>
              <w:tc>
                <w:tcPr>
                  <w:tcW w:w="337" w:type="pct"/>
                  <w:vAlign w:val="center"/>
                </w:tcPr>
                <w:p w14:paraId="0F8A6358">
                  <w:pPr>
                    <w:widowControl w:val="0"/>
                    <w:spacing w:line="240" w:lineRule="auto"/>
                    <w:jc w:val="center"/>
                    <w:rPr>
                      <w:color w:val="auto"/>
                      <w:szCs w:val="21"/>
                    </w:rPr>
                  </w:pPr>
                  <w:r>
                    <w:rPr>
                      <w:color w:val="auto"/>
                      <w:szCs w:val="21"/>
                    </w:rPr>
                    <w:t>油烟</w:t>
                  </w:r>
                </w:p>
              </w:tc>
              <w:tc>
                <w:tcPr>
                  <w:tcW w:w="591" w:type="pct"/>
                  <w:vAlign w:val="center"/>
                </w:tcPr>
                <w:p w14:paraId="4B11D69F">
                  <w:pPr>
                    <w:widowControl w:val="0"/>
                    <w:spacing w:line="240" w:lineRule="auto"/>
                    <w:jc w:val="center"/>
                    <w:rPr>
                      <w:color w:val="auto"/>
                      <w:szCs w:val="21"/>
                    </w:rPr>
                  </w:pPr>
                  <w:r>
                    <w:rPr>
                      <w:color w:val="auto"/>
                      <w:szCs w:val="21"/>
                    </w:rPr>
                    <w:t>排放浓度</w:t>
                  </w:r>
                </w:p>
              </w:tc>
              <w:tc>
                <w:tcPr>
                  <w:tcW w:w="459" w:type="pct"/>
                  <w:vAlign w:val="center"/>
                </w:tcPr>
                <w:p w14:paraId="06637FAF">
                  <w:pPr>
                    <w:widowControl w:val="0"/>
                    <w:spacing w:line="240" w:lineRule="auto"/>
                    <w:jc w:val="center"/>
                    <w:rPr>
                      <w:color w:val="auto"/>
                      <w:szCs w:val="21"/>
                    </w:rPr>
                  </w:pPr>
                  <w:r>
                    <w:rPr>
                      <w:color w:val="auto"/>
                      <w:szCs w:val="21"/>
                    </w:rPr>
                    <w:t>mg/m</w:t>
                  </w:r>
                  <w:r>
                    <w:rPr>
                      <w:color w:val="auto"/>
                      <w:szCs w:val="21"/>
                      <w:vertAlign w:val="superscript"/>
                    </w:rPr>
                    <w:t>3</w:t>
                  </w:r>
                </w:p>
              </w:tc>
              <w:tc>
                <w:tcPr>
                  <w:tcW w:w="452" w:type="pct"/>
                  <w:vAlign w:val="center"/>
                </w:tcPr>
                <w:p w14:paraId="322621F6">
                  <w:pPr>
                    <w:spacing w:line="240" w:lineRule="auto"/>
                    <w:ind w:left="-107" w:leftChars="-51" w:right="-107" w:rightChars="-51"/>
                    <w:jc w:val="center"/>
                    <w:rPr>
                      <w:color w:val="auto"/>
                      <w:szCs w:val="21"/>
                    </w:rPr>
                  </w:pPr>
                  <w:r>
                    <w:rPr>
                      <w:color w:val="auto"/>
                      <w:szCs w:val="21"/>
                    </w:rPr>
                    <w:t xml:space="preserve">17.2 </w:t>
                  </w:r>
                </w:p>
              </w:tc>
              <w:tc>
                <w:tcPr>
                  <w:tcW w:w="452" w:type="pct"/>
                  <w:gridSpan w:val="2"/>
                  <w:vAlign w:val="center"/>
                </w:tcPr>
                <w:p w14:paraId="7BF1957B">
                  <w:pPr>
                    <w:spacing w:line="240" w:lineRule="auto"/>
                    <w:ind w:left="-107" w:leftChars="-51" w:right="-107" w:rightChars="-51"/>
                    <w:jc w:val="center"/>
                    <w:rPr>
                      <w:color w:val="auto"/>
                      <w:szCs w:val="21"/>
                    </w:rPr>
                  </w:pPr>
                  <w:r>
                    <w:rPr>
                      <w:color w:val="auto"/>
                      <w:szCs w:val="21"/>
                    </w:rPr>
                    <w:t>11.7</w:t>
                  </w:r>
                </w:p>
              </w:tc>
              <w:tc>
                <w:tcPr>
                  <w:tcW w:w="452" w:type="pct"/>
                  <w:vAlign w:val="center"/>
                </w:tcPr>
                <w:p w14:paraId="7E009BF2">
                  <w:pPr>
                    <w:spacing w:line="240" w:lineRule="auto"/>
                    <w:ind w:left="-107" w:leftChars="-51" w:right="-107" w:rightChars="-51"/>
                    <w:jc w:val="center"/>
                    <w:rPr>
                      <w:color w:val="auto"/>
                      <w:szCs w:val="21"/>
                    </w:rPr>
                  </w:pPr>
                  <w:r>
                    <w:rPr>
                      <w:color w:val="auto"/>
                      <w:szCs w:val="21"/>
                    </w:rPr>
                    <w:t xml:space="preserve">15.0 </w:t>
                  </w:r>
                </w:p>
              </w:tc>
              <w:tc>
                <w:tcPr>
                  <w:tcW w:w="452" w:type="pct"/>
                  <w:vAlign w:val="center"/>
                </w:tcPr>
                <w:p w14:paraId="786B9450">
                  <w:pPr>
                    <w:spacing w:line="240" w:lineRule="auto"/>
                    <w:ind w:left="-107" w:leftChars="-51" w:right="-107" w:rightChars="-51"/>
                    <w:jc w:val="center"/>
                    <w:rPr>
                      <w:color w:val="auto"/>
                      <w:szCs w:val="21"/>
                    </w:rPr>
                  </w:pPr>
                  <w:r>
                    <w:rPr>
                      <w:color w:val="auto"/>
                      <w:szCs w:val="21"/>
                    </w:rPr>
                    <w:t xml:space="preserve">11.3 </w:t>
                  </w:r>
                </w:p>
              </w:tc>
              <w:tc>
                <w:tcPr>
                  <w:tcW w:w="452" w:type="pct"/>
                  <w:vAlign w:val="center"/>
                </w:tcPr>
                <w:p w14:paraId="5225B593">
                  <w:pPr>
                    <w:spacing w:line="240" w:lineRule="auto"/>
                    <w:ind w:left="-107" w:leftChars="-51" w:right="-107" w:rightChars="-51"/>
                    <w:jc w:val="center"/>
                    <w:rPr>
                      <w:color w:val="auto"/>
                      <w:szCs w:val="21"/>
                    </w:rPr>
                  </w:pPr>
                  <w:r>
                    <w:rPr>
                      <w:color w:val="auto"/>
                      <w:szCs w:val="21"/>
                    </w:rPr>
                    <w:t xml:space="preserve">13.9 </w:t>
                  </w:r>
                </w:p>
              </w:tc>
              <w:tc>
                <w:tcPr>
                  <w:tcW w:w="452" w:type="pct"/>
                  <w:vAlign w:val="center"/>
                </w:tcPr>
                <w:p w14:paraId="0BB3B3A1">
                  <w:pPr>
                    <w:spacing w:line="240" w:lineRule="auto"/>
                    <w:ind w:left="-107" w:leftChars="-51" w:right="-107" w:rightChars="-51"/>
                    <w:jc w:val="center"/>
                    <w:rPr>
                      <w:color w:val="auto"/>
                      <w:szCs w:val="21"/>
                    </w:rPr>
                  </w:pPr>
                  <w:r>
                    <w:rPr>
                      <w:color w:val="auto"/>
                      <w:szCs w:val="21"/>
                    </w:rPr>
                    <w:t xml:space="preserve">13.8 </w:t>
                  </w:r>
                </w:p>
              </w:tc>
              <w:tc>
                <w:tcPr>
                  <w:tcW w:w="391" w:type="pct"/>
                  <w:vAlign w:val="center"/>
                </w:tcPr>
                <w:p w14:paraId="07FED832">
                  <w:pPr>
                    <w:spacing w:line="240" w:lineRule="auto"/>
                    <w:jc w:val="center"/>
                    <w:textAlignment w:val="center"/>
                    <w:rPr>
                      <w:color w:val="auto"/>
                      <w:szCs w:val="21"/>
                    </w:rPr>
                  </w:pPr>
                  <w:r>
                    <w:rPr>
                      <w:color w:val="auto"/>
                      <w:szCs w:val="21"/>
                    </w:rPr>
                    <w:t>/</w:t>
                  </w:r>
                </w:p>
              </w:tc>
            </w:tr>
            <w:tr w14:paraId="4B76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5" w:type="pct"/>
                  <w:vMerge w:val="restart"/>
                  <w:vAlign w:val="center"/>
                </w:tcPr>
                <w:p w14:paraId="05B285DB">
                  <w:pPr>
                    <w:spacing w:line="240" w:lineRule="auto"/>
                    <w:jc w:val="center"/>
                    <w:rPr>
                      <w:b/>
                      <w:bCs/>
                      <w:color w:val="auto"/>
                      <w:szCs w:val="21"/>
                    </w:rPr>
                  </w:pPr>
                  <w:r>
                    <w:rPr>
                      <w:color w:val="auto"/>
                      <w:szCs w:val="21"/>
                    </w:rPr>
                    <w:t>油烟管道出口</w:t>
                  </w:r>
                </w:p>
              </w:tc>
              <w:tc>
                <w:tcPr>
                  <w:tcW w:w="928" w:type="pct"/>
                  <w:gridSpan w:val="2"/>
                  <w:vAlign w:val="center"/>
                </w:tcPr>
                <w:p w14:paraId="2CC5E2EC">
                  <w:pPr>
                    <w:spacing w:line="240" w:lineRule="auto"/>
                    <w:jc w:val="center"/>
                    <w:rPr>
                      <w:color w:val="auto"/>
                      <w:szCs w:val="21"/>
                    </w:rPr>
                  </w:pPr>
                  <w:r>
                    <w:rPr>
                      <w:color w:val="auto"/>
                      <w:szCs w:val="21"/>
                    </w:rPr>
                    <w:t>标干流量</w:t>
                  </w:r>
                </w:p>
              </w:tc>
              <w:tc>
                <w:tcPr>
                  <w:tcW w:w="459" w:type="pct"/>
                  <w:vAlign w:val="center"/>
                </w:tcPr>
                <w:p w14:paraId="3E9F52B3">
                  <w:pPr>
                    <w:spacing w:line="240" w:lineRule="auto"/>
                    <w:jc w:val="center"/>
                    <w:rPr>
                      <w:color w:val="auto"/>
                      <w:szCs w:val="21"/>
                    </w:rPr>
                  </w:pPr>
                  <w:r>
                    <w:rPr>
                      <w:color w:val="auto"/>
                      <w:szCs w:val="21"/>
                    </w:rPr>
                    <w:t>m</w:t>
                  </w:r>
                  <w:r>
                    <w:rPr>
                      <w:color w:val="auto"/>
                      <w:szCs w:val="21"/>
                      <w:vertAlign w:val="superscript"/>
                    </w:rPr>
                    <w:t>3</w:t>
                  </w:r>
                  <w:r>
                    <w:rPr>
                      <w:color w:val="auto"/>
                      <w:szCs w:val="21"/>
                    </w:rPr>
                    <w:t>/h</w:t>
                  </w:r>
                </w:p>
              </w:tc>
              <w:tc>
                <w:tcPr>
                  <w:tcW w:w="452" w:type="pct"/>
                  <w:vAlign w:val="center"/>
                </w:tcPr>
                <w:p w14:paraId="01346423">
                  <w:pPr>
                    <w:spacing w:line="240" w:lineRule="auto"/>
                    <w:ind w:left="-107" w:leftChars="-51" w:right="-107" w:rightChars="-51"/>
                    <w:jc w:val="center"/>
                    <w:rPr>
                      <w:color w:val="auto"/>
                      <w:szCs w:val="21"/>
                    </w:rPr>
                  </w:pPr>
                  <w:r>
                    <w:rPr>
                      <w:color w:val="auto"/>
                      <w:szCs w:val="21"/>
                    </w:rPr>
                    <w:t xml:space="preserve">15606 </w:t>
                  </w:r>
                </w:p>
              </w:tc>
              <w:tc>
                <w:tcPr>
                  <w:tcW w:w="452" w:type="pct"/>
                  <w:gridSpan w:val="2"/>
                  <w:vAlign w:val="center"/>
                </w:tcPr>
                <w:p w14:paraId="51F254A7">
                  <w:pPr>
                    <w:spacing w:line="240" w:lineRule="auto"/>
                    <w:ind w:left="-107" w:leftChars="-51" w:right="-107" w:rightChars="-51"/>
                    <w:jc w:val="center"/>
                    <w:rPr>
                      <w:color w:val="auto"/>
                      <w:szCs w:val="21"/>
                    </w:rPr>
                  </w:pPr>
                  <w:r>
                    <w:rPr>
                      <w:color w:val="auto"/>
                      <w:szCs w:val="21"/>
                    </w:rPr>
                    <w:t xml:space="preserve">16187 </w:t>
                  </w:r>
                </w:p>
              </w:tc>
              <w:tc>
                <w:tcPr>
                  <w:tcW w:w="452" w:type="pct"/>
                  <w:vAlign w:val="center"/>
                </w:tcPr>
                <w:p w14:paraId="58A65E83">
                  <w:pPr>
                    <w:spacing w:line="240" w:lineRule="auto"/>
                    <w:ind w:left="-107" w:leftChars="-51" w:right="-107" w:rightChars="-51"/>
                    <w:jc w:val="center"/>
                    <w:rPr>
                      <w:color w:val="auto"/>
                      <w:szCs w:val="21"/>
                    </w:rPr>
                  </w:pPr>
                  <w:r>
                    <w:rPr>
                      <w:color w:val="auto"/>
                      <w:szCs w:val="21"/>
                    </w:rPr>
                    <w:t xml:space="preserve">17276 </w:t>
                  </w:r>
                </w:p>
              </w:tc>
              <w:tc>
                <w:tcPr>
                  <w:tcW w:w="452" w:type="pct"/>
                  <w:vAlign w:val="center"/>
                </w:tcPr>
                <w:p w14:paraId="0184B6B6">
                  <w:pPr>
                    <w:spacing w:line="240" w:lineRule="auto"/>
                    <w:ind w:left="-107" w:leftChars="-51" w:right="-107" w:rightChars="-51"/>
                    <w:jc w:val="center"/>
                    <w:rPr>
                      <w:color w:val="auto"/>
                      <w:szCs w:val="21"/>
                    </w:rPr>
                  </w:pPr>
                  <w:r>
                    <w:rPr>
                      <w:color w:val="auto"/>
                      <w:szCs w:val="21"/>
                    </w:rPr>
                    <w:t xml:space="preserve">16332 </w:t>
                  </w:r>
                </w:p>
              </w:tc>
              <w:tc>
                <w:tcPr>
                  <w:tcW w:w="452" w:type="pct"/>
                  <w:vAlign w:val="center"/>
                </w:tcPr>
                <w:p w14:paraId="5B6225E7">
                  <w:pPr>
                    <w:spacing w:line="240" w:lineRule="auto"/>
                    <w:ind w:left="-107" w:leftChars="-51" w:right="-107" w:rightChars="-51"/>
                    <w:jc w:val="center"/>
                    <w:rPr>
                      <w:color w:val="auto"/>
                      <w:szCs w:val="21"/>
                    </w:rPr>
                  </w:pPr>
                  <w:r>
                    <w:rPr>
                      <w:color w:val="auto"/>
                      <w:szCs w:val="21"/>
                    </w:rPr>
                    <w:t xml:space="preserve">16042 </w:t>
                  </w:r>
                </w:p>
              </w:tc>
              <w:tc>
                <w:tcPr>
                  <w:tcW w:w="452" w:type="pct"/>
                  <w:vAlign w:val="center"/>
                </w:tcPr>
                <w:p w14:paraId="5F54FB30">
                  <w:pPr>
                    <w:spacing w:line="240" w:lineRule="auto"/>
                    <w:ind w:left="-107" w:leftChars="-51" w:right="-107" w:rightChars="-51"/>
                    <w:jc w:val="center"/>
                    <w:rPr>
                      <w:color w:val="auto"/>
                      <w:szCs w:val="21"/>
                    </w:rPr>
                  </w:pPr>
                  <w:r>
                    <w:rPr>
                      <w:color w:val="auto"/>
                      <w:szCs w:val="21"/>
                    </w:rPr>
                    <w:t xml:space="preserve">16289 </w:t>
                  </w:r>
                </w:p>
              </w:tc>
              <w:tc>
                <w:tcPr>
                  <w:tcW w:w="391" w:type="pct"/>
                  <w:vAlign w:val="center"/>
                </w:tcPr>
                <w:p w14:paraId="5A3557CC">
                  <w:pPr>
                    <w:spacing w:line="240" w:lineRule="auto"/>
                    <w:jc w:val="center"/>
                    <w:textAlignment w:val="center"/>
                    <w:rPr>
                      <w:color w:val="auto"/>
                      <w:szCs w:val="21"/>
                    </w:rPr>
                  </w:pPr>
                  <w:r>
                    <w:rPr>
                      <w:color w:val="auto"/>
                      <w:szCs w:val="21"/>
                    </w:rPr>
                    <w:t>/</w:t>
                  </w:r>
                </w:p>
              </w:tc>
            </w:tr>
            <w:tr w14:paraId="3432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5" w:type="pct"/>
                  <w:vMerge w:val="continue"/>
                  <w:vAlign w:val="center"/>
                </w:tcPr>
                <w:p w14:paraId="0BFDB28B">
                  <w:pPr>
                    <w:widowControl w:val="0"/>
                    <w:spacing w:line="240" w:lineRule="auto"/>
                    <w:jc w:val="center"/>
                    <w:rPr>
                      <w:b/>
                      <w:bCs/>
                      <w:color w:val="auto"/>
                      <w:szCs w:val="21"/>
                    </w:rPr>
                  </w:pPr>
                </w:p>
              </w:tc>
              <w:tc>
                <w:tcPr>
                  <w:tcW w:w="337" w:type="pct"/>
                  <w:vMerge w:val="restart"/>
                  <w:vAlign w:val="center"/>
                </w:tcPr>
                <w:p w14:paraId="1EB746E1">
                  <w:pPr>
                    <w:widowControl w:val="0"/>
                    <w:spacing w:line="240" w:lineRule="auto"/>
                    <w:jc w:val="center"/>
                    <w:rPr>
                      <w:b/>
                      <w:bCs/>
                      <w:color w:val="auto"/>
                      <w:szCs w:val="21"/>
                    </w:rPr>
                  </w:pPr>
                  <w:r>
                    <w:rPr>
                      <w:color w:val="auto"/>
                      <w:szCs w:val="21"/>
                    </w:rPr>
                    <w:t>油烟</w:t>
                  </w:r>
                </w:p>
              </w:tc>
              <w:tc>
                <w:tcPr>
                  <w:tcW w:w="591" w:type="pct"/>
                  <w:vAlign w:val="center"/>
                </w:tcPr>
                <w:p w14:paraId="7826EB0B">
                  <w:pPr>
                    <w:widowControl w:val="0"/>
                    <w:spacing w:line="240" w:lineRule="auto"/>
                    <w:jc w:val="center"/>
                    <w:rPr>
                      <w:color w:val="auto"/>
                      <w:szCs w:val="21"/>
                    </w:rPr>
                  </w:pPr>
                  <w:r>
                    <w:rPr>
                      <w:color w:val="auto"/>
                      <w:szCs w:val="21"/>
                    </w:rPr>
                    <w:t>排放浓度</w:t>
                  </w:r>
                </w:p>
              </w:tc>
              <w:tc>
                <w:tcPr>
                  <w:tcW w:w="459" w:type="pct"/>
                  <w:vAlign w:val="center"/>
                </w:tcPr>
                <w:p w14:paraId="081405E0">
                  <w:pPr>
                    <w:widowControl w:val="0"/>
                    <w:spacing w:line="240" w:lineRule="auto"/>
                    <w:jc w:val="center"/>
                    <w:rPr>
                      <w:b/>
                      <w:bCs/>
                      <w:color w:val="auto"/>
                      <w:szCs w:val="21"/>
                    </w:rPr>
                  </w:pPr>
                  <w:r>
                    <w:rPr>
                      <w:color w:val="auto"/>
                      <w:szCs w:val="21"/>
                    </w:rPr>
                    <w:t>mg/m</w:t>
                  </w:r>
                  <w:r>
                    <w:rPr>
                      <w:color w:val="auto"/>
                      <w:szCs w:val="21"/>
                      <w:vertAlign w:val="superscript"/>
                    </w:rPr>
                    <w:t>3</w:t>
                  </w:r>
                </w:p>
              </w:tc>
              <w:tc>
                <w:tcPr>
                  <w:tcW w:w="452" w:type="pct"/>
                  <w:vAlign w:val="center"/>
                </w:tcPr>
                <w:p w14:paraId="0332260A">
                  <w:pPr>
                    <w:spacing w:line="240" w:lineRule="auto"/>
                    <w:ind w:left="-107" w:leftChars="-51" w:right="-107" w:rightChars="-51"/>
                    <w:jc w:val="center"/>
                    <w:rPr>
                      <w:color w:val="auto"/>
                      <w:szCs w:val="21"/>
                    </w:rPr>
                  </w:pPr>
                  <w:r>
                    <w:rPr>
                      <w:color w:val="auto"/>
                      <w:szCs w:val="21"/>
                    </w:rPr>
                    <w:t>1.1</w:t>
                  </w:r>
                </w:p>
              </w:tc>
              <w:tc>
                <w:tcPr>
                  <w:tcW w:w="452" w:type="pct"/>
                  <w:gridSpan w:val="2"/>
                  <w:vAlign w:val="center"/>
                </w:tcPr>
                <w:p w14:paraId="35EA01EF">
                  <w:pPr>
                    <w:spacing w:line="240" w:lineRule="auto"/>
                    <w:ind w:left="-107" w:leftChars="-51" w:right="-107" w:rightChars="-51"/>
                    <w:jc w:val="center"/>
                    <w:rPr>
                      <w:color w:val="auto"/>
                      <w:szCs w:val="21"/>
                    </w:rPr>
                  </w:pPr>
                  <w:r>
                    <w:rPr>
                      <w:color w:val="auto"/>
                      <w:szCs w:val="21"/>
                    </w:rPr>
                    <w:t xml:space="preserve"> 1.1 </w:t>
                  </w:r>
                </w:p>
              </w:tc>
              <w:tc>
                <w:tcPr>
                  <w:tcW w:w="452" w:type="pct"/>
                  <w:vAlign w:val="center"/>
                </w:tcPr>
                <w:p w14:paraId="6D58FF6C">
                  <w:pPr>
                    <w:spacing w:line="240" w:lineRule="auto"/>
                    <w:ind w:left="-107" w:leftChars="-51" w:right="-107" w:rightChars="-51"/>
                    <w:jc w:val="center"/>
                    <w:rPr>
                      <w:color w:val="auto"/>
                      <w:szCs w:val="21"/>
                    </w:rPr>
                  </w:pPr>
                  <w:r>
                    <w:rPr>
                      <w:color w:val="auto"/>
                      <w:szCs w:val="21"/>
                    </w:rPr>
                    <w:t xml:space="preserve">1.9 </w:t>
                  </w:r>
                </w:p>
              </w:tc>
              <w:tc>
                <w:tcPr>
                  <w:tcW w:w="452" w:type="pct"/>
                  <w:vAlign w:val="center"/>
                </w:tcPr>
                <w:p w14:paraId="0A4BBBA9">
                  <w:pPr>
                    <w:spacing w:line="240" w:lineRule="auto"/>
                    <w:ind w:left="-107" w:leftChars="-51" w:right="-107" w:rightChars="-51"/>
                    <w:jc w:val="center"/>
                    <w:rPr>
                      <w:color w:val="auto"/>
                      <w:szCs w:val="21"/>
                    </w:rPr>
                  </w:pPr>
                  <w:r>
                    <w:rPr>
                      <w:color w:val="auto"/>
                      <w:szCs w:val="21"/>
                    </w:rPr>
                    <w:t xml:space="preserve">1.2 </w:t>
                  </w:r>
                </w:p>
              </w:tc>
              <w:tc>
                <w:tcPr>
                  <w:tcW w:w="452" w:type="pct"/>
                  <w:vAlign w:val="center"/>
                </w:tcPr>
                <w:p w14:paraId="166B0BC1">
                  <w:pPr>
                    <w:spacing w:line="240" w:lineRule="auto"/>
                    <w:ind w:left="-107" w:leftChars="-51" w:right="-107" w:rightChars="-51"/>
                    <w:jc w:val="center"/>
                    <w:rPr>
                      <w:color w:val="auto"/>
                      <w:szCs w:val="21"/>
                    </w:rPr>
                  </w:pPr>
                  <w:r>
                    <w:rPr>
                      <w:color w:val="auto"/>
                      <w:szCs w:val="21"/>
                    </w:rPr>
                    <w:t>1.2</w:t>
                  </w:r>
                </w:p>
              </w:tc>
              <w:tc>
                <w:tcPr>
                  <w:tcW w:w="452" w:type="pct"/>
                  <w:vAlign w:val="center"/>
                </w:tcPr>
                <w:p w14:paraId="23AE97EC">
                  <w:pPr>
                    <w:spacing w:line="240" w:lineRule="auto"/>
                    <w:ind w:left="-107" w:leftChars="-51" w:right="-107" w:rightChars="-51"/>
                    <w:jc w:val="center"/>
                    <w:rPr>
                      <w:color w:val="auto"/>
                      <w:szCs w:val="21"/>
                    </w:rPr>
                  </w:pPr>
                  <w:r>
                    <w:rPr>
                      <w:color w:val="auto"/>
                      <w:szCs w:val="21"/>
                    </w:rPr>
                    <w:t>1.3</w:t>
                  </w:r>
                </w:p>
              </w:tc>
              <w:tc>
                <w:tcPr>
                  <w:tcW w:w="391" w:type="pct"/>
                  <w:vAlign w:val="center"/>
                </w:tcPr>
                <w:p w14:paraId="7C070409">
                  <w:pPr>
                    <w:spacing w:line="240" w:lineRule="auto"/>
                    <w:jc w:val="center"/>
                    <w:textAlignment w:val="center"/>
                    <w:rPr>
                      <w:color w:val="auto"/>
                      <w:szCs w:val="21"/>
                    </w:rPr>
                  </w:pPr>
                  <w:r>
                    <w:rPr>
                      <w:color w:val="auto"/>
                      <w:szCs w:val="21"/>
                    </w:rPr>
                    <w:t>2.0</w:t>
                  </w:r>
                </w:p>
              </w:tc>
            </w:tr>
            <w:tr w14:paraId="2DA0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5" w:type="pct"/>
                  <w:vMerge w:val="continue"/>
                  <w:vAlign w:val="center"/>
                </w:tcPr>
                <w:p w14:paraId="19696A81">
                  <w:pPr>
                    <w:widowControl w:val="0"/>
                    <w:spacing w:line="240" w:lineRule="auto"/>
                    <w:jc w:val="center"/>
                    <w:rPr>
                      <w:b/>
                      <w:bCs/>
                      <w:color w:val="auto"/>
                      <w:szCs w:val="21"/>
                    </w:rPr>
                  </w:pPr>
                </w:p>
              </w:tc>
              <w:tc>
                <w:tcPr>
                  <w:tcW w:w="337" w:type="pct"/>
                  <w:vMerge w:val="continue"/>
                  <w:vAlign w:val="center"/>
                </w:tcPr>
                <w:p w14:paraId="7C27A922">
                  <w:pPr>
                    <w:widowControl w:val="0"/>
                    <w:spacing w:line="240" w:lineRule="auto"/>
                    <w:jc w:val="center"/>
                    <w:rPr>
                      <w:color w:val="auto"/>
                      <w:szCs w:val="21"/>
                    </w:rPr>
                  </w:pPr>
                </w:p>
              </w:tc>
              <w:tc>
                <w:tcPr>
                  <w:tcW w:w="591" w:type="pct"/>
                  <w:vAlign w:val="center"/>
                </w:tcPr>
                <w:p w14:paraId="18906821">
                  <w:pPr>
                    <w:widowControl w:val="0"/>
                    <w:spacing w:line="240" w:lineRule="auto"/>
                    <w:jc w:val="center"/>
                    <w:rPr>
                      <w:color w:val="auto"/>
                      <w:szCs w:val="21"/>
                    </w:rPr>
                  </w:pPr>
                  <w:r>
                    <w:rPr>
                      <w:color w:val="auto"/>
                      <w:szCs w:val="21"/>
                    </w:rPr>
                    <w:t>折算浓度</w:t>
                  </w:r>
                </w:p>
              </w:tc>
              <w:tc>
                <w:tcPr>
                  <w:tcW w:w="459" w:type="pct"/>
                  <w:vAlign w:val="center"/>
                </w:tcPr>
                <w:p w14:paraId="76F76751">
                  <w:pPr>
                    <w:widowControl w:val="0"/>
                    <w:spacing w:line="240" w:lineRule="auto"/>
                    <w:jc w:val="center"/>
                    <w:rPr>
                      <w:b/>
                      <w:bCs/>
                      <w:color w:val="auto"/>
                      <w:szCs w:val="21"/>
                    </w:rPr>
                  </w:pPr>
                  <w:r>
                    <w:rPr>
                      <w:color w:val="auto"/>
                      <w:szCs w:val="21"/>
                    </w:rPr>
                    <w:t>mg/m</w:t>
                  </w:r>
                  <w:r>
                    <w:rPr>
                      <w:color w:val="auto"/>
                      <w:szCs w:val="21"/>
                      <w:vertAlign w:val="superscript"/>
                    </w:rPr>
                    <w:t>3</w:t>
                  </w:r>
                </w:p>
              </w:tc>
              <w:tc>
                <w:tcPr>
                  <w:tcW w:w="452" w:type="pct"/>
                  <w:vAlign w:val="center"/>
                </w:tcPr>
                <w:p w14:paraId="0C438A83">
                  <w:pPr>
                    <w:spacing w:line="240" w:lineRule="auto"/>
                    <w:ind w:left="-107" w:leftChars="-51" w:right="-107" w:rightChars="-51"/>
                    <w:jc w:val="center"/>
                    <w:rPr>
                      <w:color w:val="auto"/>
                      <w:szCs w:val="21"/>
                    </w:rPr>
                  </w:pPr>
                  <w:r>
                    <w:rPr>
                      <w:color w:val="auto"/>
                      <w:szCs w:val="21"/>
                    </w:rPr>
                    <w:t>1.1</w:t>
                  </w:r>
                </w:p>
              </w:tc>
              <w:tc>
                <w:tcPr>
                  <w:tcW w:w="452" w:type="pct"/>
                  <w:gridSpan w:val="2"/>
                  <w:vAlign w:val="center"/>
                </w:tcPr>
                <w:p w14:paraId="16256F47">
                  <w:pPr>
                    <w:spacing w:line="240" w:lineRule="auto"/>
                    <w:ind w:left="-107" w:leftChars="-51" w:right="-107" w:rightChars="-51"/>
                    <w:jc w:val="center"/>
                    <w:rPr>
                      <w:color w:val="auto"/>
                      <w:szCs w:val="21"/>
                    </w:rPr>
                  </w:pPr>
                  <w:r>
                    <w:rPr>
                      <w:color w:val="auto"/>
                      <w:szCs w:val="21"/>
                    </w:rPr>
                    <w:t>1.2</w:t>
                  </w:r>
                </w:p>
              </w:tc>
              <w:tc>
                <w:tcPr>
                  <w:tcW w:w="452" w:type="pct"/>
                  <w:vAlign w:val="center"/>
                </w:tcPr>
                <w:p w14:paraId="352AA64C">
                  <w:pPr>
                    <w:spacing w:line="240" w:lineRule="auto"/>
                    <w:ind w:left="-107" w:leftChars="-51" w:right="-107" w:rightChars="-51"/>
                    <w:jc w:val="center"/>
                    <w:rPr>
                      <w:color w:val="auto"/>
                      <w:szCs w:val="21"/>
                    </w:rPr>
                  </w:pPr>
                  <w:r>
                    <w:rPr>
                      <w:color w:val="auto"/>
                      <w:szCs w:val="21"/>
                    </w:rPr>
                    <w:t>2.1</w:t>
                  </w:r>
                </w:p>
              </w:tc>
              <w:tc>
                <w:tcPr>
                  <w:tcW w:w="452" w:type="pct"/>
                  <w:vAlign w:val="center"/>
                </w:tcPr>
                <w:p w14:paraId="403A9198">
                  <w:pPr>
                    <w:spacing w:line="240" w:lineRule="auto"/>
                    <w:ind w:left="-107" w:leftChars="-51" w:right="-107" w:rightChars="-51"/>
                    <w:jc w:val="center"/>
                    <w:rPr>
                      <w:color w:val="auto"/>
                      <w:szCs w:val="21"/>
                    </w:rPr>
                  </w:pPr>
                  <w:r>
                    <w:rPr>
                      <w:color w:val="auto"/>
                      <w:szCs w:val="21"/>
                    </w:rPr>
                    <w:t>1.3</w:t>
                  </w:r>
                </w:p>
              </w:tc>
              <w:tc>
                <w:tcPr>
                  <w:tcW w:w="452" w:type="pct"/>
                  <w:vAlign w:val="center"/>
                </w:tcPr>
                <w:p w14:paraId="21F041D9">
                  <w:pPr>
                    <w:spacing w:line="240" w:lineRule="auto"/>
                    <w:ind w:left="-107" w:leftChars="-51" w:right="-107" w:rightChars="-51"/>
                    <w:jc w:val="center"/>
                    <w:rPr>
                      <w:color w:val="auto"/>
                      <w:szCs w:val="21"/>
                    </w:rPr>
                  </w:pPr>
                  <w:r>
                    <w:rPr>
                      <w:color w:val="auto"/>
                      <w:szCs w:val="21"/>
                    </w:rPr>
                    <w:t>1.3</w:t>
                  </w:r>
                </w:p>
              </w:tc>
              <w:tc>
                <w:tcPr>
                  <w:tcW w:w="452" w:type="pct"/>
                  <w:vAlign w:val="center"/>
                </w:tcPr>
                <w:p w14:paraId="191ADC34">
                  <w:pPr>
                    <w:spacing w:line="240" w:lineRule="auto"/>
                    <w:ind w:left="-107" w:leftChars="-51" w:right="-107" w:rightChars="-51"/>
                    <w:jc w:val="center"/>
                    <w:rPr>
                      <w:color w:val="auto"/>
                      <w:szCs w:val="21"/>
                    </w:rPr>
                  </w:pPr>
                  <w:r>
                    <w:rPr>
                      <w:color w:val="auto"/>
                      <w:szCs w:val="21"/>
                    </w:rPr>
                    <w:t>1.4</w:t>
                  </w:r>
                </w:p>
              </w:tc>
              <w:tc>
                <w:tcPr>
                  <w:tcW w:w="391" w:type="pct"/>
                  <w:vAlign w:val="center"/>
                </w:tcPr>
                <w:p w14:paraId="367E7D79">
                  <w:pPr>
                    <w:spacing w:line="240" w:lineRule="auto"/>
                    <w:jc w:val="center"/>
                    <w:textAlignment w:val="center"/>
                    <w:rPr>
                      <w:color w:val="auto"/>
                      <w:szCs w:val="21"/>
                    </w:rPr>
                  </w:pPr>
                  <w:r>
                    <w:rPr>
                      <w:color w:val="auto"/>
                      <w:szCs w:val="21"/>
                    </w:rPr>
                    <w:t>0</w:t>
                  </w:r>
                </w:p>
              </w:tc>
            </w:tr>
            <w:tr w14:paraId="675F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2"/>
                  <w:vAlign w:val="center"/>
                </w:tcPr>
                <w:p w14:paraId="7DE2F0CB">
                  <w:pPr>
                    <w:widowControl w:val="0"/>
                    <w:spacing w:line="240" w:lineRule="auto"/>
                    <w:jc w:val="both"/>
                    <w:rPr>
                      <w:color w:val="auto"/>
                      <w:szCs w:val="21"/>
                    </w:rPr>
                  </w:pPr>
                  <w:r>
                    <w:rPr>
                      <w:color w:val="auto"/>
                      <w:szCs w:val="21"/>
                    </w:rPr>
                    <w:t>备注：</w:t>
                  </w:r>
                </w:p>
                <w:p w14:paraId="063CA325">
                  <w:pPr>
                    <w:widowControl w:val="0"/>
                    <w:spacing w:line="240" w:lineRule="auto"/>
                    <w:jc w:val="both"/>
                    <w:rPr>
                      <w:color w:val="auto"/>
                      <w:szCs w:val="21"/>
                    </w:rPr>
                  </w:pPr>
                  <w:r>
                    <w:rPr>
                      <w:color w:val="auto"/>
                      <w:szCs w:val="21"/>
                    </w:rPr>
                    <w:t>1、油烟废气静电除油处理后经高度15.0m排气筒排放。</w:t>
                  </w:r>
                </w:p>
                <w:p w14:paraId="5F4B7E9B">
                  <w:pPr>
                    <w:widowControl w:val="0"/>
                    <w:spacing w:line="240" w:lineRule="auto"/>
                    <w:jc w:val="both"/>
                    <w:rPr>
                      <w:color w:val="auto"/>
                      <w:szCs w:val="21"/>
                    </w:rPr>
                  </w:pPr>
                  <w:r>
                    <w:rPr>
                      <w:color w:val="auto"/>
                      <w:szCs w:val="21"/>
                    </w:rPr>
                    <w:t>2、集气罩3个（1#：2.3米长×1.2米宽；2#：3.2米长×1.2米宽；3#1.6米长×1.2米宽）；炒炉3个，蒸炉2个，总面积8.52m</w:t>
                  </w:r>
                  <w:r>
                    <w:rPr>
                      <w:color w:val="auto"/>
                      <w:szCs w:val="21"/>
                      <w:vertAlign w:val="superscript"/>
                    </w:rPr>
                    <w:t>2</w:t>
                  </w:r>
                  <w:r>
                    <w:rPr>
                      <w:color w:val="auto"/>
                      <w:szCs w:val="21"/>
                    </w:rPr>
                    <w:t>；基准灶头数7.7个。</w:t>
                  </w:r>
                </w:p>
                <w:p w14:paraId="6E44FB0A">
                  <w:pPr>
                    <w:widowControl w:val="0"/>
                    <w:spacing w:line="240" w:lineRule="auto"/>
                    <w:jc w:val="both"/>
                    <w:rPr>
                      <w:color w:val="auto"/>
                      <w:szCs w:val="21"/>
                    </w:rPr>
                  </w:pPr>
                  <w:r>
                    <w:rPr>
                      <w:color w:val="auto"/>
                      <w:szCs w:val="21"/>
                    </w:rPr>
                    <w:t>3、标准限值参考《饮食业油烟排放标准（试行）》（GB 18483-2001）标准限值。</w:t>
                  </w:r>
                </w:p>
              </w:tc>
            </w:tr>
          </w:tbl>
          <w:p w14:paraId="5A0B78C9">
            <w:pPr>
              <w:jc w:val="center"/>
              <w:rPr>
                <w:b/>
                <w:color w:val="auto"/>
                <w:szCs w:val="21"/>
              </w:rPr>
            </w:pPr>
            <w:r>
              <w:rPr>
                <w:b/>
                <w:color w:val="auto"/>
                <w:szCs w:val="21"/>
              </w:rPr>
              <w:t>表2-1</w:t>
            </w:r>
            <w:r>
              <w:rPr>
                <w:rFonts w:hint="eastAsia"/>
                <w:b/>
                <w:color w:val="auto"/>
                <w:szCs w:val="21"/>
                <w:lang w:val="en-US" w:eastAsia="zh-CN"/>
              </w:rPr>
              <w:t>9</w:t>
            </w:r>
            <w:r>
              <w:rPr>
                <w:b/>
                <w:color w:val="auto"/>
                <w:szCs w:val="21"/>
              </w:rPr>
              <w:t>无组织废气监测结果及评价一览表</w:t>
            </w:r>
          </w:p>
          <w:tbl>
            <w:tblPr>
              <w:tblStyle w:val="4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557"/>
              <w:gridCol w:w="1417"/>
              <w:gridCol w:w="790"/>
              <w:gridCol w:w="802"/>
              <w:gridCol w:w="730"/>
              <w:gridCol w:w="1174"/>
              <w:gridCol w:w="980"/>
              <w:gridCol w:w="1350"/>
              <w:gridCol w:w="821"/>
            </w:tblGrid>
            <w:tr w14:paraId="4E2F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15" w:type="dxa"/>
                  <w:gridSpan w:val="2"/>
                  <w:tcBorders>
                    <w:top w:val="single" w:color="auto" w:sz="4" w:space="0"/>
                    <w:left w:val="single" w:color="auto" w:sz="4" w:space="0"/>
                    <w:right w:val="single" w:color="auto" w:sz="4" w:space="0"/>
                  </w:tcBorders>
                  <w:vAlign w:val="center"/>
                </w:tcPr>
                <w:p w14:paraId="0525973B">
                  <w:pPr>
                    <w:widowControl w:val="0"/>
                    <w:spacing w:line="240" w:lineRule="auto"/>
                    <w:jc w:val="center"/>
                    <w:rPr>
                      <w:b/>
                      <w:bCs/>
                      <w:color w:val="auto"/>
                      <w:szCs w:val="21"/>
                    </w:rPr>
                  </w:pPr>
                  <w:r>
                    <w:rPr>
                      <w:b/>
                      <w:bCs/>
                      <w:color w:val="auto"/>
                      <w:szCs w:val="21"/>
                    </w:rPr>
                    <w:t>采样日期</w:t>
                  </w:r>
                </w:p>
              </w:tc>
              <w:tc>
                <w:tcPr>
                  <w:tcW w:w="1455" w:type="dxa"/>
                  <w:tcBorders>
                    <w:top w:val="single" w:color="auto" w:sz="4" w:space="0"/>
                    <w:left w:val="single" w:color="auto" w:sz="4" w:space="0"/>
                    <w:right w:val="single" w:color="auto" w:sz="4" w:space="0"/>
                  </w:tcBorders>
                  <w:vAlign w:val="center"/>
                </w:tcPr>
                <w:p w14:paraId="0E276E9B">
                  <w:pPr>
                    <w:widowControl w:val="0"/>
                    <w:spacing w:line="240" w:lineRule="auto"/>
                    <w:jc w:val="center"/>
                    <w:rPr>
                      <w:b/>
                      <w:bCs/>
                      <w:color w:val="auto"/>
                      <w:szCs w:val="21"/>
                    </w:rPr>
                  </w:pPr>
                  <w:r>
                    <w:rPr>
                      <w:color w:val="auto"/>
                      <w:szCs w:val="21"/>
                    </w:rPr>
                    <w:t>2026.05.07</w:t>
                  </w:r>
                </w:p>
              </w:tc>
              <w:tc>
                <w:tcPr>
                  <w:tcW w:w="1635" w:type="dxa"/>
                  <w:gridSpan w:val="2"/>
                  <w:tcBorders>
                    <w:top w:val="single" w:color="auto" w:sz="4" w:space="0"/>
                    <w:left w:val="single" w:color="auto" w:sz="4" w:space="0"/>
                  </w:tcBorders>
                  <w:vAlign w:val="center"/>
                </w:tcPr>
                <w:p w14:paraId="19CADE51">
                  <w:pPr>
                    <w:widowControl w:val="0"/>
                    <w:spacing w:line="240" w:lineRule="auto"/>
                    <w:jc w:val="center"/>
                    <w:rPr>
                      <w:b/>
                      <w:bCs/>
                      <w:color w:val="auto"/>
                      <w:szCs w:val="21"/>
                    </w:rPr>
                  </w:pPr>
                  <w:r>
                    <w:rPr>
                      <w:b/>
                      <w:bCs/>
                      <w:color w:val="auto"/>
                      <w:szCs w:val="21"/>
                    </w:rPr>
                    <w:t>现场气象条件</w:t>
                  </w:r>
                </w:p>
              </w:tc>
              <w:tc>
                <w:tcPr>
                  <w:tcW w:w="5190" w:type="dxa"/>
                  <w:gridSpan w:val="5"/>
                  <w:tcBorders>
                    <w:top w:val="single" w:color="auto" w:sz="4" w:space="0"/>
                    <w:left w:val="single" w:color="auto" w:sz="4" w:space="0"/>
                  </w:tcBorders>
                  <w:vAlign w:val="center"/>
                </w:tcPr>
                <w:p w14:paraId="16BF9123">
                  <w:pPr>
                    <w:widowControl w:val="0"/>
                    <w:spacing w:line="240" w:lineRule="auto"/>
                    <w:jc w:val="center"/>
                    <w:rPr>
                      <w:color w:val="auto"/>
                      <w:szCs w:val="21"/>
                    </w:rPr>
                  </w:pPr>
                  <w:r>
                    <w:rPr>
                      <w:color w:val="auto"/>
                      <w:szCs w:val="21"/>
                    </w:rPr>
                    <w:t>天气状况：阴，</w:t>
                  </w:r>
                  <w:r>
                    <w:rPr>
                      <w:rFonts w:hint="eastAsia"/>
                      <w:color w:val="auto"/>
                      <w:szCs w:val="21"/>
                      <w:lang w:val="en-US" w:eastAsia="zh-CN"/>
                    </w:rPr>
                    <w:t>气温：28.0℃；大气压：101.0Kpa；</w:t>
                  </w:r>
                  <w:r>
                    <w:rPr>
                      <w:color w:val="auto"/>
                      <w:szCs w:val="21"/>
                    </w:rPr>
                    <w:t>风向：西南，</w:t>
                  </w:r>
                  <w:r>
                    <w:rPr>
                      <w:bCs/>
                      <w:color w:val="auto"/>
                      <w:szCs w:val="21"/>
                    </w:rPr>
                    <w:t>风速：1.2m/s</w:t>
                  </w:r>
                  <w:r>
                    <w:rPr>
                      <w:color w:val="auto"/>
                      <w:szCs w:val="21"/>
                    </w:rPr>
                    <w:t>。</w:t>
                  </w:r>
                </w:p>
              </w:tc>
            </w:tr>
            <w:tr w14:paraId="6527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right w:val="single" w:color="auto" w:sz="4" w:space="0"/>
                  </w:tcBorders>
                  <w:vAlign w:val="center"/>
                </w:tcPr>
                <w:p w14:paraId="1300D7BA">
                  <w:pPr>
                    <w:spacing w:line="240" w:lineRule="atLeast"/>
                    <w:ind w:right="-107" w:rightChars="-51"/>
                    <w:jc w:val="center"/>
                    <w:rPr>
                      <w:b/>
                      <w:bCs/>
                      <w:color w:val="auto"/>
                      <w:szCs w:val="21"/>
                    </w:rPr>
                  </w:pPr>
                  <w:r>
                    <w:rPr>
                      <w:b/>
                      <w:bCs/>
                      <w:color w:val="auto"/>
                      <w:szCs w:val="21"/>
                    </w:rPr>
                    <w:t>序号</w:t>
                  </w:r>
                </w:p>
              </w:tc>
              <w:tc>
                <w:tcPr>
                  <w:tcW w:w="2838" w:type="dxa"/>
                  <w:gridSpan w:val="3"/>
                  <w:tcBorders>
                    <w:top w:val="single" w:color="auto" w:sz="4" w:space="0"/>
                    <w:left w:val="single" w:color="auto" w:sz="4" w:space="0"/>
                    <w:right w:val="single" w:color="auto" w:sz="4" w:space="0"/>
                  </w:tcBorders>
                  <w:vAlign w:val="center"/>
                </w:tcPr>
                <w:p w14:paraId="2260BADC">
                  <w:pPr>
                    <w:spacing w:line="240" w:lineRule="atLeast"/>
                    <w:ind w:left="-107" w:leftChars="-51" w:right="-107" w:rightChars="-51"/>
                    <w:jc w:val="center"/>
                    <w:rPr>
                      <w:b/>
                      <w:bCs/>
                      <w:color w:val="auto"/>
                      <w:szCs w:val="21"/>
                    </w:rPr>
                  </w:pPr>
                  <w:r>
                    <w:rPr>
                      <w:b/>
                      <w:bCs/>
                      <w:color w:val="auto"/>
                      <w:szCs w:val="21"/>
                    </w:rPr>
                    <w:t>检测点位名称</w:t>
                  </w:r>
                </w:p>
              </w:tc>
              <w:tc>
                <w:tcPr>
                  <w:tcW w:w="1574" w:type="dxa"/>
                  <w:gridSpan w:val="2"/>
                  <w:tcBorders>
                    <w:top w:val="single" w:color="auto" w:sz="4" w:space="0"/>
                    <w:left w:val="single" w:color="auto" w:sz="4" w:space="0"/>
                    <w:right w:val="single" w:color="auto" w:sz="4" w:space="0"/>
                  </w:tcBorders>
                  <w:vAlign w:val="center"/>
                </w:tcPr>
                <w:p w14:paraId="73ED5DEA">
                  <w:pPr>
                    <w:jc w:val="center"/>
                    <w:rPr>
                      <w:b/>
                      <w:bCs/>
                      <w:color w:val="auto"/>
                      <w:szCs w:val="21"/>
                    </w:rPr>
                  </w:pPr>
                  <w:r>
                    <w:rPr>
                      <w:b/>
                      <w:bCs/>
                      <w:color w:val="auto"/>
                      <w:szCs w:val="21"/>
                    </w:rPr>
                    <w:t>检测项目</w:t>
                  </w:r>
                </w:p>
              </w:tc>
              <w:tc>
                <w:tcPr>
                  <w:tcW w:w="1205" w:type="dxa"/>
                  <w:tcBorders>
                    <w:top w:val="single" w:color="auto" w:sz="4" w:space="0"/>
                    <w:left w:val="single" w:color="auto" w:sz="4" w:space="0"/>
                  </w:tcBorders>
                  <w:vAlign w:val="center"/>
                </w:tcPr>
                <w:p w14:paraId="7438CB99">
                  <w:pPr>
                    <w:jc w:val="center"/>
                    <w:rPr>
                      <w:b/>
                      <w:bCs/>
                      <w:color w:val="auto"/>
                      <w:szCs w:val="21"/>
                    </w:rPr>
                  </w:pPr>
                  <w:r>
                    <w:rPr>
                      <w:b/>
                      <w:bCs/>
                      <w:color w:val="auto"/>
                      <w:szCs w:val="21"/>
                    </w:rPr>
                    <w:t>检测结果</w:t>
                  </w:r>
                </w:p>
              </w:tc>
              <w:tc>
                <w:tcPr>
                  <w:tcW w:w="1006" w:type="dxa"/>
                  <w:tcBorders>
                    <w:top w:val="single" w:color="auto" w:sz="4" w:space="0"/>
                    <w:left w:val="single" w:color="auto" w:sz="4" w:space="0"/>
                  </w:tcBorders>
                  <w:vAlign w:val="center"/>
                </w:tcPr>
                <w:p w14:paraId="0CDA24AE">
                  <w:pPr>
                    <w:jc w:val="center"/>
                    <w:rPr>
                      <w:rFonts w:hint="eastAsia" w:eastAsia="宋体"/>
                      <w:b/>
                      <w:bCs/>
                      <w:color w:val="auto"/>
                      <w:szCs w:val="21"/>
                      <w:lang w:val="en-US" w:eastAsia="zh-CN"/>
                    </w:rPr>
                  </w:pPr>
                  <w:r>
                    <w:rPr>
                      <w:rFonts w:hint="eastAsia"/>
                      <w:b/>
                      <w:bCs/>
                      <w:color w:val="auto"/>
                      <w:szCs w:val="21"/>
                      <w:lang w:val="en-US" w:eastAsia="zh-CN"/>
                    </w:rPr>
                    <w:t>单位</w:t>
                  </w:r>
                </w:p>
              </w:tc>
              <w:tc>
                <w:tcPr>
                  <w:tcW w:w="1386" w:type="dxa"/>
                  <w:tcBorders>
                    <w:top w:val="single" w:color="auto" w:sz="4" w:space="0"/>
                    <w:left w:val="single" w:color="auto" w:sz="4" w:space="0"/>
                  </w:tcBorders>
                  <w:vAlign w:val="center"/>
                </w:tcPr>
                <w:p w14:paraId="41E79482">
                  <w:pPr>
                    <w:jc w:val="center"/>
                    <w:rPr>
                      <w:b/>
                      <w:bCs/>
                      <w:color w:val="auto"/>
                      <w:szCs w:val="21"/>
                    </w:rPr>
                  </w:pPr>
                  <w:r>
                    <w:rPr>
                      <w:b/>
                      <w:bCs/>
                      <w:color w:val="auto"/>
                      <w:szCs w:val="21"/>
                    </w:rPr>
                    <w:t>标准限值</w:t>
                  </w:r>
                </w:p>
              </w:tc>
              <w:tc>
                <w:tcPr>
                  <w:tcW w:w="843" w:type="dxa"/>
                  <w:tcBorders>
                    <w:top w:val="single" w:color="auto" w:sz="4" w:space="0"/>
                    <w:left w:val="single" w:color="auto" w:sz="4" w:space="0"/>
                  </w:tcBorders>
                  <w:vAlign w:val="center"/>
                </w:tcPr>
                <w:p w14:paraId="6C3916AA">
                  <w:pPr>
                    <w:jc w:val="center"/>
                    <w:rPr>
                      <w:b/>
                      <w:bCs/>
                      <w:color w:val="auto"/>
                      <w:szCs w:val="21"/>
                    </w:rPr>
                  </w:pPr>
                  <w:r>
                    <w:rPr>
                      <w:b/>
                      <w:bCs/>
                      <w:color w:val="auto"/>
                      <w:szCs w:val="21"/>
                    </w:rPr>
                    <w:t>判定</w:t>
                  </w:r>
                </w:p>
              </w:tc>
            </w:tr>
            <w:tr w14:paraId="5B8F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360C8BDF">
                  <w:pPr>
                    <w:jc w:val="center"/>
                    <w:rPr>
                      <w:color w:val="auto"/>
                      <w:szCs w:val="21"/>
                    </w:rPr>
                  </w:pPr>
                  <w:r>
                    <w:rPr>
                      <w:color w:val="auto"/>
                      <w:szCs w:val="21"/>
                    </w:rPr>
                    <w:t>1</w:t>
                  </w:r>
                </w:p>
              </w:tc>
              <w:tc>
                <w:tcPr>
                  <w:tcW w:w="2838" w:type="dxa"/>
                  <w:gridSpan w:val="3"/>
                  <w:tcBorders>
                    <w:top w:val="single" w:color="auto" w:sz="4" w:space="0"/>
                    <w:left w:val="single" w:color="auto" w:sz="4" w:space="0"/>
                    <w:bottom w:val="single" w:color="auto" w:sz="4" w:space="0"/>
                    <w:right w:val="single" w:color="auto" w:sz="4" w:space="0"/>
                  </w:tcBorders>
                  <w:vAlign w:val="center"/>
                </w:tcPr>
                <w:p w14:paraId="1A5EBA30">
                  <w:pPr>
                    <w:jc w:val="center"/>
                    <w:rPr>
                      <w:color w:val="auto"/>
                      <w:szCs w:val="21"/>
                    </w:rPr>
                  </w:pPr>
                  <w:r>
                    <w:rPr>
                      <w:color w:val="auto"/>
                      <w:szCs w:val="21"/>
                    </w:rPr>
                    <w:t>项目地厂界上风向参照点1#</w:t>
                  </w:r>
                </w:p>
              </w:tc>
              <w:tc>
                <w:tcPr>
                  <w:tcW w:w="1574" w:type="dxa"/>
                  <w:gridSpan w:val="2"/>
                  <w:vMerge w:val="restart"/>
                  <w:tcBorders>
                    <w:top w:val="single" w:color="auto" w:sz="4" w:space="0"/>
                    <w:left w:val="single" w:color="auto" w:sz="4" w:space="0"/>
                    <w:right w:val="single" w:color="auto" w:sz="4" w:space="0"/>
                  </w:tcBorders>
                  <w:vAlign w:val="center"/>
                </w:tcPr>
                <w:p w14:paraId="3F19848D">
                  <w:pPr>
                    <w:spacing w:line="240" w:lineRule="atLeast"/>
                    <w:ind w:left="-107" w:leftChars="-51" w:right="-107" w:rightChars="-51"/>
                    <w:jc w:val="center"/>
                    <w:rPr>
                      <w:color w:val="auto"/>
                      <w:szCs w:val="21"/>
                    </w:rPr>
                  </w:pPr>
                  <w:r>
                    <w:rPr>
                      <w:color w:val="auto"/>
                      <w:szCs w:val="21"/>
                    </w:rPr>
                    <w:t>硫酸雾</w:t>
                  </w:r>
                </w:p>
              </w:tc>
              <w:tc>
                <w:tcPr>
                  <w:tcW w:w="1205" w:type="dxa"/>
                  <w:tcBorders>
                    <w:top w:val="single" w:color="auto" w:sz="4" w:space="0"/>
                    <w:left w:val="single" w:color="auto" w:sz="4" w:space="0"/>
                    <w:bottom w:val="single" w:color="auto" w:sz="4" w:space="0"/>
                    <w:right w:val="single" w:color="auto" w:sz="4" w:space="0"/>
                  </w:tcBorders>
                  <w:vAlign w:val="center"/>
                </w:tcPr>
                <w:p w14:paraId="50FEE924">
                  <w:pPr>
                    <w:spacing w:line="240" w:lineRule="atLeast"/>
                    <w:ind w:left="-107" w:leftChars="-51" w:right="-107" w:rightChars="-51"/>
                    <w:jc w:val="center"/>
                    <w:rPr>
                      <w:color w:val="auto"/>
                      <w:szCs w:val="21"/>
                    </w:rPr>
                  </w:pPr>
                  <w:r>
                    <w:rPr>
                      <w:color w:val="auto"/>
                      <w:szCs w:val="21"/>
                    </w:rPr>
                    <w:t>ND</w:t>
                  </w:r>
                </w:p>
              </w:tc>
              <w:tc>
                <w:tcPr>
                  <w:tcW w:w="1006" w:type="dxa"/>
                  <w:tcBorders>
                    <w:top w:val="single" w:color="auto" w:sz="4" w:space="0"/>
                    <w:left w:val="single" w:color="auto" w:sz="4" w:space="0"/>
                    <w:bottom w:val="single" w:color="auto" w:sz="4" w:space="0"/>
                    <w:right w:val="single" w:color="auto" w:sz="4" w:space="0"/>
                  </w:tcBorders>
                  <w:vAlign w:val="center"/>
                </w:tcPr>
                <w:p w14:paraId="1DE48BED">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5E42F4B3">
                  <w:pPr>
                    <w:spacing w:line="240" w:lineRule="atLeast"/>
                    <w:ind w:left="-107" w:leftChars="-51" w:right="-107" w:rightChars="-51"/>
                    <w:jc w:val="center"/>
                    <w:rPr>
                      <w:color w:val="auto"/>
                      <w:szCs w:val="21"/>
                    </w:rPr>
                  </w:pPr>
                  <w:r>
                    <w:rPr>
                      <w:color w:val="auto"/>
                      <w:szCs w:val="21"/>
                    </w:rPr>
                    <w:t>/</w:t>
                  </w:r>
                </w:p>
              </w:tc>
              <w:tc>
                <w:tcPr>
                  <w:tcW w:w="843" w:type="dxa"/>
                  <w:vAlign w:val="center"/>
                </w:tcPr>
                <w:p w14:paraId="49B26313">
                  <w:pPr>
                    <w:spacing w:line="240" w:lineRule="atLeast"/>
                    <w:ind w:left="-107" w:leftChars="-51" w:right="-107" w:rightChars="-51"/>
                    <w:jc w:val="center"/>
                    <w:rPr>
                      <w:color w:val="auto"/>
                      <w:szCs w:val="21"/>
                    </w:rPr>
                  </w:pPr>
                  <w:r>
                    <w:rPr>
                      <w:color w:val="auto"/>
                      <w:szCs w:val="21"/>
                    </w:rPr>
                    <w:t>/</w:t>
                  </w:r>
                </w:p>
              </w:tc>
            </w:tr>
            <w:tr w14:paraId="5AC7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3102749C">
                  <w:pPr>
                    <w:jc w:val="center"/>
                    <w:rPr>
                      <w:color w:val="auto"/>
                      <w:szCs w:val="21"/>
                    </w:rPr>
                  </w:pPr>
                  <w:r>
                    <w:rPr>
                      <w:color w:val="auto"/>
                      <w:szCs w:val="21"/>
                    </w:rPr>
                    <w:t>2</w:t>
                  </w:r>
                </w:p>
              </w:tc>
              <w:tc>
                <w:tcPr>
                  <w:tcW w:w="2838" w:type="dxa"/>
                  <w:gridSpan w:val="3"/>
                  <w:tcBorders>
                    <w:top w:val="single" w:color="auto" w:sz="4" w:space="0"/>
                    <w:left w:val="single" w:color="auto" w:sz="4" w:space="0"/>
                    <w:bottom w:val="single" w:color="auto" w:sz="4" w:space="0"/>
                    <w:right w:val="single" w:color="auto" w:sz="4" w:space="0"/>
                  </w:tcBorders>
                  <w:vAlign w:val="center"/>
                </w:tcPr>
                <w:p w14:paraId="46406135">
                  <w:pPr>
                    <w:jc w:val="center"/>
                    <w:rPr>
                      <w:color w:val="auto"/>
                      <w:szCs w:val="21"/>
                    </w:rPr>
                  </w:pPr>
                  <w:r>
                    <w:rPr>
                      <w:color w:val="auto"/>
                      <w:szCs w:val="21"/>
                    </w:rPr>
                    <w:t>项目地厂界下风向监控点2#</w:t>
                  </w:r>
                </w:p>
              </w:tc>
              <w:tc>
                <w:tcPr>
                  <w:tcW w:w="1574" w:type="dxa"/>
                  <w:gridSpan w:val="2"/>
                  <w:vMerge w:val="continue"/>
                  <w:tcBorders>
                    <w:left w:val="single" w:color="auto" w:sz="4" w:space="0"/>
                    <w:right w:val="single" w:color="auto" w:sz="4" w:space="0"/>
                  </w:tcBorders>
                  <w:vAlign w:val="center"/>
                </w:tcPr>
                <w:p w14:paraId="2EDE149B">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18C95CCC">
                  <w:pPr>
                    <w:spacing w:line="240" w:lineRule="atLeast"/>
                    <w:ind w:left="-107" w:leftChars="-51" w:right="-107" w:rightChars="-51"/>
                    <w:jc w:val="center"/>
                    <w:rPr>
                      <w:color w:val="auto"/>
                      <w:szCs w:val="21"/>
                    </w:rPr>
                  </w:pPr>
                  <w:r>
                    <w:rPr>
                      <w:color w:val="auto"/>
                      <w:szCs w:val="21"/>
                    </w:rPr>
                    <w:t>0.007</w:t>
                  </w:r>
                </w:p>
              </w:tc>
              <w:tc>
                <w:tcPr>
                  <w:tcW w:w="1006" w:type="dxa"/>
                  <w:tcBorders>
                    <w:top w:val="single" w:color="auto" w:sz="4" w:space="0"/>
                    <w:left w:val="single" w:color="auto" w:sz="4" w:space="0"/>
                    <w:bottom w:val="single" w:color="auto" w:sz="4" w:space="0"/>
                    <w:right w:val="single" w:color="auto" w:sz="4" w:space="0"/>
                  </w:tcBorders>
                  <w:vAlign w:val="center"/>
                </w:tcPr>
                <w:p w14:paraId="13F5B782">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7FF9B374">
                  <w:pPr>
                    <w:spacing w:line="240" w:lineRule="atLeast"/>
                    <w:ind w:left="-107" w:leftChars="-51" w:right="-107" w:rightChars="-51"/>
                    <w:jc w:val="center"/>
                    <w:rPr>
                      <w:color w:val="auto"/>
                      <w:szCs w:val="21"/>
                    </w:rPr>
                  </w:pPr>
                  <w:r>
                    <w:rPr>
                      <w:color w:val="auto"/>
                      <w:szCs w:val="21"/>
                    </w:rPr>
                    <w:t>1.2</w:t>
                  </w:r>
                </w:p>
              </w:tc>
              <w:tc>
                <w:tcPr>
                  <w:tcW w:w="843" w:type="dxa"/>
                  <w:vAlign w:val="center"/>
                </w:tcPr>
                <w:p w14:paraId="296675EF">
                  <w:pPr>
                    <w:spacing w:line="240" w:lineRule="atLeast"/>
                    <w:ind w:left="-107" w:leftChars="-51" w:right="-107" w:rightChars="-51"/>
                    <w:jc w:val="center"/>
                    <w:rPr>
                      <w:color w:val="auto"/>
                      <w:szCs w:val="21"/>
                    </w:rPr>
                  </w:pPr>
                  <w:r>
                    <w:rPr>
                      <w:color w:val="auto"/>
                      <w:szCs w:val="21"/>
                    </w:rPr>
                    <w:t>符合</w:t>
                  </w:r>
                </w:p>
              </w:tc>
            </w:tr>
            <w:tr w14:paraId="6FF3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21E39879">
                  <w:pPr>
                    <w:jc w:val="center"/>
                    <w:rPr>
                      <w:color w:val="auto"/>
                      <w:szCs w:val="21"/>
                    </w:rPr>
                  </w:pPr>
                  <w:r>
                    <w:rPr>
                      <w:color w:val="auto"/>
                      <w:szCs w:val="21"/>
                    </w:rPr>
                    <w:t>3</w:t>
                  </w:r>
                </w:p>
              </w:tc>
              <w:tc>
                <w:tcPr>
                  <w:tcW w:w="2838" w:type="dxa"/>
                  <w:gridSpan w:val="3"/>
                  <w:tcBorders>
                    <w:top w:val="single" w:color="auto" w:sz="4" w:space="0"/>
                    <w:left w:val="single" w:color="auto" w:sz="4" w:space="0"/>
                    <w:bottom w:val="single" w:color="auto" w:sz="4" w:space="0"/>
                    <w:right w:val="single" w:color="auto" w:sz="4" w:space="0"/>
                  </w:tcBorders>
                  <w:vAlign w:val="center"/>
                </w:tcPr>
                <w:p w14:paraId="335D1647">
                  <w:pPr>
                    <w:jc w:val="center"/>
                    <w:rPr>
                      <w:color w:val="auto"/>
                      <w:szCs w:val="21"/>
                    </w:rPr>
                  </w:pPr>
                  <w:r>
                    <w:rPr>
                      <w:color w:val="auto"/>
                      <w:szCs w:val="21"/>
                    </w:rPr>
                    <w:t>项目地厂界下风向监控点3#</w:t>
                  </w:r>
                </w:p>
              </w:tc>
              <w:tc>
                <w:tcPr>
                  <w:tcW w:w="1574" w:type="dxa"/>
                  <w:gridSpan w:val="2"/>
                  <w:vMerge w:val="continue"/>
                  <w:tcBorders>
                    <w:left w:val="single" w:color="auto" w:sz="4" w:space="0"/>
                    <w:right w:val="single" w:color="auto" w:sz="4" w:space="0"/>
                  </w:tcBorders>
                  <w:vAlign w:val="center"/>
                </w:tcPr>
                <w:p w14:paraId="152C5DBD">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6214DB1F">
                  <w:pPr>
                    <w:spacing w:line="240" w:lineRule="atLeast"/>
                    <w:ind w:left="-107" w:leftChars="-51" w:right="-107" w:rightChars="-51"/>
                    <w:jc w:val="center"/>
                    <w:rPr>
                      <w:color w:val="auto"/>
                      <w:szCs w:val="21"/>
                    </w:rPr>
                  </w:pPr>
                  <w:r>
                    <w:rPr>
                      <w:color w:val="auto"/>
                      <w:szCs w:val="21"/>
                    </w:rPr>
                    <w:t>0.012</w:t>
                  </w:r>
                </w:p>
              </w:tc>
              <w:tc>
                <w:tcPr>
                  <w:tcW w:w="1006" w:type="dxa"/>
                  <w:tcBorders>
                    <w:top w:val="single" w:color="auto" w:sz="4" w:space="0"/>
                    <w:left w:val="single" w:color="auto" w:sz="4" w:space="0"/>
                    <w:bottom w:val="single" w:color="auto" w:sz="4" w:space="0"/>
                    <w:right w:val="single" w:color="auto" w:sz="4" w:space="0"/>
                  </w:tcBorders>
                  <w:vAlign w:val="center"/>
                </w:tcPr>
                <w:p w14:paraId="36BFACA6">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55272EB2">
                  <w:pPr>
                    <w:spacing w:line="240" w:lineRule="atLeast"/>
                    <w:ind w:left="-107" w:leftChars="-51" w:right="-107" w:rightChars="-51"/>
                    <w:jc w:val="center"/>
                    <w:rPr>
                      <w:color w:val="auto"/>
                      <w:szCs w:val="21"/>
                    </w:rPr>
                  </w:pPr>
                  <w:r>
                    <w:rPr>
                      <w:color w:val="auto"/>
                      <w:szCs w:val="21"/>
                    </w:rPr>
                    <w:t>1.2</w:t>
                  </w:r>
                </w:p>
              </w:tc>
              <w:tc>
                <w:tcPr>
                  <w:tcW w:w="843" w:type="dxa"/>
                  <w:vAlign w:val="center"/>
                </w:tcPr>
                <w:p w14:paraId="5B3734DC">
                  <w:pPr>
                    <w:spacing w:line="240" w:lineRule="atLeast"/>
                    <w:ind w:left="-107" w:leftChars="-51" w:right="-107" w:rightChars="-51"/>
                    <w:jc w:val="center"/>
                    <w:rPr>
                      <w:color w:val="auto"/>
                      <w:szCs w:val="21"/>
                    </w:rPr>
                  </w:pPr>
                  <w:r>
                    <w:rPr>
                      <w:color w:val="auto"/>
                      <w:szCs w:val="21"/>
                    </w:rPr>
                    <w:t>符合</w:t>
                  </w:r>
                </w:p>
              </w:tc>
            </w:tr>
            <w:tr w14:paraId="28B1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750F1A4F">
                  <w:pPr>
                    <w:jc w:val="center"/>
                    <w:rPr>
                      <w:color w:val="auto"/>
                      <w:szCs w:val="21"/>
                    </w:rPr>
                  </w:pPr>
                  <w:r>
                    <w:rPr>
                      <w:color w:val="auto"/>
                      <w:szCs w:val="21"/>
                    </w:rPr>
                    <w:t>4</w:t>
                  </w:r>
                </w:p>
              </w:tc>
              <w:tc>
                <w:tcPr>
                  <w:tcW w:w="2838" w:type="dxa"/>
                  <w:gridSpan w:val="3"/>
                  <w:tcBorders>
                    <w:top w:val="single" w:color="auto" w:sz="4" w:space="0"/>
                    <w:left w:val="single" w:color="auto" w:sz="4" w:space="0"/>
                    <w:bottom w:val="single" w:color="auto" w:sz="4" w:space="0"/>
                    <w:right w:val="single" w:color="auto" w:sz="4" w:space="0"/>
                  </w:tcBorders>
                  <w:vAlign w:val="center"/>
                </w:tcPr>
                <w:p w14:paraId="5F713D83">
                  <w:pPr>
                    <w:jc w:val="center"/>
                    <w:rPr>
                      <w:color w:val="auto"/>
                      <w:szCs w:val="21"/>
                    </w:rPr>
                  </w:pPr>
                  <w:r>
                    <w:rPr>
                      <w:color w:val="auto"/>
                      <w:szCs w:val="21"/>
                    </w:rPr>
                    <w:t>项目地厂界下风向监控点4#</w:t>
                  </w:r>
                </w:p>
              </w:tc>
              <w:tc>
                <w:tcPr>
                  <w:tcW w:w="1574" w:type="dxa"/>
                  <w:gridSpan w:val="2"/>
                  <w:vMerge w:val="continue"/>
                  <w:tcBorders>
                    <w:left w:val="single" w:color="auto" w:sz="4" w:space="0"/>
                    <w:right w:val="single" w:color="auto" w:sz="4" w:space="0"/>
                  </w:tcBorders>
                  <w:vAlign w:val="center"/>
                </w:tcPr>
                <w:p w14:paraId="1651AB53">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562655BC">
                  <w:pPr>
                    <w:spacing w:line="240" w:lineRule="atLeast"/>
                    <w:ind w:left="-107" w:leftChars="-51" w:right="-107" w:rightChars="-51"/>
                    <w:jc w:val="center"/>
                    <w:rPr>
                      <w:color w:val="auto"/>
                      <w:szCs w:val="21"/>
                    </w:rPr>
                  </w:pPr>
                  <w:r>
                    <w:rPr>
                      <w:color w:val="auto"/>
                      <w:szCs w:val="21"/>
                    </w:rPr>
                    <w:t>0.019</w:t>
                  </w:r>
                </w:p>
              </w:tc>
              <w:tc>
                <w:tcPr>
                  <w:tcW w:w="1006" w:type="dxa"/>
                  <w:tcBorders>
                    <w:top w:val="single" w:color="auto" w:sz="4" w:space="0"/>
                    <w:left w:val="single" w:color="auto" w:sz="4" w:space="0"/>
                    <w:bottom w:val="single" w:color="auto" w:sz="4" w:space="0"/>
                    <w:right w:val="single" w:color="auto" w:sz="4" w:space="0"/>
                  </w:tcBorders>
                  <w:vAlign w:val="center"/>
                </w:tcPr>
                <w:p w14:paraId="12C85B98">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17B3EB2F">
                  <w:pPr>
                    <w:spacing w:line="240" w:lineRule="atLeast"/>
                    <w:ind w:left="-107" w:leftChars="-51" w:right="-107" w:rightChars="-51"/>
                    <w:jc w:val="center"/>
                    <w:rPr>
                      <w:color w:val="auto"/>
                      <w:szCs w:val="21"/>
                    </w:rPr>
                  </w:pPr>
                  <w:r>
                    <w:rPr>
                      <w:color w:val="auto"/>
                      <w:szCs w:val="21"/>
                    </w:rPr>
                    <w:t>1.2</w:t>
                  </w:r>
                </w:p>
              </w:tc>
              <w:tc>
                <w:tcPr>
                  <w:tcW w:w="843" w:type="dxa"/>
                  <w:vAlign w:val="center"/>
                </w:tcPr>
                <w:p w14:paraId="6C523467">
                  <w:pPr>
                    <w:spacing w:line="240" w:lineRule="atLeast"/>
                    <w:ind w:left="-107" w:leftChars="-51" w:right="-107" w:rightChars="-51"/>
                    <w:jc w:val="center"/>
                    <w:rPr>
                      <w:color w:val="auto"/>
                      <w:szCs w:val="21"/>
                    </w:rPr>
                  </w:pPr>
                  <w:r>
                    <w:rPr>
                      <w:color w:val="auto"/>
                      <w:szCs w:val="21"/>
                    </w:rPr>
                    <w:t>符合</w:t>
                  </w:r>
                </w:p>
              </w:tc>
            </w:tr>
            <w:tr w14:paraId="2B25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3136024F">
                  <w:pPr>
                    <w:jc w:val="center"/>
                    <w:rPr>
                      <w:color w:val="auto"/>
                      <w:szCs w:val="21"/>
                    </w:rPr>
                  </w:pPr>
                  <w:r>
                    <w:rPr>
                      <w:color w:val="auto"/>
                      <w:szCs w:val="21"/>
                    </w:rPr>
                    <w:t>5</w:t>
                  </w:r>
                </w:p>
              </w:tc>
              <w:tc>
                <w:tcPr>
                  <w:tcW w:w="2838" w:type="dxa"/>
                  <w:gridSpan w:val="3"/>
                  <w:tcBorders>
                    <w:top w:val="single" w:color="auto" w:sz="4" w:space="0"/>
                    <w:left w:val="single" w:color="auto" w:sz="4" w:space="0"/>
                    <w:bottom w:val="single" w:color="auto" w:sz="4" w:space="0"/>
                    <w:right w:val="single" w:color="auto" w:sz="4" w:space="0"/>
                  </w:tcBorders>
                  <w:vAlign w:val="center"/>
                </w:tcPr>
                <w:p w14:paraId="00036513">
                  <w:pPr>
                    <w:jc w:val="center"/>
                    <w:rPr>
                      <w:color w:val="auto"/>
                      <w:szCs w:val="21"/>
                    </w:rPr>
                  </w:pPr>
                  <w:r>
                    <w:rPr>
                      <w:color w:val="auto"/>
                      <w:szCs w:val="21"/>
                    </w:rPr>
                    <w:t>项目地厂界上风向参照点1#</w:t>
                  </w:r>
                </w:p>
              </w:tc>
              <w:tc>
                <w:tcPr>
                  <w:tcW w:w="1574" w:type="dxa"/>
                  <w:gridSpan w:val="2"/>
                  <w:vMerge w:val="restart"/>
                  <w:tcBorders>
                    <w:left w:val="single" w:color="auto" w:sz="4" w:space="0"/>
                    <w:right w:val="single" w:color="auto" w:sz="4" w:space="0"/>
                  </w:tcBorders>
                  <w:vAlign w:val="center"/>
                </w:tcPr>
                <w:p w14:paraId="1D492B3F">
                  <w:pPr>
                    <w:spacing w:line="240" w:lineRule="atLeast"/>
                    <w:ind w:left="-107" w:leftChars="-51" w:right="-107" w:rightChars="-51"/>
                    <w:jc w:val="center"/>
                    <w:rPr>
                      <w:color w:val="auto"/>
                      <w:szCs w:val="21"/>
                    </w:rPr>
                  </w:pPr>
                  <w:r>
                    <w:rPr>
                      <w:color w:val="auto"/>
                      <w:szCs w:val="21"/>
                    </w:rPr>
                    <w:t>颗粒物</w:t>
                  </w:r>
                </w:p>
              </w:tc>
              <w:tc>
                <w:tcPr>
                  <w:tcW w:w="1205" w:type="dxa"/>
                  <w:tcBorders>
                    <w:top w:val="single" w:color="auto" w:sz="4" w:space="0"/>
                    <w:left w:val="single" w:color="auto" w:sz="4" w:space="0"/>
                    <w:bottom w:val="single" w:color="auto" w:sz="4" w:space="0"/>
                    <w:right w:val="single" w:color="auto" w:sz="4" w:space="0"/>
                  </w:tcBorders>
                  <w:vAlign w:val="center"/>
                </w:tcPr>
                <w:p w14:paraId="1B0CE336">
                  <w:pPr>
                    <w:spacing w:line="240" w:lineRule="atLeast"/>
                    <w:ind w:left="-107" w:leftChars="-51" w:right="-107" w:rightChars="-51"/>
                    <w:jc w:val="center"/>
                    <w:rPr>
                      <w:color w:val="auto"/>
                      <w:szCs w:val="21"/>
                    </w:rPr>
                  </w:pPr>
                  <w:r>
                    <w:rPr>
                      <w:color w:val="auto"/>
                      <w:szCs w:val="21"/>
                    </w:rPr>
                    <w:t>0.208</w:t>
                  </w:r>
                </w:p>
              </w:tc>
              <w:tc>
                <w:tcPr>
                  <w:tcW w:w="1006" w:type="dxa"/>
                  <w:tcBorders>
                    <w:top w:val="single" w:color="auto" w:sz="4" w:space="0"/>
                    <w:left w:val="single" w:color="auto" w:sz="4" w:space="0"/>
                    <w:bottom w:val="single" w:color="auto" w:sz="4" w:space="0"/>
                    <w:right w:val="single" w:color="auto" w:sz="4" w:space="0"/>
                  </w:tcBorders>
                  <w:vAlign w:val="center"/>
                </w:tcPr>
                <w:p w14:paraId="2803F84C">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58754F51">
                  <w:pPr>
                    <w:spacing w:line="240" w:lineRule="atLeast"/>
                    <w:ind w:left="-107" w:leftChars="-51" w:right="-107" w:rightChars="-51"/>
                    <w:jc w:val="center"/>
                    <w:rPr>
                      <w:color w:val="auto"/>
                      <w:szCs w:val="21"/>
                    </w:rPr>
                  </w:pPr>
                  <w:r>
                    <w:rPr>
                      <w:color w:val="auto"/>
                      <w:szCs w:val="21"/>
                    </w:rPr>
                    <w:t>/</w:t>
                  </w:r>
                </w:p>
              </w:tc>
              <w:tc>
                <w:tcPr>
                  <w:tcW w:w="843" w:type="dxa"/>
                  <w:vAlign w:val="center"/>
                </w:tcPr>
                <w:p w14:paraId="2770BD91">
                  <w:pPr>
                    <w:spacing w:line="240" w:lineRule="atLeast"/>
                    <w:ind w:left="-107" w:leftChars="-51" w:right="-107" w:rightChars="-51"/>
                    <w:jc w:val="center"/>
                    <w:rPr>
                      <w:color w:val="auto"/>
                      <w:szCs w:val="21"/>
                    </w:rPr>
                  </w:pPr>
                  <w:r>
                    <w:rPr>
                      <w:color w:val="auto"/>
                      <w:szCs w:val="21"/>
                    </w:rPr>
                    <w:t>/</w:t>
                  </w:r>
                </w:p>
              </w:tc>
            </w:tr>
            <w:tr w14:paraId="1E38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4C0101CB">
                  <w:pPr>
                    <w:jc w:val="center"/>
                    <w:rPr>
                      <w:color w:val="auto"/>
                      <w:szCs w:val="21"/>
                    </w:rPr>
                  </w:pPr>
                  <w:r>
                    <w:rPr>
                      <w:color w:val="auto"/>
                      <w:szCs w:val="21"/>
                    </w:rPr>
                    <w:t>6</w:t>
                  </w:r>
                </w:p>
              </w:tc>
              <w:tc>
                <w:tcPr>
                  <w:tcW w:w="2838" w:type="dxa"/>
                  <w:gridSpan w:val="3"/>
                  <w:tcBorders>
                    <w:top w:val="single" w:color="auto" w:sz="4" w:space="0"/>
                    <w:left w:val="single" w:color="auto" w:sz="4" w:space="0"/>
                    <w:bottom w:val="single" w:color="auto" w:sz="4" w:space="0"/>
                    <w:right w:val="single" w:color="auto" w:sz="4" w:space="0"/>
                  </w:tcBorders>
                  <w:vAlign w:val="center"/>
                </w:tcPr>
                <w:p w14:paraId="5DAE9DDD">
                  <w:pPr>
                    <w:jc w:val="center"/>
                    <w:rPr>
                      <w:color w:val="auto"/>
                      <w:szCs w:val="21"/>
                    </w:rPr>
                  </w:pPr>
                  <w:r>
                    <w:rPr>
                      <w:color w:val="auto"/>
                      <w:szCs w:val="21"/>
                    </w:rPr>
                    <w:t>项目地厂界下风向监控点2#</w:t>
                  </w:r>
                </w:p>
              </w:tc>
              <w:tc>
                <w:tcPr>
                  <w:tcW w:w="1574" w:type="dxa"/>
                  <w:gridSpan w:val="2"/>
                  <w:vMerge w:val="continue"/>
                  <w:tcBorders>
                    <w:left w:val="single" w:color="auto" w:sz="4" w:space="0"/>
                    <w:right w:val="single" w:color="auto" w:sz="4" w:space="0"/>
                  </w:tcBorders>
                  <w:vAlign w:val="center"/>
                </w:tcPr>
                <w:p w14:paraId="0EEB0E51">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6A90E389">
                  <w:pPr>
                    <w:spacing w:line="240" w:lineRule="atLeast"/>
                    <w:ind w:left="-107" w:leftChars="-51" w:right="-107" w:rightChars="-51"/>
                    <w:jc w:val="center"/>
                    <w:rPr>
                      <w:color w:val="auto"/>
                      <w:szCs w:val="21"/>
                    </w:rPr>
                  </w:pPr>
                  <w:r>
                    <w:rPr>
                      <w:color w:val="auto"/>
                      <w:szCs w:val="21"/>
                    </w:rPr>
                    <w:t>0.312</w:t>
                  </w:r>
                </w:p>
              </w:tc>
              <w:tc>
                <w:tcPr>
                  <w:tcW w:w="1006" w:type="dxa"/>
                  <w:tcBorders>
                    <w:top w:val="single" w:color="auto" w:sz="4" w:space="0"/>
                    <w:left w:val="single" w:color="auto" w:sz="4" w:space="0"/>
                    <w:bottom w:val="single" w:color="auto" w:sz="4" w:space="0"/>
                    <w:right w:val="single" w:color="auto" w:sz="4" w:space="0"/>
                  </w:tcBorders>
                  <w:vAlign w:val="center"/>
                </w:tcPr>
                <w:p w14:paraId="56AFD1AD">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5375DBC1">
                  <w:pPr>
                    <w:spacing w:line="240" w:lineRule="atLeast"/>
                    <w:ind w:left="-107" w:leftChars="-51" w:right="-107" w:rightChars="-51"/>
                    <w:jc w:val="center"/>
                    <w:rPr>
                      <w:color w:val="auto"/>
                      <w:szCs w:val="21"/>
                    </w:rPr>
                  </w:pPr>
                  <w:r>
                    <w:rPr>
                      <w:color w:val="auto"/>
                      <w:szCs w:val="21"/>
                    </w:rPr>
                    <w:t>1.0</w:t>
                  </w:r>
                </w:p>
              </w:tc>
              <w:tc>
                <w:tcPr>
                  <w:tcW w:w="843" w:type="dxa"/>
                  <w:vAlign w:val="center"/>
                </w:tcPr>
                <w:p w14:paraId="6B7C64E9">
                  <w:pPr>
                    <w:spacing w:line="240" w:lineRule="atLeast"/>
                    <w:ind w:left="-107" w:leftChars="-51" w:right="-107" w:rightChars="-51"/>
                    <w:jc w:val="center"/>
                    <w:rPr>
                      <w:color w:val="auto"/>
                      <w:szCs w:val="21"/>
                    </w:rPr>
                  </w:pPr>
                  <w:r>
                    <w:rPr>
                      <w:color w:val="auto"/>
                      <w:szCs w:val="21"/>
                    </w:rPr>
                    <w:t>符合</w:t>
                  </w:r>
                </w:p>
              </w:tc>
            </w:tr>
            <w:tr w14:paraId="515F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6BCD7F3C">
                  <w:pPr>
                    <w:jc w:val="center"/>
                    <w:rPr>
                      <w:color w:val="auto"/>
                      <w:szCs w:val="21"/>
                    </w:rPr>
                  </w:pPr>
                  <w:r>
                    <w:rPr>
                      <w:color w:val="auto"/>
                      <w:szCs w:val="21"/>
                    </w:rPr>
                    <w:t>7</w:t>
                  </w:r>
                </w:p>
              </w:tc>
              <w:tc>
                <w:tcPr>
                  <w:tcW w:w="2838" w:type="dxa"/>
                  <w:gridSpan w:val="3"/>
                  <w:tcBorders>
                    <w:top w:val="single" w:color="auto" w:sz="4" w:space="0"/>
                    <w:left w:val="single" w:color="auto" w:sz="4" w:space="0"/>
                    <w:bottom w:val="single" w:color="auto" w:sz="4" w:space="0"/>
                    <w:right w:val="single" w:color="auto" w:sz="4" w:space="0"/>
                  </w:tcBorders>
                  <w:vAlign w:val="center"/>
                </w:tcPr>
                <w:p w14:paraId="45971F6D">
                  <w:pPr>
                    <w:jc w:val="center"/>
                    <w:rPr>
                      <w:color w:val="auto"/>
                      <w:szCs w:val="21"/>
                    </w:rPr>
                  </w:pPr>
                  <w:r>
                    <w:rPr>
                      <w:color w:val="auto"/>
                      <w:szCs w:val="21"/>
                    </w:rPr>
                    <w:t>项目地厂界下风向监控点3#</w:t>
                  </w:r>
                </w:p>
              </w:tc>
              <w:tc>
                <w:tcPr>
                  <w:tcW w:w="1574" w:type="dxa"/>
                  <w:gridSpan w:val="2"/>
                  <w:vMerge w:val="continue"/>
                  <w:tcBorders>
                    <w:left w:val="single" w:color="auto" w:sz="4" w:space="0"/>
                    <w:right w:val="single" w:color="auto" w:sz="4" w:space="0"/>
                  </w:tcBorders>
                  <w:vAlign w:val="center"/>
                </w:tcPr>
                <w:p w14:paraId="519D7189">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201985EA">
                  <w:pPr>
                    <w:spacing w:line="240" w:lineRule="atLeast"/>
                    <w:ind w:left="-107" w:leftChars="-51" w:right="-107" w:rightChars="-51"/>
                    <w:jc w:val="center"/>
                    <w:rPr>
                      <w:color w:val="auto"/>
                      <w:szCs w:val="21"/>
                    </w:rPr>
                  </w:pPr>
                  <w:r>
                    <w:rPr>
                      <w:color w:val="auto"/>
                      <w:szCs w:val="21"/>
                    </w:rPr>
                    <w:t>0.274</w:t>
                  </w:r>
                </w:p>
              </w:tc>
              <w:tc>
                <w:tcPr>
                  <w:tcW w:w="1006" w:type="dxa"/>
                  <w:tcBorders>
                    <w:top w:val="single" w:color="auto" w:sz="4" w:space="0"/>
                    <w:left w:val="single" w:color="auto" w:sz="4" w:space="0"/>
                    <w:bottom w:val="single" w:color="auto" w:sz="4" w:space="0"/>
                    <w:right w:val="single" w:color="auto" w:sz="4" w:space="0"/>
                  </w:tcBorders>
                  <w:vAlign w:val="center"/>
                </w:tcPr>
                <w:p w14:paraId="090B6F9D">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0E332020">
                  <w:pPr>
                    <w:spacing w:line="240" w:lineRule="atLeast"/>
                    <w:ind w:left="-107" w:leftChars="-51" w:right="-107" w:rightChars="-51"/>
                    <w:jc w:val="center"/>
                    <w:rPr>
                      <w:color w:val="auto"/>
                      <w:szCs w:val="21"/>
                    </w:rPr>
                  </w:pPr>
                  <w:r>
                    <w:rPr>
                      <w:color w:val="auto"/>
                      <w:szCs w:val="21"/>
                    </w:rPr>
                    <w:t>1.0</w:t>
                  </w:r>
                </w:p>
              </w:tc>
              <w:tc>
                <w:tcPr>
                  <w:tcW w:w="843" w:type="dxa"/>
                  <w:vAlign w:val="center"/>
                </w:tcPr>
                <w:p w14:paraId="5A64355A">
                  <w:pPr>
                    <w:spacing w:line="240" w:lineRule="atLeast"/>
                    <w:ind w:left="-107" w:leftChars="-51" w:right="-107" w:rightChars="-51"/>
                    <w:jc w:val="center"/>
                    <w:rPr>
                      <w:color w:val="auto"/>
                      <w:szCs w:val="21"/>
                    </w:rPr>
                  </w:pPr>
                  <w:r>
                    <w:rPr>
                      <w:color w:val="auto"/>
                      <w:szCs w:val="21"/>
                    </w:rPr>
                    <w:t>符合</w:t>
                  </w:r>
                </w:p>
              </w:tc>
            </w:tr>
            <w:tr w14:paraId="2FE04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5F7E03D0">
                  <w:pPr>
                    <w:jc w:val="center"/>
                    <w:rPr>
                      <w:color w:val="auto"/>
                      <w:szCs w:val="21"/>
                    </w:rPr>
                  </w:pPr>
                  <w:r>
                    <w:rPr>
                      <w:color w:val="auto"/>
                      <w:szCs w:val="21"/>
                    </w:rPr>
                    <w:t>8</w:t>
                  </w:r>
                </w:p>
              </w:tc>
              <w:tc>
                <w:tcPr>
                  <w:tcW w:w="2838" w:type="dxa"/>
                  <w:gridSpan w:val="3"/>
                  <w:tcBorders>
                    <w:top w:val="single" w:color="auto" w:sz="4" w:space="0"/>
                    <w:left w:val="single" w:color="auto" w:sz="4" w:space="0"/>
                    <w:bottom w:val="single" w:color="auto" w:sz="4" w:space="0"/>
                    <w:right w:val="single" w:color="auto" w:sz="4" w:space="0"/>
                  </w:tcBorders>
                  <w:vAlign w:val="center"/>
                </w:tcPr>
                <w:p w14:paraId="00653355">
                  <w:pPr>
                    <w:jc w:val="center"/>
                    <w:rPr>
                      <w:color w:val="auto"/>
                      <w:szCs w:val="21"/>
                    </w:rPr>
                  </w:pPr>
                  <w:r>
                    <w:rPr>
                      <w:color w:val="auto"/>
                      <w:szCs w:val="21"/>
                    </w:rPr>
                    <w:t>项目地厂界下风向监控点4#</w:t>
                  </w:r>
                </w:p>
              </w:tc>
              <w:tc>
                <w:tcPr>
                  <w:tcW w:w="1574" w:type="dxa"/>
                  <w:gridSpan w:val="2"/>
                  <w:vMerge w:val="continue"/>
                  <w:tcBorders>
                    <w:left w:val="single" w:color="auto" w:sz="4" w:space="0"/>
                    <w:right w:val="single" w:color="auto" w:sz="4" w:space="0"/>
                  </w:tcBorders>
                  <w:vAlign w:val="center"/>
                </w:tcPr>
                <w:p w14:paraId="456F0584">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4F33774A">
                  <w:pPr>
                    <w:spacing w:line="240" w:lineRule="atLeast"/>
                    <w:ind w:left="-107" w:leftChars="-51" w:right="-107" w:rightChars="-51"/>
                    <w:jc w:val="center"/>
                    <w:rPr>
                      <w:color w:val="auto"/>
                      <w:szCs w:val="21"/>
                    </w:rPr>
                  </w:pPr>
                  <w:r>
                    <w:rPr>
                      <w:color w:val="auto"/>
                      <w:szCs w:val="21"/>
                    </w:rPr>
                    <w:t>0.286</w:t>
                  </w:r>
                </w:p>
              </w:tc>
              <w:tc>
                <w:tcPr>
                  <w:tcW w:w="1006" w:type="dxa"/>
                  <w:tcBorders>
                    <w:top w:val="single" w:color="auto" w:sz="4" w:space="0"/>
                    <w:left w:val="single" w:color="auto" w:sz="4" w:space="0"/>
                    <w:bottom w:val="single" w:color="auto" w:sz="4" w:space="0"/>
                    <w:right w:val="single" w:color="auto" w:sz="4" w:space="0"/>
                  </w:tcBorders>
                  <w:vAlign w:val="center"/>
                </w:tcPr>
                <w:p w14:paraId="0CC9ECA8">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04742E0C">
                  <w:pPr>
                    <w:spacing w:line="240" w:lineRule="atLeast"/>
                    <w:ind w:left="-107" w:leftChars="-51" w:right="-107" w:rightChars="-51"/>
                    <w:jc w:val="center"/>
                    <w:rPr>
                      <w:color w:val="auto"/>
                      <w:szCs w:val="21"/>
                    </w:rPr>
                  </w:pPr>
                  <w:r>
                    <w:rPr>
                      <w:color w:val="auto"/>
                      <w:szCs w:val="21"/>
                    </w:rPr>
                    <w:t>1.0</w:t>
                  </w:r>
                </w:p>
              </w:tc>
              <w:tc>
                <w:tcPr>
                  <w:tcW w:w="843" w:type="dxa"/>
                  <w:vAlign w:val="center"/>
                </w:tcPr>
                <w:p w14:paraId="781745DE">
                  <w:pPr>
                    <w:spacing w:line="240" w:lineRule="atLeast"/>
                    <w:ind w:left="-107" w:leftChars="-51" w:right="-107" w:rightChars="-51"/>
                    <w:jc w:val="center"/>
                    <w:rPr>
                      <w:color w:val="auto"/>
                      <w:szCs w:val="21"/>
                    </w:rPr>
                  </w:pPr>
                  <w:r>
                    <w:rPr>
                      <w:color w:val="auto"/>
                      <w:szCs w:val="21"/>
                    </w:rPr>
                    <w:t>符合</w:t>
                  </w:r>
                </w:p>
              </w:tc>
            </w:tr>
            <w:tr w14:paraId="71D6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536D9D69">
                  <w:pPr>
                    <w:jc w:val="center"/>
                    <w:rPr>
                      <w:rFonts w:hint="eastAsia" w:eastAsia="宋体"/>
                      <w:color w:val="auto"/>
                      <w:szCs w:val="21"/>
                      <w:lang w:val="en-US" w:eastAsia="zh-CN"/>
                    </w:rPr>
                  </w:pPr>
                  <w:r>
                    <w:rPr>
                      <w:rFonts w:hint="eastAsia"/>
                      <w:color w:val="auto"/>
                      <w:szCs w:val="21"/>
                      <w:lang w:val="en-US" w:eastAsia="zh-CN"/>
                    </w:rPr>
                    <w:t>9</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E42B3DC">
                  <w:pPr>
                    <w:jc w:val="center"/>
                    <w:rPr>
                      <w:rFonts w:ascii="Times New Roman" w:hAnsi="Times New Roman" w:eastAsia="宋体" w:cs="Times New Roman"/>
                      <w:color w:val="auto"/>
                      <w:kern w:val="2"/>
                      <w:sz w:val="21"/>
                      <w:szCs w:val="21"/>
                      <w:lang w:val="en-US" w:eastAsia="zh-CN" w:bidi="ar-SA"/>
                    </w:rPr>
                  </w:pPr>
                  <w:r>
                    <w:rPr>
                      <w:color w:val="auto"/>
                      <w:szCs w:val="21"/>
                    </w:rPr>
                    <w:t>项目地厂界上风向参照点1#</w:t>
                  </w:r>
                </w:p>
              </w:tc>
              <w:tc>
                <w:tcPr>
                  <w:tcW w:w="1574" w:type="dxa"/>
                  <w:gridSpan w:val="2"/>
                  <w:vMerge w:val="restart"/>
                  <w:tcBorders>
                    <w:left w:val="single" w:color="auto" w:sz="4" w:space="0"/>
                    <w:right w:val="single" w:color="auto" w:sz="4" w:space="0"/>
                  </w:tcBorders>
                  <w:vAlign w:val="center"/>
                </w:tcPr>
                <w:p w14:paraId="7A5D3D6F">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硫化氢</w:t>
                  </w:r>
                </w:p>
              </w:tc>
              <w:tc>
                <w:tcPr>
                  <w:tcW w:w="1205" w:type="dxa"/>
                  <w:tcBorders>
                    <w:top w:val="single" w:color="auto" w:sz="4" w:space="0"/>
                    <w:left w:val="single" w:color="auto" w:sz="4" w:space="0"/>
                    <w:bottom w:val="single" w:color="auto" w:sz="4" w:space="0"/>
                    <w:right w:val="single" w:color="auto" w:sz="4" w:space="0"/>
                  </w:tcBorders>
                  <w:vAlign w:val="center"/>
                </w:tcPr>
                <w:p w14:paraId="6AA38758">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0.005</w:t>
                  </w:r>
                </w:p>
              </w:tc>
              <w:tc>
                <w:tcPr>
                  <w:tcW w:w="1006" w:type="dxa"/>
                  <w:tcBorders>
                    <w:top w:val="single" w:color="auto" w:sz="4" w:space="0"/>
                    <w:left w:val="single" w:color="auto" w:sz="4" w:space="0"/>
                    <w:bottom w:val="single" w:color="auto" w:sz="4" w:space="0"/>
                    <w:right w:val="single" w:color="auto" w:sz="4" w:space="0"/>
                  </w:tcBorders>
                  <w:vAlign w:val="center"/>
                </w:tcPr>
                <w:p w14:paraId="55E42B76">
                  <w:pPr>
                    <w:spacing w:line="240" w:lineRule="atLeast"/>
                    <w:ind w:left="-107" w:leftChars="-51" w:right="-107" w:rightChars="-51"/>
                    <w:jc w:val="center"/>
                    <w:rPr>
                      <w:rFonts w:hint="eastAsia"/>
                      <w:color w:val="auto"/>
                      <w:szCs w:val="21"/>
                      <w:lang w:val="en-US" w:eastAsia="zh-CN"/>
                    </w:rPr>
                  </w:pPr>
                  <w:r>
                    <w:rPr>
                      <w:color w:val="auto"/>
                      <w:szCs w:val="21"/>
                    </w:rPr>
                    <w:t>mg/m</w:t>
                  </w:r>
                  <w:r>
                    <w:rPr>
                      <w:color w:val="auto"/>
                      <w:szCs w:val="21"/>
                      <w:vertAlign w:val="superscript"/>
                    </w:rPr>
                    <w:t>3</w:t>
                  </w:r>
                </w:p>
              </w:tc>
              <w:tc>
                <w:tcPr>
                  <w:tcW w:w="1386" w:type="dxa"/>
                  <w:vAlign w:val="center"/>
                </w:tcPr>
                <w:p w14:paraId="52E0C76D">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c>
                <w:tcPr>
                  <w:tcW w:w="843" w:type="dxa"/>
                  <w:shd w:val="clear" w:color="auto" w:fill="auto"/>
                  <w:vAlign w:val="center"/>
                </w:tcPr>
                <w:p w14:paraId="708E4445">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w:t>
                  </w:r>
                </w:p>
              </w:tc>
            </w:tr>
            <w:tr w14:paraId="3DA5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26FC21F9">
                  <w:pPr>
                    <w:jc w:val="center"/>
                    <w:rPr>
                      <w:rFonts w:hint="default" w:eastAsia="宋体"/>
                      <w:color w:val="auto"/>
                      <w:szCs w:val="21"/>
                      <w:lang w:val="en-US" w:eastAsia="zh-CN"/>
                    </w:rPr>
                  </w:pPr>
                  <w:r>
                    <w:rPr>
                      <w:rFonts w:hint="eastAsia"/>
                      <w:color w:val="auto"/>
                      <w:szCs w:val="21"/>
                      <w:lang w:val="en-US" w:eastAsia="zh-CN"/>
                    </w:rPr>
                    <w:t>10</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3BEC5B1">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项目地厂界下风向监控点2#</w:t>
                  </w:r>
                </w:p>
              </w:tc>
              <w:tc>
                <w:tcPr>
                  <w:tcW w:w="1574" w:type="dxa"/>
                  <w:gridSpan w:val="2"/>
                  <w:vMerge w:val="continue"/>
                  <w:tcBorders>
                    <w:left w:val="single" w:color="auto" w:sz="4" w:space="0"/>
                    <w:right w:val="single" w:color="auto" w:sz="4" w:space="0"/>
                  </w:tcBorders>
                  <w:vAlign w:val="center"/>
                </w:tcPr>
                <w:p w14:paraId="35897F17">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49F43CE4">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0.012</w:t>
                  </w:r>
                </w:p>
              </w:tc>
              <w:tc>
                <w:tcPr>
                  <w:tcW w:w="1006" w:type="dxa"/>
                  <w:tcBorders>
                    <w:top w:val="single" w:color="auto" w:sz="4" w:space="0"/>
                    <w:left w:val="single" w:color="auto" w:sz="4" w:space="0"/>
                    <w:bottom w:val="single" w:color="auto" w:sz="4" w:space="0"/>
                    <w:right w:val="single" w:color="auto" w:sz="4" w:space="0"/>
                  </w:tcBorders>
                  <w:vAlign w:val="center"/>
                </w:tcPr>
                <w:p w14:paraId="43DE3DB6">
                  <w:pPr>
                    <w:spacing w:line="240" w:lineRule="atLeast"/>
                    <w:ind w:left="-107" w:leftChars="-51" w:right="-107" w:rightChars="-51"/>
                    <w:jc w:val="center"/>
                    <w:rPr>
                      <w:rFonts w:hint="eastAsia"/>
                      <w:color w:val="auto"/>
                      <w:szCs w:val="21"/>
                      <w:lang w:val="en-US" w:eastAsia="zh-CN"/>
                    </w:rPr>
                  </w:pPr>
                  <w:r>
                    <w:rPr>
                      <w:color w:val="auto"/>
                      <w:szCs w:val="21"/>
                    </w:rPr>
                    <w:t>mg/m</w:t>
                  </w:r>
                  <w:r>
                    <w:rPr>
                      <w:color w:val="auto"/>
                      <w:szCs w:val="21"/>
                      <w:vertAlign w:val="superscript"/>
                    </w:rPr>
                    <w:t>3</w:t>
                  </w:r>
                </w:p>
              </w:tc>
              <w:tc>
                <w:tcPr>
                  <w:tcW w:w="1386" w:type="dxa"/>
                  <w:vAlign w:val="center"/>
                </w:tcPr>
                <w:p w14:paraId="4780C779">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0.06</w:t>
                  </w:r>
                </w:p>
              </w:tc>
              <w:tc>
                <w:tcPr>
                  <w:tcW w:w="843" w:type="dxa"/>
                  <w:shd w:val="clear" w:color="auto" w:fill="auto"/>
                  <w:vAlign w:val="center"/>
                </w:tcPr>
                <w:p w14:paraId="70B11790">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4993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74AF6B8C">
                  <w:pPr>
                    <w:jc w:val="center"/>
                    <w:rPr>
                      <w:rFonts w:hint="default" w:eastAsia="宋体"/>
                      <w:color w:val="auto"/>
                      <w:szCs w:val="21"/>
                      <w:lang w:val="en-US" w:eastAsia="zh-CN"/>
                    </w:rPr>
                  </w:pPr>
                  <w:r>
                    <w:rPr>
                      <w:rFonts w:hint="eastAsia"/>
                      <w:color w:val="auto"/>
                      <w:szCs w:val="21"/>
                      <w:lang w:val="en-US" w:eastAsia="zh-CN"/>
                    </w:rPr>
                    <w:t>11</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EA1CE8C">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项目地厂界下风向监控点3#</w:t>
                  </w:r>
                </w:p>
              </w:tc>
              <w:tc>
                <w:tcPr>
                  <w:tcW w:w="1574" w:type="dxa"/>
                  <w:gridSpan w:val="2"/>
                  <w:vMerge w:val="continue"/>
                  <w:tcBorders>
                    <w:left w:val="single" w:color="auto" w:sz="4" w:space="0"/>
                    <w:right w:val="single" w:color="auto" w:sz="4" w:space="0"/>
                  </w:tcBorders>
                  <w:vAlign w:val="center"/>
                </w:tcPr>
                <w:p w14:paraId="57925DD6">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15B2F9E6">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0.016</w:t>
                  </w:r>
                </w:p>
              </w:tc>
              <w:tc>
                <w:tcPr>
                  <w:tcW w:w="1006" w:type="dxa"/>
                  <w:tcBorders>
                    <w:top w:val="single" w:color="auto" w:sz="4" w:space="0"/>
                    <w:left w:val="single" w:color="auto" w:sz="4" w:space="0"/>
                    <w:bottom w:val="single" w:color="auto" w:sz="4" w:space="0"/>
                    <w:right w:val="single" w:color="auto" w:sz="4" w:space="0"/>
                  </w:tcBorders>
                  <w:vAlign w:val="center"/>
                </w:tcPr>
                <w:p w14:paraId="091D4F5D">
                  <w:pPr>
                    <w:spacing w:line="240" w:lineRule="atLeast"/>
                    <w:ind w:left="-107" w:leftChars="-51" w:right="-107" w:rightChars="-51"/>
                    <w:jc w:val="center"/>
                    <w:rPr>
                      <w:rFonts w:hint="eastAsia"/>
                      <w:color w:val="auto"/>
                      <w:szCs w:val="21"/>
                      <w:lang w:val="en-US" w:eastAsia="zh-CN"/>
                    </w:rPr>
                  </w:pPr>
                  <w:r>
                    <w:rPr>
                      <w:color w:val="auto"/>
                      <w:szCs w:val="21"/>
                    </w:rPr>
                    <w:t>mg/m</w:t>
                  </w:r>
                  <w:r>
                    <w:rPr>
                      <w:color w:val="auto"/>
                      <w:szCs w:val="21"/>
                      <w:vertAlign w:val="superscript"/>
                    </w:rPr>
                    <w:t>3</w:t>
                  </w:r>
                </w:p>
              </w:tc>
              <w:tc>
                <w:tcPr>
                  <w:tcW w:w="1386" w:type="dxa"/>
                  <w:vAlign w:val="center"/>
                </w:tcPr>
                <w:p w14:paraId="036E5AF0">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0.06</w:t>
                  </w:r>
                </w:p>
              </w:tc>
              <w:tc>
                <w:tcPr>
                  <w:tcW w:w="843" w:type="dxa"/>
                  <w:shd w:val="clear" w:color="auto" w:fill="auto"/>
                  <w:vAlign w:val="center"/>
                </w:tcPr>
                <w:p w14:paraId="47FFB19D">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5FD7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650027D8">
                  <w:pPr>
                    <w:jc w:val="center"/>
                    <w:rPr>
                      <w:rFonts w:hint="default" w:eastAsia="宋体"/>
                      <w:color w:val="auto"/>
                      <w:szCs w:val="21"/>
                      <w:lang w:val="en-US" w:eastAsia="zh-CN"/>
                    </w:rPr>
                  </w:pPr>
                  <w:r>
                    <w:rPr>
                      <w:rFonts w:hint="eastAsia"/>
                      <w:color w:val="auto"/>
                      <w:szCs w:val="21"/>
                      <w:lang w:val="en-US" w:eastAsia="zh-CN"/>
                    </w:rPr>
                    <w:t>12</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87D79B9">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项目地厂界下风向监控点4#</w:t>
                  </w:r>
                </w:p>
              </w:tc>
              <w:tc>
                <w:tcPr>
                  <w:tcW w:w="1574" w:type="dxa"/>
                  <w:gridSpan w:val="2"/>
                  <w:vMerge w:val="continue"/>
                  <w:tcBorders>
                    <w:left w:val="single" w:color="auto" w:sz="4" w:space="0"/>
                    <w:right w:val="single" w:color="auto" w:sz="4" w:space="0"/>
                  </w:tcBorders>
                  <w:vAlign w:val="center"/>
                </w:tcPr>
                <w:p w14:paraId="492D2B5B">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31855C34">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0.023</w:t>
                  </w:r>
                </w:p>
              </w:tc>
              <w:tc>
                <w:tcPr>
                  <w:tcW w:w="1006" w:type="dxa"/>
                  <w:tcBorders>
                    <w:top w:val="single" w:color="auto" w:sz="4" w:space="0"/>
                    <w:left w:val="single" w:color="auto" w:sz="4" w:space="0"/>
                    <w:bottom w:val="single" w:color="auto" w:sz="4" w:space="0"/>
                    <w:right w:val="single" w:color="auto" w:sz="4" w:space="0"/>
                  </w:tcBorders>
                  <w:vAlign w:val="center"/>
                </w:tcPr>
                <w:p w14:paraId="29D6BB6D">
                  <w:pPr>
                    <w:spacing w:line="240" w:lineRule="atLeast"/>
                    <w:ind w:left="-107" w:leftChars="-51" w:right="-107" w:rightChars="-51"/>
                    <w:jc w:val="center"/>
                    <w:rPr>
                      <w:rFonts w:hint="eastAsia"/>
                      <w:color w:val="auto"/>
                      <w:szCs w:val="21"/>
                      <w:lang w:val="en-US" w:eastAsia="zh-CN"/>
                    </w:rPr>
                  </w:pPr>
                  <w:r>
                    <w:rPr>
                      <w:color w:val="auto"/>
                      <w:szCs w:val="21"/>
                    </w:rPr>
                    <w:t>mg/m</w:t>
                  </w:r>
                  <w:r>
                    <w:rPr>
                      <w:color w:val="auto"/>
                      <w:szCs w:val="21"/>
                      <w:vertAlign w:val="superscript"/>
                    </w:rPr>
                    <w:t>3</w:t>
                  </w:r>
                </w:p>
              </w:tc>
              <w:tc>
                <w:tcPr>
                  <w:tcW w:w="1386" w:type="dxa"/>
                  <w:vAlign w:val="center"/>
                </w:tcPr>
                <w:p w14:paraId="53858FD4">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0.06</w:t>
                  </w:r>
                </w:p>
              </w:tc>
              <w:tc>
                <w:tcPr>
                  <w:tcW w:w="843" w:type="dxa"/>
                  <w:shd w:val="clear" w:color="auto" w:fill="auto"/>
                  <w:vAlign w:val="center"/>
                </w:tcPr>
                <w:p w14:paraId="40C47788">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75CD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23F04C89">
                  <w:pPr>
                    <w:jc w:val="center"/>
                    <w:rPr>
                      <w:rFonts w:hint="default" w:eastAsia="宋体"/>
                      <w:color w:val="auto"/>
                      <w:szCs w:val="21"/>
                      <w:lang w:val="en-US" w:eastAsia="zh-CN"/>
                    </w:rPr>
                  </w:pPr>
                  <w:r>
                    <w:rPr>
                      <w:rFonts w:hint="eastAsia"/>
                      <w:color w:val="auto"/>
                      <w:szCs w:val="21"/>
                      <w:lang w:val="en-US" w:eastAsia="zh-CN"/>
                    </w:rPr>
                    <w:t>13</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2A776C7">
                  <w:pPr>
                    <w:jc w:val="center"/>
                    <w:rPr>
                      <w:rFonts w:ascii="Times New Roman" w:hAnsi="Times New Roman" w:eastAsia="宋体" w:cs="Times New Roman"/>
                      <w:color w:val="auto"/>
                      <w:kern w:val="2"/>
                      <w:sz w:val="21"/>
                      <w:szCs w:val="21"/>
                      <w:lang w:val="en-US" w:eastAsia="zh-CN" w:bidi="ar-SA"/>
                    </w:rPr>
                  </w:pPr>
                  <w:r>
                    <w:rPr>
                      <w:color w:val="auto"/>
                      <w:szCs w:val="21"/>
                    </w:rPr>
                    <w:t>项目地厂界上风向参照点1#</w:t>
                  </w:r>
                </w:p>
              </w:tc>
              <w:tc>
                <w:tcPr>
                  <w:tcW w:w="1574" w:type="dxa"/>
                  <w:gridSpan w:val="2"/>
                  <w:vMerge w:val="restart"/>
                  <w:tcBorders>
                    <w:left w:val="single" w:color="auto" w:sz="4" w:space="0"/>
                    <w:right w:val="single" w:color="auto" w:sz="4" w:space="0"/>
                  </w:tcBorders>
                  <w:vAlign w:val="center"/>
                </w:tcPr>
                <w:p w14:paraId="5D3517A8">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氨</w:t>
                  </w:r>
                </w:p>
              </w:tc>
              <w:tc>
                <w:tcPr>
                  <w:tcW w:w="1205" w:type="dxa"/>
                  <w:tcBorders>
                    <w:top w:val="single" w:color="auto" w:sz="4" w:space="0"/>
                    <w:left w:val="single" w:color="auto" w:sz="4" w:space="0"/>
                    <w:bottom w:val="single" w:color="auto" w:sz="4" w:space="0"/>
                    <w:right w:val="single" w:color="auto" w:sz="4" w:space="0"/>
                  </w:tcBorders>
                  <w:vAlign w:val="center"/>
                </w:tcPr>
                <w:p w14:paraId="4E6AAB74">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0.07</w:t>
                  </w:r>
                </w:p>
              </w:tc>
              <w:tc>
                <w:tcPr>
                  <w:tcW w:w="1006" w:type="dxa"/>
                  <w:tcBorders>
                    <w:top w:val="single" w:color="auto" w:sz="4" w:space="0"/>
                    <w:left w:val="single" w:color="auto" w:sz="4" w:space="0"/>
                    <w:bottom w:val="single" w:color="auto" w:sz="4" w:space="0"/>
                    <w:right w:val="single" w:color="auto" w:sz="4" w:space="0"/>
                  </w:tcBorders>
                  <w:vAlign w:val="center"/>
                </w:tcPr>
                <w:p w14:paraId="58B88D43">
                  <w:pPr>
                    <w:spacing w:line="240" w:lineRule="atLeast"/>
                    <w:ind w:left="-107" w:leftChars="-51" w:right="-107" w:rightChars="-51"/>
                    <w:jc w:val="center"/>
                    <w:rPr>
                      <w:rFonts w:hint="eastAsia"/>
                      <w:color w:val="auto"/>
                      <w:szCs w:val="21"/>
                      <w:lang w:val="en-US" w:eastAsia="zh-CN"/>
                    </w:rPr>
                  </w:pPr>
                  <w:r>
                    <w:rPr>
                      <w:color w:val="auto"/>
                      <w:szCs w:val="21"/>
                    </w:rPr>
                    <w:t>mg/m</w:t>
                  </w:r>
                  <w:r>
                    <w:rPr>
                      <w:color w:val="auto"/>
                      <w:szCs w:val="21"/>
                      <w:vertAlign w:val="superscript"/>
                    </w:rPr>
                    <w:t>3</w:t>
                  </w:r>
                </w:p>
              </w:tc>
              <w:tc>
                <w:tcPr>
                  <w:tcW w:w="1386" w:type="dxa"/>
                  <w:vAlign w:val="center"/>
                </w:tcPr>
                <w:p w14:paraId="250C43BB">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c>
                <w:tcPr>
                  <w:tcW w:w="843" w:type="dxa"/>
                  <w:shd w:val="clear" w:color="auto" w:fill="auto"/>
                  <w:vAlign w:val="center"/>
                </w:tcPr>
                <w:p w14:paraId="751D25A0">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w:t>
                  </w:r>
                </w:p>
              </w:tc>
            </w:tr>
            <w:tr w14:paraId="1D2A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4B2BDBF0">
                  <w:pPr>
                    <w:jc w:val="center"/>
                    <w:rPr>
                      <w:rFonts w:hint="default" w:eastAsia="宋体"/>
                      <w:color w:val="auto"/>
                      <w:szCs w:val="21"/>
                      <w:lang w:val="en-US" w:eastAsia="zh-CN"/>
                    </w:rPr>
                  </w:pPr>
                  <w:r>
                    <w:rPr>
                      <w:rFonts w:hint="eastAsia"/>
                      <w:color w:val="auto"/>
                      <w:szCs w:val="21"/>
                      <w:lang w:val="en-US" w:eastAsia="zh-CN"/>
                    </w:rPr>
                    <w:t>14</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135BD1A">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项目地厂界下风向监控点2#</w:t>
                  </w:r>
                </w:p>
              </w:tc>
              <w:tc>
                <w:tcPr>
                  <w:tcW w:w="1574" w:type="dxa"/>
                  <w:gridSpan w:val="2"/>
                  <w:vMerge w:val="continue"/>
                  <w:tcBorders>
                    <w:left w:val="single" w:color="auto" w:sz="4" w:space="0"/>
                    <w:right w:val="single" w:color="auto" w:sz="4" w:space="0"/>
                  </w:tcBorders>
                  <w:vAlign w:val="center"/>
                </w:tcPr>
                <w:p w14:paraId="3EE0C58F">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5FDE80F0">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0.13</w:t>
                  </w:r>
                </w:p>
              </w:tc>
              <w:tc>
                <w:tcPr>
                  <w:tcW w:w="1006" w:type="dxa"/>
                  <w:tcBorders>
                    <w:top w:val="single" w:color="auto" w:sz="4" w:space="0"/>
                    <w:left w:val="single" w:color="auto" w:sz="4" w:space="0"/>
                    <w:bottom w:val="single" w:color="auto" w:sz="4" w:space="0"/>
                    <w:right w:val="single" w:color="auto" w:sz="4" w:space="0"/>
                  </w:tcBorders>
                  <w:vAlign w:val="center"/>
                </w:tcPr>
                <w:p w14:paraId="591976EA">
                  <w:pPr>
                    <w:spacing w:line="240" w:lineRule="atLeast"/>
                    <w:ind w:left="-107" w:leftChars="-51" w:right="-107" w:rightChars="-51"/>
                    <w:jc w:val="center"/>
                    <w:rPr>
                      <w:rFonts w:hint="eastAsia"/>
                      <w:color w:val="auto"/>
                      <w:szCs w:val="21"/>
                      <w:lang w:val="en-US" w:eastAsia="zh-CN"/>
                    </w:rPr>
                  </w:pPr>
                  <w:r>
                    <w:rPr>
                      <w:color w:val="auto"/>
                      <w:szCs w:val="21"/>
                    </w:rPr>
                    <w:t>mg/m</w:t>
                  </w:r>
                  <w:r>
                    <w:rPr>
                      <w:color w:val="auto"/>
                      <w:szCs w:val="21"/>
                      <w:vertAlign w:val="superscript"/>
                    </w:rPr>
                    <w:t>3</w:t>
                  </w:r>
                </w:p>
              </w:tc>
              <w:tc>
                <w:tcPr>
                  <w:tcW w:w="1386" w:type="dxa"/>
                  <w:vAlign w:val="center"/>
                </w:tcPr>
                <w:p w14:paraId="50DB1BF0">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1.5</w:t>
                  </w:r>
                </w:p>
              </w:tc>
              <w:tc>
                <w:tcPr>
                  <w:tcW w:w="843" w:type="dxa"/>
                  <w:shd w:val="clear" w:color="auto" w:fill="auto"/>
                  <w:vAlign w:val="center"/>
                </w:tcPr>
                <w:p w14:paraId="09AE6438">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5BF2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6184AC44">
                  <w:pPr>
                    <w:jc w:val="center"/>
                    <w:rPr>
                      <w:rFonts w:hint="default" w:eastAsia="宋体"/>
                      <w:color w:val="auto"/>
                      <w:szCs w:val="21"/>
                      <w:lang w:val="en-US" w:eastAsia="zh-CN"/>
                    </w:rPr>
                  </w:pPr>
                  <w:r>
                    <w:rPr>
                      <w:rFonts w:hint="eastAsia"/>
                      <w:color w:val="auto"/>
                      <w:szCs w:val="21"/>
                      <w:lang w:val="en-US" w:eastAsia="zh-CN"/>
                    </w:rPr>
                    <w:t>15</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FF2BAA0">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项目地厂界下风向监控点3#</w:t>
                  </w:r>
                </w:p>
              </w:tc>
              <w:tc>
                <w:tcPr>
                  <w:tcW w:w="1574" w:type="dxa"/>
                  <w:gridSpan w:val="2"/>
                  <w:vMerge w:val="continue"/>
                  <w:tcBorders>
                    <w:left w:val="single" w:color="auto" w:sz="4" w:space="0"/>
                    <w:right w:val="single" w:color="auto" w:sz="4" w:space="0"/>
                  </w:tcBorders>
                  <w:vAlign w:val="center"/>
                </w:tcPr>
                <w:p w14:paraId="636DD875">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6F6041F8">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0.17</w:t>
                  </w:r>
                </w:p>
              </w:tc>
              <w:tc>
                <w:tcPr>
                  <w:tcW w:w="1006" w:type="dxa"/>
                  <w:tcBorders>
                    <w:top w:val="single" w:color="auto" w:sz="4" w:space="0"/>
                    <w:left w:val="single" w:color="auto" w:sz="4" w:space="0"/>
                    <w:bottom w:val="single" w:color="auto" w:sz="4" w:space="0"/>
                    <w:right w:val="single" w:color="auto" w:sz="4" w:space="0"/>
                  </w:tcBorders>
                  <w:vAlign w:val="center"/>
                </w:tcPr>
                <w:p w14:paraId="458FCD06">
                  <w:pPr>
                    <w:spacing w:line="240" w:lineRule="atLeast"/>
                    <w:ind w:left="-107" w:leftChars="-51" w:right="-107" w:rightChars="-51"/>
                    <w:jc w:val="center"/>
                    <w:rPr>
                      <w:rFonts w:hint="eastAsia"/>
                      <w:color w:val="auto"/>
                      <w:szCs w:val="21"/>
                      <w:lang w:val="en-US" w:eastAsia="zh-CN"/>
                    </w:rPr>
                  </w:pPr>
                  <w:r>
                    <w:rPr>
                      <w:color w:val="auto"/>
                      <w:szCs w:val="21"/>
                    </w:rPr>
                    <w:t>mg/m</w:t>
                  </w:r>
                  <w:r>
                    <w:rPr>
                      <w:color w:val="auto"/>
                      <w:szCs w:val="21"/>
                      <w:vertAlign w:val="superscript"/>
                    </w:rPr>
                    <w:t>3</w:t>
                  </w:r>
                </w:p>
              </w:tc>
              <w:tc>
                <w:tcPr>
                  <w:tcW w:w="1386" w:type="dxa"/>
                  <w:vAlign w:val="center"/>
                </w:tcPr>
                <w:p w14:paraId="43046DCF">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1.5</w:t>
                  </w:r>
                </w:p>
              </w:tc>
              <w:tc>
                <w:tcPr>
                  <w:tcW w:w="843" w:type="dxa"/>
                  <w:shd w:val="clear" w:color="auto" w:fill="auto"/>
                  <w:vAlign w:val="center"/>
                </w:tcPr>
                <w:p w14:paraId="60A99827">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3EA1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33E85037">
                  <w:pPr>
                    <w:jc w:val="center"/>
                    <w:rPr>
                      <w:rFonts w:hint="default" w:eastAsia="宋体"/>
                      <w:color w:val="auto"/>
                      <w:szCs w:val="21"/>
                      <w:lang w:val="en-US" w:eastAsia="zh-CN"/>
                    </w:rPr>
                  </w:pPr>
                  <w:r>
                    <w:rPr>
                      <w:rFonts w:hint="eastAsia"/>
                      <w:color w:val="auto"/>
                      <w:szCs w:val="21"/>
                      <w:lang w:val="en-US" w:eastAsia="zh-CN"/>
                    </w:rPr>
                    <w:t>16</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CF8946D">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项目地厂界下风向监控点4#</w:t>
                  </w:r>
                </w:p>
              </w:tc>
              <w:tc>
                <w:tcPr>
                  <w:tcW w:w="1574" w:type="dxa"/>
                  <w:gridSpan w:val="2"/>
                  <w:vMerge w:val="continue"/>
                  <w:tcBorders>
                    <w:left w:val="single" w:color="auto" w:sz="4" w:space="0"/>
                    <w:right w:val="single" w:color="auto" w:sz="4" w:space="0"/>
                  </w:tcBorders>
                  <w:vAlign w:val="center"/>
                </w:tcPr>
                <w:p w14:paraId="5ACA8064">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3AF68640">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0.24</w:t>
                  </w:r>
                </w:p>
              </w:tc>
              <w:tc>
                <w:tcPr>
                  <w:tcW w:w="1006" w:type="dxa"/>
                  <w:tcBorders>
                    <w:top w:val="single" w:color="auto" w:sz="4" w:space="0"/>
                    <w:left w:val="single" w:color="auto" w:sz="4" w:space="0"/>
                    <w:bottom w:val="single" w:color="auto" w:sz="4" w:space="0"/>
                    <w:right w:val="single" w:color="auto" w:sz="4" w:space="0"/>
                  </w:tcBorders>
                  <w:vAlign w:val="center"/>
                </w:tcPr>
                <w:p w14:paraId="56AB2A88">
                  <w:pPr>
                    <w:spacing w:line="240" w:lineRule="atLeast"/>
                    <w:ind w:left="-107" w:leftChars="-51" w:right="-107" w:rightChars="-51"/>
                    <w:jc w:val="center"/>
                    <w:rPr>
                      <w:rFonts w:hint="eastAsia"/>
                      <w:color w:val="auto"/>
                      <w:szCs w:val="21"/>
                      <w:lang w:val="en-US" w:eastAsia="zh-CN"/>
                    </w:rPr>
                  </w:pPr>
                  <w:r>
                    <w:rPr>
                      <w:color w:val="auto"/>
                      <w:szCs w:val="21"/>
                    </w:rPr>
                    <w:t>mg/m</w:t>
                  </w:r>
                  <w:r>
                    <w:rPr>
                      <w:color w:val="auto"/>
                      <w:szCs w:val="21"/>
                      <w:vertAlign w:val="superscript"/>
                    </w:rPr>
                    <w:t>3</w:t>
                  </w:r>
                </w:p>
              </w:tc>
              <w:tc>
                <w:tcPr>
                  <w:tcW w:w="1386" w:type="dxa"/>
                  <w:vAlign w:val="center"/>
                </w:tcPr>
                <w:p w14:paraId="187D909D">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1.5</w:t>
                  </w:r>
                </w:p>
              </w:tc>
              <w:tc>
                <w:tcPr>
                  <w:tcW w:w="843" w:type="dxa"/>
                  <w:shd w:val="clear" w:color="auto" w:fill="auto"/>
                  <w:vAlign w:val="center"/>
                </w:tcPr>
                <w:p w14:paraId="598CEC19">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729F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5DAF5DB4">
                  <w:pPr>
                    <w:jc w:val="center"/>
                    <w:rPr>
                      <w:rFonts w:hint="default" w:eastAsia="宋体"/>
                      <w:color w:val="auto"/>
                      <w:szCs w:val="21"/>
                      <w:lang w:val="en-US" w:eastAsia="zh-CN"/>
                    </w:rPr>
                  </w:pPr>
                  <w:r>
                    <w:rPr>
                      <w:rFonts w:hint="eastAsia"/>
                      <w:color w:val="auto"/>
                      <w:szCs w:val="21"/>
                      <w:lang w:val="en-US" w:eastAsia="zh-CN"/>
                    </w:rPr>
                    <w:t>17</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34131FA">
                  <w:pPr>
                    <w:jc w:val="center"/>
                    <w:rPr>
                      <w:rFonts w:ascii="Times New Roman" w:hAnsi="Times New Roman" w:eastAsia="宋体" w:cs="Times New Roman"/>
                      <w:color w:val="auto"/>
                      <w:kern w:val="2"/>
                      <w:sz w:val="21"/>
                      <w:szCs w:val="21"/>
                      <w:lang w:val="en-US" w:eastAsia="zh-CN" w:bidi="ar-SA"/>
                    </w:rPr>
                  </w:pPr>
                  <w:r>
                    <w:rPr>
                      <w:color w:val="auto"/>
                      <w:szCs w:val="21"/>
                    </w:rPr>
                    <w:t>项目地厂界上风向参照点1#</w:t>
                  </w:r>
                </w:p>
              </w:tc>
              <w:tc>
                <w:tcPr>
                  <w:tcW w:w="1574" w:type="dxa"/>
                  <w:gridSpan w:val="2"/>
                  <w:vMerge w:val="restart"/>
                  <w:tcBorders>
                    <w:left w:val="single" w:color="auto" w:sz="4" w:space="0"/>
                    <w:right w:val="single" w:color="auto" w:sz="4" w:space="0"/>
                  </w:tcBorders>
                  <w:vAlign w:val="center"/>
                </w:tcPr>
                <w:p w14:paraId="4EE4481C">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臭气浓度</w:t>
                  </w:r>
                </w:p>
              </w:tc>
              <w:tc>
                <w:tcPr>
                  <w:tcW w:w="1205" w:type="dxa"/>
                  <w:tcBorders>
                    <w:top w:val="single" w:color="auto" w:sz="4" w:space="0"/>
                    <w:left w:val="single" w:color="auto" w:sz="4" w:space="0"/>
                    <w:bottom w:val="single" w:color="auto" w:sz="4" w:space="0"/>
                    <w:right w:val="single" w:color="auto" w:sz="4" w:space="0"/>
                  </w:tcBorders>
                  <w:vAlign w:val="center"/>
                </w:tcPr>
                <w:p w14:paraId="72532815">
                  <w:pPr>
                    <w:spacing w:line="240" w:lineRule="atLeast"/>
                    <w:ind w:left="-107" w:leftChars="-51" w:right="-107" w:rightChars="-51"/>
                    <w:jc w:val="center"/>
                    <w:rPr>
                      <w:rFonts w:hint="default" w:eastAsia="宋体"/>
                      <w:color w:val="auto"/>
                      <w:szCs w:val="21"/>
                      <w:lang w:val="en-US" w:eastAsia="zh-CN"/>
                    </w:rPr>
                  </w:pPr>
                  <w:r>
                    <w:rPr>
                      <w:rFonts w:hint="eastAsia"/>
                      <w:color w:val="auto"/>
                      <w:szCs w:val="21"/>
                    </w:rPr>
                    <w:t>＜</w:t>
                  </w:r>
                  <w:r>
                    <w:rPr>
                      <w:rFonts w:hint="eastAsia"/>
                      <w:color w:val="auto"/>
                      <w:szCs w:val="21"/>
                      <w:lang w:val="en-US" w:eastAsia="zh-CN"/>
                    </w:rPr>
                    <w:t>10</w:t>
                  </w:r>
                </w:p>
              </w:tc>
              <w:tc>
                <w:tcPr>
                  <w:tcW w:w="1006" w:type="dxa"/>
                  <w:tcBorders>
                    <w:top w:val="single" w:color="auto" w:sz="4" w:space="0"/>
                    <w:left w:val="single" w:color="auto" w:sz="4" w:space="0"/>
                    <w:bottom w:val="single" w:color="auto" w:sz="4" w:space="0"/>
                    <w:right w:val="single" w:color="auto" w:sz="4" w:space="0"/>
                  </w:tcBorders>
                  <w:vAlign w:val="center"/>
                </w:tcPr>
                <w:p w14:paraId="1C346494">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无量纲</w:t>
                  </w:r>
                </w:p>
              </w:tc>
              <w:tc>
                <w:tcPr>
                  <w:tcW w:w="1386" w:type="dxa"/>
                  <w:vAlign w:val="center"/>
                </w:tcPr>
                <w:p w14:paraId="7D1EA605">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c>
                <w:tcPr>
                  <w:tcW w:w="843" w:type="dxa"/>
                  <w:shd w:val="clear" w:color="auto" w:fill="auto"/>
                  <w:vAlign w:val="center"/>
                </w:tcPr>
                <w:p w14:paraId="27A0B9F5">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w:t>
                  </w:r>
                </w:p>
              </w:tc>
            </w:tr>
            <w:tr w14:paraId="4011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7C131403">
                  <w:pPr>
                    <w:jc w:val="center"/>
                    <w:rPr>
                      <w:rFonts w:hint="default" w:eastAsia="宋体"/>
                      <w:color w:val="auto"/>
                      <w:szCs w:val="21"/>
                      <w:lang w:val="en-US" w:eastAsia="zh-CN"/>
                    </w:rPr>
                  </w:pPr>
                  <w:r>
                    <w:rPr>
                      <w:rFonts w:hint="eastAsia"/>
                      <w:color w:val="auto"/>
                      <w:szCs w:val="21"/>
                      <w:lang w:val="en-US" w:eastAsia="zh-CN"/>
                    </w:rPr>
                    <w:t>18</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AF157F">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项目地厂界下风向监控点2#</w:t>
                  </w:r>
                </w:p>
              </w:tc>
              <w:tc>
                <w:tcPr>
                  <w:tcW w:w="1574" w:type="dxa"/>
                  <w:gridSpan w:val="2"/>
                  <w:vMerge w:val="continue"/>
                  <w:tcBorders>
                    <w:left w:val="single" w:color="auto" w:sz="4" w:space="0"/>
                    <w:right w:val="single" w:color="auto" w:sz="4" w:space="0"/>
                  </w:tcBorders>
                  <w:vAlign w:val="center"/>
                </w:tcPr>
                <w:p w14:paraId="4B415D6F">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29D30B73">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14</w:t>
                  </w:r>
                </w:p>
              </w:tc>
              <w:tc>
                <w:tcPr>
                  <w:tcW w:w="1006" w:type="dxa"/>
                  <w:tcBorders>
                    <w:top w:val="single" w:color="auto" w:sz="4" w:space="0"/>
                    <w:left w:val="single" w:color="auto" w:sz="4" w:space="0"/>
                    <w:bottom w:val="single" w:color="auto" w:sz="4" w:space="0"/>
                    <w:right w:val="single" w:color="auto" w:sz="4" w:space="0"/>
                  </w:tcBorders>
                  <w:vAlign w:val="center"/>
                </w:tcPr>
                <w:p w14:paraId="6562F6B7">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无量纲</w:t>
                  </w:r>
                </w:p>
              </w:tc>
              <w:tc>
                <w:tcPr>
                  <w:tcW w:w="1386" w:type="dxa"/>
                  <w:vAlign w:val="center"/>
                </w:tcPr>
                <w:p w14:paraId="5120A4BD">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20</w:t>
                  </w:r>
                </w:p>
              </w:tc>
              <w:tc>
                <w:tcPr>
                  <w:tcW w:w="843" w:type="dxa"/>
                  <w:shd w:val="clear" w:color="auto" w:fill="auto"/>
                  <w:vAlign w:val="center"/>
                </w:tcPr>
                <w:p w14:paraId="380886E8">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73328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2102F42C">
                  <w:pPr>
                    <w:jc w:val="center"/>
                    <w:rPr>
                      <w:rFonts w:hint="default" w:eastAsia="宋体"/>
                      <w:color w:val="auto"/>
                      <w:szCs w:val="21"/>
                      <w:lang w:val="en-US" w:eastAsia="zh-CN"/>
                    </w:rPr>
                  </w:pPr>
                  <w:r>
                    <w:rPr>
                      <w:rFonts w:hint="eastAsia"/>
                      <w:color w:val="auto"/>
                      <w:szCs w:val="21"/>
                      <w:lang w:val="en-US" w:eastAsia="zh-CN"/>
                    </w:rPr>
                    <w:t>19</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3ABDC1C">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项目地厂界下风向监控点3#</w:t>
                  </w:r>
                </w:p>
              </w:tc>
              <w:tc>
                <w:tcPr>
                  <w:tcW w:w="1574" w:type="dxa"/>
                  <w:gridSpan w:val="2"/>
                  <w:vMerge w:val="continue"/>
                  <w:tcBorders>
                    <w:left w:val="single" w:color="auto" w:sz="4" w:space="0"/>
                    <w:right w:val="single" w:color="auto" w:sz="4" w:space="0"/>
                  </w:tcBorders>
                  <w:vAlign w:val="center"/>
                </w:tcPr>
                <w:p w14:paraId="7DE67BF7">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50314235">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13</w:t>
                  </w:r>
                </w:p>
              </w:tc>
              <w:tc>
                <w:tcPr>
                  <w:tcW w:w="1006" w:type="dxa"/>
                  <w:tcBorders>
                    <w:top w:val="single" w:color="auto" w:sz="4" w:space="0"/>
                    <w:left w:val="single" w:color="auto" w:sz="4" w:space="0"/>
                    <w:bottom w:val="single" w:color="auto" w:sz="4" w:space="0"/>
                    <w:right w:val="single" w:color="auto" w:sz="4" w:space="0"/>
                  </w:tcBorders>
                  <w:vAlign w:val="center"/>
                </w:tcPr>
                <w:p w14:paraId="0F0F7E59">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无量纲</w:t>
                  </w:r>
                </w:p>
              </w:tc>
              <w:tc>
                <w:tcPr>
                  <w:tcW w:w="1386" w:type="dxa"/>
                  <w:vAlign w:val="center"/>
                </w:tcPr>
                <w:p w14:paraId="59239148">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20</w:t>
                  </w:r>
                </w:p>
              </w:tc>
              <w:tc>
                <w:tcPr>
                  <w:tcW w:w="843" w:type="dxa"/>
                  <w:shd w:val="clear" w:color="auto" w:fill="auto"/>
                  <w:vAlign w:val="center"/>
                </w:tcPr>
                <w:p w14:paraId="2AA6B6DB">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7ECB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28898221">
                  <w:pPr>
                    <w:jc w:val="center"/>
                    <w:rPr>
                      <w:rFonts w:hint="default" w:eastAsia="宋体"/>
                      <w:color w:val="auto"/>
                      <w:szCs w:val="21"/>
                      <w:lang w:val="en-US" w:eastAsia="zh-CN"/>
                    </w:rPr>
                  </w:pPr>
                  <w:r>
                    <w:rPr>
                      <w:rFonts w:hint="eastAsia"/>
                      <w:color w:val="auto"/>
                      <w:szCs w:val="21"/>
                      <w:lang w:val="en-US" w:eastAsia="zh-CN"/>
                    </w:rPr>
                    <w:t>20</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EC571D">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项目地厂界下风向监控点4#</w:t>
                  </w:r>
                </w:p>
              </w:tc>
              <w:tc>
                <w:tcPr>
                  <w:tcW w:w="1574" w:type="dxa"/>
                  <w:gridSpan w:val="2"/>
                  <w:vMerge w:val="continue"/>
                  <w:tcBorders>
                    <w:left w:val="single" w:color="auto" w:sz="4" w:space="0"/>
                    <w:right w:val="single" w:color="auto" w:sz="4" w:space="0"/>
                  </w:tcBorders>
                  <w:vAlign w:val="center"/>
                </w:tcPr>
                <w:p w14:paraId="45048ECB">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198E385B">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13</w:t>
                  </w:r>
                </w:p>
              </w:tc>
              <w:tc>
                <w:tcPr>
                  <w:tcW w:w="1006" w:type="dxa"/>
                  <w:tcBorders>
                    <w:top w:val="single" w:color="auto" w:sz="4" w:space="0"/>
                    <w:left w:val="single" w:color="auto" w:sz="4" w:space="0"/>
                    <w:bottom w:val="single" w:color="auto" w:sz="4" w:space="0"/>
                    <w:right w:val="single" w:color="auto" w:sz="4" w:space="0"/>
                  </w:tcBorders>
                  <w:vAlign w:val="center"/>
                </w:tcPr>
                <w:p w14:paraId="3C187473">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无量纲</w:t>
                  </w:r>
                </w:p>
              </w:tc>
              <w:tc>
                <w:tcPr>
                  <w:tcW w:w="1386" w:type="dxa"/>
                  <w:vAlign w:val="center"/>
                </w:tcPr>
                <w:p w14:paraId="626F6D74">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20</w:t>
                  </w:r>
                </w:p>
              </w:tc>
              <w:tc>
                <w:tcPr>
                  <w:tcW w:w="843" w:type="dxa"/>
                  <w:shd w:val="clear" w:color="auto" w:fill="auto"/>
                  <w:vAlign w:val="center"/>
                </w:tcPr>
                <w:p w14:paraId="272162C2">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6B68F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0AB037F2">
                  <w:pPr>
                    <w:jc w:val="center"/>
                    <w:rPr>
                      <w:rFonts w:hint="default" w:eastAsia="宋体"/>
                      <w:color w:val="auto"/>
                      <w:szCs w:val="21"/>
                      <w:lang w:val="en-US" w:eastAsia="zh-CN"/>
                    </w:rPr>
                  </w:pPr>
                  <w:r>
                    <w:rPr>
                      <w:rFonts w:hint="eastAsia"/>
                      <w:color w:val="auto"/>
                      <w:szCs w:val="21"/>
                      <w:lang w:val="en-US" w:eastAsia="zh-CN"/>
                    </w:rPr>
                    <w:t>21</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A056B02">
                  <w:pPr>
                    <w:jc w:val="center"/>
                    <w:rPr>
                      <w:rFonts w:ascii="Times New Roman" w:hAnsi="Times New Roman" w:eastAsia="宋体" w:cs="Times New Roman"/>
                      <w:color w:val="auto"/>
                      <w:kern w:val="2"/>
                      <w:sz w:val="21"/>
                      <w:szCs w:val="21"/>
                      <w:lang w:val="en-US" w:eastAsia="zh-CN" w:bidi="ar-SA"/>
                    </w:rPr>
                  </w:pPr>
                  <w:r>
                    <w:rPr>
                      <w:color w:val="auto"/>
                      <w:szCs w:val="21"/>
                    </w:rPr>
                    <w:t>项目地厂界上风向参照点1#</w:t>
                  </w:r>
                </w:p>
              </w:tc>
              <w:tc>
                <w:tcPr>
                  <w:tcW w:w="1574" w:type="dxa"/>
                  <w:gridSpan w:val="2"/>
                  <w:vMerge w:val="restart"/>
                  <w:tcBorders>
                    <w:left w:val="single" w:color="auto" w:sz="4" w:space="0"/>
                    <w:right w:val="single" w:color="auto" w:sz="4" w:space="0"/>
                  </w:tcBorders>
                  <w:vAlign w:val="center"/>
                </w:tcPr>
                <w:p w14:paraId="71E1F2B0">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硝酸雾</w:t>
                  </w:r>
                </w:p>
              </w:tc>
              <w:tc>
                <w:tcPr>
                  <w:tcW w:w="1205" w:type="dxa"/>
                  <w:tcBorders>
                    <w:top w:val="single" w:color="auto" w:sz="4" w:space="0"/>
                    <w:left w:val="single" w:color="auto" w:sz="4" w:space="0"/>
                    <w:bottom w:val="single" w:color="auto" w:sz="4" w:space="0"/>
                    <w:right w:val="single" w:color="auto" w:sz="4" w:space="0"/>
                  </w:tcBorders>
                  <w:vAlign w:val="center"/>
                </w:tcPr>
                <w:p w14:paraId="3088B626">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0.029</w:t>
                  </w:r>
                </w:p>
              </w:tc>
              <w:tc>
                <w:tcPr>
                  <w:tcW w:w="1006" w:type="dxa"/>
                  <w:tcBorders>
                    <w:top w:val="single" w:color="auto" w:sz="4" w:space="0"/>
                    <w:left w:val="single" w:color="auto" w:sz="4" w:space="0"/>
                    <w:bottom w:val="single" w:color="auto" w:sz="4" w:space="0"/>
                    <w:right w:val="single" w:color="auto" w:sz="4" w:space="0"/>
                  </w:tcBorders>
                  <w:vAlign w:val="center"/>
                </w:tcPr>
                <w:p w14:paraId="1C9DE1BF">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22E9B82D">
                  <w:pPr>
                    <w:spacing w:line="240" w:lineRule="atLeast"/>
                    <w:ind w:left="-107" w:leftChars="-51" w:right="-107" w:rightChars="-51"/>
                    <w:jc w:val="center"/>
                    <w:rPr>
                      <w:rFonts w:hint="eastAsia" w:eastAsia="宋体"/>
                      <w:color w:val="auto"/>
                      <w:szCs w:val="21"/>
                      <w:lang w:eastAsia="zh-CN"/>
                    </w:rPr>
                  </w:pPr>
                  <w:r>
                    <w:rPr>
                      <w:rFonts w:hint="eastAsia"/>
                      <w:color w:val="auto"/>
                      <w:szCs w:val="21"/>
                      <w:lang w:val="en-US" w:eastAsia="zh-CN"/>
                    </w:rPr>
                    <w:t>/</w:t>
                  </w:r>
                </w:p>
              </w:tc>
              <w:tc>
                <w:tcPr>
                  <w:tcW w:w="843" w:type="dxa"/>
                  <w:shd w:val="clear" w:color="auto" w:fill="auto"/>
                  <w:vAlign w:val="center"/>
                </w:tcPr>
                <w:p w14:paraId="463AE2D7">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w:t>
                  </w:r>
                </w:p>
              </w:tc>
            </w:tr>
            <w:tr w14:paraId="18A7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703D2E5E">
                  <w:pPr>
                    <w:jc w:val="center"/>
                    <w:rPr>
                      <w:rFonts w:hint="default" w:eastAsia="宋体"/>
                      <w:color w:val="auto"/>
                      <w:szCs w:val="21"/>
                      <w:lang w:val="en-US" w:eastAsia="zh-CN"/>
                    </w:rPr>
                  </w:pPr>
                  <w:r>
                    <w:rPr>
                      <w:rFonts w:hint="eastAsia"/>
                      <w:color w:val="auto"/>
                      <w:szCs w:val="21"/>
                      <w:lang w:val="en-US" w:eastAsia="zh-CN"/>
                    </w:rPr>
                    <w:t>22</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4E0D33">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项目地厂界下风向监控点2#</w:t>
                  </w:r>
                </w:p>
              </w:tc>
              <w:tc>
                <w:tcPr>
                  <w:tcW w:w="1574" w:type="dxa"/>
                  <w:gridSpan w:val="2"/>
                  <w:vMerge w:val="continue"/>
                  <w:tcBorders>
                    <w:left w:val="single" w:color="auto" w:sz="4" w:space="0"/>
                    <w:right w:val="single" w:color="auto" w:sz="4" w:space="0"/>
                  </w:tcBorders>
                  <w:vAlign w:val="center"/>
                </w:tcPr>
                <w:p w14:paraId="0FCF7F5B">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5334B1BD">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0.049</w:t>
                  </w:r>
                </w:p>
              </w:tc>
              <w:tc>
                <w:tcPr>
                  <w:tcW w:w="1006" w:type="dxa"/>
                  <w:tcBorders>
                    <w:top w:val="single" w:color="auto" w:sz="4" w:space="0"/>
                    <w:left w:val="single" w:color="auto" w:sz="4" w:space="0"/>
                    <w:bottom w:val="single" w:color="auto" w:sz="4" w:space="0"/>
                    <w:right w:val="single" w:color="auto" w:sz="4" w:space="0"/>
                  </w:tcBorders>
                  <w:vAlign w:val="center"/>
                </w:tcPr>
                <w:p w14:paraId="4D970C7F">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188ACF08">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0.12</w:t>
                  </w:r>
                </w:p>
              </w:tc>
              <w:tc>
                <w:tcPr>
                  <w:tcW w:w="843" w:type="dxa"/>
                  <w:shd w:val="clear" w:color="auto" w:fill="auto"/>
                  <w:vAlign w:val="center"/>
                </w:tcPr>
                <w:p w14:paraId="4597A3DD">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20A2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6957D45B">
                  <w:pPr>
                    <w:jc w:val="center"/>
                    <w:rPr>
                      <w:rFonts w:hint="default" w:eastAsia="宋体"/>
                      <w:color w:val="auto"/>
                      <w:szCs w:val="21"/>
                      <w:lang w:val="en-US" w:eastAsia="zh-CN"/>
                    </w:rPr>
                  </w:pPr>
                  <w:r>
                    <w:rPr>
                      <w:rFonts w:hint="eastAsia"/>
                      <w:color w:val="auto"/>
                      <w:szCs w:val="21"/>
                      <w:lang w:val="en-US" w:eastAsia="zh-CN"/>
                    </w:rPr>
                    <w:t>23</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E2FD359">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项目地厂界下风向监控点3#</w:t>
                  </w:r>
                </w:p>
              </w:tc>
              <w:tc>
                <w:tcPr>
                  <w:tcW w:w="1574" w:type="dxa"/>
                  <w:gridSpan w:val="2"/>
                  <w:vMerge w:val="continue"/>
                  <w:tcBorders>
                    <w:left w:val="single" w:color="auto" w:sz="4" w:space="0"/>
                    <w:right w:val="single" w:color="auto" w:sz="4" w:space="0"/>
                  </w:tcBorders>
                  <w:vAlign w:val="center"/>
                </w:tcPr>
                <w:p w14:paraId="505AD229">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02C2F3B5">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0.069</w:t>
                  </w:r>
                </w:p>
              </w:tc>
              <w:tc>
                <w:tcPr>
                  <w:tcW w:w="1006" w:type="dxa"/>
                  <w:tcBorders>
                    <w:top w:val="single" w:color="auto" w:sz="4" w:space="0"/>
                    <w:left w:val="single" w:color="auto" w:sz="4" w:space="0"/>
                    <w:bottom w:val="single" w:color="auto" w:sz="4" w:space="0"/>
                    <w:right w:val="single" w:color="auto" w:sz="4" w:space="0"/>
                  </w:tcBorders>
                  <w:vAlign w:val="center"/>
                </w:tcPr>
                <w:p w14:paraId="6587AF1D">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3E9EAE71">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0.12</w:t>
                  </w:r>
                </w:p>
              </w:tc>
              <w:tc>
                <w:tcPr>
                  <w:tcW w:w="843" w:type="dxa"/>
                  <w:shd w:val="clear" w:color="auto" w:fill="auto"/>
                  <w:vAlign w:val="center"/>
                </w:tcPr>
                <w:p w14:paraId="6473878D">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5EC8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366CE5AA">
                  <w:pPr>
                    <w:jc w:val="center"/>
                    <w:rPr>
                      <w:rFonts w:hint="default" w:eastAsia="宋体"/>
                      <w:color w:val="auto"/>
                      <w:szCs w:val="21"/>
                      <w:lang w:val="en-US" w:eastAsia="zh-CN"/>
                    </w:rPr>
                  </w:pPr>
                  <w:r>
                    <w:rPr>
                      <w:rFonts w:hint="eastAsia"/>
                      <w:color w:val="auto"/>
                      <w:szCs w:val="21"/>
                      <w:lang w:val="en-US" w:eastAsia="zh-CN"/>
                    </w:rPr>
                    <w:t>24</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F7D56EF">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项目地厂界下风向监控点4#</w:t>
                  </w:r>
                </w:p>
              </w:tc>
              <w:tc>
                <w:tcPr>
                  <w:tcW w:w="1574" w:type="dxa"/>
                  <w:gridSpan w:val="2"/>
                  <w:vMerge w:val="continue"/>
                  <w:tcBorders>
                    <w:left w:val="single" w:color="auto" w:sz="4" w:space="0"/>
                    <w:right w:val="single" w:color="auto" w:sz="4" w:space="0"/>
                  </w:tcBorders>
                  <w:vAlign w:val="center"/>
                </w:tcPr>
                <w:p w14:paraId="5E39BCB1">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5BF90237">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0.091</w:t>
                  </w:r>
                </w:p>
              </w:tc>
              <w:tc>
                <w:tcPr>
                  <w:tcW w:w="1006" w:type="dxa"/>
                  <w:tcBorders>
                    <w:top w:val="single" w:color="auto" w:sz="4" w:space="0"/>
                    <w:left w:val="single" w:color="auto" w:sz="4" w:space="0"/>
                    <w:bottom w:val="single" w:color="auto" w:sz="4" w:space="0"/>
                    <w:right w:val="single" w:color="auto" w:sz="4" w:space="0"/>
                  </w:tcBorders>
                  <w:vAlign w:val="center"/>
                </w:tcPr>
                <w:p w14:paraId="56F0EEDC">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4F28AE26">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0.12</w:t>
                  </w:r>
                </w:p>
              </w:tc>
              <w:tc>
                <w:tcPr>
                  <w:tcW w:w="843" w:type="dxa"/>
                  <w:shd w:val="clear" w:color="auto" w:fill="auto"/>
                  <w:vAlign w:val="center"/>
                </w:tcPr>
                <w:p w14:paraId="44FCD427">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符合</w:t>
                  </w:r>
                </w:p>
              </w:tc>
            </w:tr>
            <w:tr w14:paraId="6CE9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31FDDABD">
                  <w:pPr>
                    <w:jc w:val="center"/>
                    <w:rPr>
                      <w:rFonts w:hint="default" w:eastAsia="宋体"/>
                      <w:color w:val="auto"/>
                      <w:szCs w:val="21"/>
                      <w:lang w:val="en-US" w:eastAsia="zh-CN"/>
                    </w:rPr>
                  </w:pPr>
                  <w:r>
                    <w:rPr>
                      <w:rFonts w:hint="eastAsia"/>
                      <w:color w:val="auto"/>
                      <w:szCs w:val="21"/>
                      <w:lang w:val="en-US" w:eastAsia="zh-CN"/>
                    </w:rPr>
                    <w:t>25</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3840418">
                  <w:pPr>
                    <w:jc w:val="center"/>
                    <w:rPr>
                      <w:rFonts w:ascii="Times New Roman" w:hAnsi="Times New Roman" w:eastAsia="宋体" w:cs="Times New Roman"/>
                      <w:color w:val="auto"/>
                      <w:kern w:val="2"/>
                      <w:sz w:val="21"/>
                      <w:szCs w:val="21"/>
                      <w:lang w:val="en-US" w:eastAsia="zh-CN" w:bidi="ar-SA"/>
                    </w:rPr>
                  </w:pPr>
                  <w:r>
                    <w:rPr>
                      <w:color w:val="auto"/>
                      <w:szCs w:val="21"/>
                    </w:rPr>
                    <w:t>项目地厂界上风向参照点1#</w:t>
                  </w:r>
                </w:p>
              </w:tc>
              <w:tc>
                <w:tcPr>
                  <w:tcW w:w="1574" w:type="dxa"/>
                  <w:gridSpan w:val="2"/>
                  <w:vMerge w:val="restart"/>
                  <w:tcBorders>
                    <w:left w:val="single" w:color="auto" w:sz="4" w:space="0"/>
                    <w:right w:val="single" w:color="auto" w:sz="4" w:space="0"/>
                  </w:tcBorders>
                  <w:vAlign w:val="center"/>
                </w:tcPr>
                <w:p w14:paraId="0FF8E6B6">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VOCs</w:t>
                  </w:r>
                </w:p>
              </w:tc>
              <w:tc>
                <w:tcPr>
                  <w:tcW w:w="1205" w:type="dxa"/>
                  <w:tcBorders>
                    <w:top w:val="single" w:color="auto" w:sz="4" w:space="0"/>
                    <w:left w:val="single" w:color="auto" w:sz="4" w:space="0"/>
                    <w:bottom w:val="single" w:color="auto" w:sz="4" w:space="0"/>
                    <w:right w:val="single" w:color="auto" w:sz="4" w:space="0"/>
                  </w:tcBorders>
                  <w:vAlign w:val="center"/>
                </w:tcPr>
                <w:p w14:paraId="0B156166">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0.08</w:t>
                  </w:r>
                </w:p>
              </w:tc>
              <w:tc>
                <w:tcPr>
                  <w:tcW w:w="1006" w:type="dxa"/>
                  <w:tcBorders>
                    <w:top w:val="single" w:color="auto" w:sz="4" w:space="0"/>
                    <w:left w:val="single" w:color="auto" w:sz="4" w:space="0"/>
                    <w:bottom w:val="single" w:color="auto" w:sz="4" w:space="0"/>
                    <w:right w:val="single" w:color="auto" w:sz="4" w:space="0"/>
                  </w:tcBorders>
                  <w:vAlign w:val="center"/>
                </w:tcPr>
                <w:p w14:paraId="69844006">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472DC993">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c>
                <w:tcPr>
                  <w:tcW w:w="843" w:type="dxa"/>
                  <w:vAlign w:val="center"/>
                </w:tcPr>
                <w:p w14:paraId="584F2E4C">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r>
            <w:tr w14:paraId="3379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315BFE20">
                  <w:pPr>
                    <w:jc w:val="center"/>
                    <w:rPr>
                      <w:rFonts w:hint="default" w:eastAsia="宋体"/>
                      <w:color w:val="auto"/>
                      <w:szCs w:val="21"/>
                      <w:lang w:val="en-US" w:eastAsia="zh-CN"/>
                    </w:rPr>
                  </w:pPr>
                  <w:r>
                    <w:rPr>
                      <w:rFonts w:hint="eastAsia"/>
                      <w:color w:val="auto"/>
                      <w:szCs w:val="21"/>
                      <w:lang w:val="en-US" w:eastAsia="zh-CN"/>
                    </w:rPr>
                    <w:t>26</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0C2ED61">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项目地厂界下风向监控点2#</w:t>
                  </w:r>
                </w:p>
              </w:tc>
              <w:tc>
                <w:tcPr>
                  <w:tcW w:w="1574" w:type="dxa"/>
                  <w:gridSpan w:val="2"/>
                  <w:vMerge w:val="continue"/>
                  <w:tcBorders>
                    <w:left w:val="single" w:color="auto" w:sz="4" w:space="0"/>
                    <w:right w:val="single" w:color="auto" w:sz="4" w:space="0"/>
                  </w:tcBorders>
                  <w:vAlign w:val="center"/>
                </w:tcPr>
                <w:p w14:paraId="757F28E1">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293B5BF8">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0.12</w:t>
                  </w:r>
                </w:p>
              </w:tc>
              <w:tc>
                <w:tcPr>
                  <w:tcW w:w="1006" w:type="dxa"/>
                  <w:tcBorders>
                    <w:top w:val="single" w:color="auto" w:sz="4" w:space="0"/>
                    <w:left w:val="single" w:color="auto" w:sz="4" w:space="0"/>
                    <w:bottom w:val="single" w:color="auto" w:sz="4" w:space="0"/>
                    <w:right w:val="single" w:color="auto" w:sz="4" w:space="0"/>
                  </w:tcBorders>
                  <w:vAlign w:val="center"/>
                </w:tcPr>
                <w:p w14:paraId="4BB8559A">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089B5064">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c>
                <w:tcPr>
                  <w:tcW w:w="843" w:type="dxa"/>
                  <w:vAlign w:val="center"/>
                </w:tcPr>
                <w:p w14:paraId="4252133F">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r>
            <w:tr w14:paraId="774A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65CB58D1">
                  <w:pPr>
                    <w:jc w:val="center"/>
                    <w:rPr>
                      <w:rFonts w:hint="default" w:eastAsia="宋体"/>
                      <w:color w:val="auto"/>
                      <w:szCs w:val="21"/>
                      <w:lang w:val="en-US" w:eastAsia="zh-CN"/>
                    </w:rPr>
                  </w:pPr>
                  <w:r>
                    <w:rPr>
                      <w:rFonts w:hint="eastAsia"/>
                      <w:color w:val="auto"/>
                      <w:szCs w:val="21"/>
                      <w:lang w:val="en-US" w:eastAsia="zh-CN"/>
                    </w:rPr>
                    <w:t>27</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E5060D">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项目地厂界下风向监控点3#</w:t>
                  </w:r>
                </w:p>
              </w:tc>
              <w:tc>
                <w:tcPr>
                  <w:tcW w:w="1574" w:type="dxa"/>
                  <w:gridSpan w:val="2"/>
                  <w:vMerge w:val="continue"/>
                  <w:tcBorders>
                    <w:left w:val="single" w:color="auto" w:sz="4" w:space="0"/>
                    <w:right w:val="single" w:color="auto" w:sz="4" w:space="0"/>
                  </w:tcBorders>
                  <w:vAlign w:val="center"/>
                </w:tcPr>
                <w:p w14:paraId="6DEF04FF">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205E8245">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0.18</w:t>
                  </w:r>
                </w:p>
              </w:tc>
              <w:tc>
                <w:tcPr>
                  <w:tcW w:w="1006" w:type="dxa"/>
                  <w:tcBorders>
                    <w:top w:val="single" w:color="auto" w:sz="4" w:space="0"/>
                    <w:left w:val="single" w:color="auto" w:sz="4" w:space="0"/>
                    <w:bottom w:val="single" w:color="auto" w:sz="4" w:space="0"/>
                    <w:right w:val="single" w:color="auto" w:sz="4" w:space="0"/>
                  </w:tcBorders>
                  <w:vAlign w:val="center"/>
                </w:tcPr>
                <w:p w14:paraId="344C5592">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685C6643">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c>
                <w:tcPr>
                  <w:tcW w:w="843" w:type="dxa"/>
                  <w:vAlign w:val="center"/>
                </w:tcPr>
                <w:p w14:paraId="4B5587F6">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r>
            <w:tr w14:paraId="2663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2BF702B5">
                  <w:pPr>
                    <w:jc w:val="center"/>
                    <w:rPr>
                      <w:rFonts w:hint="default" w:eastAsia="宋体"/>
                      <w:color w:val="auto"/>
                      <w:szCs w:val="21"/>
                      <w:lang w:val="en-US" w:eastAsia="zh-CN"/>
                    </w:rPr>
                  </w:pPr>
                  <w:r>
                    <w:rPr>
                      <w:rFonts w:hint="eastAsia"/>
                      <w:color w:val="auto"/>
                      <w:szCs w:val="21"/>
                      <w:lang w:val="en-US" w:eastAsia="zh-CN"/>
                    </w:rPr>
                    <w:t>28</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C507DA">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项目地厂界下风向监控点4#</w:t>
                  </w:r>
                </w:p>
              </w:tc>
              <w:tc>
                <w:tcPr>
                  <w:tcW w:w="1574" w:type="dxa"/>
                  <w:gridSpan w:val="2"/>
                  <w:vMerge w:val="continue"/>
                  <w:tcBorders>
                    <w:left w:val="single" w:color="auto" w:sz="4" w:space="0"/>
                    <w:right w:val="single" w:color="auto" w:sz="4" w:space="0"/>
                  </w:tcBorders>
                  <w:vAlign w:val="center"/>
                </w:tcPr>
                <w:p w14:paraId="163FBDCB">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393DA0A2">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0.20</w:t>
                  </w:r>
                </w:p>
              </w:tc>
              <w:tc>
                <w:tcPr>
                  <w:tcW w:w="1006" w:type="dxa"/>
                  <w:tcBorders>
                    <w:top w:val="single" w:color="auto" w:sz="4" w:space="0"/>
                    <w:left w:val="single" w:color="auto" w:sz="4" w:space="0"/>
                    <w:bottom w:val="single" w:color="auto" w:sz="4" w:space="0"/>
                    <w:right w:val="single" w:color="auto" w:sz="4" w:space="0"/>
                  </w:tcBorders>
                  <w:vAlign w:val="center"/>
                </w:tcPr>
                <w:p w14:paraId="16FE8DCB">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46301F97">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c>
                <w:tcPr>
                  <w:tcW w:w="843" w:type="dxa"/>
                  <w:vAlign w:val="center"/>
                </w:tcPr>
                <w:p w14:paraId="16938A2C">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w:t>
                  </w:r>
                </w:p>
              </w:tc>
            </w:tr>
            <w:tr w14:paraId="0A02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6C65BF17">
                  <w:pPr>
                    <w:jc w:val="center"/>
                    <w:rPr>
                      <w:rFonts w:hint="default" w:eastAsia="宋体"/>
                      <w:color w:val="auto"/>
                      <w:szCs w:val="21"/>
                      <w:lang w:val="en-US" w:eastAsia="zh-CN"/>
                    </w:rPr>
                  </w:pPr>
                  <w:r>
                    <w:rPr>
                      <w:rFonts w:hint="eastAsia"/>
                      <w:color w:val="auto"/>
                      <w:szCs w:val="21"/>
                      <w:lang w:val="en-US" w:eastAsia="zh-CN"/>
                    </w:rPr>
                    <w:t>29</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7A17A1">
                  <w:pPr>
                    <w:jc w:val="center"/>
                    <w:rPr>
                      <w:rFonts w:ascii="Times New Roman" w:hAnsi="Times New Roman" w:eastAsia="宋体" w:cs="Times New Roman"/>
                      <w:color w:val="auto"/>
                      <w:kern w:val="2"/>
                      <w:sz w:val="21"/>
                      <w:szCs w:val="21"/>
                      <w:lang w:val="en-US" w:eastAsia="zh-CN" w:bidi="ar-SA"/>
                    </w:rPr>
                  </w:pPr>
                  <w:r>
                    <w:rPr>
                      <w:color w:val="auto"/>
                      <w:szCs w:val="21"/>
                    </w:rPr>
                    <w:t>项目地厂界上风向参照点1#</w:t>
                  </w:r>
                </w:p>
              </w:tc>
              <w:tc>
                <w:tcPr>
                  <w:tcW w:w="1574" w:type="dxa"/>
                  <w:gridSpan w:val="2"/>
                  <w:vMerge w:val="restart"/>
                  <w:tcBorders>
                    <w:left w:val="single" w:color="auto" w:sz="4" w:space="0"/>
                    <w:right w:val="single" w:color="auto" w:sz="4" w:space="0"/>
                  </w:tcBorders>
                  <w:vAlign w:val="center"/>
                </w:tcPr>
                <w:p w14:paraId="53E5B83A">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碱雾</w:t>
                  </w:r>
                </w:p>
              </w:tc>
              <w:tc>
                <w:tcPr>
                  <w:tcW w:w="1205" w:type="dxa"/>
                  <w:tcBorders>
                    <w:top w:val="single" w:color="auto" w:sz="4" w:space="0"/>
                    <w:left w:val="single" w:color="auto" w:sz="4" w:space="0"/>
                    <w:bottom w:val="single" w:color="auto" w:sz="4" w:space="0"/>
                    <w:right w:val="single" w:color="auto" w:sz="4" w:space="0"/>
                  </w:tcBorders>
                  <w:vAlign w:val="center"/>
                </w:tcPr>
                <w:p w14:paraId="368084FC">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0.08</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14:paraId="5218C403">
                  <w:pPr>
                    <w:spacing w:line="240" w:lineRule="atLeast"/>
                    <w:ind w:left="-107" w:leftChars="-51" w:right="-107" w:rightChars="-51"/>
                    <w:jc w:val="center"/>
                    <w:rPr>
                      <w:rFonts w:ascii="Times New Roman" w:hAnsi="Times New Roman" w:eastAsia="宋体" w:cs="Times New Roman"/>
                      <w:color w:val="auto"/>
                      <w:kern w:val="2"/>
                      <w:sz w:val="21"/>
                      <w:szCs w:val="21"/>
                      <w:lang w:val="en-US" w:eastAsia="zh-CN" w:bidi="ar-SA"/>
                    </w:rPr>
                  </w:pPr>
                  <w:r>
                    <w:rPr>
                      <w:color w:val="auto"/>
                      <w:szCs w:val="21"/>
                    </w:rPr>
                    <w:t>mg/m</w:t>
                  </w:r>
                  <w:r>
                    <w:rPr>
                      <w:color w:val="auto"/>
                      <w:szCs w:val="21"/>
                      <w:vertAlign w:val="superscript"/>
                    </w:rPr>
                    <w:t>3</w:t>
                  </w:r>
                </w:p>
              </w:tc>
              <w:tc>
                <w:tcPr>
                  <w:tcW w:w="1386" w:type="dxa"/>
                  <w:shd w:val="clear" w:color="auto" w:fill="auto"/>
                  <w:vAlign w:val="center"/>
                </w:tcPr>
                <w:p w14:paraId="3B55C387">
                  <w:pPr>
                    <w:spacing w:line="240" w:lineRule="atLeast"/>
                    <w:ind w:left="-107" w:leftChars="-51" w:right="-107" w:rightChars="-51"/>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c>
                <w:tcPr>
                  <w:tcW w:w="843" w:type="dxa"/>
                  <w:shd w:val="clear" w:color="auto" w:fill="auto"/>
                  <w:vAlign w:val="center"/>
                </w:tcPr>
                <w:p w14:paraId="75251811">
                  <w:pPr>
                    <w:spacing w:line="240" w:lineRule="atLeast"/>
                    <w:ind w:left="-107" w:leftChars="-51" w:right="-107" w:rightChars="-51"/>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r>
            <w:tr w14:paraId="5013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1770DA60">
                  <w:pPr>
                    <w:jc w:val="center"/>
                    <w:rPr>
                      <w:rFonts w:hint="default" w:eastAsia="宋体"/>
                      <w:color w:val="auto"/>
                      <w:szCs w:val="21"/>
                      <w:lang w:val="en-US" w:eastAsia="zh-CN"/>
                    </w:rPr>
                  </w:pPr>
                  <w:r>
                    <w:rPr>
                      <w:rFonts w:hint="eastAsia"/>
                      <w:color w:val="auto"/>
                      <w:szCs w:val="21"/>
                      <w:lang w:val="en-US" w:eastAsia="zh-CN"/>
                    </w:rPr>
                    <w:t>30</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AF5CB1E">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项目地厂界下风向监控点2#</w:t>
                  </w:r>
                </w:p>
              </w:tc>
              <w:tc>
                <w:tcPr>
                  <w:tcW w:w="1574" w:type="dxa"/>
                  <w:gridSpan w:val="2"/>
                  <w:vMerge w:val="continue"/>
                  <w:tcBorders>
                    <w:left w:val="single" w:color="auto" w:sz="4" w:space="0"/>
                    <w:right w:val="single" w:color="auto" w:sz="4" w:space="0"/>
                  </w:tcBorders>
                  <w:vAlign w:val="center"/>
                </w:tcPr>
                <w:p w14:paraId="2A9A3F70">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24C728E9">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0.25</w:t>
                  </w:r>
                </w:p>
              </w:tc>
              <w:tc>
                <w:tcPr>
                  <w:tcW w:w="1006" w:type="dxa"/>
                  <w:tcBorders>
                    <w:top w:val="single" w:color="auto" w:sz="4" w:space="0"/>
                    <w:left w:val="single" w:color="auto" w:sz="4" w:space="0"/>
                    <w:bottom w:val="single" w:color="auto" w:sz="4" w:space="0"/>
                    <w:right w:val="single" w:color="auto" w:sz="4" w:space="0"/>
                  </w:tcBorders>
                  <w:vAlign w:val="center"/>
                </w:tcPr>
                <w:p w14:paraId="5A889F31">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shd w:val="clear" w:color="auto" w:fill="auto"/>
                  <w:vAlign w:val="center"/>
                </w:tcPr>
                <w:p w14:paraId="58157CCC">
                  <w:pPr>
                    <w:spacing w:line="240" w:lineRule="atLeast"/>
                    <w:ind w:left="-107" w:leftChars="-51" w:right="-107" w:rightChars="-51"/>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c>
                <w:tcPr>
                  <w:tcW w:w="843" w:type="dxa"/>
                  <w:shd w:val="clear" w:color="auto" w:fill="auto"/>
                  <w:vAlign w:val="center"/>
                </w:tcPr>
                <w:p w14:paraId="55F3B377">
                  <w:pPr>
                    <w:spacing w:line="240" w:lineRule="atLeast"/>
                    <w:ind w:left="-107" w:leftChars="-51" w:right="-107" w:rightChars="-51"/>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r>
            <w:tr w14:paraId="0479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7F2B638D">
                  <w:pPr>
                    <w:jc w:val="center"/>
                    <w:rPr>
                      <w:rFonts w:hint="default" w:eastAsia="宋体"/>
                      <w:color w:val="auto"/>
                      <w:szCs w:val="21"/>
                      <w:lang w:val="en-US" w:eastAsia="zh-CN"/>
                    </w:rPr>
                  </w:pPr>
                  <w:r>
                    <w:rPr>
                      <w:rFonts w:hint="eastAsia"/>
                      <w:color w:val="auto"/>
                      <w:szCs w:val="21"/>
                      <w:lang w:val="en-US" w:eastAsia="zh-CN"/>
                    </w:rPr>
                    <w:t>31</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9E5CF57">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项目地厂界下风向监控点3#</w:t>
                  </w:r>
                </w:p>
              </w:tc>
              <w:tc>
                <w:tcPr>
                  <w:tcW w:w="1574" w:type="dxa"/>
                  <w:gridSpan w:val="2"/>
                  <w:vMerge w:val="continue"/>
                  <w:tcBorders>
                    <w:left w:val="single" w:color="auto" w:sz="4" w:space="0"/>
                    <w:right w:val="single" w:color="auto" w:sz="4" w:space="0"/>
                  </w:tcBorders>
                  <w:vAlign w:val="center"/>
                </w:tcPr>
                <w:p w14:paraId="561E1F84">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3724571A">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0.33</w:t>
                  </w:r>
                </w:p>
              </w:tc>
              <w:tc>
                <w:tcPr>
                  <w:tcW w:w="1006" w:type="dxa"/>
                  <w:tcBorders>
                    <w:top w:val="single" w:color="auto" w:sz="4" w:space="0"/>
                    <w:left w:val="single" w:color="auto" w:sz="4" w:space="0"/>
                    <w:bottom w:val="single" w:color="auto" w:sz="4" w:space="0"/>
                    <w:right w:val="single" w:color="auto" w:sz="4" w:space="0"/>
                  </w:tcBorders>
                  <w:vAlign w:val="center"/>
                </w:tcPr>
                <w:p w14:paraId="33C523AD">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shd w:val="clear" w:color="auto" w:fill="auto"/>
                  <w:vAlign w:val="center"/>
                </w:tcPr>
                <w:p w14:paraId="671F349B">
                  <w:pPr>
                    <w:spacing w:line="240" w:lineRule="atLeast"/>
                    <w:ind w:left="-107" w:leftChars="-51" w:right="-107" w:rightChars="-51"/>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c>
                <w:tcPr>
                  <w:tcW w:w="843" w:type="dxa"/>
                  <w:shd w:val="clear" w:color="auto" w:fill="auto"/>
                  <w:vAlign w:val="center"/>
                </w:tcPr>
                <w:p w14:paraId="5C9359EB">
                  <w:pPr>
                    <w:spacing w:line="240" w:lineRule="atLeast"/>
                    <w:ind w:left="-107" w:leftChars="-51" w:right="-107" w:rightChars="-51"/>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r>
            <w:tr w14:paraId="292D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1040B5DC">
                  <w:pPr>
                    <w:jc w:val="center"/>
                    <w:rPr>
                      <w:rFonts w:hint="default" w:eastAsia="宋体"/>
                      <w:color w:val="auto"/>
                      <w:szCs w:val="21"/>
                      <w:lang w:val="en-US" w:eastAsia="zh-CN"/>
                    </w:rPr>
                  </w:pPr>
                  <w:r>
                    <w:rPr>
                      <w:rFonts w:hint="eastAsia"/>
                      <w:color w:val="auto"/>
                      <w:szCs w:val="21"/>
                      <w:lang w:val="en-US" w:eastAsia="zh-CN"/>
                    </w:rPr>
                    <w:t>32</w:t>
                  </w:r>
                </w:p>
              </w:tc>
              <w:tc>
                <w:tcPr>
                  <w:tcW w:w="2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DA6DD87">
                  <w:pPr>
                    <w:jc w:val="center"/>
                    <w:rPr>
                      <w:rFonts w:ascii="Times New Roman" w:hAnsi="Times New Roman" w:eastAsia="宋体" w:cs="Times New Roman"/>
                      <w:color w:val="auto"/>
                      <w:kern w:val="2"/>
                      <w:sz w:val="21"/>
                      <w:szCs w:val="21"/>
                      <w:lang w:val="en-US" w:eastAsia="zh-CN" w:bidi="ar-SA"/>
                    </w:rPr>
                  </w:pPr>
                  <w:r>
                    <w:rPr>
                      <w:color w:val="auto"/>
                      <w:szCs w:val="21"/>
                    </w:rPr>
                    <w:t>项目地厂界下风向监控点4#</w:t>
                  </w:r>
                </w:p>
              </w:tc>
              <w:tc>
                <w:tcPr>
                  <w:tcW w:w="1574" w:type="dxa"/>
                  <w:gridSpan w:val="2"/>
                  <w:vMerge w:val="continue"/>
                  <w:tcBorders>
                    <w:left w:val="single" w:color="auto" w:sz="4" w:space="0"/>
                    <w:right w:val="single" w:color="auto" w:sz="4" w:space="0"/>
                  </w:tcBorders>
                  <w:vAlign w:val="center"/>
                </w:tcPr>
                <w:p w14:paraId="4B3DB9EE">
                  <w:pPr>
                    <w:spacing w:line="240" w:lineRule="atLeast"/>
                    <w:ind w:left="-107" w:leftChars="-51" w:right="-107" w:rightChars="-51"/>
                    <w:jc w:val="center"/>
                    <w:rPr>
                      <w:color w:val="auto"/>
                      <w:szCs w:val="21"/>
                    </w:rPr>
                  </w:pPr>
                </w:p>
              </w:tc>
              <w:tc>
                <w:tcPr>
                  <w:tcW w:w="1205" w:type="dxa"/>
                  <w:tcBorders>
                    <w:top w:val="single" w:color="auto" w:sz="4" w:space="0"/>
                    <w:left w:val="single" w:color="auto" w:sz="4" w:space="0"/>
                    <w:bottom w:val="single" w:color="auto" w:sz="4" w:space="0"/>
                    <w:right w:val="single" w:color="auto" w:sz="4" w:space="0"/>
                  </w:tcBorders>
                  <w:vAlign w:val="center"/>
                </w:tcPr>
                <w:p w14:paraId="13A5304C">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0.28</w:t>
                  </w:r>
                </w:p>
              </w:tc>
              <w:tc>
                <w:tcPr>
                  <w:tcW w:w="1006" w:type="dxa"/>
                  <w:tcBorders>
                    <w:top w:val="single" w:color="auto" w:sz="4" w:space="0"/>
                    <w:left w:val="single" w:color="auto" w:sz="4" w:space="0"/>
                    <w:bottom w:val="single" w:color="auto" w:sz="4" w:space="0"/>
                    <w:right w:val="single" w:color="auto" w:sz="4" w:space="0"/>
                  </w:tcBorders>
                  <w:vAlign w:val="center"/>
                </w:tcPr>
                <w:p w14:paraId="77F16928">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shd w:val="clear" w:color="auto" w:fill="auto"/>
                  <w:vAlign w:val="center"/>
                </w:tcPr>
                <w:p w14:paraId="4451B163">
                  <w:pPr>
                    <w:spacing w:line="240" w:lineRule="atLeast"/>
                    <w:ind w:left="-107" w:leftChars="-51" w:right="-107" w:rightChars="-51"/>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c>
                <w:tcPr>
                  <w:tcW w:w="843" w:type="dxa"/>
                  <w:shd w:val="clear" w:color="auto" w:fill="auto"/>
                  <w:vAlign w:val="center"/>
                </w:tcPr>
                <w:p w14:paraId="42B5675E">
                  <w:pPr>
                    <w:spacing w:line="240" w:lineRule="atLeast"/>
                    <w:ind w:left="-107" w:leftChars="-51" w:right="-107" w:rightChars="-51"/>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r>
            <w:tr w14:paraId="7FD8E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3CD23A6E">
                  <w:pPr>
                    <w:jc w:val="center"/>
                    <w:rPr>
                      <w:rFonts w:hint="default" w:eastAsia="宋体"/>
                      <w:color w:val="auto"/>
                      <w:szCs w:val="21"/>
                      <w:lang w:val="en-US" w:eastAsia="zh-CN"/>
                    </w:rPr>
                  </w:pPr>
                  <w:r>
                    <w:rPr>
                      <w:rFonts w:hint="eastAsia"/>
                      <w:color w:val="auto"/>
                      <w:szCs w:val="21"/>
                      <w:lang w:val="en-US" w:eastAsia="zh-CN"/>
                    </w:rPr>
                    <w:t>33</w:t>
                  </w:r>
                </w:p>
              </w:tc>
              <w:tc>
                <w:tcPr>
                  <w:tcW w:w="2838" w:type="dxa"/>
                  <w:gridSpan w:val="3"/>
                  <w:vMerge w:val="restart"/>
                  <w:tcBorders>
                    <w:top w:val="single" w:color="auto" w:sz="4" w:space="0"/>
                    <w:left w:val="single" w:color="auto" w:sz="4" w:space="0"/>
                    <w:right w:val="single" w:color="auto" w:sz="4" w:space="0"/>
                  </w:tcBorders>
                  <w:shd w:val="clear" w:color="auto" w:fill="auto"/>
                  <w:vAlign w:val="center"/>
                </w:tcPr>
                <w:p w14:paraId="1EAE94BF">
                  <w:pPr>
                    <w:jc w:val="center"/>
                    <w:rPr>
                      <w:rFonts w:hint="default" w:eastAsia="宋体"/>
                      <w:color w:val="auto"/>
                      <w:szCs w:val="21"/>
                      <w:lang w:val="en-US" w:eastAsia="zh-CN"/>
                    </w:rPr>
                  </w:pPr>
                  <w:r>
                    <w:rPr>
                      <w:rFonts w:hint="eastAsia"/>
                      <w:color w:val="auto"/>
                      <w:szCs w:val="21"/>
                      <w:lang w:val="en-US" w:eastAsia="zh-CN"/>
                    </w:rPr>
                    <w:t>旧废水池无组织废气5#</w:t>
                  </w:r>
                </w:p>
              </w:tc>
              <w:tc>
                <w:tcPr>
                  <w:tcW w:w="1574" w:type="dxa"/>
                  <w:gridSpan w:val="2"/>
                  <w:tcBorders>
                    <w:left w:val="single" w:color="auto" w:sz="4" w:space="0"/>
                    <w:right w:val="single" w:color="auto" w:sz="4" w:space="0"/>
                  </w:tcBorders>
                  <w:vAlign w:val="center"/>
                </w:tcPr>
                <w:p w14:paraId="6F010D61">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硫化氢</w:t>
                  </w:r>
                </w:p>
              </w:tc>
              <w:tc>
                <w:tcPr>
                  <w:tcW w:w="1205" w:type="dxa"/>
                  <w:tcBorders>
                    <w:top w:val="single" w:color="auto" w:sz="4" w:space="0"/>
                    <w:left w:val="single" w:color="auto" w:sz="4" w:space="0"/>
                    <w:bottom w:val="single" w:color="auto" w:sz="4" w:space="0"/>
                    <w:right w:val="single" w:color="auto" w:sz="4" w:space="0"/>
                  </w:tcBorders>
                  <w:vAlign w:val="center"/>
                </w:tcPr>
                <w:p w14:paraId="05380679">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0.021</w:t>
                  </w:r>
                </w:p>
              </w:tc>
              <w:tc>
                <w:tcPr>
                  <w:tcW w:w="1006" w:type="dxa"/>
                  <w:tcBorders>
                    <w:top w:val="single" w:color="auto" w:sz="4" w:space="0"/>
                    <w:left w:val="single" w:color="auto" w:sz="4" w:space="0"/>
                    <w:bottom w:val="single" w:color="auto" w:sz="4" w:space="0"/>
                    <w:right w:val="single" w:color="auto" w:sz="4" w:space="0"/>
                  </w:tcBorders>
                  <w:vAlign w:val="center"/>
                </w:tcPr>
                <w:p w14:paraId="16EC70D5">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shd w:val="clear" w:color="auto" w:fill="auto"/>
                  <w:vAlign w:val="center"/>
                </w:tcPr>
                <w:p w14:paraId="181689B6">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0.06</w:t>
                  </w:r>
                </w:p>
              </w:tc>
              <w:tc>
                <w:tcPr>
                  <w:tcW w:w="843" w:type="dxa"/>
                  <w:shd w:val="clear" w:color="auto" w:fill="auto"/>
                  <w:vAlign w:val="center"/>
                </w:tcPr>
                <w:p w14:paraId="12886FE2">
                  <w:pPr>
                    <w:spacing w:line="240" w:lineRule="atLeast"/>
                    <w:ind w:left="-107" w:leftChars="-51" w:right="-107" w:rightChars="-51"/>
                    <w:jc w:val="center"/>
                    <w:rPr>
                      <w:rFonts w:hint="eastAsia"/>
                      <w:color w:val="auto"/>
                      <w:szCs w:val="21"/>
                      <w:lang w:val="en-US" w:eastAsia="zh-CN"/>
                    </w:rPr>
                  </w:pPr>
                  <w:r>
                    <w:rPr>
                      <w:color w:val="auto"/>
                      <w:szCs w:val="21"/>
                    </w:rPr>
                    <w:t>符合</w:t>
                  </w:r>
                </w:p>
              </w:tc>
            </w:tr>
            <w:tr w14:paraId="58DD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6683289C">
                  <w:pPr>
                    <w:jc w:val="center"/>
                    <w:rPr>
                      <w:rFonts w:hint="default" w:eastAsia="宋体"/>
                      <w:color w:val="auto"/>
                      <w:szCs w:val="21"/>
                      <w:lang w:val="en-US" w:eastAsia="zh-CN"/>
                    </w:rPr>
                  </w:pPr>
                  <w:r>
                    <w:rPr>
                      <w:rFonts w:hint="eastAsia"/>
                      <w:color w:val="auto"/>
                      <w:szCs w:val="21"/>
                      <w:lang w:val="en-US" w:eastAsia="zh-CN"/>
                    </w:rPr>
                    <w:t>34</w:t>
                  </w:r>
                </w:p>
              </w:tc>
              <w:tc>
                <w:tcPr>
                  <w:tcW w:w="2838" w:type="dxa"/>
                  <w:gridSpan w:val="3"/>
                  <w:vMerge w:val="continue"/>
                  <w:tcBorders>
                    <w:left w:val="single" w:color="auto" w:sz="4" w:space="0"/>
                    <w:right w:val="single" w:color="auto" w:sz="4" w:space="0"/>
                  </w:tcBorders>
                  <w:shd w:val="clear" w:color="auto" w:fill="auto"/>
                  <w:vAlign w:val="center"/>
                </w:tcPr>
                <w:p w14:paraId="3DA3956F">
                  <w:pPr>
                    <w:jc w:val="center"/>
                    <w:rPr>
                      <w:color w:val="auto"/>
                      <w:szCs w:val="21"/>
                    </w:rPr>
                  </w:pPr>
                </w:p>
              </w:tc>
              <w:tc>
                <w:tcPr>
                  <w:tcW w:w="1574" w:type="dxa"/>
                  <w:gridSpan w:val="2"/>
                  <w:tcBorders>
                    <w:left w:val="single" w:color="auto" w:sz="4" w:space="0"/>
                    <w:right w:val="single" w:color="auto" w:sz="4" w:space="0"/>
                  </w:tcBorders>
                  <w:vAlign w:val="center"/>
                </w:tcPr>
                <w:p w14:paraId="5BDB655C">
                  <w:pPr>
                    <w:spacing w:line="240" w:lineRule="atLeast"/>
                    <w:ind w:left="-107" w:leftChars="-51" w:right="-107" w:rightChars="-51"/>
                    <w:jc w:val="center"/>
                    <w:rPr>
                      <w:rFonts w:hint="eastAsia" w:eastAsia="宋体"/>
                      <w:color w:val="auto"/>
                      <w:szCs w:val="21"/>
                      <w:lang w:val="en-US" w:eastAsia="zh-CN"/>
                    </w:rPr>
                  </w:pPr>
                  <w:r>
                    <w:rPr>
                      <w:rFonts w:hint="eastAsia"/>
                      <w:color w:val="auto"/>
                      <w:szCs w:val="21"/>
                      <w:lang w:val="en-US" w:eastAsia="zh-CN"/>
                    </w:rPr>
                    <w:t>氨</w:t>
                  </w:r>
                </w:p>
              </w:tc>
              <w:tc>
                <w:tcPr>
                  <w:tcW w:w="1205" w:type="dxa"/>
                  <w:tcBorders>
                    <w:top w:val="single" w:color="auto" w:sz="4" w:space="0"/>
                    <w:left w:val="single" w:color="auto" w:sz="4" w:space="0"/>
                    <w:bottom w:val="single" w:color="auto" w:sz="4" w:space="0"/>
                    <w:right w:val="single" w:color="auto" w:sz="4" w:space="0"/>
                  </w:tcBorders>
                  <w:vAlign w:val="center"/>
                </w:tcPr>
                <w:p w14:paraId="3CB825A2">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0.16</w:t>
                  </w:r>
                </w:p>
              </w:tc>
              <w:tc>
                <w:tcPr>
                  <w:tcW w:w="1006" w:type="dxa"/>
                  <w:tcBorders>
                    <w:top w:val="single" w:color="auto" w:sz="4" w:space="0"/>
                    <w:left w:val="single" w:color="auto" w:sz="4" w:space="0"/>
                    <w:bottom w:val="single" w:color="auto" w:sz="4" w:space="0"/>
                    <w:right w:val="single" w:color="auto" w:sz="4" w:space="0"/>
                  </w:tcBorders>
                  <w:vAlign w:val="center"/>
                </w:tcPr>
                <w:p w14:paraId="7DFE6BB4">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shd w:val="clear" w:color="auto" w:fill="auto"/>
                  <w:vAlign w:val="center"/>
                </w:tcPr>
                <w:p w14:paraId="049AD0BC">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1.5</w:t>
                  </w:r>
                </w:p>
              </w:tc>
              <w:tc>
                <w:tcPr>
                  <w:tcW w:w="843" w:type="dxa"/>
                  <w:shd w:val="clear" w:color="auto" w:fill="auto"/>
                  <w:vAlign w:val="center"/>
                </w:tcPr>
                <w:p w14:paraId="7A3BDC06">
                  <w:pPr>
                    <w:spacing w:line="240" w:lineRule="atLeast"/>
                    <w:ind w:left="-107" w:leftChars="-51" w:right="-107" w:rightChars="-51"/>
                    <w:jc w:val="center"/>
                    <w:rPr>
                      <w:rFonts w:hint="eastAsia"/>
                      <w:color w:val="auto"/>
                      <w:szCs w:val="21"/>
                      <w:lang w:val="en-US" w:eastAsia="zh-CN"/>
                    </w:rPr>
                  </w:pPr>
                  <w:r>
                    <w:rPr>
                      <w:color w:val="auto"/>
                      <w:szCs w:val="21"/>
                    </w:rPr>
                    <w:t>符合</w:t>
                  </w:r>
                </w:p>
              </w:tc>
            </w:tr>
            <w:tr w14:paraId="5FE7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37C57925">
                  <w:pPr>
                    <w:jc w:val="center"/>
                    <w:rPr>
                      <w:rFonts w:hint="default" w:eastAsia="宋体"/>
                      <w:color w:val="auto"/>
                      <w:szCs w:val="21"/>
                      <w:lang w:val="en-US" w:eastAsia="zh-CN"/>
                    </w:rPr>
                  </w:pPr>
                  <w:r>
                    <w:rPr>
                      <w:rFonts w:hint="eastAsia"/>
                      <w:color w:val="auto"/>
                      <w:szCs w:val="21"/>
                      <w:lang w:val="en-US" w:eastAsia="zh-CN"/>
                    </w:rPr>
                    <w:t>35</w:t>
                  </w:r>
                </w:p>
              </w:tc>
              <w:tc>
                <w:tcPr>
                  <w:tcW w:w="2838" w:type="dxa"/>
                  <w:gridSpan w:val="3"/>
                  <w:vMerge w:val="continue"/>
                  <w:tcBorders>
                    <w:left w:val="single" w:color="auto" w:sz="4" w:space="0"/>
                    <w:bottom w:val="single" w:color="auto" w:sz="4" w:space="0"/>
                    <w:right w:val="single" w:color="auto" w:sz="4" w:space="0"/>
                  </w:tcBorders>
                  <w:shd w:val="clear" w:color="auto" w:fill="auto"/>
                  <w:vAlign w:val="center"/>
                </w:tcPr>
                <w:p w14:paraId="1C3166D3">
                  <w:pPr>
                    <w:jc w:val="center"/>
                    <w:rPr>
                      <w:color w:val="auto"/>
                      <w:szCs w:val="21"/>
                    </w:rPr>
                  </w:pPr>
                </w:p>
              </w:tc>
              <w:tc>
                <w:tcPr>
                  <w:tcW w:w="1574" w:type="dxa"/>
                  <w:gridSpan w:val="2"/>
                  <w:tcBorders>
                    <w:left w:val="single" w:color="auto" w:sz="4" w:space="0"/>
                    <w:right w:val="single" w:color="auto" w:sz="4" w:space="0"/>
                  </w:tcBorders>
                  <w:vAlign w:val="center"/>
                </w:tcPr>
                <w:p w14:paraId="6957DA01">
                  <w:pPr>
                    <w:spacing w:line="240" w:lineRule="atLeast"/>
                    <w:ind w:left="-107" w:leftChars="-51" w:right="-107" w:rightChars="-51"/>
                    <w:jc w:val="center"/>
                    <w:rPr>
                      <w:rFonts w:hint="default" w:eastAsia="宋体"/>
                      <w:color w:val="auto"/>
                      <w:szCs w:val="21"/>
                      <w:lang w:val="en-US" w:eastAsia="zh-CN"/>
                    </w:rPr>
                  </w:pPr>
                  <w:r>
                    <w:rPr>
                      <w:rFonts w:hint="eastAsia"/>
                      <w:color w:val="auto"/>
                      <w:szCs w:val="21"/>
                      <w:lang w:val="en-US" w:eastAsia="zh-CN"/>
                    </w:rPr>
                    <w:t>臭气浓度</w:t>
                  </w:r>
                </w:p>
              </w:tc>
              <w:tc>
                <w:tcPr>
                  <w:tcW w:w="1205" w:type="dxa"/>
                  <w:tcBorders>
                    <w:top w:val="single" w:color="auto" w:sz="4" w:space="0"/>
                    <w:left w:val="single" w:color="auto" w:sz="4" w:space="0"/>
                    <w:bottom w:val="single" w:color="auto" w:sz="4" w:space="0"/>
                    <w:right w:val="single" w:color="auto" w:sz="4" w:space="0"/>
                  </w:tcBorders>
                  <w:vAlign w:val="center"/>
                </w:tcPr>
                <w:p w14:paraId="6CCEE602">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13</w:t>
                  </w:r>
                </w:p>
              </w:tc>
              <w:tc>
                <w:tcPr>
                  <w:tcW w:w="1006" w:type="dxa"/>
                  <w:tcBorders>
                    <w:top w:val="single" w:color="auto" w:sz="4" w:space="0"/>
                    <w:left w:val="single" w:color="auto" w:sz="4" w:space="0"/>
                    <w:bottom w:val="single" w:color="auto" w:sz="4" w:space="0"/>
                    <w:right w:val="single" w:color="auto" w:sz="4" w:space="0"/>
                  </w:tcBorders>
                  <w:vAlign w:val="center"/>
                </w:tcPr>
                <w:p w14:paraId="7951308B">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shd w:val="clear" w:color="auto" w:fill="auto"/>
                  <w:vAlign w:val="center"/>
                </w:tcPr>
                <w:p w14:paraId="5EBEDDC7">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20</w:t>
                  </w:r>
                </w:p>
              </w:tc>
              <w:tc>
                <w:tcPr>
                  <w:tcW w:w="843" w:type="dxa"/>
                  <w:shd w:val="clear" w:color="auto" w:fill="auto"/>
                  <w:vAlign w:val="center"/>
                </w:tcPr>
                <w:p w14:paraId="151EC8A1">
                  <w:pPr>
                    <w:spacing w:line="240" w:lineRule="atLeast"/>
                    <w:ind w:left="-107" w:leftChars="-51" w:right="-107" w:rightChars="-51"/>
                    <w:jc w:val="center"/>
                    <w:rPr>
                      <w:rFonts w:hint="eastAsia"/>
                      <w:color w:val="auto"/>
                      <w:szCs w:val="21"/>
                      <w:lang w:val="en-US" w:eastAsia="zh-CN"/>
                    </w:rPr>
                  </w:pPr>
                  <w:r>
                    <w:rPr>
                      <w:color w:val="auto"/>
                      <w:szCs w:val="21"/>
                    </w:rPr>
                    <w:t>符合</w:t>
                  </w:r>
                </w:p>
              </w:tc>
            </w:tr>
            <w:tr w14:paraId="47C4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79914BED">
                  <w:pPr>
                    <w:jc w:val="center"/>
                    <w:rPr>
                      <w:rFonts w:hint="default" w:eastAsia="宋体"/>
                      <w:color w:val="auto"/>
                      <w:szCs w:val="21"/>
                      <w:lang w:val="en-US" w:eastAsia="zh-CN"/>
                    </w:rPr>
                  </w:pPr>
                  <w:r>
                    <w:rPr>
                      <w:rFonts w:hint="eastAsia"/>
                      <w:color w:val="auto"/>
                      <w:szCs w:val="21"/>
                      <w:lang w:val="en-US" w:eastAsia="zh-CN"/>
                    </w:rPr>
                    <w:t>36</w:t>
                  </w:r>
                </w:p>
              </w:tc>
              <w:tc>
                <w:tcPr>
                  <w:tcW w:w="2838" w:type="dxa"/>
                  <w:gridSpan w:val="3"/>
                  <w:vMerge w:val="restart"/>
                  <w:tcBorders>
                    <w:top w:val="single" w:color="auto" w:sz="4" w:space="0"/>
                    <w:left w:val="single" w:color="auto" w:sz="4" w:space="0"/>
                    <w:right w:val="single" w:color="auto" w:sz="4" w:space="0"/>
                  </w:tcBorders>
                  <w:shd w:val="clear" w:color="auto" w:fill="auto"/>
                  <w:vAlign w:val="center"/>
                </w:tcPr>
                <w:p w14:paraId="4B2A8FE2">
                  <w:pPr>
                    <w:spacing w:line="240" w:lineRule="atLeast"/>
                    <w:ind w:left="-107" w:leftChars="-51" w:right="-107" w:rightChars="-51"/>
                    <w:jc w:val="center"/>
                    <w:rPr>
                      <w:rFonts w:hint="default"/>
                      <w:color w:val="auto"/>
                      <w:szCs w:val="21"/>
                      <w:lang w:val="en-US"/>
                    </w:rPr>
                  </w:pPr>
                  <w:r>
                    <w:rPr>
                      <w:rFonts w:hint="eastAsia"/>
                      <w:color w:val="auto"/>
                      <w:szCs w:val="21"/>
                      <w:lang w:val="en-US" w:eastAsia="zh-CN"/>
                    </w:rPr>
                    <w:t>危险废物贮存设施（污泥棚）无组织废气6#</w:t>
                  </w:r>
                </w:p>
              </w:tc>
              <w:tc>
                <w:tcPr>
                  <w:tcW w:w="1574" w:type="dxa"/>
                  <w:gridSpan w:val="2"/>
                  <w:tcBorders>
                    <w:left w:val="single" w:color="auto" w:sz="4" w:space="0"/>
                    <w:right w:val="single" w:color="auto" w:sz="4" w:space="0"/>
                  </w:tcBorders>
                  <w:shd w:val="clear" w:color="auto" w:fill="auto"/>
                  <w:vAlign w:val="center"/>
                </w:tcPr>
                <w:p w14:paraId="55B826B8">
                  <w:pPr>
                    <w:spacing w:line="240" w:lineRule="atLeast"/>
                    <w:ind w:left="-107" w:leftChars="-51" w:right="-107" w:rightChars="-51"/>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硫化氢</w:t>
                  </w:r>
                </w:p>
              </w:tc>
              <w:tc>
                <w:tcPr>
                  <w:tcW w:w="1205" w:type="dxa"/>
                  <w:tcBorders>
                    <w:top w:val="single" w:color="auto" w:sz="4" w:space="0"/>
                    <w:left w:val="single" w:color="auto" w:sz="4" w:space="0"/>
                    <w:bottom w:val="single" w:color="auto" w:sz="4" w:space="0"/>
                    <w:right w:val="single" w:color="auto" w:sz="4" w:space="0"/>
                  </w:tcBorders>
                  <w:vAlign w:val="center"/>
                </w:tcPr>
                <w:p w14:paraId="763CF632">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0.026</w:t>
                  </w:r>
                </w:p>
              </w:tc>
              <w:tc>
                <w:tcPr>
                  <w:tcW w:w="1006" w:type="dxa"/>
                  <w:tcBorders>
                    <w:top w:val="single" w:color="auto" w:sz="4" w:space="0"/>
                    <w:left w:val="single" w:color="auto" w:sz="4" w:space="0"/>
                    <w:bottom w:val="single" w:color="auto" w:sz="4" w:space="0"/>
                    <w:right w:val="single" w:color="auto" w:sz="4" w:space="0"/>
                  </w:tcBorders>
                  <w:vAlign w:val="center"/>
                </w:tcPr>
                <w:p w14:paraId="65BB21B2">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shd w:val="clear" w:color="auto" w:fill="auto"/>
                  <w:vAlign w:val="center"/>
                </w:tcPr>
                <w:p w14:paraId="531E3C34">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0.06</w:t>
                  </w:r>
                </w:p>
              </w:tc>
              <w:tc>
                <w:tcPr>
                  <w:tcW w:w="843" w:type="dxa"/>
                  <w:shd w:val="clear" w:color="auto" w:fill="auto"/>
                  <w:vAlign w:val="center"/>
                </w:tcPr>
                <w:p w14:paraId="343B493F">
                  <w:pPr>
                    <w:spacing w:line="240" w:lineRule="atLeast"/>
                    <w:ind w:left="-107" w:leftChars="-51" w:right="-107" w:rightChars="-51"/>
                    <w:jc w:val="center"/>
                    <w:rPr>
                      <w:rFonts w:hint="eastAsia"/>
                      <w:color w:val="auto"/>
                      <w:szCs w:val="21"/>
                      <w:lang w:val="en-US" w:eastAsia="zh-CN"/>
                    </w:rPr>
                  </w:pPr>
                  <w:r>
                    <w:rPr>
                      <w:color w:val="auto"/>
                      <w:szCs w:val="21"/>
                    </w:rPr>
                    <w:t>符合</w:t>
                  </w:r>
                </w:p>
              </w:tc>
            </w:tr>
            <w:tr w14:paraId="1217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57AECC58">
                  <w:pPr>
                    <w:jc w:val="center"/>
                    <w:rPr>
                      <w:rFonts w:hint="default" w:eastAsia="宋体"/>
                      <w:color w:val="auto"/>
                      <w:szCs w:val="21"/>
                      <w:lang w:val="en-US" w:eastAsia="zh-CN"/>
                    </w:rPr>
                  </w:pPr>
                  <w:r>
                    <w:rPr>
                      <w:rFonts w:hint="eastAsia"/>
                      <w:color w:val="auto"/>
                      <w:szCs w:val="21"/>
                      <w:lang w:val="en-US" w:eastAsia="zh-CN"/>
                    </w:rPr>
                    <w:t>37</w:t>
                  </w:r>
                </w:p>
              </w:tc>
              <w:tc>
                <w:tcPr>
                  <w:tcW w:w="2838" w:type="dxa"/>
                  <w:gridSpan w:val="3"/>
                  <w:vMerge w:val="continue"/>
                  <w:tcBorders>
                    <w:left w:val="single" w:color="auto" w:sz="4" w:space="0"/>
                    <w:right w:val="single" w:color="auto" w:sz="4" w:space="0"/>
                  </w:tcBorders>
                  <w:shd w:val="clear" w:color="auto" w:fill="auto"/>
                  <w:vAlign w:val="center"/>
                </w:tcPr>
                <w:p w14:paraId="2775D68B">
                  <w:pPr>
                    <w:spacing w:line="240" w:lineRule="atLeast"/>
                    <w:ind w:left="-107" w:leftChars="-51" w:right="-107" w:rightChars="-51"/>
                    <w:jc w:val="center"/>
                    <w:rPr>
                      <w:color w:val="auto"/>
                      <w:szCs w:val="21"/>
                    </w:rPr>
                  </w:pPr>
                </w:p>
              </w:tc>
              <w:tc>
                <w:tcPr>
                  <w:tcW w:w="1574" w:type="dxa"/>
                  <w:gridSpan w:val="2"/>
                  <w:tcBorders>
                    <w:left w:val="single" w:color="auto" w:sz="4" w:space="0"/>
                    <w:right w:val="single" w:color="auto" w:sz="4" w:space="0"/>
                  </w:tcBorders>
                  <w:shd w:val="clear" w:color="auto" w:fill="auto"/>
                  <w:vAlign w:val="center"/>
                </w:tcPr>
                <w:p w14:paraId="2F1F47BE">
                  <w:pPr>
                    <w:spacing w:line="240" w:lineRule="atLeast"/>
                    <w:ind w:left="-107" w:leftChars="-51" w:right="-107" w:rightChars="-51"/>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氨</w:t>
                  </w:r>
                </w:p>
              </w:tc>
              <w:tc>
                <w:tcPr>
                  <w:tcW w:w="1205" w:type="dxa"/>
                  <w:tcBorders>
                    <w:top w:val="single" w:color="auto" w:sz="4" w:space="0"/>
                    <w:left w:val="single" w:color="auto" w:sz="4" w:space="0"/>
                    <w:bottom w:val="single" w:color="auto" w:sz="4" w:space="0"/>
                    <w:right w:val="single" w:color="auto" w:sz="4" w:space="0"/>
                  </w:tcBorders>
                  <w:vAlign w:val="center"/>
                </w:tcPr>
                <w:p w14:paraId="339C9600">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0.22</w:t>
                  </w:r>
                </w:p>
              </w:tc>
              <w:tc>
                <w:tcPr>
                  <w:tcW w:w="1006" w:type="dxa"/>
                  <w:tcBorders>
                    <w:top w:val="single" w:color="auto" w:sz="4" w:space="0"/>
                    <w:left w:val="single" w:color="auto" w:sz="4" w:space="0"/>
                    <w:bottom w:val="single" w:color="auto" w:sz="4" w:space="0"/>
                    <w:right w:val="single" w:color="auto" w:sz="4" w:space="0"/>
                  </w:tcBorders>
                  <w:vAlign w:val="center"/>
                </w:tcPr>
                <w:p w14:paraId="7ACF6A1B">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shd w:val="clear" w:color="auto" w:fill="auto"/>
                  <w:vAlign w:val="center"/>
                </w:tcPr>
                <w:p w14:paraId="27010BB9">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1.5</w:t>
                  </w:r>
                </w:p>
              </w:tc>
              <w:tc>
                <w:tcPr>
                  <w:tcW w:w="843" w:type="dxa"/>
                  <w:shd w:val="clear" w:color="auto" w:fill="auto"/>
                  <w:vAlign w:val="center"/>
                </w:tcPr>
                <w:p w14:paraId="266861C9">
                  <w:pPr>
                    <w:spacing w:line="240" w:lineRule="atLeast"/>
                    <w:ind w:left="-107" w:leftChars="-51" w:right="-107" w:rightChars="-51"/>
                    <w:jc w:val="center"/>
                    <w:rPr>
                      <w:rFonts w:hint="eastAsia"/>
                      <w:color w:val="auto"/>
                      <w:szCs w:val="21"/>
                      <w:lang w:val="en-US" w:eastAsia="zh-CN"/>
                    </w:rPr>
                  </w:pPr>
                  <w:r>
                    <w:rPr>
                      <w:color w:val="auto"/>
                      <w:szCs w:val="21"/>
                    </w:rPr>
                    <w:t>符合</w:t>
                  </w:r>
                </w:p>
              </w:tc>
            </w:tr>
            <w:tr w14:paraId="7128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654701C8">
                  <w:pPr>
                    <w:jc w:val="center"/>
                    <w:rPr>
                      <w:rFonts w:hint="default" w:eastAsia="宋体"/>
                      <w:color w:val="auto"/>
                      <w:szCs w:val="21"/>
                      <w:lang w:val="en-US" w:eastAsia="zh-CN"/>
                    </w:rPr>
                  </w:pPr>
                  <w:r>
                    <w:rPr>
                      <w:rFonts w:hint="eastAsia"/>
                      <w:color w:val="auto"/>
                      <w:szCs w:val="21"/>
                      <w:lang w:val="en-US" w:eastAsia="zh-CN"/>
                    </w:rPr>
                    <w:t>38</w:t>
                  </w:r>
                </w:p>
              </w:tc>
              <w:tc>
                <w:tcPr>
                  <w:tcW w:w="2838" w:type="dxa"/>
                  <w:gridSpan w:val="3"/>
                  <w:vMerge w:val="continue"/>
                  <w:tcBorders>
                    <w:left w:val="single" w:color="auto" w:sz="4" w:space="0"/>
                    <w:bottom w:val="single" w:color="auto" w:sz="4" w:space="0"/>
                    <w:right w:val="single" w:color="auto" w:sz="4" w:space="0"/>
                  </w:tcBorders>
                  <w:shd w:val="clear" w:color="auto" w:fill="auto"/>
                  <w:vAlign w:val="center"/>
                </w:tcPr>
                <w:p w14:paraId="758FA287">
                  <w:pPr>
                    <w:spacing w:line="240" w:lineRule="atLeast"/>
                    <w:ind w:left="-107" w:leftChars="-51" w:right="-107" w:rightChars="-51"/>
                    <w:jc w:val="center"/>
                    <w:rPr>
                      <w:color w:val="auto"/>
                      <w:szCs w:val="21"/>
                    </w:rPr>
                  </w:pPr>
                </w:p>
              </w:tc>
              <w:tc>
                <w:tcPr>
                  <w:tcW w:w="1574" w:type="dxa"/>
                  <w:gridSpan w:val="2"/>
                  <w:tcBorders>
                    <w:left w:val="single" w:color="auto" w:sz="4" w:space="0"/>
                    <w:right w:val="single" w:color="auto" w:sz="4" w:space="0"/>
                  </w:tcBorders>
                  <w:shd w:val="clear" w:color="auto" w:fill="auto"/>
                  <w:vAlign w:val="center"/>
                </w:tcPr>
                <w:p w14:paraId="05460A69">
                  <w:pPr>
                    <w:spacing w:line="240" w:lineRule="atLeast"/>
                    <w:ind w:left="-107" w:leftChars="-51" w:right="-107" w:rightChars="-51"/>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臭气浓度</w:t>
                  </w:r>
                </w:p>
              </w:tc>
              <w:tc>
                <w:tcPr>
                  <w:tcW w:w="1205" w:type="dxa"/>
                  <w:tcBorders>
                    <w:top w:val="single" w:color="auto" w:sz="4" w:space="0"/>
                    <w:left w:val="single" w:color="auto" w:sz="4" w:space="0"/>
                    <w:bottom w:val="single" w:color="auto" w:sz="4" w:space="0"/>
                    <w:right w:val="single" w:color="auto" w:sz="4" w:space="0"/>
                  </w:tcBorders>
                  <w:vAlign w:val="center"/>
                </w:tcPr>
                <w:p w14:paraId="590D4C6A">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14</w:t>
                  </w:r>
                </w:p>
              </w:tc>
              <w:tc>
                <w:tcPr>
                  <w:tcW w:w="1006" w:type="dxa"/>
                  <w:tcBorders>
                    <w:top w:val="single" w:color="auto" w:sz="4" w:space="0"/>
                    <w:left w:val="single" w:color="auto" w:sz="4" w:space="0"/>
                    <w:bottom w:val="single" w:color="auto" w:sz="4" w:space="0"/>
                    <w:right w:val="single" w:color="auto" w:sz="4" w:space="0"/>
                  </w:tcBorders>
                  <w:vAlign w:val="center"/>
                </w:tcPr>
                <w:p w14:paraId="5993E5FF">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shd w:val="clear" w:color="auto" w:fill="auto"/>
                  <w:vAlign w:val="center"/>
                </w:tcPr>
                <w:p w14:paraId="75E7A06B">
                  <w:pPr>
                    <w:spacing w:line="240" w:lineRule="atLeast"/>
                    <w:ind w:left="-107" w:leftChars="-51" w:right="-107" w:rightChars="-51"/>
                    <w:jc w:val="center"/>
                    <w:rPr>
                      <w:rFonts w:hint="default"/>
                      <w:color w:val="auto"/>
                      <w:szCs w:val="21"/>
                      <w:lang w:val="en-US" w:eastAsia="zh-CN"/>
                    </w:rPr>
                  </w:pPr>
                  <w:r>
                    <w:rPr>
                      <w:rFonts w:hint="eastAsia"/>
                      <w:color w:val="auto"/>
                      <w:szCs w:val="21"/>
                      <w:lang w:val="en-US" w:eastAsia="zh-CN"/>
                    </w:rPr>
                    <w:t>20</w:t>
                  </w:r>
                </w:p>
              </w:tc>
              <w:tc>
                <w:tcPr>
                  <w:tcW w:w="843" w:type="dxa"/>
                  <w:shd w:val="clear" w:color="auto" w:fill="auto"/>
                  <w:vAlign w:val="center"/>
                </w:tcPr>
                <w:p w14:paraId="54290E16">
                  <w:pPr>
                    <w:spacing w:line="240" w:lineRule="atLeast"/>
                    <w:ind w:left="-107" w:leftChars="-51" w:right="-107" w:rightChars="-51"/>
                    <w:jc w:val="center"/>
                    <w:rPr>
                      <w:rFonts w:hint="eastAsia"/>
                      <w:color w:val="auto"/>
                      <w:szCs w:val="21"/>
                      <w:lang w:val="en-US" w:eastAsia="zh-CN"/>
                    </w:rPr>
                  </w:pPr>
                  <w:r>
                    <w:rPr>
                      <w:color w:val="auto"/>
                      <w:szCs w:val="21"/>
                    </w:rPr>
                    <w:t>符合</w:t>
                  </w:r>
                </w:p>
              </w:tc>
            </w:tr>
            <w:tr w14:paraId="0C6A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4A535480">
                  <w:pPr>
                    <w:jc w:val="center"/>
                    <w:rPr>
                      <w:rFonts w:hint="default" w:eastAsia="宋体"/>
                      <w:color w:val="auto"/>
                      <w:szCs w:val="21"/>
                      <w:lang w:val="en-US" w:eastAsia="zh-CN"/>
                    </w:rPr>
                  </w:pPr>
                  <w:r>
                    <w:rPr>
                      <w:rFonts w:hint="eastAsia"/>
                      <w:color w:val="auto"/>
                      <w:szCs w:val="21"/>
                      <w:lang w:val="en-US" w:eastAsia="zh-CN"/>
                    </w:rPr>
                    <w:t>39</w:t>
                  </w:r>
                </w:p>
              </w:tc>
              <w:tc>
                <w:tcPr>
                  <w:tcW w:w="2838" w:type="dxa"/>
                  <w:gridSpan w:val="3"/>
                  <w:vMerge w:val="restart"/>
                  <w:tcBorders>
                    <w:top w:val="single" w:color="auto" w:sz="4" w:space="0"/>
                    <w:left w:val="single" w:color="auto" w:sz="4" w:space="0"/>
                    <w:right w:val="single" w:color="auto" w:sz="4" w:space="0"/>
                  </w:tcBorders>
                  <w:vAlign w:val="center"/>
                </w:tcPr>
                <w:p w14:paraId="79DD842B">
                  <w:pPr>
                    <w:jc w:val="center"/>
                    <w:rPr>
                      <w:color w:val="auto"/>
                      <w:szCs w:val="21"/>
                    </w:rPr>
                  </w:pPr>
                  <w:r>
                    <w:rPr>
                      <w:color w:val="auto"/>
                      <w:szCs w:val="21"/>
                    </w:rPr>
                    <w:t>厂区内无组织废气5#</w:t>
                  </w:r>
                </w:p>
              </w:tc>
              <w:tc>
                <w:tcPr>
                  <w:tcW w:w="1574" w:type="dxa"/>
                  <w:gridSpan w:val="2"/>
                  <w:tcBorders>
                    <w:left w:val="single" w:color="auto" w:sz="4" w:space="0"/>
                    <w:right w:val="single" w:color="auto" w:sz="4" w:space="0"/>
                  </w:tcBorders>
                  <w:vAlign w:val="center"/>
                </w:tcPr>
                <w:p w14:paraId="42246560">
                  <w:pPr>
                    <w:widowControl w:val="0"/>
                    <w:spacing w:line="280" w:lineRule="exact"/>
                    <w:jc w:val="center"/>
                    <w:rPr>
                      <w:color w:val="auto"/>
                      <w:szCs w:val="21"/>
                    </w:rPr>
                  </w:pPr>
                  <w:r>
                    <w:rPr>
                      <w:color w:val="auto"/>
                      <w:szCs w:val="21"/>
                    </w:rPr>
                    <w:t>非甲烷总烃（小时值）</w:t>
                  </w:r>
                </w:p>
              </w:tc>
              <w:tc>
                <w:tcPr>
                  <w:tcW w:w="1205" w:type="dxa"/>
                  <w:tcBorders>
                    <w:top w:val="single" w:color="auto" w:sz="4" w:space="0"/>
                    <w:left w:val="single" w:color="auto" w:sz="4" w:space="0"/>
                    <w:bottom w:val="single" w:color="auto" w:sz="4" w:space="0"/>
                    <w:right w:val="single" w:color="auto" w:sz="4" w:space="0"/>
                  </w:tcBorders>
                  <w:vAlign w:val="center"/>
                </w:tcPr>
                <w:p w14:paraId="0951E22E">
                  <w:pPr>
                    <w:widowControl w:val="0"/>
                    <w:spacing w:line="240" w:lineRule="exact"/>
                    <w:jc w:val="center"/>
                    <w:rPr>
                      <w:color w:val="auto"/>
                      <w:szCs w:val="21"/>
                    </w:rPr>
                  </w:pPr>
                  <w:r>
                    <w:rPr>
                      <w:color w:val="auto"/>
                      <w:szCs w:val="21"/>
                    </w:rPr>
                    <w:t>0.45</w:t>
                  </w:r>
                </w:p>
              </w:tc>
              <w:tc>
                <w:tcPr>
                  <w:tcW w:w="1006" w:type="dxa"/>
                  <w:tcBorders>
                    <w:top w:val="single" w:color="auto" w:sz="4" w:space="0"/>
                    <w:left w:val="single" w:color="auto" w:sz="4" w:space="0"/>
                    <w:bottom w:val="single" w:color="auto" w:sz="4" w:space="0"/>
                    <w:right w:val="single" w:color="auto" w:sz="4" w:space="0"/>
                  </w:tcBorders>
                  <w:vAlign w:val="center"/>
                </w:tcPr>
                <w:p w14:paraId="33E0ADDA">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255EAB12">
                  <w:pPr>
                    <w:widowControl w:val="0"/>
                    <w:spacing w:line="240" w:lineRule="exact"/>
                    <w:jc w:val="center"/>
                    <w:rPr>
                      <w:color w:val="auto"/>
                      <w:szCs w:val="21"/>
                    </w:rPr>
                  </w:pPr>
                  <w:r>
                    <w:rPr>
                      <w:color w:val="auto"/>
                      <w:szCs w:val="21"/>
                    </w:rPr>
                    <w:t>6.0</w:t>
                  </w:r>
                </w:p>
              </w:tc>
              <w:tc>
                <w:tcPr>
                  <w:tcW w:w="843" w:type="dxa"/>
                  <w:vAlign w:val="center"/>
                </w:tcPr>
                <w:p w14:paraId="3BD59965">
                  <w:pPr>
                    <w:widowControl w:val="0"/>
                    <w:spacing w:line="240" w:lineRule="exact"/>
                    <w:jc w:val="center"/>
                    <w:rPr>
                      <w:color w:val="auto"/>
                      <w:szCs w:val="21"/>
                    </w:rPr>
                  </w:pPr>
                  <w:r>
                    <w:rPr>
                      <w:color w:val="auto"/>
                      <w:szCs w:val="21"/>
                    </w:rPr>
                    <w:t>符合</w:t>
                  </w:r>
                </w:p>
              </w:tc>
            </w:tr>
            <w:tr w14:paraId="3133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707A7346">
                  <w:pPr>
                    <w:jc w:val="center"/>
                    <w:rPr>
                      <w:rFonts w:hint="default" w:eastAsia="宋体"/>
                      <w:color w:val="auto"/>
                      <w:szCs w:val="21"/>
                      <w:lang w:val="en-US" w:eastAsia="zh-CN"/>
                    </w:rPr>
                  </w:pPr>
                  <w:r>
                    <w:rPr>
                      <w:rFonts w:hint="eastAsia"/>
                      <w:color w:val="auto"/>
                      <w:szCs w:val="21"/>
                      <w:lang w:val="en-US" w:eastAsia="zh-CN"/>
                    </w:rPr>
                    <w:t>40</w:t>
                  </w:r>
                </w:p>
              </w:tc>
              <w:tc>
                <w:tcPr>
                  <w:tcW w:w="2838" w:type="dxa"/>
                  <w:gridSpan w:val="3"/>
                  <w:vMerge w:val="continue"/>
                  <w:tcBorders>
                    <w:left w:val="single" w:color="auto" w:sz="4" w:space="0"/>
                    <w:bottom w:val="single" w:color="auto" w:sz="4" w:space="0"/>
                    <w:right w:val="single" w:color="auto" w:sz="4" w:space="0"/>
                  </w:tcBorders>
                  <w:vAlign w:val="center"/>
                </w:tcPr>
                <w:p w14:paraId="24A52BD5">
                  <w:pPr>
                    <w:jc w:val="center"/>
                    <w:rPr>
                      <w:color w:val="auto"/>
                      <w:szCs w:val="21"/>
                    </w:rPr>
                  </w:pPr>
                </w:p>
              </w:tc>
              <w:tc>
                <w:tcPr>
                  <w:tcW w:w="1574" w:type="dxa"/>
                  <w:gridSpan w:val="2"/>
                  <w:tcBorders>
                    <w:left w:val="single" w:color="auto" w:sz="4" w:space="0"/>
                    <w:right w:val="single" w:color="auto" w:sz="4" w:space="0"/>
                  </w:tcBorders>
                  <w:vAlign w:val="center"/>
                </w:tcPr>
                <w:p w14:paraId="6F8F5754">
                  <w:pPr>
                    <w:widowControl w:val="0"/>
                    <w:spacing w:line="280" w:lineRule="exact"/>
                    <w:jc w:val="center"/>
                    <w:rPr>
                      <w:color w:val="auto"/>
                      <w:szCs w:val="21"/>
                    </w:rPr>
                  </w:pPr>
                  <w:r>
                    <w:rPr>
                      <w:color w:val="auto"/>
                      <w:szCs w:val="21"/>
                    </w:rPr>
                    <w:t>非甲烷总烃（任意值）</w:t>
                  </w:r>
                </w:p>
              </w:tc>
              <w:tc>
                <w:tcPr>
                  <w:tcW w:w="1205" w:type="dxa"/>
                  <w:tcBorders>
                    <w:top w:val="single" w:color="auto" w:sz="4" w:space="0"/>
                    <w:left w:val="single" w:color="auto" w:sz="4" w:space="0"/>
                    <w:bottom w:val="single" w:color="auto" w:sz="4" w:space="0"/>
                    <w:right w:val="single" w:color="auto" w:sz="4" w:space="0"/>
                  </w:tcBorders>
                  <w:vAlign w:val="center"/>
                </w:tcPr>
                <w:p w14:paraId="69162042">
                  <w:pPr>
                    <w:widowControl w:val="0"/>
                    <w:spacing w:line="240" w:lineRule="exact"/>
                    <w:jc w:val="center"/>
                    <w:rPr>
                      <w:color w:val="auto"/>
                      <w:szCs w:val="21"/>
                    </w:rPr>
                  </w:pPr>
                  <w:r>
                    <w:rPr>
                      <w:color w:val="auto"/>
                      <w:szCs w:val="21"/>
                    </w:rPr>
                    <w:t>1.20</w:t>
                  </w:r>
                </w:p>
              </w:tc>
              <w:tc>
                <w:tcPr>
                  <w:tcW w:w="1006" w:type="dxa"/>
                  <w:tcBorders>
                    <w:top w:val="single" w:color="auto" w:sz="4" w:space="0"/>
                    <w:left w:val="single" w:color="auto" w:sz="4" w:space="0"/>
                    <w:bottom w:val="single" w:color="auto" w:sz="4" w:space="0"/>
                    <w:right w:val="single" w:color="auto" w:sz="4" w:space="0"/>
                  </w:tcBorders>
                  <w:vAlign w:val="center"/>
                </w:tcPr>
                <w:p w14:paraId="6C16544E">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10E06FCD">
                  <w:pPr>
                    <w:widowControl w:val="0"/>
                    <w:spacing w:line="240" w:lineRule="exact"/>
                    <w:jc w:val="center"/>
                    <w:rPr>
                      <w:color w:val="auto"/>
                      <w:szCs w:val="21"/>
                    </w:rPr>
                  </w:pPr>
                  <w:r>
                    <w:rPr>
                      <w:color w:val="auto"/>
                      <w:szCs w:val="21"/>
                    </w:rPr>
                    <w:t>20</w:t>
                  </w:r>
                </w:p>
              </w:tc>
              <w:tc>
                <w:tcPr>
                  <w:tcW w:w="843" w:type="dxa"/>
                  <w:vAlign w:val="center"/>
                </w:tcPr>
                <w:p w14:paraId="0D2DCD90">
                  <w:pPr>
                    <w:widowControl w:val="0"/>
                    <w:spacing w:line="240" w:lineRule="exact"/>
                    <w:jc w:val="center"/>
                    <w:rPr>
                      <w:color w:val="auto"/>
                      <w:szCs w:val="21"/>
                    </w:rPr>
                  </w:pPr>
                  <w:r>
                    <w:rPr>
                      <w:color w:val="auto"/>
                      <w:szCs w:val="21"/>
                    </w:rPr>
                    <w:t>符合</w:t>
                  </w:r>
                </w:p>
              </w:tc>
            </w:tr>
            <w:tr w14:paraId="1D71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2AA88959">
                  <w:pPr>
                    <w:jc w:val="center"/>
                    <w:rPr>
                      <w:rFonts w:hint="default" w:eastAsia="宋体"/>
                      <w:color w:val="auto"/>
                      <w:szCs w:val="21"/>
                      <w:lang w:val="en-US" w:eastAsia="zh-CN"/>
                    </w:rPr>
                  </w:pPr>
                  <w:r>
                    <w:rPr>
                      <w:rFonts w:hint="eastAsia"/>
                      <w:color w:val="auto"/>
                      <w:szCs w:val="21"/>
                      <w:lang w:val="en-US" w:eastAsia="zh-CN"/>
                    </w:rPr>
                    <w:t>41</w:t>
                  </w:r>
                </w:p>
              </w:tc>
              <w:tc>
                <w:tcPr>
                  <w:tcW w:w="2838" w:type="dxa"/>
                  <w:gridSpan w:val="3"/>
                  <w:vMerge w:val="restart"/>
                  <w:tcBorders>
                    <w:top w:val="single" w:color="auto" w:sz="4" w:space="0"/>
                    <w:left w:val="single" w:color="auto" w:sz="4" w:space="0"/>
                    <w:right w:val="single" w:color="auto" w:sz="4" w:space="0"/>
                  </w:tcBorders>
                  <w:vAlign w:val="center"/>
                </w:tcPr>
                <w:p w14:paraId="1EA9E5E3">
                  <w:pPr>
                    <w:jc w:val="center"/>
                    <w:rPr>
                      <w:color w:val="auto"/>
                      <w:szCs w:val="21"/>
                    </w:rPr>
                  </w:pPr>
                  <w:r>
                    <w:rPr>
                      <w:color w:val="auto"/>
                      <w:szCs w:val="21"/>
                    </w:rPr>
                    <w:t>厂区内无组织废气6#</w:t>
                  </w:r>
                </w:p>
              </w:tc>
              <w:tc>
                <w:tcPr>
                  <w:tcW w:w="1574" w:type="dxa"/>
                  <w:gridSpan w:val="2"/>
                  <w:tcBorders>
                    <w:left w:val="single" w:color="auto" w:sz="4" w:space="0"/>
                    <w:right w:val="single" w:color="auto" w:sz="4" w:space="0"/>
                  </w:tcBorders>
                  <w:vAlign w:val="center"/>
                </w:tcPr>
                <w:p w14:paraId="76E50509">
                  <w:pPr>
                    <w:widowControl w:val="0"/>
                    <w:spacing w:line="280" w:lineRule="exact"/>
                    <w:jc w:val="center"/>
                    <w:rPr>
                      <w:color w:val="auto"/>
                      <w:szCs w:val="21"/>
                    </w:rPr>
                  </w:pPr>
                  <w:r>
                    <w:rPr>
                      <w:color w:val="auto"/>
                      <w:szCs w:val="21"/>
                    </w:rPr>
                    <w:t>非甲烷总烃（小时值）</w:t>
                  </w:r>
                </w:p>
              </w:tc>
              <w:tc>
                <w:tcPr>
                  <w:tcW w:w="1205" w:type="dxa"/>
                  <w:tcBorders>
                    <w:top w:val="single" w:color="auto" w:sz="4" w:space="0"/>
                    <w:left w:val="single" w:color="auto" w:sz="4" w:space="0"/>
                    <w:bottom w:val="single" w:color="auto" w:sz="4" w:space="0"/>
                    <w:right w:val="single" w:color="auto" w:sz="4" w:space="0"/>
                  </w:tcBorders>
                  <w:vAlign w:val="center"/>
                </w:tcPr>
                <w:p w14:paraId="4AFF26BA">
                  <w:pPr>
                    <w:widowControl w:val="0"/>
                    <w:spacing w:line="240" w:lineRule="exact"/>
                    <w:jc w:val="center"/>
                    <w:rPr>
                      <w:color w:val="auto"/>
                      <w:szCs w:val="21"/>
                    </w:rPr>
                  </w:pPr>
                  <w:r>
                    <w:rPr>
                      <w:color w:val="auto"/>
                      <w:szCs w:val="21"/>
                    </w:rPr>
                    <w:t>0.36</w:t>
                  </w:r>
                </w:p>
              </w:tc>
              <w:tc>
                <w:tcPr>
                  <w:tcW w:w="1006" w:type="dxa"/>
                  <w:tcBorders>
                    <w:top w:val="single" w:color="auto" w:sz="4" w:space="0"/>
                    <w:left w:val="single" w:color="auto" w:sz="4" w:space="0"/>
                    <w:bottom w:val="single" w:color="auto" w:sz="4" w:space="0"/>
                    <w:right w:val="single" w:color="auto" w:sz="4" w:space="0"/>
                  </w:tcBorders>
                  <w:vAlign w:val="center"/>
                </w:tcPr>
                <w:p w14:paraId="44B18F99">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397D7C2C">
                  <w:pPr>
                    <w:widowControl w:val="0"/>
                    <w:spacing w:line="240" w:lineRule="exact"/>
                    <w:jc w:val="center"/>
                    <w:rPr>
                      <w:color w:val="auto"/>
                      <w:szCs w:val="21"/>
                    </w:rPr>
                  </w:pPr>
                  <w:r>
                    <w:rPr>
                      <w:color w:val="auto"/>
                      <w:szCs w:val="21"/>
                    </w:rPr>
                    <w:t>6.0</w:t>
                  </w:r>
                </w:p>
              </w:tc>
              <w:tc>
                <w:tcPr>
                  <w:tcW w:w="843" w:type="dxa"/>
                  <w:vAlign w:val="center"/>
                </w:tcPr>
                <w:p w14:paraId="1E116C38">
                  <w:pPr>
                    <w:widowControl w:val="0"/>
                    <w:spacing w:line="240" w:lineRule="exact"/>
                    <w:jc w:val="center"/>
                    <w:rPr>
                      <w:color w:val="auto"/>
                      <w:szCs w:val="21"/>
                    </w:rPr>
                  </w:pPr>
                  <w:r>
                    <w:rPr>
                      <w:color w:val="auto"/>
                      <w:szCs w:val="21"/>
                    </w:rPr>
                    <w:t>符合</w:t>
                  </w:r>
                </w:p>
              </w:tc>
            </w:tr>
            <w:tr w14:paraId="0748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3" w:type="dxa"/>
                  <w:tcBorders>
                    <w:top w:val="single" w:color="auto" w:sz="4" w:space="0"/>
                    <w:left w:val="single" w:color="auto" w:sz="4" w:space="0"/>
                    <w:bottom w:val="single" w:color="auto" w:sz="4" w:space="0"/>
                    <w:right w:val="single" w:color="auto" w:sz="4" w:space="0"/>
                  </w:tcBorders>
                  <w:vAlign w:val="center"/>
                </w:tcPr>
                <w:p w14:paraId="203EEA3D">
                  <w:pPr>
                    <w:jc w:val="center"/>
                    <w:rPr>
                      <w:rFonts w:hint="default" w:eastAsia="宋体"/>
                      <w:color w:val="auto"/>
                      <w:szCs w:val="21"/>
                      <w:lang w:val="en-US" w:eastAsia="zh-CN"/>
                    </w:rPr>
                  </w:pPr>
                  <w:r>
                    <w:rPr>
                      <w:rFonts w:hint="eastAsia"/>
                      <w:color w:val="auto"/>
                      <w:szCs w:val="21"/>
                      <w:lang w:val="en-US" w:eastAsia="zh-CN"/>
                    </w:rPr>
                    <w:t>42</w:t>
                  </w:r>
                </w:p>
              </w:tc>
              <w:tc>
                <w:tcPr>
                  <w:tcW w:w="2838" w:type="dxa"/>
                  <w:gridSpan w:val="3"/>
                  <w:vMerge w:val="continue"/>
                  <w:tcBorders>
                    <w:left w:val="single" w:color="auto" w:sz="4" w:space="0"/>
                    <w:bottom w:val="single" w:color="auto" w:sz="4" w:space="0"/>
                    <w:right w:val="single" w:color="auto" w:sz="4" w:space="0"/>
                  </w:tcBorders>
                  <w:vAlign w:val="center"/>
                </w:tcPr>
                <w:p w14:paraId="28ACE913">
                  <w:pPr>
                    <w:jc w:val="center"/>
                    <w:rPr>
                      <w:color w:val="auto"/>
                      <w:szCs w:val="21"/>
                    </w:rPr>
                  </w:pPr>
                </w:p>
              </w:tc>
              <w:tc>
                <w:tcPr>
                  <w:tcW w:w="1574" w:type="dxa"/>
                  <w:gridSpan w:val="2"/>
                  <w:tcBorders>
                    <w:left w:val="single" w:color="auto" w:sz="4" w:space="0"/>
                    <w:right w:val="single" w:color="auto" w:sz="4" w:space="0"/>
                  </w:tcBorders>
                  <w:vAlign w:val="center"/>
                </w:tcPr>
                <w:p w14:paraId="0C763940">
                  <w:pPr>
                    <w:widowControl w:val="0"/>
                    <w:spacing w:line="280" w:lineRule="exact"/>
                    <w:jc w:val="center"/>
                    <w:rPr>
                      <w:color w:val="auto"/>
                      <w:szCs w:val="21"/>
                    </w:rPr>
                  </w:pPr>
                  <w:r>
                    <w:rPr>
                      <w:color w:val="auto"/>
                      <w:szCs w:val="21"/>
                    </w:rPr>
                    <w:t>非甲烷总烃（任意值）</w:t>
                  </w:r>
                </w:p>
              </w:tc>
              <w:tc>
                <w:tcPr>
                  <w:tcW w:w="1205" w:type="dxa"/>
                  <w:tcBorders>
                    <w:top w:val="single" w:color="auto" w:sz="4" w:space="0"/>
                    <w:left w:val="single" w:color="auto" w:sz="4" w:space="0"/>
                    <w:bottom w:val="single" w:color="auto" w:sz="4" w:space="0"/>
                    <w:right w:val="single" w:color="auto" w:sz="4" w:space="0"/>
                  </w:tcBorders>
                  <w:vAlign w:val="center"/>
                </w:tcPr>
                <w:p w14:paraId="2E7EFA55">
                  <w:pPr>
                    <w:widowControl w:val="0"/>
                    <w:spacing w:line="240" w:lineRule="exact"/>
                    <w:jc w:val="center"/>
                    <w:rPr>
                      <w:color w:val="auto"/>
                      <w:szCs w:val="21"/>
                    </w:rPr>
                  </w:pPr>
                  <w:r>
                    <w:rPr>
                      <w:color w:val="auto"/>
                      <w:szCs w:val="21"/>
                    </w:rPr>
                    <w:t>1.19</w:t>
                  </w:r>
                </w:p>
              </w:tc>
              <w:tc>
                <w:tcPr>
                  <w:tcW w:w="1006" w:type="dxa"/>
                  <w:tcBorders>
                    <w:top w:val="single" w:color="auto" w:sz="4" w:space="0"/>
                    <w:left w:val="single" w:color="auto" w:sz="4" w:space="0"/>
                    <w:bottom w:val="single" w:color="auto" w:sz="4" w:space="0"/>
                    <w:right w:val="single" w:color="auto" w:sz="4" w:space="0"/>
                  </w:tcBorders>
                  <w:vAlign w:val="center"/>
                </w:tcPr>
                <w:p w14:paraId="71239822">
                  <w:pPr>
                    <w:spacing w:line="240" w:lineRule="atLeast"/>
                    <w:ind w:left="-107" w:leftChars="-51" w:right="-107" w:rightChars="-51"/>
                    <w:jc w:val="center"/>
                    <w:rPr>
                      <w:color w:val="auto"/>
                      <w:szCs w:val="21"/>
                    </w:rPr>
                  </w:pPr>
                  <w:r>
                    <w:rPr>
                      <w:color w:val="auto"/>
                      <w:szCs w:val="21"/>
                    </w:rPr>
                    <w:t>mg/m</w:t>
                  </w:r>
                  <w:r>
                    <w:rPr>
                      <w:color w:val="auto"/>
                      <w:szCs w:val="21"/>
                      <w:vertAlign w:val="superscript"/>
                    </w:rPr>
                    <w:t>3</w:t>
                  </w:r>
                </w:p>
              </w:tc>
              <w:tc>
                <w:tcPr>
                  <w:tcW w:w="1386" w:type="dxa"/>
                  <w:vAlign w:val="center"/>
                </w:tcPr>
                <w:p w14:paraId="58565D8D">
                  <w:pPr>
                    <w:widowControl w:val="0"/>
                    <w:spacing w:line="240" w:lineRule="exact"/>
                    <w:jc w:val="center"/>
                    <w:rPr>
                      <w:color w:val="auto"/>
                      <w:szCs w:val="21"/>
                    </w:rPr>
                  </w:pPr>
                  <w:r>
                    <w:rPr>
                      <w:color w:val="auto"/>
                      <w:szCs w:val="21"/>
                    </w:rPr>
                    <w:t>20</w:t>
                  </w:r>
                </w:p>
              </w:tc>
              <w:tc>
                <w:tcPr>
                  <w:tcW w:w="843" w:type="dxa"/>
                  <w:vAlign w:val="center"/>
                </w:tcPr>
                <w:p w14:paraId="044FDFCA">
                  <w:pPr>
                    <w:widowControl w:val="0"/>
                    <w:spacing w:line="240" w:lineRule="exact"/>
                    <w:jc w:val="center"/>
                    <w:rPr>
                      <w:color w:val="auto"/>
                      <w:szCs w:val="21"/>
                    </w:rPr>
                  </w:pPr>
                  <w:r>
                    <w:rPr>
                      <w:color w:val="auto"/>
                      <w:szCs w:val="21"/>
                    </w:rPr>
                    <w:t>符合</w:t>
                  </w:r>
                </w:p>
              </w:tc>
            </w:tr>
            <w:tr w14:paraId="6737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495" w:type="dxa"/>
                  <w:gridSpan w:val="10"/>
                  <w:tcBorders>
                    <w:left w:val="single" w:color="auto" w:sz="4" w:space="0"/>
                  </w:tcBorders>
                  <w:vAlign w:val="center"/>
                </w:tcPr>
                <w:p w14:paraId="15EA58FC">
                  <w:pPr>
                    <w:widowControl w:val="0"/>
                    <w:spacing w:line="240" w:lineRule="exact"/>
                    <w:ind w:left="63" w:leftChars="30" w:right="63" w:rightChars="30"/>
                    <w:jc w:val="both"/>
                    <w:rPr>
                      <w:color w:val="auto"/>
                      <w:szCs w:val="21"/>
                    </w:rPr>
                  </w:pPr>
                  <w:r>
                    <w:rPr>
                      <w:color w:val="auto"/>
                      <w:szCs w:val="21"/>
                    </w:rPr>
                    <w:t>备注：</w:t>
                  </w:r>
                </w:p>
                <w:p w14:paraId="5A647AEF">
                  <w:pPr>
                    <w:widowControl w:val="0"/>
                    <w:spacing w:line="240" w:lineRule="exact"/>
                    <w:ind w:left="63" w:leftChars="30" w:right="63" w:rightChars="30"/>
                    <w:jc w:val="both"/>
                    <w:rPr>
                      <w:color w:val="auto"/>
                      <w:szCs w:val="21"/>
                    </w:rPr>
                  </w:pPr>
                  <w:r>
                    <w:rPr>
                      <w:color w:val="auto"/>
                      <w:szCs w:val="21"/>
                    </w:rPr>
                    <w:t>1、硫酸雾、颗粒物执行大气污染物排放限值DB44/27-2001，非甲烷总烃执行《固定污染源挥发性有机物综合排放标准》DB44/2367-2022</w:t>
                  </w:r>
                  <w:r>
                    <w:rPr>
                      <w:rFonts w:hint="eastAsia"/>
                      <w:color w:val="auto"/>
                      <w:szCs w:val="21"/>
                      <w:lang w:eastAsia="zh-CN"/>
                    </w:rPr>
                    <w:t>，</w:t>
                  </w:r>
                  <w:r>
                    <w:rPr>
                      <w:rFonts w:hint="eastAsia"/>
                      <w:color w:val="auto"/>
                      <w:szCs w:val="21"/>
                      <w:lang w:val="en-US" w:eastAsia="zh-CN"/>
                    </w:rPr>
                    <w:t>无组织废气氨、硫化氢、臭气浓度执行《恶臭污染物排放标准》GB14554-93，硝酸雾执行《轧钢工业大气污染物排放标准》GB28665-2012</w:t>
                  </w:r>
                  <w:r>
                    <w:rPr>
                      <w:color w:val="auto"/>
                      <w:szCs w:val="21"/>
                    </w:rPr>
                    <w:t>。</w:t>
                  </w:r>
                </w:p>
                <w:p w14:paraId="5BCD164A">
                  <w:pPr>
                    <w:widowControl w:val="0"/>
                    <w:spacing w:line="240" w:lineRule="exact"/>
                    <w:ind w:left="63" w:leftChars="30" w:right="63" w:rightChars="30"/>
                    <w:jc w:val="both"/>
                    <w:rPr>
                      <w:color w:val="auto"/>
                      <w:szCs w:val="21"/>
                    </w:rPr>
                  </w:pPr>
                  <w:r>
                    <w:rPr>
                      <w:color w:val="auto"/>
                      <w:szCs w:val="21"/>
                    </w:rPr>
                    <w:t>2、“/”表示标准限值没有要求，标准限值由客户提供。</w:t>
                  </w:r>
                </w:p>
                <w:p w14:paraId="65DCEB33">
                  <w:pPr>
                    <w:widowControl w:val="0"/>
                    <w:spacing w:line="240" w:lineRule="exact"/>
                    <w:ind w:left="63" w:leftChars="30" w:right="63" w:rightChars="30"/>
                    <w:jc w:val="both"/>
                    <w:rPr>
                      <w:color w:val="auto"/>
                      <w:szCs w:val="21"/>
                    </w:rPr>
                  </w:pPr>
                  <w:r>
                    <w:rPr>
                      <w:color w:val="auto"/>
                      <w:szCs w:val="21"/>
                    </w:rPr>
                    <w:t>3、“ND”表示检测结果低于方法检出限。</w:t>
                  </w:r>
                </w:p>
              </w:tc>
            </w:tr>
          </w:tbl>
          <w:p w14:paraId="3302A7F3">
            <w:pPr>
              <w:adjustRightInd w:val="0"/>
              <w:snapToGrid w:val="0"/>
              <w:spacing w:line="360" w:lineRule="auto"/>
              <w:ind w:firstLine="480" w:firstLineChars="200"/>
              <w:rPr>
                <w:rFonts w:hint="eastAsia"/>
                <w:b/>
                <w:color w:val="auto"/>
                <w:sz w:val="24"/>
              </w:rPr>
            </w:pPr>
            <w:r>
              <w:rPr>
                <w:rFonts w:hint="eastAsia"/>
                <w:color w:val="auto"/>
                <w:sz w:val="24"/>
              </w:rPr>
              <w:t>现有</w:t>
            </w:r>
            <w:r>
              <w:rPr>
                <w:color w:val="auto"/>
                <w:sz w:val="24"/>
              </w:rPr>
              <w:t>项目</w:t>
            </w:r>
            <w:r>
              <w:rPr>
                <w:rFonts w:hint="eastAsia"/>
                <w:color w:val="auto"/>
                <w:sz w:val="24"/>
              </w:rPr>
              <w:t>切割、抛光有组织排放的粉尘符合</w:t>
            </w:r>
            <w:r>
              <w:rPr>
                <w:color w:val="auto"/>
                <w:sz w:val="24"/>
              </w:rPr>
              <w:t>广东省地方标准《大气污染物排放限值》（DB44/27-2001）中表2工艺废气第二时段</w:t>
            </w:r>
            <w:r>
              <w:rPr>
                <w:rFonts w:hint="eastAsia"/>
                <w:color w:val="auto"/>
                <w:sz w:val="24"/>
              </w:rPr>
              <w:t>二级标准。酸蚀、化学抛光和阳极氧化有组织排放的</w:t>
            </w:r>
            <w:r>
              <w:rPr>
                <w:color w:val="auto"/>
                <w:sz w:val="24"/>
              </w:rPr>
              <w:t>硫酸雾</w:t>
            </w:r>
            <w:r>
              <w:rPr>
                <w:rFonts w:hint="eastAsia"/>
                <w:color w:val="auto"/>
                <w:sz w:val="24"/>
              </w:rPr>
              <w:t>、硝酸雾符合</w:t>
            </w:r>
            <w:r>
              <w:rPr>
                <w:color w:val="auto"/>
                <w:sz w:val="24"/>
              </w:rPr>
              <w:t>《电镀污染物排放标准》</w:t>
            </w:r>
            <w:r>
              <w:rPr>
                <w:rFonts w:hint="eastAsia"/>
                <w:color w:val="auto"/>
                <w:sz w:val="24"/>
              </w:rPr>
              <w:t>（</w:t>
            </w:r>
            <w:r>
              <w:rPr>
                <w:color w:val="auto"/>
                <w:sz w:val="24"/>
              </w:rPr>
              <w:t>GB21900-2008</w:t>
            </w:r>
            <w:r>
              <w:rPr>
                <w:rFonts w:hint="eastAsia"/>
                <w:color w:val="auto"/>
                <w:sz w:val="24"/>
              </w:rPr>
              <w:t>）表5新建企业大气污染物排放浓度限值。碱蚀有组织排放的碱雾符合</w:t>
            </w:r>
            <w:r>
              <w:rPr>
                <w:color w:val="auto"/>
                <w:sz w:val="24"/>
              </w:rPr>
              <w:t>《轧钢工业大气污染物排放标准》（GB28665-2012）表</w:t>
            </w:r>
            <w:r>
              <w:rPr>
                <w:rFonts w:hint="eastAsia"/>
                <w:color w:val="auto"/>
                <w:sz w:val="24"/>
              </w:rPr>
              <w:t>2新建企业</w:t>
            </w:r>
            <w:r>
              <w:rPr>
                <w:color w:val="auto"/>
                <w:sz w:val="24"/>
              </w:rPr>
              <w:t>大气污染物特别排放限值</w:t>
            </w:r>
            <w:r>
              <w:rPr>
                <w:rFonts w:hint="eastAsia"/>
                <w:color w:val="auto"/>
                <w:sz w:val="24"/>
              </w:rPr>
              <w:t>。注塑、着色、烘干工序有组织排放的</w:t>
            </w:r>
            <w:r>
              <w:rPr>
                <w:color w:val="auto"/>
                <w:sz w:val="24"/>
              </w:rPr>
              <w:t>非甲烷总烃</w:t>
            </w:r>
            <w:r>
              <w:rPr>
                <w:rFonts w:hint="eastAsia"/>
                <w:color w:val="auto"/>
                <w:sz w:val="24"/>
              </w:rPr>
              <w:t>符合</w:t>
            </w:r>
            <w:r>
              <w:rPr>
                <w:color w:val="auto"/>
                <w:sz w:val="24"/>
              </w:rPr>
              <w:t>《合成树脂工业污染物排放标准》（GB31572-2015，含2024年修改单）表4大气污染物排放限值</w:t>
            </w:r>
            <w:r>
              <w:rPr>
                <w:rFonts w:hint="eastAsia"/>
                <w:color w:val="auto"/>
                <w:sz w:val="24"/>
              </w:rPr>
              <w:t>。厨房油烟符合</w:t>
            </w:r>
            <w:r>
              <w:rPr>
                <w:color w:val="auto"/>
                <w:sz w:val="24"/>
              </w:rPr>
              <w:t>《饮食业油烟排放标准（试行）》（GB18483-2001）</w:t>
            </w:r>
            <w:r>
              <w:rPr>
                <w:rFonts w:hint="eastAsia"/>
                <w:color w:val="auto"/>
                <w:sz w:val="24"/>
              </w:rPr>
              <w:t>大</w:t>
            </w:r>
            <w:r>
              <w:rPr>
                <w:color w:val="auto"/>
                <w:sz w:val="24"/>
              </w:rPr>
              <w:t>型排放标准限值。</w:t>
            </w:r>
            <w:r>
              <w:rPr>
                <w:rFonts w:hint="eastAsia"/>
                <w:color w:val="auto"/>
                <w:sz w:val="24"/>
              </w:rPr>
              <w:t>无组织排放的硫酸雾、颗粒物符合</w:t>
            </w:r>
            <w:r>
              <w:rPr>
                <w:color w:val="auto"/>
                <w:sz w:val="24"/>
              </w:rPr>
              <w:t>广东省地方标准《大气污染物排放限值》（DB44/27-2001）中表2工艺废气第二时段无组织排放监控浓度限值</w:t>
            </w:r>
            <w:r>
              <w:rPr>
                <w:rFonts w:hint="eastAsia"/>
                <w:color w:val="auto"/>
                <w:sz w:val="24"/>
              </w:rPr>
              <w:t>。硝酸雾符合</w:t>
            </w:r>
            <w:r>
              <w:rPr>
                <w:color w:val="auto"/>
                <w:sz w:val="24"/>
              </w:rPr>
              <w:t>《轧钢工业大气污染物排放标准》（GB28665-2012）</w:t>
            </w:r>
            <w:r>
              <w:rPr>
                <w:rFonts w:hint="eastAsia"/>
                <w:color w:val="auto"/>
                <w:sz w:val="24"/>
              </w:rPr>
              <w:t>表4大气污染物无组织排放限值。</w:t>
            </w:r>
            <w:r>
              <w:rPr>
                <w:color w:val="auto"/>
                <w:sz w:val="24"/>
              </w:rPr>
              <w:t>氨、硫化氢、臭气浓度</w:t>
            </w:r>
            <w:r>
              <w:rPr>
                <w:rFonts w:hint="eastAsia"/>
                <w:color w:val="auto"/>
                <w:sz w:val="24"/>
              </w:rPr>
              <w:t>符合</w:t>
            </w:r>
            <w:r>
              <w:rPr>
                <w:color w:val="auto"/>
                <w:sz w:val="24"/>
              </w:rPr>
              <w:t>《恶臭污染物排放标准》(GB14554-93)表1恶臭污染物厂界标准值新扩改建二级标准</w:t>
            </w:r>
            <w:r>
              <w:rPr>
                <w:rFonts w:hint="eastAsia"/>
                <w:color w:val="auto"/>
                <w:sz w:val="24"/>
              </w:rPr>
              <w:t>。</w:t>
            </w:r>
            <w:r>
              <w:rPr>
                <w:color w:val="auto"/>
                <w:sz w:val="24"/>
              </w:rPr>
              <w:t>厂区内</w:t>
            </w:r>
            <w:r>
              <w:rPr>
                <w:rFonts w:hint="eastAsia"/>
                <w:color w:val="auto"/>
                <w:sz w:val="24"/>
              </w:rPr>
              <w:t>非甲烷总烃</w:t>
            </w:r>
            <w:r>
              <w:rPr>
                <w:color w:val="auto"/>
                <w:sz w:val="24"/>
              </w:rPr>
              <w:t>无组织排放限值达到</w:t>
            </w:r>
            <w:r>
              <w:rPr>
                <w:rFonts w:hint="eastAsia"/>
                <w:color w:val="auto"/>
                <w:sz w:val="24"/>
              </w:rPr>
              <w:t>广东省地方标准《固定污染源挥发性有机物综合排放标准》（DB44/2367-2022）表3厂区内VOCs无组织排放限值。</w:t>
            </w:r>
          </w:p>
          <w:p w14:paraId="07F1DB57">
            <w:pPr>
              <w:spacing w:line="360" w:lineRule="auto"/>
              <w:ind w:firstLine="480" w:firstLineChars="200"/>
              <w:rPr>
                <w:rFonts w:hint="eastAsia" w:hAnsi="宋体"/>
                <w:bCs/>
                <w:color w:val="auto"/>
                <w:sz w:val="24"/>
              </w:rPr>
            </w:pPr>
            <w:r>
              <w:rPr>
                <w:rFonts w:hint="eastAsia" w:hAnsi="宋体"/>
                <w:bCs/>
                <w:color w:val="auto"/>
                <w:sz w:val="24"/>
              </w:rPr>
              <w:t>现有项目废气污染物排放情况见表2-</w:t>
            </w:r>
            <w:r>
              <w:rPr>
                <w:rFonts w:hint="eastAsia" w:hAnsi="宋体"/>
                <w:bCs/>
                <w:color w:val="auto"/>
                <w:sz w:val="24"/>
                <w:lang w:val="en-US" w:eastAsia="zh-CN"/>
              </w:rPr>
              <w:t>20</w:t>
            </w:r>
            <w:r>
              <w:rPr>
                <w:rFonts w:hint="eastAsia" w:hAnsi="宋体"/>
                <w:bCs/>
                <w:color w:val="auto"/>
                <w:sz w:val="24"/>
              </w:rPr>
              <w:t>所示。</w:t>
            </w:r>
          </w:p>
          <w:p w14:paraId="647845B6">
            <w:pPr>
              <w:ind w:firstLine="422" w:firstLineChars="200"/>
              <w:jc w:val="center"/>
              <w:rPr>
                <w:rFonts w:hAnsi="宋体"/>
                <w:b/>
                <w:bCs/>
                <w:color w:val="auto"/>
                <w:highlight w:val="none"/>
              </w:rPr>
            </w:pPr>
            <w:r>
              <w:rPr>
                <w:rFonts w:hint="eastAsia" w:hAnsi="宋体"/>
                <w:b/>
                <w:bCs/>
                <w:color w:val="auto"/>
                <w:highlight w:val="none"/>
              </w:rPr>
              <w:t>表2-</w:t>
            </w:r>
            <w:r>
              <w:rPr>
                <w:rFonts w:hint="eastAsia" w:hAnsi="宋体"/>
                <w:b/>
                <w:bCs/>
                <w:color w:val="auto"/>
                <w:highlight w:val="none"/>
                <w:lang w:val="en-US" w:eastAsia="zh-CN"/>
              </w:rPr>
              <w:t>20</w:t>
            </w:r>
            <w:r>
              <w:rPr>
                <w:rFonts w:hint="eastAsia" w:hAnsi="宋体"/>
                <w:b/>
                <w:bCs/>
                <w:color w:val="auto"/>
                <w:highlight w:val="none"/>
              </w:rPr>
              <w:t>现有项目废气污染物排放情况一览表</w:t>
            </w:r>
          </w:p>
          <w:tbl>
            <w:tblPr>
              <w:tblStyle w:val="42"/>
              <w:tblW w:w="9409" w:type="dxa"/>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860"/>
              <w:gridCol w:w="2304"/>
              <w:gridCol w:w="2107"/>
              <w:gridCol w:w="2138"/>
            </w:tblGrid>
            <w:tr w14:paraId="5EDF5C7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60" w:type="dxa"/>
                  <w:vMerge w:val="restart"/>
                  <w:tcBorders>
                    <w:tl2br w:val="nil"/>
                    <w:tr2bl w:val="nil"/>
                  </w:tcBorders>
                  <w:vAlign w:val="center"/>
                </w:tcPr>
                <w:p w14:paraId="75173E4A">
                  <w:pPr>
                    <w:jc w:val="center"/>
                    <w:rPr>
                      <w:rFonts w:hint="eastAsia" w:hAnsi="宋体"/>
                      <w:b/>
                      <w:bCs/>
                      <w:color w:val="auto"/>
                      <w:sz w:val="21"/>
                      <w:szCs w:val="21"/>
                      <w:highlight w:val="none"/>
                    </w:rPr>
                  </w:pPr>
                  <w:r>
                    <w:rPr>
                      <w:rFonts w:hint="eastAsia" w:hAnsi="宋体"/>
                      <w:b/>
                      <w:bCs/>
                      <w:color w:val="auto"/>
                      <w:sz w:val="21"/>
                      <w:szCs w:val="21"/>
                      <w:highlight w:val="none"/>
                    </w:rPr>
                    <w:t>污染源</w:t>
                  </w:r>
                </w:p>
              </w:tc>
              <w:tc>
                <w:tcPr>
                  <w:tcW w:w="2304" w:type="dxa"/>
                  <w:vMerge w:val="restart"/>
                  <w:tcBorders>
                    <w:tl2br w:val="nil"/>
                    <w:tr2bl w:val="nil"/>
                  </w:tcBorders>
                  <w:vAlign w:val="center"/>
                </w:tcPr>
                <w:p w14:paraId="17BDA1A9">
                  <w:pPr>
                    <w:jc w:val="center"/>
                    <w:rPr>
                      <w:rFonts w:hint="eastAsia" w:hAnsi="宋体"/>
                      <w:b/>
                      <w:bCs/>
                      <w:color w:val="auto"/>
                      <w:sz w:val="21"/>
                      <w:szCs w:val="21"/>
                      <w:highlight w:val="none"/>
                    </w:rPr>
                  </w:pPr>
                  <w:r>
                    <w:rPr>
                      <w:rFonts w:hint="eastAsia" w:hAnsi="宋体"/>
                      <w:b/>
                      <w:bCs/>
                      <w:color w:val="auto"/>
                      <w:sz w:val="21"/>
                      <w:szCs w:val="21"/>
                      <w:highlight w:val="none"/>
                    </w:rPr>
                    <w:t>污染物</w:t>
                  </w:r>
                </w:p>
              </w:tc>
              <w:tc>
                <w:tcPr>
                  <w:tcW w:w="4245" w:type="dxa"/>
                  <w:gridSpan w:val="2"/>
                  <w:tcBorders>
                    <w:tl2br w:val="nil"/>
                    <w:tr2bl w:val="nil"/>
                  </w:tcBorders>
                  <w:vAlign w:val="center"/>
                </w:tcPr>
                <w:p w14:paraId="60EF7EC6">
                  <w:pPr>
                    <w:jc w:val="center"/>
                    <w:rPr>
                      <w:rFonts w:hint="eastAsia" w:hAnsi="宋体"/>
                      <w:b/>
                      <w:bCs/>
                      <w:color w:val="auto"/>
                      <w:sz w:val="21"/>
                      <w:szCs w:val="21"/>
                      <w:highlight w:val="none"/>
                    </w:rPr>
                  </w:pPr>
                  <w:r>
                    <w:rPr>
                      <w:rFonts w:hint="eastAsia" w:hAnsi="宋体"/>
                      <w:b/>
                      <w:bCs/>
                      <w:color w:val="auto"/>
                      <w:sz w:val="21"/>
                      <w:szCs w:val="21"/>
                      <w:highlight w:val="none"/>
                    </w:rPr>
                    <w:t>污染物排放</w:t>
                  </w:r>
                </w:p>
              </w:tc>
            </w:tr>
            <w:tr w14:paraId="43B40E8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60" w:type="dxa"/>
                  <w:vMerge w:val="continue"/>
                  <w:tcBorders>
                    <w:tl2br w:val="nil"/>
                    <w:tr2bl w:val="nil"/>
                  </w:tcBorders>
                  <w:vAlign w:val="center"/>
                </w:tcPr>
                <w:p w14:paraId="39EB9966">
                  <w:pPr>
                    <w:jc w:val="center"/>
                    <w:rPr>
                      <w:rFonts w:hint="eastAsia" w:hAnsi="宋体"/>
                      <w:b/>
                      <w:bCs/>
                      <w:color w:val="auto"/>
                      <w:sz w:val="21"/>
                      <w:szCs w:val="21"/>
                      <w:highlight w:val="none"/>
                    </w:rPr>
                  </w:pPr>
                </w:p>
              </w:tc>
              <w:tc>
                <w:tcPr>
                  <w:tcW w:w="2304" w:type="dxa"/>
                  <w:vMerge w:val="continue"/>
                  <w:tcBorders>
                    <w:tl2br w:val="nil"/>
                    <w:tr2bl w:val="nil"/>
                  </w:tcBorders>
                  <w:vAlign w:val="center"/>
                </w:tcPr>
                <w:p w14:paraId="1E68B92B">
                  <w:pPr>
                    <w:jc w:val="center"/>
                    <w:rPr>
                      <w:rFonts w:hint="eastAsia" w:hAnsi="宋体"/>
                      <w:b/>
                      <w:bCs/>
                      <w:color w:val="auto"/>
                      <w:sz w:val="21"/>
                      <w:szCs w:val="21"/>
                      <w:highlight w:val="none"/>
                    </w:rPr>
                  </w:pPr>
                </w:p>
              </w:tc>
              <w:tc>
                <w:tcPr>
                  <w:tcW w:w="2107" w:type="dxa"/>
                  <w:tcBorders>
                    <w:tl2br w:val="nil"/>
                    <w:tr2bl w:val="nil"/>
                  </w:tcBorders>
                  <w:vAlign w:val="center"/>
                </w:tcPr>
                <w:p w14:paraId="32947BAA">
                  <w:pPr>
                    <w:jc w:val="center"/>
                    <w:rPr>
                      <w:rFonts w:hAnsi="宋体"/>
                      <w:b/>
                      <w:bCs/>
                      <w:color w:val="auto"/>
                      <w:sz w:val="21"/>
                      <w:szCs w:val="21"/>
                      <w:highlight w:val="none"/>
                    </w:rPr>
                  </w:pPr>
                  <w:r>
                    <w:rPr>
                      <w:rFonts w:hint="eastAsia" w:hAnsi="宋体"/>
                      <w:b/>
                      <w:bCs/>
                      <w:color w:val="auto"/>
                      <w:sz w:val="21"/>
                      <w:szCs w:val="21"/>
                      <w:highlight w:val="none"/>
                    </w:rPr>
                    <w:t>排放速率kg/h</w:t>
                  </w:r>
                </w:p>
              </w:tc>
              <w:tc>
                <w:tcPr>
                  <w:tcW w:w="2138" w:type="dxa"/>
                  <w:tcBorders>
                    <w:tl2br w:val="nil"/>
                    <w:tr2bl w:val="nil"/>
                  </w:tcBorders>
                  <w:vAlign w:val="center"/>
                </w:tcPr>
                <w:p w14:paraId="055908D2">
                  <w:pPr>
                    <w:jc w:val="center"/>
                    <w:rPr>
                      <w:rFonts w:hAnsi="宋体"/>
                      <w:b/>
                      <w:bCs/>
                      <w:color w:val="auto"/>
                      <w:sz w:val="21"/>
                      <w:szCs w:val="21"/>
                      <w:highlight w:val="none"/>
                    </w:rPr>
                  </w:pPr>
                  <w:r>
                    <w:rPr>
                      <w:rFonts w:hint="eastAsia" w:hAnsi="宋体"/>
                      <w:b/>
                      <w:bCs/>
                      <w:color w:val="auto"/>
                      <w:sz w:val="21"/>
                      <w:szCs w:val="21"/>
                      <w:highlight w:val="none"/>
                    </w:rPr>
                    <w:t>排放</w:t>
                  </w:r>
                  <w:r>
                    <w:rPr>
                      <w:rFonts w:hint="eastAsia" w:hAnsi="宋体"/>
                      <w:b/>
                      <w:bCs/>
                      <w:color w:val="auto"/>
                      <w:sz w:val="21"/>
                      <w:szCs w:val="21"/>
                      <w:highlight w:val="none"/>
                      <w:lang w:val="en-US" w:eastAsia="zh-CN"/>
                    </w:rPr>
                    <w:t>总</w:t>
                  </w:r>
                  <w:r>
                    <w:rPr>
                      <w:rFonts w:hint="eastAsia" w:hAnsi="宋体"/>
                      <w:b/>
                      <w:bCs/>
                      <w:color w:val="auto"/>
                      <w:sz w:val="21"/>
                      <w:szCs w:val="21"/>
                      <w:highlight w:val="none"/>
                    </w:rPr>
                    <w:t>量t/a</w:t>
                  </w:r>
                </w:p>
              </w:tc>
            </w:tr>
            <w:tr w14:paraId="1F1E500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60" w:type="dxa"/>
                  <w:tcBorders>
                    <w:tl2br w:val="nil"/>
                    <w:tr2bl w:val="nil"/>
                  </w:tcBorders>
                  <w:vAlign w:val="center"/>
                </w:tcPr>
                <w:p w14:paraId="6D9DE0ED">
                  <w:pPr>
                    <w:jc w:val="center"/>
                    <w:rPr>
                      <w:rFonts w:hAnsi="宋体"/>
                      <w:bCs/>
                      <w:color w:val="auto"/>
                      <w:sz w:val="21"/>
                      <w:szCs w:val="21"/>
                      <w:highlight w:val="none"/>
                    </w:rPr>
                  </w:pPr>
                  <w:r>
                    <w:rPr>
                      <w:rFonts w:hint="eastAsia" w:hAnsi="宋体"/>
                      <w:bCs/>
                      <w:color w:val="auto"/>
                      <w:sz w:val="21"/>
                      <w:szCs w:val="21"/>
                      <w:highlight w:val="none"/>
                    </w:rPr>
                    <w:t>切割、抛光</w:t>
                  </w:r>
                </w:p>
              </w:tc>
              <w:tc>
                <w:tcPr>
                  <w:tcW w:w="2304" w:type="dxa"/>
                  <w:tcBorders>
                    <w:tl2br w:val="nil"/>
                    <w:tr2bl w:val="nil"/>
                  </w:tcBorders>
                  <w:vAlign w:val="center"/>
                </w:tcPr>
                <w:p w14:paraId="5CCAD16B">
                  <w:pPr>
                    <w:jc w:val="center"/>
                    <w:rPr>
                      <w:rFonts w:hint="eastAsia" w:hAnsi="宋体"/>
                      <w:bCs/>
                      <w:color w:val="auto"/>
                      <w:sz w:val="21"/>
                      <w:szCs w:val="21"/>
                      <w:highlight w:val="none"/>
                    </w:rPr>
                  </w:pPr>
                  <w:r>
                    <w:rPr>
                      <w:rFonts w:hint="eastAsia" w:hAnsi="宋体"/>
                      <w:bCs/>
                      <w:color w:val="auto"/>
                      <w:sz w:val="21"/>
                      <w:szCs w:val="21"/>
                      <w:highlight w:val="none"/>
                    </w:rPr>
                    <w:t>颗粒物</w:t>
                  </w:r>
                </w:p>
              </w:tc>
              <w:tc>
                <w:tcPr>
                  <w:tcW w:w="2107" w:type="dxa"/>
                  <w:tcBorders>
                    <w:tl2br w:val="nil"/>
                    <w:tr2bl w:val="nil"/>
                  </w:tcBorders>
                  <w:vAlign w:val="center"/>
                </w:tcPr>
                <w:p w14:paraId="6BD0D04F">
                  <w:pPr>
                    <w:jc w:val="center"/>
                    <w:rPr>
                      <w:rFonts w:hint="default" w:hAnsi="宋体" w:eastAsia="宋体"/>
                      <w:bCs/>
                      <w:color w:val="auto"/>
                      <w:sz w:val="21"/>
                      <w:szCs w:val="21"/>
                      <w:highlight w:val="none"/>
                      <w:lang w:val="en-US" w:eastAsia="zh-CN"/>
                    </w:rPr>
                  </w:pPr>
                  <w:r>
                    <w:rPr>
                      <w:rFonts w:hint="eastAsia" w:hAnsi="宋体"/>
                      <w:bCs/>
                      <w:color w:val="auto"/>
                      <w:sz w:val="21"/>
                      <w:szCs w:val="21"/>
                      <w:highlight w:val="none"/>
                      <w:lang w:val="en-US" w:eastAsia="zh-CN"/>
                    </w:rPr>
                    <w:t>0.039</w:t>
                  </w:r>
                </w:p>
              </w:tc>
              <w:tc>
                <w:tcPr>
                  <w:tcW w:w="2138" w:type="dxa"/>
                  <w:tcBorders>
                    <w:tl2br w:val="nil"/>
                    <w:tr2bl w:val="nil"/>
                  </w:tcBorders>
                  <w:vAlign w:val="center"/>
                </w:tcPr>
                <w:p w14:paraId="44D449C1">
                  <w:pPr>
                    <w:keepNext w:val="0"/>
                    <w:keepLines w:val="0"/>
                    <w:widowControl/>
                    <w:suppressLineNumbers w:val="0"/>
                    <w:jc w:val="center"/>
                    <w:textAlignment w:val="center"/>
                    <w:rPr>
                      <w:bCs/>
                      <w:color w:val="auto"/>
                      <w:kern w:val="36"/>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0.1144 </w:t>
                  </w:r>
                </w:p>
              </w:tc>
            </w:tr>
            <w:tr w14:paraId="0C744E8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60" w:type="dxa"/>
                  <w:tcBorders>
                    <w:tl2br w:val="nil"/>
                    <w:tr2bl w:val="nil"/>
                  </w:tcBorders>
                  <w:vAlign w:val="center"/>
                </w:tcPr>
                <w:p w14:paraId="68F1BB84">
                  <w:pPr>
                    <w:jc w:val="center"/>
                    <w:rPr>
                      <w:rFonts w:hAnsi="宋体"/>
                      <w:bCs/>
                      <w:color w:val="auto"/>
                      <w:sz w:val="21"/>
                      <w:szCs w:val="21"/>
                      <w:highlight w:val="none"/>
                    </w:rPr>
                  </w:pPr>
                  <w:r>
                    <w:rPr>
                      <w:rFonts w:hint="eastAsia" w:hAnsi="宋体"/>
                      <w:bCs/>
                      <w:color w:val="auto"/>
                      <w:sz w:val="21"/>
                      <w:szCs w:val="21"/>
                      <w:highlight w:val="none"/>
                    </w:rPr>
                    <w:t>碱蚀</w:t>
                  </w:r>
                </w:p>
              </w:tc>
              <w:tc>
                <w:tcPr>
                  <w:tcW w:w="2304" w:type="dxa"/>
                  <w:tcBorders>
                    <w:tl2br w:val="nil"/>
                    <w:tr2bl w:val="nil"/>
                  </w:tcBorders>
                  <w:vAlign w:val="center"/>
                </w:tcPr>
                <w:p w14:paraId="1CB3AB05">
                  <w:pPr>
                    <w:jc w:val="center"/>
                    <w:rPr>
                      <w:rFonts w:hAnsi="宋体"/>
                      <w:bCs/>
                      <w:color w:val="auto"/>
                      <w:sz w:val="21"/>
                      <w:szCs w:val="21"/>
                      <w:highlight w:val="none"/>
                    </w:rPr>
                  </w:pPr>
                  <w:r>
                    <w:rPr>
                      <w:rFonts w:hint="eastAsia" w:hAnsi="宋体"/>
                      <w:bCs/>
                      <w:color w:val="auto"/>
                      <w:sz w:val="21"/>
                      <w:szCs w:val="21"/>
                      <w:highlight w:val="none"/>
                    </w:rPr>
                    <w:t>碱雾</w:t>
                  </w:r>
                </w:p>
              </w:tc>
              <w:tc>
                <w:tcPr>
                  <w:tcW w:w="2107" w:type="dxa"/>
                  <w:tcBorders>
                    <w:tl2br w:val="nil"/>
                    <w:tr2bl w:val="nil"/>
                  </w:tcBorders>
                  <w:vAlign w:val="center"/>
                </w:tcPr>
                <w:p w14:paraId="33B4A028">
                  <w:pPr>
                    <w:jc w:val="center"/>
                    <w:rPr>
                      <w:rFonts w:hint="default" w:hAnsi="宋体" w:eastAsia="宋体"/>
                      <w:bCs/>
                      <w:color w:val="auto"/>
                      <w:sz w:val="21"/>
                      <w:szCs w:val="21"/>
                      <w:highlight w:val="none"/>
                      <w:lang w:val="en-US" w:eastAsia="zh-CN"/>
                    </w:rPr>
                  </w:pPr>
                  <w:r>
                    <w:rPr>
                      <w:rFonts w:hint="eastAsia" w:hAnsi="宋体"/>
                      <w:bCs/>
                      <w:color w:val="auto"/>
                      <w:sz w:val="21"/>
                      <w:szCs w:val="21"/>
                      <w:highlight w:val="none"/>
                      <w:lang w:val="en-US" w:eastAsia="zh-CN"/>
                    </w:rPr>
                    <w:t>0.0376</w:t>
                  </w:r>
                </w:p>
              </w:tc>
              <w:tc>
                <w:tcPr>
                  <w:tcW w:w="2138" w:type="dxa"/>
                  <w:tcBorders>
                    <w:tl2br w:val="nil"/>
                    <w:tr2bl w:val="nil"/>
                  </w:tcBorders>
                  <w:vAlign w:val="center"/>
                </w:tcPr>
                <w:p w14:paraId="3370E0FE">
                  <w:pPr>
                    <w:keepNext w:val="0"/>
                    <w:keepLines w:val="0"/>
                    <w:widowControl/>
                    <w:suppressLineNumbers w:val="0"/>
                    <w:jc w:val="center"/>
                    <w:textAlignment w:val="center"/>
                    <w:rPr>
                      <w:bCs/>
                      <w:color w:val="auto"/>
                      <w:kern w:val="36"/>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0.1028 </w:t>
                  </w:r>
                </w:p>
              </w:tc>
            </w:tr>
            <w:tr w14:paraId="37B9495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60" w:type="dxa"/>
                  <w:vMerge w:val="restart"/>
                  <w:tcBorders>
                    <w:tl2br w:val="nil"/>
                    <w:tr2bl w:val="nil"/>
                  </w:tcBorders>
                  <w:vAlign w:val="center"/>
                </w:tcPr>
                <w:p w14:paraId="64F5A493">
                  <w:pPr>
                    <w:jc w:val="center"/>
                    <w:rPr>
                      <w:rFonts w:hAnsi="宋体"/>
                      <w:bCs/>
                      <w:color w:val="auto"/>
                      <w:sz w:val="21"/>
                      <w:szCs w:val="21"/>
                      <w:highlight w:val="none"/>
                    </w:rPr>
                  </w:pPr>
                  <w:r>
                    <w:rPr>
                      <w:rFonts w:hint="eastAsia"/>
                      <w:color w:val="auto"/>
                      <w:sz w:val="21"/>
                      <w:szCs w:val="21"/>
                      <w:highlight w:val="none"/>
                    </w:rPr>
                    <w:t>酸蚀、化学抛光和阳极氧化</w:t>
                  </w:r>
                </w:p>
              </w:tc>
              <w:tc>
                <w:tcPr>
                  <w:tcW w:w="2304" w:type="dxa"/>
                  <w:tcBorders>
                    <w:bottom w:val="single" w:color="000000" w:sz="6" w:space="0"/>
                    <w:tl2br w:val="nil"/>
                    <w:tr2bl w:val="nil"/>
                  </w:tcBorders>
                  <w:vAlign w:val="center"/>
                </w:tcPr>
                <w:p w14:paraId="3EB78E31">
                  <w:pPr>
                    <w:jc w:val="center"/>
                    <w:rPr>
                      <w:rFonts w:hint="eastAsia" w:hAnsi="宋体"/>
                      <w:bCs/>
                      <w:color w:val="auto"/>
                      <w:sz w:val="21"/>
                      <w:szCs w:val="21"/>
                      <w:highlight w:val="none"/>
                    </w:rPr>
                  </w:pPr>
                  <w:r>
                    <w:rPr>
                      <w:rFonts w:hint="eastAsia" w:hAnsi="宋体"/>
                      <w:bCs/>
                      <w:color w:val="auto"/>
                      <w:sz w:val="21"/>
                      <w:szCs w:val="21"/>
                      <w:highlight w:val="none"/>
                    </w:rPr>
                    <w:t>硫酸雾</w:t>
                  </w:r>
                </w:p>
              </w:tc>
              <w:tc>
                <w:tcPr>
                  <w:tcW w:w="2107" w:type="dxa"/>
                  <w:tcBorders>
                    <w:bottom w:val="single" w:color="000000" w:sz="6" w:space="0"/>
                    <w:tl2br w:val="nil"/>
                    <w:tr2bl w:val="nil"/>
                  </w:tcBorders>
                  <w:vAlign w:val="center"/>
                </w:tcPr>
                <w:p w14:paraId="22D6D222">
                  <w:pPr>
                    <w:jc w:val="center"/>
                    <w:rPr>
                      <w:rFonts w:hint="default" w:eastAsia="宋体"/>
                      <w:bCs/>
                      <w:color w:val="auto"/>
                      <w:kern w:val="36"/>
                      <w:sz w:val="21"/>
                      <w:szCs w:val="21"/>
                      <w:highlight w:val="none"/>
                      <w:lang w:val="en-US" w:eastAsia="zh-CN"/>
                    </w:rPr>
                  </w:pPr>
                  <w:r>
                    <w:rPr>
                      <w:rFonts w:hint="eastAsia"/>
                      <w:bCs/>
                      <w:color w:val="auto"/>
                      <w:kern w:val="36"/>
                      <w:sz w:val="21"/>
                      <w:szCs w:val="21"/>
                      <w:highlight w:val="none"/>
                      <w:lang w:val="en-US" w:eastAsia="zh-CN"/>
                    </w:rPr>
                    <w:t>0.0022</w:t>
                  </w:r>
                </w:p>
              </w:tc>
              <w:tc>
                <w:tcPr>
                  <w:tcW w:w="2138" w:type="dxa"/>
                  <w:tcBorders>
                    <w:bottom w:val="single" w:color="000000" w:sz="6" w:space="0"/>
                    <w:tl2br w:val="nil"/>
                    <w:tr2bl w:val="nil"/>
                  </w:tcBorders>
                  <w:vAlign w:val="center"/>
                </w:tcPr>
                <w:p w14:paraId="26481E25">
                  <w:pPr>
                    <w:keepNext w:val="0"/>
                    <w:keepLines w:val="0"/>
                    <w:widowControl/>
                    <w:suppressLineNumbers w:val="0"/>
                    <w:jc w:val="center"/>
                    <w:textAlignment w:val="center"/>
                    <w:rPr>
                      <w:rFonts w:hint="eastAsia"/>
                      <w:bCs/>
                      <w:color w:val="auto"/>
                      <w:kern w:val="36"/>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0.0067 </w:t>
                  </w:r>
                </w:p>
              </w:tc>
            </w:tr>
            <w:tr w14:paraId="1FBCBB1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60" w:type="dxa"/>
                  <w:vMerge w:val="continue"/>
                  <w:tcBorders>
                    <w:tl2br w:val="nil"/>
                    <w:tr2bl w:val="nil"/>
                  </w:tcBorders>
                  <w:vAlign w:val="center"/>
                </w:tcPr>
                <w:p w14:paraId="5A3F1E30">
                  <w:pPr>
                    <w:jc w:val="center"/>
                    <w:rPr>
                      <w:rFonts w:hint="eastAsia"/>
                      <w:color w:val="auto"/>
                      <w:sz w:val="21"/>
                      <w:szCs w:val="21"/>
                      <w:highlight w:val="none"/>
                    </w:rPr>
                  </w:pPr>
                </w:p>
              </w:tc>
              <w:tc>
                <w:tcPr>
                  <w:tcW w:w="2304" w:type="dxa"/>
                  <w:tcBorders>
                    <w:top w:val="single" w:color="000000" w:sz="6" w:space="0"/>
                    <w:tl2br w:val="nil"/>
                    <w:tr2bl w:val="nil"/>
                  </w:tcBorders>
                  <w:vAlign w:val="center"/>
                </w:tcPr>
                <w:p w14:paraId="42760F3F">
                  <w:pPr>
                    <w:jc w:val="center"/>
                    <w:rPr>
                      <w:rFonts w:hint="eastAsia" w:hAnsi="宋体"/>
                      <w:bCs/>
                      <w:color w:val="auto"/>
                      <w:sz w:val="21"/>
                      <w:szCs w:val="21"/>
                      <w:highlight w:val="none"/>
                    </w:rPr>
                  </w:pPr>
                  <w:r>
                    <w:rPr>
                      <w:rFonts w:hint="eastAsia" w:hAnsi="宋体"/>
                      <w:bCs/>
                      <w:color w:val="auto"/>
                      <w:sz w:val="21"/>
                      <w:szCs w:val="21"/>
                      <w:highlight w:val="none"/>
                    </w:rPr>
                    <w:t>硝酸雾</w:t>
                  </w:r>
                </w:p>
              </w:tc>
              <w:tc>
                <w:tcPr>
                  <w:tcW w:w="2107" w:type="dxa"/>
                  <w:tcBorders>
                    <w:top w:val="single" w:color="000000" w:sz="6" w:space="0"/>
                    <w:tl2br w:val="nil"/>
                    <w:tr2bl w:val="nil"/>
                  </w:tcBorders>
                  <w:vAlign w:val="center"/>
                </w:tcPr>
                <w:p w14:paraId="4633CEBC">
                  <w:pPr>
                    <w:jc w:val="center"/>
                    <w:rPr>
                      <w:rFonts w:hint="default" w:eastAsia="宋体"/>
                      <w:bCs/>
                      <w:color w:val="auto"/>
                      <w:kern w:val="36"/>
                      <w:sz w:val="21"/>
                      <w:szCs w:val="21"/>
                      <w:highlight w:val="none"/>
                      <w:lang w:val="en-US" w:eastAsia="zh-CN"/>
                    </w:rPr>
                  </w:pPr>
                  <w:r>
                    <w:rPr>
                      <w:rFonts w:hint="eastAsia"/>
                      <w:bCs/>
                      <w:color w:val="auto"/>
                      <w:kern w:val="36"/>
                      <w:sz w:val="21"/>
                      <w:szCs w:val="21"/>
                      <w:highlight w:val="none"/>
                      <w:lang w:val="en-US" w:eastAsia="zh-CN"/>
                    </w:rPr>
                    <w:t>0.00055</w:t>
                  </w:r>
                </w:p>
              </w:tc>
              <w:tc>
                <w:tcPr>
                  <w:tcW w:w="2138" w:type="dxa"/>
                  <w:tcBorders>
                    <w:top w:val="single" w:color="000000" w:sz="6" w:space="0"/>
                    <w:tl2br w:val="nil"/>
                    <w:tr2bl w:val="nil"/>
                  </w:tcBorders>
                  <w:vAlign w:val="center"/>
                </w:tcPr>
                <w:p w14:paraId="4C8EDCE2">
                  <w:pPr>
                    <w:keepNext w:val="0"/>
                    <w:keepLines w:val="0"/>
                    <w:widowControl/>
                    <w:suppressLineNumbers w:val="0"/>
                    <w:jc w:val="center"/>
                    <w:textAlignment w:val="center"/>
                    <w:rPr>
                      <w:rFonts w:hint="eastAsia"/>
                      <w:bCs/>
                      <w:color w:val="auto"/>
                      <w:kern w:val="36"/>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0.0017 </w:t>
                  </w:r>
                </w:p>
              </w:tc>
            </w:tr>
            <w:tr w14:paraId="49A1793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60" w:type="dxa"/>
                  <w:tcBorders>
                    <w:tl2br w:val="nil"/>
                    <w:tr2bl w:val="nil"/>
                  </w:tcBorders>
                  <w:vAlign w:val="center"/>
                </w:tcPr>
                <w:p w14:paraId="26625E43">
                  <w:pPr>
                    <w:jc w:val="center"/>
                    <w:rPr>
                      <w:rFonts w:hAnsi="宋体"/>
                      <w:bCs/>
                      <w:color w:val="auto"/>
                      <w:sz w:val="21"/>
                      <w:szCs w:val="21"/>
                      <w:highlight w:val="none"/>
                    </w:rPr>
                  </w:pPr>
                  <w:r>
                    <w:rPr>
                      <w:rFonts w:hint="eastAsia" w:hAnsi="宋体"/>
                      <w:bCs/>
                      <w:color w:val="auto"/>
                      <w:sz w:val="21"/>
                      <w:szCs w:val="21"/>
                      <w:highlight w:val="none"/>
                    </w:rPr>
                    <w:t>注塑、着色、烘干</w:t>
                  </w:r>
                </w:p>
              </w:tc>
              <w:tc>
                <w:tcPr>
                  <w:tcW w:w="2304" w:type="dxa"/>
                  <w:tcBorders>
                    <w:tl2br w:val="nil"/>
                    <w:tr2bl w:val="nil"/>
                  </w:tcBorders>
                  <w:vAlign w:val="center"/>
                </w:tcPr>
                <w:p w14:paraId="26C70250">
                  <w:pPr>
                    <w:jc w:val="center"/>
                    <w:rPr>
                      <w:rFonts w:hAnsi="宋体"/>
                      <w:bCs/>
                      <w:color w:val="auto"/>
                      <w:sz w:val="21"/>
                      <w:szCs w:val="21"/>
                      <w:highlight w:val="none"/>
                    </w:rPr>
                  </w:pPr>
                  <w:r>
                    <w:rPr>
                      <w:rFonts w:hint="eastAsia" w:hAnsi="宋体"/>
                      <w:bCs/>
                      <w:color w:val="auto"/>
                      <w:sz w:val="21"/>
                      <w:szCs w:val="21"/>
                      <w:highlight w:val="none"/>
                    </w:rPr>
                    <w:t>非甲烷总烃</w:t>
                  </w:r>
                </w:p>
              </w:tc>
              <w:tc>
                <w:tcPr>
                  <w:tcW w:w="2107" w:type="dxa"/>
                  <w:tcBorders>
                    <w:tl2br w:val="nil"/>
                    <w:tr2bl w:val="nil"/>
                  </w:tcBorders>
                  <w:vAlign w:val="center"/>
                </w:tcPr>
                <w:p w14:paraId="3BB085F6">
                  <w:pPr>
                    <w:jc w:val="center"/>
                    <w:rPr>
                      <w:rFonts w:hint="default" w:eastAsia="宋体"/>
                      <w:bCs/>
                      <w:color w:val="auto"/>
                      <w:kern w:val="36"/>
                      <w:sz w:val="21"/>
                      <w:szCs w:val="21"/>
                      <w:highlight w:val="none"/>
                      <w:lang w:val="en-US" w:eastAsia="zh-CN"/>
                    </w:rPr>
                  </w:pPr>
                  <w:r>
                    <w:rPr>
                      <w:rFonts w:hint="eastAsia"/>
                      <w:bCs/>
                      <w:color w:val="auto"/>
                      <w:kern w:val="36"/>
                      <w:sz w:val="21"/>
                      <w:szCs w:val="21"/>
                      <w:highlight w:val="none"/>
                      <w:lang w:val="en-US" w:eastAsia="zh-CN"/>
                    </w:rPr>
                    <w:t>0.0346</w:t>
                  </w:r>
                </w:p>
              </w:tc>
              <w:tc>
                <w:tcPr>
                  <w:tcW w:w="2138" w:type="dxa"/>
                  <w:tcBorders>
                    <w:tl2br w:val="nil"/>
                    <w:tr2bl w:val="nil"/>
                  </w:tcBorders>
                  <w:vAlign w:val="center"/>
                </w:tcPr>
                <w:p w14:paraId="7E101278">
                  <w:pPr>
                    <w:keepNext w:val="0"/>
                    <w:keepLines w:val="0"/>
                    <w:widowControl/>
                    <w:suppressLineNumbers w:val="0"/>
                    <w:jc w:val="center"/>
                    <w:textAlignment w:val="center"/>
                    <w:rPr>
                      <w:rFonts w:hint="default"/>
                      <w:bCs/>
                      <w:color w:val="auto"/>
                      <w:kern w:val="36"/>
                      <w:sz w:val="21"/>
                      <w:szCs w:val="21"/>
                      <w:highlight w:val="none"/>
                      <w:lang w:val="en-US"/>
                    </w:rPr>
                  </w:pPr>
                  <w:r>
                    <w:rPr>
                      <w:rFonts w:hint="eastAsia" w:ascii="Times New Roman" w:hAnsi="Times New Roman" w:eastAsia="宋体" w:cs="Times New Roman"/>
                      <w:i w:val="0"/>
                      <w:iCs w:val="0"/>
                      <w:color w:val="auto"/>
                      <w:kern w:val="0"/>
                      <w:sz w:val="21"/>
                      <w:szCs w:val="21"/>
                      <w:u w:val="none"/>
                      <w:lang w:val="en-US" w:eastAsia="zh-CN" w:bidi="ar"/>
                    </w:rPr>
                    <w:t>0.0727</w:t>
                  </w:r>
                </w:p>
              </w:tc>
            </w:tr>
            <w:tr w14:paraId="566F984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409" w:type="dxa"/>
                  <w:gridSpan w:val="4"/>
                  <w:tcBorders>
                    <w:tl2br w:val="nil"/>
                    <w:tr2bl w:val="nil"/>
                  </w:tcBorders>
                  <w:vAlign w:val="center"/>
                </w:tcPr>
                <w:p w14:paraId="4540C44F">
                  <w:pPr>
                    <w:jc w:val="both"/>
                    <w:rPr>
                      <w:rFonts w:hint="eastAsia"/>
                      <w:color w:val="auto"/>
                      <w:sz w:val="21"/>
                      <w:szCs w:val="21"/>
                      <w:highlight w:val="none"/>
                    </w:rPr>
                  </w:pPr>
                  <w:r>
                    <w:rPr>
                      <w:rFonts w:hint="eastAsia"/>
                      <w:b/>
                      <w:color w:val="auto"/>
                      <w:sz w:val="21"/>
                      <w:szCs w:val="21"/>
                      <w:highlight w:val="none"/>
                    </w:rPr>
                    <w:t>备注：</w:t>
                  </w:r>
                  <w:r>
                    <w:rPr>
                      <w:rFonts w:hint="eastAsia"/>
                      <w:b w:val="0"/>
                      <w:bCs/>
                      <w:color w:val="auto"/>
                      <w:sz w:val="21"/>
                      <w:szCs w:val="21"/>
                      <w:highlight w:val="none"/>
                      <w:lang w:val="en-US" w:eastAsia="zh-CN"/>
                    </w:rPr>
                    <w:t>1、切割、抛光、碱蚀、酸蚀、化学抛光和阳极氧化</w:t>
                  </w:r>
                  <w:r>
                    <w:rPr>
                      <w:rFonts w:hint="eastAsia"/>
                      <w:color w:val="auto"/>
                      <w:sz w:val="21"/>
                      <w:szCs w:val="21"/>
                      <w:highlight w:val="none"/>
                    </w:rPr>
                    <w:t>按年工作300天，每天工作</w:t>
                  </w:r>
                  <w:r>
                    <w:rPr>
                      <w:rFonts w:hint="eastAsia"/>
                      <w:color w:val="auto"/>
                      <w:sz w:val="21"/>
                      <w:szCs w:val="21"/>
                      <w:highlight w:val="none"/>
                      <w:lang w:val="en-US" w:eastAsia="zh-CN"/>
                    </w:rPr>
                    <w:t>8</w:t>
                  </w:r>
                  <w:r>
                    <w:rPr>
                      <w:rFonts w:hint="eastAsia"/>
                      <w:color w:val="auto"/>
                      <w:sz w:val="21"/>
                      <w:szCs w:val="21"/>
                      <w:highlight w:val="none"/>
                    </w:rPr>
                    <w:t>小时</w:t>
                  </w:r>
                  <w:r>
                    <w:rPr>
                      <w:rFonts w:hint="eastAsia"/>
                      <w:color w:val="auto"/>
                      <w:sz w:val="21"/>
                      <w:szCs w:val="21"/>
                      <w:highlight w:val="none"/>
                      <w:lang w:eastAsia="zh-CN"/>
                    </w:rPr>
                    <w:t>，</w:t>
                  </w:r>
                  <w:r>
                    <w:rPr>
                      <w:rFonts w:hint="eastAsia"/>
                      <w:color w:val="auto"/>
                      <w:sz w:val="21"/>
                      <w:szCs w:val="21"/>
                      <w:highlight w:val="none"/>
                      <w:lang w:val="en-US" w:eastAsia="zh-CN"/>
                    </w:rPr>
                    <w:t>全年工作2400小时</w:t>
                  </w:r>
                  <w:r>
                    <w:rPr>
                      <w:rFonts w:hint="eastAsia"/>
                      <w:color w:val="auto"/>
                      <w:sz w:val="21"/>
                      <w:szCs w:val="21"/>
                      <w:highlight w:val="none"/>
                    </w:rPr>
                    <w:t>核算年排放量</w:t>
                  </w:r>
                  <w:r>
                    <w:rPr>
                      <w:rFonts w:hint="eastAsia"/>
                      <w:color w:val="auto"/>
                      <w:sz w:val="21"/>
                      <w:szCs w:val="21"/>
                      <w:highlight w:val="none"/>
                      <w:lang w:eastAsia="zh-CN"/>
                    </w:rPr>
                    <w:t>；</w:t>
                  </w:r>
                  <w:r>
                    <w:rPr>
                      <w:rFonts w:hint="eastAsia"/>
                      <w:color w:val="auto"/>
                      <w:sz w:val="21"/>
                      <w:szCs w:val="21"/>
                      <w:highlight w:val="none"/>
                      <w:lang w:val="en-US" w:eastAsia="zh-CN"/>
                    </w:rPr>
                    <w:t>由于注塑工为间歇作业，因此注塑</w:t>
                  </w:r>
                  <w:r>
                    <w:rPr>
                      <w:rFonts w:hint="eastAsia"/>
                      <w:color w:val="auto"/>
                      <w:sz w:val="21"/>
                      <w:szCs w:val="21"/>
                      <w:highlight w:val="none"/>
                    </w:rPr>
                    <w:t>按年工作300天，每天工作</w:t>
                  </w:r>
                  <w:r>
                    <w:rPr>
                      <w:rFonts w:hint="eastAsia"/>
                      <w:color w:val="auto"/>
                      <w:sz w:val="21"/>
                      <w:szCs w:val="21"/>
                      <w:highlight w:val="none"/>
                      <w:lang w:val="en-US" w:eastAsia="zh-CN"/>
                    </w:rPr>
                    <w:t>4.5</w:t>
                  </w:r>
                  <w:r>
                    <w:rPr>
                      <w:rFonts w:hint="eastAsia"/>
                      <w:color w:val="auto"/>
                      <w:sz w:val="21"/>
                      <w:szCs w:val="21"/>
                      <w:highlight w:val="none"/>
                    </w:rPr>
                    <w:t>小时</w:t>
                  </w:r>
                  <w:r>
                    <w:rPr>
                      <w:rFonts w:hint="eastAsia"/>
                      <w:color w:val="auto"/>
                      <w:sz w:val="21"/>
                      <w:szCs w:val="21"/>
                      <w:highlight w:val="none"/>
                      <w:lang w:eastAsia="zh-CN"/>
                    </w:rPr>
                    <w:t>，</w:t>
                  </w:r>
                  <w:r>
                    <w:rPr>
                      <w:rFonts w:hint="eastAsia"/>
                      <w:color w:val="auto"/>
                      <w:sz w:val="21"/>
                      <w:szCs w:val="21"/>
                      <w:highlight w:val="none"/>
                      <w:lang w:val="en-US" w:eastAsia="zh-CN"/>
                    </w:rPr>
                    <w:t>全年工作1350小时</w:t>
                  </w:r>
                  <w:r>
                    <w:rPr>
                      <w:rFonts w:hint="eastAsia"/>
                      <w:color w:val="auto"/>
                      <w:sz w:val="21"/>
                      <w:szCs w:val="21"/>
                      <w:highlight w:val="none"/>
                    </w:rPr>
                    <w:t>核算年排放量。</w:t>
                  </w:r>
                </w:p>
                <w:p w14:paraId="52B3CA95">
                  <w:pPr>
                    <w:jc w:val="both"/>
                    <w:rPr>
                      <w:rFonts w:hint="eastAsia"/>
                      <w:bCs/>
                      <w:color w:val="auto"/>
                      <w:kern w:val="36"/>
                      <w:sz w:val="21"/>
                      <w:szCs w:val="21"/>
                      <w:highlight w:val="none"/>
                    </w:rPr>
                  </w:pPr>
                  <w:r>
                    <w:rPr>
                      <w:rFonts w:hint="eastAsia"/>
                      <w:color w:val="auto"/>
                      <w:sz w:val="21"/>
                      <w:szCs w:val="21"/>
                      <w:lang w:val="en-US" w:eastAsia="zh-CN"/>
                    </w:rPr>
                    <w:t>2、根据现有项目审批的环评情况，切割、抛光颗粒物收集效率按90%，水喷淋塔除尘效率按50%；碱蚀产生的碱雾收集效率按90%，水喷淋塔去除碱雾的效率按20%；酸蚀、化学抛光和阳极氧化产生的酸雾收集效率按95%，碱液喷淋塔去除酸雾的效率按80%；注塑、着色、烘干产生的非甲烷总烃收集效率按90%，水喷淋塔+除雾器+两级活性炭吸附装置的去除非甲烷总烃的效率按80%进行核算。</w:t>
                  </w:r>
                </w:p>
              </w:tc>
            </w:tr>
          </w:tbl>
          <w:p w14:paraId="7F1ED444">
            <w:pPr>
              <w:adjustRightInd w:val="0"/>
              <w:snapToGrid w:val="0"/>
              <w:spacing w:line="360" w:lineRule="auto"/>
              <w:ind w:firstLine="482"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b/>
                <w:bCs/>
                <w:color w:val="auto"/>
                <w:sz w:val="24"/>
                <w:lang w:val="en-US" w:eastAsia="zh-CN"/>
              </w:rPr>
              <w:t>说明：</w:t>
            </w:r>
            <w:r>
              <w:rPr>
                <w:rFonts w:hint="eastAsia" w:ascii="Times New Roman" w:hAnsi="Times New Roman" w:eastAsia="宋体" w:cs="Times New Roman"/>
                <w:color w:val="auto"/>
                <w:sz w:val="24"/>
                <w:lang w:val="en-US" w:eastAsia="zh-CN"/>
              </w:rPr>
              <w:t>由于现有项目的环评审批的环评报告，注塑、着色、烘干均为无组织排放，本次环评根据现有项目的实际废气处理情况根据现行排污系数重新核算注塑、着色、烘干有机废气的产排情况。</w:t>
            </w:r>
            <w:r>
              <w:rPr>
                <w:rFonts w:hint="default" w:ascii="Times New Roman" w:hAnsi="Times New Roman" w:eastAsia="宋体" w:cs="Times New Roman"/>
                <w:color w:val="auto"/>
                <w:sz w:val="24"/>
                <w:lang w:val="en-US" w:eastAsia="zh-CN"/>
              </w:rPr>
              <w:t>参考生态环境部</w:t>
            </w:r>
            <w:r>
              <w:rPr>
                <w:rFonts w:hint="eastAsia" w:ascii="Times New Roman" w:hAnsi="Times New Roman" w:eastAsia="宋体" w:cs="Times New Roman"/>
                <w:color w:val="auto"/>
                <w:sz w:val="24"/>
                <w:lang w:val="en-US" w:eastAsia="zh-CN"/>
              </w:rPr>
              <w:t>关于发布</w:t>
            </w:r>
            <w:r>
              <w:rPr>
                <w:rFonts w:hint="default" w:ascii="Times New Roman" w:hAnsi="Times New Roman" w:eastAsia="宋体" w:cs="Times New Roman"/>
                <w:color w:val="auto"/>
                <w:sz w:val="24"/>
                <w:lang w:val="en-US" w:eastAsia="zh-CN"/>
              </w:rPr>
              <w:t>《排放源统计调查产排污核算方法和系数手册》的公告（公告2021年第24号）中“292塑料制品行业系数手册-2929</w:t>
            </w:r>
            <w:r>
              <w:rPr>
                <w:rFonts w:hint="eastAsia" w:ascii="Times New Roman" w:hAnsi="Times New Roman" w:eastAsia="宋体" w:cs="Times New Roman"/>
                <w:color w:val="auto"/>
                <w:sz w:val="24"/>
                <w:lang w:val="en-US" w:eastAsia="zh-CN"/>
              </w:rPr>
              <w:t>塑料零件及其他塑料制品制造行业系数表</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塑料零件</w:t>
            </w:r>
            <w:r>
              <w:rPr>
                <w:rFonts w:hint="default" w:ascii="Times New Roman" w:hAnsi="Times New Roman" w:eastAsia="宋体" w:cs="Times New Roman"/>
                <w:color w:val="auto"/>
                <w:sz w:val="24"/>
                <w:lang w:val="en-US" w:eastAsia="zh-CN"/>
              </w:rPr>
              <w:t>-树脂、助剂</w:t>
            </w:r>
            <w:r>
              <w:rPr>
                <w:rFonts w:hint="eastAsia" w:ascii="Times New Roman" w:hAnsi="Times New Roman" w:eastAsia="宋体" w:cs="Times New Roman"/>
                <w:color w:val="auto"/>
                <w:sz w:val="24"/>
                <w:lang w:val="en-US" w:eastAsia="zh-CN"/>
              </w:rPr>
              <w:t>-配料</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混合</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挤出</w:t>
            </w:r>
            <w:r>
              <w:rPr>
                <w:rFonts w:hint="default"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val="en-US" w:eastAsia="zh-CN"/>
              </w:rPr>
              <w:t>注塑-</w:t>
            </w:r>
            <w:r>
              <w:rPr>
                <w:rFonts w:hint="default" w:ascii="Times New Roman" w:hAnsi="Times New Roman" w:eastAsia="宋体" w:cs="Times New Roman"/>
                <w:color w:val="auto"/>
                <w:sz w:val="24"/>
                <w:lang w:val="en-US" w:eastAsia="zh-CN"/>
              </w:rPr>
              <w:t>所有规模”中挥发性有机物产污系数为2.</w:t>
            </w:r>
            <w:r>
              <w:rPr>
                <w:rFonts w:hint="eastAsia" w:ascii="Times New Roman" w:hAnsi="Times New Roman" w:eastAsia="宋体" w:cs="Times New Roman"/>
                <w:color w:val="auto"/>
                <w:sz w:val="24"/>
                <w:lang w:val="en-US" w:eastAsia="zh-CN"/>
              </w:rPr>
              <w:t>7</w:t>
            </w:r>
            <w:r>
              <w:rPr>
                <w:rFonts w:hint="default" w:ascii="Times New Roman" w:hAnsi="Times New Roman" w:eastAsia="宋体" w:cs="Times New Roman"/>
                <w:color w:val="auto"/>
                <w:sz w:val="24"/>
                <w:lang w:val="en-US" w:eastAsia="zh-CN"/>
              </w:rPr>
              <w:t>0千克/吨-产品</w:t>
            </w:r>
            <w:r>
              <w:rPr>
                <w:rFonts w:hint="eastAsia" w:ascii="Times New Roman" w:hAnsi="Times New Roman" w:eastAsia="宋体" w:cs="Times New Roman"/>
                <w:color w:val="auto"/>
                <w:sz w:val="24"/>
                <w:lang w:val="en-US" w:eastAsia="zh-CN"/>
              </w:rPr>
              <w:t>，现有项目的注塑、着色、烘干的产品量约为100.31t/a，因此非甲烷总烃产生量为0.2708t/a，根据现有项目的非甲烷总烃的收集效率为90%，水喷淋塔+除雾器+两级活性炭吸附装置的去除非甲烷总烃的效率按80%进行核算，因为非甲烷总烃的无组织排放量为0.0271t/a，有组织排放量为0.0487t/a，因此排放总量为0.0271t/a+0.0487t/a=0.0758t/a。</w:t>
            </w:r>
          </w:p>
          <w:p w14:paraId="1232006A">
            <w:pPr>
              <w:adjustRightInd w:val="0"/>
              <w:snapToGrid w:val="0"/>
              <w:spacing w:line="360" w:lineRule="auto"/>
              <w:ind w:firstLine="482" w:firstLineChars="200"/>
              <w:rPr>
                <w:rFonts w:hint="eastAsia"/>
                <w:b/>
                <w:bCs/>
                <w:color w:val="auto"/>
                <w:sz w:val="24"/>
              </w:rPr>
            </w:pPr>
            <w:r>
              <w:rPr>
                <w:rFonts w:hint="eastAsia"/>
                <w:b/>
                <w:bCs/>
                <w:color w:val="auto"/>
                <w:sz w:val="24"/>
              </w:rPr>
              <w:t>2、废水</w:t>
            </w:r>
          </w:p>
          <w:p w14:paraId="23469875">
            <w:pPr>
              <w:adjustRightInd w:val="0"/>
              <w:snapToGrid w:val="0"/>
              <w:spacing w:line="360" w:lineRule="auto"/>
              <w:ind w:firstLine="480" w:firstLineChars="200"/>
              <w:rPr>
                <w:rFonts w:hint="eastAsia"/>
                <w:color w:val="auto"/>
                <w:sz w:val="24"/>
                <w:szCs w:val="24"/>
              </w:rPr>
            </w:pPr>
            <w:r>
              <w:rPr>
                <w:rFonts w:hint="eastAsia"/>
                <w:bCs/>
                <w:color w:val="auto"/>
                <w:sz w:val="24"/>
              </w:rPr>
              <w:t>生产废水（</w:t>
            </w:r>
            <w:r>
              <w:rPr>
                <w:rFonts w:hint="eastAsia"/>
                <w:bCs/>
                <w:color w:val="auto"/>
                <w:sz w:val="24"/>
                <w:lang w:val="en-US" w:eastAsia="zh-CN"/>
              </w:rPr>
              <w:t>包括</w:t>
            </w:r>
            <w:r>
              <w:rPr>
                <w:rFonts w:hint="eastAsia"/>
                <w:bCs/>
                <w:color w:val="auto"/>
                <w:sz w:val="24"/>
              </w:rPr>
              <w:t>脱脂后清洗废水，酸蚀、碱蚀和化学抛光后清洗废水，氧化后清洗废水，着色后清洗废水，封孔后清洗废水），其中封孔后清洗废水采用</w:t>
            </w:r>
            <w:r>
              <w:rPr>
                <w:rFonts w:hint="eastAsia"/>
                <w:bCs/>
                <w:color w:val="auto"/>
                <w:sz w:val="24"/>
                <w:lang w:eastAsia="zh-CN"/>
              </w:rPr>
              <w:t>单独自建一套废水回用处理设施</w:t>
            </w:r>
            <w:r>
              <w:rPr>
                <w:rFonts w:hint="eastAsia"/>
                <w:bCs/>
                <w:color w:val="auto"/>
                <w:sz w:val="24"/>
                <w:lang w:val="en-US" w:eastAsia="zh-CN"/>
              </w:rPr>
              <w:t>处理</w:t>
            </w:r>
            <w:r>
              <w:rPr>
                <w:rFonts w:hint="eastAsia"/>
                <w:bCs/>
                <w:color w:val="auto"/>
                <w:sz w:val="24"/>
              </w:rPr>
              <w:t>后回用至封孔</w:t>
            </w:r>
            <w:r>
              <w:rPr>
                <w:rFonts w:hint="eastAsia"/>
                <w:bCs/>
                <w:color w:val="auto"/>
                <w:sz w:val="24"/>
                <w:lang w:val="en-US" w:eastAsia="zh-CN"/>
              </w:rPr>
              <w:t>清洗</w:t>
            </w:r>
            <w:r>
              <w:rPr>
                <w:rFonts w:hint="eastAsia"/>
                <w:bCs/>
                <w:color w:val="auto"/>
                <w:sz w:val="24"/>
              </w:rPr>
              <w:t>槽，不外排</w:t>
            </w:r>
            <w:r>
              <w:rPr>
                <w:rFonts w:hint="eastAsia"/>
                <w:bCs/>
                <w:color w:val="auto"/>
                <w:sz w:val="24"/>
                <w:lang w:eastAsia="zh-CN"/>
              </w:rPr>
              <w:t>，</w:t>
            </w:r>
            <w:r>
              <w:rPr>
                <w:rFonts w:hint="eastAsia"/>
                <w:bCs/>
                <w:color w:val="auto"/>
                <w:sz w:val="24"/>
                <w:lang w:val="en-US" w:eastAsia="zh-CN"/>
              </w:rPr>
              <w:t>封孔含镍废水处理工艺流程图见图2-8</w:t>
            </w:r>
            <w:r>
              <w:rPr>
                <w:rFonts w:hint="eastAsia"/>
                <w:bCs/>
                <w:color w:val="auto"/>
                <w:sz w:val="24"/>
              </w:rPr>
              <w:t>。</w:t>
            </w:r>
            <w:r>
              <w:rPr>
                <w:rFonts w:hint="eastAsia"/>
                <w:bCs/>
                <w:color w:val="auto"/>
                <w:sz w:val="24"/>
              </w:rPr>
              <w:t>脱脂后清洗废水，酸蚀、碱蚀和化学抛光后清洗废水，氧化后清洗废水</w:t>
            </w:r>
            <w:r>
              <w:rPr>
                <w:rFonts w:hint="eastAsia"/>
                <w:bCs/>
                <w:color w:val="auto"/>
                <w:sz w:val="24"/>
                <w:lang w:val="en-US" w:eastAsia="zh-CN"/>
              </w:rPr>
              <w:t>经自建综合废水处理站处理达标后约70%回用，30%排入市政污水管网</w:t>
            </w:r>
            <w:r>
              <w:rPr>
                <w:color w:val="auto"/>
                <w:sz w:val="24"/>
              </w:rPr>
              <w:t>，纳入广东阳东经济开发区污水处理厂处理</w:t>
            </w:r>
            <w:r>
              <w:rPr>
                <w:rFonts w:hint="eastAsia"/>
                <w:color w:val="auto"/>
                <w:sz w:val="24"/>
                <w:lang w:eastAsia="zh-CN"/>
              </w:rPr>
              <w:t>，</w:t>
            </w:r>
            <w:r>
              <w:rPr>
                <w:rFonts w:hint="eastAsia"/>
                <w:color w:val="auto"/>
                <w:sz w:val="24"/>
                <w:lang w:val="en-US" w:eastAsia="zh-CN"/>
              </w:rPr>
              <w:t>自建综合废水处理站生产废水处理工艺流程见图2-9</w:t>
            </w:r>
            <w:r>
              <w:rPr>
                <w:rFonts w:hint="eastAsia"/>
                <w:bCs/>
                <w:color w:val="auto"/>
                <w:sz w:val="24"/>
                <w:lang w:eastAsia="zh-CN"/>
              </w:rPr>
              <w:t>。</w:t>
            </w:r>
            <w:r>
              <w:rPr>
                <w:rFonts w:hint="eastAsia"/>
                <w:bCs/>
                <w:color w:val="auto"/>
                <w:sz w:val="24"/>
              </w:rPr>
              <w:t>厨房含油废水通过隔油隔渣池预处理、其他生活污水经三级化粪池预处理后排入市政</w:t>
            </w:r>
            <w:r>
              <w:rPr>
                <w:rFonts w:hint="eastAsia"/>
                <w:bCs/>
                <w:color w:val="auto"/>
                <w:sz w:val="24"/>
                <w:lang w:val="en-US" w:eastAsia="zh-CN"/>
              </w:rPr>
              <w:t>污水</w:t>
            </w:r>
            <w:r>
              <w:rPr>
                <w:rFonts w:hint="eastAsia"/>
                <w:bCs/>
                <w:color w:val="auto"/>
                <w:sz w:val="24"/>
              </w:rPr>
              <w:t>管网</w:t>
            </w:r>
            <w:r>
              <w:rPr>
                <w:rFonts w:hint="eastAsia"/>
                <w:color w:val="auto"/>
                <w:sz w:val="24"/>
              </w:rPr>
              <w:t>，</w:t>
            </w:r>
            <w:r>
              <w:rPr>
                <w:color w:val="auto"/>
                <w:sz w:val="24"/>
              </w:rPr>
              <w:t>接入市政污水管网输</w:t>
            </w:r>
            <w:r>
              <w:rPr>
                <w:color w:val="auto"/>
                <w:sz w:val="24"/>
                <w:szCs w:val="24"/>
              </w:rPr>
              <w:t>送至广东阳东经济开发区污水处理厂集中处理</w:t>
            </w:r>
            <w:r>
              <w:rPr>
                <w:rFonts w:hint="eastAsia"/>
                <w:color w:val="auto"/>
                <w:sz w:val="24"/>
                <w:szCs w:val="24"/>
              </w:rPr>
              <w:t>。除尘水喷淋塔、碱液喷淋塔</w:t>
            </w:r>
            <w:r>
              <w:rPr>
                <w:color w:val="auto"/>
                <w:sz w:val="24"/>
                <w:szCs w:val="24"/>
              </w:rPr>
              <w:t>的喷淋废水定期清理沉渣后循环使用，不外排</w:t>
            </w:r>
            <w:r>
              <w:rPr>
                <w:rFonts w:hint="eastAsia"/>
                <w:color w:val="auto"/>
                <w:sz w:val="24"/>
                <w:szCs w:val="24"/>
              </w:rPr>
              <w:t>。注塑设备冷却水循环再用，不外排。</w:t>
            </w:r>
          </w:p>
          <w:p w14:paraId="635FB514">
            <w:pPr>
              <w:adjustRightInd w:val="0"/>
              <w:snapToGrid w:val="0"/>
              <w:spacing w:line="360" w:lineRule="auto"/>
              <w:ind w:left="0" w:leftChars="0" w:firstLine="0" w:firstLineChars="0"/>
              <w:jc w:val="center"/>
              <w:rPr>
                <w:rFonts w:hint="eastAsia"/>
                <w:color w:val="auto"/>
                <w:sz w:val="24"/>
                <w:szCs w:val="24"/>
              </w:rPr>
            </w:pPr>
            <w:r>
              <w:rPr>
                <w:rFonts w:hint="eastAsia"/>
                <w:color w:val="auto"/>
                <w:sz w:val="24"/>
                <w:szCs w:val="24"/>
              </w:rPr>
              <w:object>
                <v:shape id="_x0000_i1032" o:spt="75" type="#_x0000_t75" style="height:381pt;width:254.25pt;" o:ole="t" filled="f" o:preferrelative="t" stroked="f" coordsize="21600,21600">
                  <v:path/>
                  <v:fill on="f" focussize="0,0"/>
                  <v:stroke on="f"/>
                  <v:imagedata r:id="rId31" o:title=""/>
                  <o:lock v:ext="edit" aspectratio="f"/>
                  <w10:wrap type="none"/>
                  <w10:anchorlock/>
                </v:shape>
                <o:OLEObject Type="Embed" ProgID="Visio.Drawing.15" ShapeID="_x0000_i1032" DrawAspect="Content" ObjectID="_1468075732" r:id="rId30">
                  <o:LockedField>false</o:LockedField>
                </o:OLEObject>
              </w:object>
            </w:r>
          </w:p>
          <w:p w14:paraId="1BD97C88">
            <w:pPr>
              <w:adjustRightInd w:val="0"/>
              <w:snapToGrid w:val="0"/>
              <w:spacing w:line="360" w:lineRule="auto"/>
              <w:ind w:left="0" w:leftChars="0" w:firstLine="0" w:firstLineChars="0"/>
              <w:jc w:val="center"/>
              <w:rPr>
                <w:rFonts w:hint="eastAsia"/>
                <w:b/>
                <w:bCs/>
                <w:color w:val="auto"/>
                <w:sz w:val="21"/>
                <w:szCs w:val="21"/>
                <w:lang w:val="en-US" w:eastAsia="zh-CN"/>
              </w:rPr>
            </w:pPr>
            <w:r>
              <w:rPr>
                <w:rFonts w:hint="eastAsia"/>
                <w:b/>
                <w:bCs/>
                <w:color w:val="auto"/>
                <w:sz w:val="21"/>
                <w:szCs w:val="21"/>
                <w:lang w:val="en-US" w:eastAsia="zh-CN"/>
              </w:rPr>
              <w:t>图2-8含镍废水处理工艺流程图</w:t>
            </w:r>
          </w:p>
          <w:p w14:paraId="2DE1C84B">
            <w:pPr>
              <w:adjustRightInd w:val="0"/>
              <w:snapToGri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由于目前小阳极氧化线已拆除，封孔含镍废水量有所减少，减少量约10%，由于封孔含镍废水处理设有废水调节箱和收集箱，可通过储存足够的废水量再运行含镍废水处理系统，因此封孔含镍废水减少的量与废水处理能力是可相符的。</w:t>
            </w:r>
          </w:p>
          <w:p w14:paraId="7EF2BA66">
            <w:pPr>
              <w:adjustRightInd w:val="0"/>
              <w:snapToGrid w:val="0"/>
              <w:spacing w:line="360" w:lineRule="auto"/>
              <w:ind w:left="0" w:leftChars="0" w:firstLine="0" w:firstLineChars="0"/>
              <w:jc w:val="center"/>
              <w:rPr>
                <w:rFonts w:hint="eastAsia"/>
                <w:color w:val="auto"/>
                <w:sz w:val="24"/>
                <w:szCs w:val="24"/>
              </w:rPr>
            </w:pPr>
            <w:r>
              <w:rPr>
                <w:rFonts w:hint="eastAsia"/>
                <w:color w:val="auto"/>
                <w:sz w:val="24"/>
                <w:szCs w:val="24"/>
              </w:rPr>
              <w:object>
                <v:shape id="_x0000_i1033" o:spt="75" type="#_x0000_t75" style="height:507pt;width:410.25pt;" o:ole="t" filled="f" o:preferrelative="t" stroked="f" coordsize="21600,21600">
                  <v:path/>
                  <v:fill on="f" focussize="0,0"/>
                  <v:stroke on="f"/>
                  <v:imagedata r:id="rId33" o:title=""/>
                  <o:lock v:ext="edit" aspectratio="f"/>
                  <w10:wrap type="none"/>
                  <w10:anchorlock/>
                </v:shape>
                <o:OLEObject Type="Embed" ProgID="Visio.Drawing.15" ShapeID="_x0000_i1033" DrawAspect="Content" ObjectID="_1468075733" r:id="rId32">
                  <o:LockedField>false</o:LockedField>
                </o:OLEObject>
              </w:object>
            </w:r>
          </w:p>
          <w:p w14:paraId="236D916C">
            <w:pPr>
              <w:adjustRightInd w:val="0"/>
              <w:snapToGrid w:val="0"/>
              <w:spacing w:line="360" w:lineRule="auto"/>
              <w:ind w:left="0" w:leftChars="0" w:firstLine="0" w:firstLineChars="0"/>
              <w:jc w:val="center"/>
              <w:rPr>
                <w:rFonts w:hint="default" w:eastAsia="宋体"/>
                <w:b/>
                <w:bCs/>
                <w:color w:val="auto"/>
                <w:sz w:val="21"/>
                <w:szCs w:val="21"/>
                <w:lang w:val="en-US" w:eastAsia="zh-CN"/>
              </w:rPr>
            </w:pPr>
            <w:r>
              <w:rPr>
                <w:rFonts w:hint="eastAsia"/>
                <w:b/>
                <w:bCs/>
                <w:color w:val="auto"/>
                <w:sz w:val="21"/>
                <w:szCs w:val="21"/>
                <w:lang w:val="en-US" w:eastAsia="zh-CN"/>
              </w:rPr>
              <w:t>图2-9 自建综合废水处理站生产废水处理工艺流程图</w:t>
            </w:r>
          </w:p>
          <w:p w14:paraId="665391F3">
            <w:pPr>
              <w:adjustRightInd w:val="0"/>
              <w:snapToGrid w:val="0"/>
              <w:spacing w:line="360" w:lineRule="auto"/>
              <w:ind w:firstLine="480" w:firstLineChars="200"/>
              <w:rPr>
                <w:color w:val="auto"/>
                <w:sz w:val="24"/>
                <w:szCs w:val="24"/>
              </w:rPr>
            </w:pPr>
            <w:r>
              <w:rPr>
                <w:rFonts w:hint="eastAsia"/>
                <w:color w:val="auto"/>
                <w:sz w:val="24"/>
                <w:szCs w:val="24"/>
              </w:rPr>
              <w:t>根据建设单位提供的现有项目委托广东</w:t>
            </w:r>
            <w:r>
              <w:rPr>
                <w:rFonts w:hint="eastAsia"/>
                <w:color w:val="auto"/>
                <w:sz w:val="24"/>
                <w:szCs w:val="24"/>
                <w:lang w:val="en-US" w:eastAsia="zh-CN"/>
              </w:rPr>
              <w:t>粤风</w:t>
            </w:r>
            <w:r>
              <w:rPr>
                <w:rFonts w:hint="eastAsia"/>
                <w:color w:val="auto"/>
                <w:sz w:val="24"/>
                <w:szCs w:val="24"/>
              </w:rPr>
              <w:t>检测技术有限公司于</w:t>
            </w:r>
            <w:r>
              <w:rPr>
                <w:color w:val="auto"/>
                <w:sz w:val="24"/>
                <w:szCs w:val="24"/>
              </w:rPr>
              <w:t>2026年</w:t>
            </w:r>
            <w:r>
              <w:rPr>
                <w:rFonts w:hint="eastAsia"/>
                <w:color w:val="auto"/>
                <w:sz w:val="24"/>
                <w:szCs w:val="24"/>
                <w:lang w:val="en-US" w:eastAsia="zh-CN"/>
              </w:rPr>
              <w:t>03</w:t>
            </w:r>
            <w:r>
              <w:rPr>
                <w:color w:val="auto"/>
                <w:sz w:val="24"/>
                <w:szCs w:val="24"/>
              </w:rPr>
              <w:t>月</w:t>
            </w:r>
            <w:r>
              <w:rPr>
                <w:rFonts w:hint="eastAsia"/>
                <w:color w:val="auto"/>
                <w:sz w:val="24"/>
                <w:szCs w:val="24"/>
                <w:lang w:val="en-US" w:eastAsia="zh-CN"/>
              </w:rPr>
              <w:t>13</w:t>
            </w:r>
            <w:r>
              <w:rPr>
                <w:color w:val="auto"/>
                <w:sz w:val="24"/>
                <w:szCs w:val="24"/>
              </w:rPr>
              <w:t>日</w:t>
            </w:r>
            <w:r>
              <w:rPr>
                <w:rFonts w:hint="eastAsia"/>
                <w:color w:val="auto"/>
                <w:sz w:val="24"/>
                <w:szCs w:val="24"/>
              </w:rPr>
              <w:t>的废</w:t>
            </w:r>
            <w:r>
              <w:rPr>
                <w:rFonts w:hint="eastAsia"/>
                <w:color w:val="auto"/>
                <w:sz w:val="24"/>
                <w:szCs w:val="24"/>
                <w:lang w:val="en-US" w:eastAsia="zh-CN"/>
              </w:rPr>
              <w:t>水</w:t>
            </w:r>
            <w:r>
              <w:rPr>
                <w:rFonts w:hint="eastAsia"/>
                <w:color w:val="auto"/>
                <w:sz w:val="24"/>
                <w:szCs w:val="24"/>
              </w:rPr>
              <w:t>污染物日常检测报告（报告编号：</w:t>
            </w:r>
            <w:r>
              <w:rPr>
                <w:rFonts w:hint="eastAsia"/>
                <w:color w:val="auto"/>
                <w:sz w:val="24"/>
                <w:szCs w:val="24"/>
                <w:lang w:val="en-US" w:eastAsia="zh-CN"/>
              </w:rPr>
              <w:t>YF-BG2603130-01、YF-BG2603130-02</w:t>
            </w:r>
            <w:r>
              <w:rPr>
                <w:rFonts w:hint="eastAsia"/>
                <w:color w:val="auto"/>
                <w:sz w:val="24"/>
                <w:szCs w:val="24"/>
              </w:rPr>
              <w:t>）</w:t>
            </w:r>
            <w:r>
              <w:rPr>
                <w:rFonts w:hint="eastAsia"/>
                <w:color w:val="auto"/>
                <w:sz w:val="24"/>
                <w:szCs w:val="24"/>
                <w:lang w:eastAsia="zh-CN"/>
              </w:rPr>
              <w:t>、</w:t>
            </w:r>
            <w:r>
              <w:rPr>
                <w:rFonts w:hint="eastAsia"/>
                <w:color w:val="auto"/>
                <w:sz w:val="24"/>
                <w:szCs w:val="24"/>
              </w:rPr>
              <w:t>广东</w:t>
            </w:r>
            <w:r>
              <w:rPr>
                <w:rFonts w:hint="eastAsia"/>
                <w:color w:val="auto"/>
                <w:sz w:val="24"/>
                <w:szCs w:val="24"/>
                <w:lang w:val="en-US" w:eastAsia="zh-CN"/>
              </w:rPr>
              <w:t>绿诚检测技术</w:t>
            </w:r>
            <w:r>
              <w:rPr>
                <w:rFonts w:hint="eastAsia"/>
                <w:color w:val="auto"/>
                <w:sz w:val="24"/>
                <w:szCs w:val="24"/>
              </w:rPr>
              <w:t>有限公司于</w:t>
            </w:r>
            <w:r>
              <w:rPr>
                <w:color w:val="auto"/>
                <w:sz w:val="24"/>
                <w:szCs w:val="24"/>
              </w:rPr>
              <w:t>2026年05月0</w:t>
            </w:r>
            <w:r>
              <w:rPr>
                <w:rFonts w:hint="eastAsia"/>
                <w:color w:val="auto"/>
                <w:sz w:val="24"/>
                <w:szCs w:val="24"/>
              </w:rPr>
              <w:t>6</w:t>
            </w:r>
            <w:r>
              <w:rPr>
                <w:color w:val="auto"/>
                <w:sz w:val="24"/>
                <w:szCs w:val="24"/>
              </w:rPr>
              <w:t>日</w:t>
            </w:r>
            <w:r>
              <w:rPr>
                <w:rFonts w:hint="eastAsia"/>
                <w:color w:val="auto"/>
                <w:sz w:val="24"/>
                <w:szCs w:val="24"/>
              </w:rPr>
              <w:t>的废</w:t>
            </w:r>
            <w:r>
              <w:rPr>
                <w:rFonts w:hint="eastAsia"/>
                <w:color w:val="auto"/>
                <w:sz w:val="24"/>
                <w:szCs w:val="24"/>
                <w:lang w:val="en-US" w:eastAsia="zh-CN"/>
              </w:rPr>
              <w:t>水</w:t>
            </w:r>
            <w:r>
              <w:rPr>
                <w:rFonts w:hint="eastAsia"/>
                <w:color w:val="auto"/>
                <w:sz w:val="24"/>
                <w:szCs w:val="24"/>
              </w:rPr>
              <w:t>污染物日常检测报告（报告编号：</w:t>
            </w:r>
            <w:r>
              <w:rPr>
                <w:color w:val="auto"/>
                <w:sz w:val="24"/>
                <w:szCs w:val="24"/>
              </w:rPr>
              <w:t>LCHJ202604068</w:t>
            </w:r>
            <w:r>
              <w:rPr>
                <w:rFonts w:hint="eastAsia"/>
                <w:color w:val="auto"/>
                <w:sz w:val="24"/>
                <w:szCs w:val="24"/>
                <w:lang w:val="en-US" w:eastAsia="zh-CN"/>
              </w:rPr>
              <w:t>-02</w:t>
            </w:r>
            <w:r>
              <w:rPr>
                <w:rFonts w:hint="eastAsia"/>
                <w:color w:val="auto"/>
                <w:sz w:val="24"/>
                <w:szCs w:val="24"/>
              </w:rPr>
              <w:t>）</w:t>
            </w:r>
            <w:r>
              <w:rPr>
                <w:rFonts w:hint="eastAsia"/>
                <w:color w:val="auto"/>
                <w:sz w:val="24"/>
                <w:szCs w:val="24"/>
                <w:lang w:eastAsia="zh-CN"/>
              </w:rPr>
              <w:t>、</w:t>
            </w:r>
            <w:r>
              <w:rPr>
                <w:rFonts w:hint="eastAsia"/>
                <w:color w:val="auto"/>
                <w:sz w:val="24"/>
                <w:szCs w:val="24"/>
              </w:rPr>
              <w:t>广东汇锦检测技术有限公司于</w:t>
            </w:r>
            <w:r>
              <w:rPr>
                <w:color w:val="auto"/>
                <w:sz w:val="24"/>
                <w:szCs w:val="24"/>
              </w:rPr>
              <w:t>2026年05月0</w:t>
            </w:r>
            <w:r>
              <w:rPr>
                <w:rFonts w:hint="eastAsia"/>
                <w:color w:val="auto"/>
                <w:sz w:val="24"/>
                <w:szCs w:val="24"/>
              </w:rPr>
              <w:t>6</w:t>
            </w:r>
            <w:r>
              <w:rPr>
                <w:color w:val="auto"/>
                <w:sz w:val="24"/>
                <w:szCs w:val="24"/>
              </w:rPr>
              <w:t>日</w:t>
            </w:r>
            <w:r>
              <w:rPr>
                <w:rFonts w:hint="eastAsia"/>
                <w:color w:val="auto"/>
                <w:sz w:val="24"/>
                <w:szCs w:val="24"/>
              </w:rPr>
              <w:t>的废</w:t>
            </w:r>
            <w:r>
              <w:rPr>
                <w:rFonts w:hint="eastAsia"/>
                <w:color w:val="auto"/>
                <w:sz w:val="24"/>
                <w:szCs w:val="24"/>
                <w:lang w:val="en-US" w:eastAsia="zh-CN"/>
              </w:rPr>
              <w:t>水</w:t>
            </w:r>
            <w:r>
              <w:rPr>
                <w:rFonts w:hint="eastAsia"/>
                <w:color w:val="auto"/>
                <w:sz w:val="24"/>
                <w:szCs w:val="24"/>
              </w:rPr>
              <w:t>污染物日常检测报告（报告编号：</w:t>
            </w:r>
            <w:r>
              <w:rPr>
                <w:rFonts w:hint="eastAsia"/>
                <w:color w:val="auto"/>
                <w:sz w:val="24"/>
                <w:szCs w:val="24"/>
                <w:lang w:val="en-US" w:eastAsia="zh-CN"/>
              </w:rPr>
              <w:t>GDHJ-26050637</w:t>
            </w:r>
            <w:r>
              <w:rPr>
                <w:rFonts w:hint="eastAsia"/>
                <w:color w:val="auto"/>
                <w:sz w:val="24"/>
                <w:szCs w:val="24"/>
              </w:rPr>
              <w:t>），</w:t>
            </w:r>
            <w:r>
              <w:rPr>
                <w:rFonts w:hint="eastAsia"/>
                <w:color w:val="auto"/>
                <w:sz w:val="24"/>
                <w:szCs w:val="24"/>
              </w:rPr>
              <w:t>见附件9。</w:t>
            </w:r>
          </w:p>
          <w:p w14:paraId="0160A54D">
            <w:pPr>
              <w:ind w:firstLine="422" w:firstLineChars="200"/>
              <w:jc w:val="center"/>
              <w:rPr>
                <w:rFonts w:hint="eastAsia" w:hAnsi="宋体" w:eastAsia="宋体"/>
                <w:b/>
                <w:bCs/>
                <w:color w:val="auto"/>
                <w:szCs w:val="21"/>
                <w:lang w:eastAsia="zh-CN"/>
              </w:rPr>
            </w:pPr>
            <w:r>
              <w:rPr>
                <w:rFonts w:hint="eastAsia" w:hAnsi="宋体"/>
                <w:b/>
                <w:bCs/>
                <w:color w:val="auto"/>
                <w:szCs w:val="21"/>
              </w:rPr>
              <w:t>表2-</w:t>
            </w:r>
            <w:r>
              <w:rPr>
                <w:rFonts w:hint="eastAsia" w:hAnsi="宋体"/>
                <w:b/>
                <w:bCs/>
                <w:color w:val="auto"/>
                <w:szCs w:val="21"/>
                <w:lang w:val="en-US" w:eastAsia="zh-CN"/>
              </w:rPr>
              <w:t>21</w:t>
            </w:r>
            <w:r>
              <w:rPr>
                <w:rFonts w:hint="eastAsia" w:hAnsi="宋体"/>
                <w:b/>
                <w:bCs/>
                <w:color w:val="auto"/>
                <w:szCs w:val="21"/>
              </w:rPr>
              <w:t>现有项目生产废水检测结果一览表</w:t>
            </w:r>
            <w:r>
              <w:rPr>
                <w:rFonts w:hint="eastAsia" w:hAnsi="宋体"/>
                <w:b/>
                <w:bCs/>
                <w:color w:val="auto"/>
                <w:szCs w:val="21"/>
                <w:lang w:eastAsia="zh-CN"/>
              </w:rPr>
              <w:t>（</w:t>
            </w:r>
            <w:r>
              <w:rPr>
                <w:rFonts w:hint="eastAsia" w:hAnsi="宋体"/>
                <w:b/>
                <w:bCs/>
                <w:color w:val="auto"/>
                <w:szCs w:val="21"/>
                <w:lang w:val="en-US" w:eastAsia="zh-CN"/>
              </w:rPr>
              <w:t>2026年3月13日</w:t>
            </w:r>
            <w:r>
              <w:rPr>
                <w:rFonts w:hint="eastAsia" w:hAnsi="宋体"/>
                <w:b/>
                <w:bCs/>
                <w:color w:val="auto"/>
                <w:szCs w:val="21"/>
                <w:lang w:eastAsia="zh-CN"/>
              </w:rPr>
              <w:t>）</w:t>
            </w:r>
          </w:p>
          <w:tbl>
            <w:tblPr>
              <w:tblStyle w:val="43"/>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7"/>
              <w:gridCol w:w="2151"/>
              <w:gridCol w:w="1407"/>
              <w:gridCol w:w="1315"/>
              <w:gridCol w:w="1352"/>
            </w:tblGrid>
            <w:tr w14:paraId="5930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Align w:val="center"/>
                </w:tcPr>
                <w:p w14:paraId="1D738B36">
                  <w:pPr>
                    <w:widowControl w:val="0"/>
                    <w:spacing w:line="240" w:lineRule="atLeast"/>
                    <w:jc w:val="center"/>
                    <w:rPr>
                      <w:b/>
                      <w:bCs/>
                      <w:color w:val="auto"/>
                      <w:szCs w:val="21"/>
                    </w:rPr>
                  </w:pPr>
                  <w:r>
                    <w:rPr>
                      <w:b/>
                      <w:bCs/>
                      <w:color w:val="auto"/>
                      <w:szCs w:val="21"/>
                    </w:rPr>
                    <w:t>检测点位名称</w:t>
                  </w:r>
                </w:p>
              </w:tc>
              <w:tc>
                <w:tcPr>
                  <w:tcW w:w="1163" w:type="pct"/>
                  <w:vAlign w:val="center"/>
                </w:tcPr>
                <w:p w14:paraId="3C0829E1">
                  <w:pPr>
                    <w:widowControl w:val="0"/>
                    <w:spacing w:line="240" w:lineRule="atLeast"/>
                    <w:jc w:val="center"/>
                    <w:rPr>
                      <w:b/>
                      <w:bCs/>
                      <w:color w:val="auto"/>
                      <w:szCs w:val="21"/>
                    </w:rPr>
                  </w:pPr>
                  <w:r>
                    <w:rPr>
                      <w:b/>
                      <w:bCs/>
                      <w:color w:val="auto"/>
                      <w:szCs w:val="21"/>
                    </w:rPr>
                    <w:t>检测项目</w:t>
                  </w:r>
                </w:p>
              </w:tc>
              <w:tc>
                <w:tcPr>
                  <w:tcW w:w="761" w:type="pct"/>
                  <w:vAlign w:val="center"/>
                </w:tcPr>
                <w:p w14:paraId="7BBC1F79">
                  <w:pPr>
                    <w:widowControl w:val="0"/>
                    <w:spacing w:line="240" w:lineRule="atLeast"/>
                    <w:jc w:val="center"/>
                    <w:rPr>
                      <w:b/>
                      <w:bCs/>
                      <w:color w:val="auto"/>
                      <w:szCs w:val="21"/>
                    </w:rPr>
                  </w:pPr>
                  <w:r>
                    <w:rPr>
                      <w:b/>
                      <w:bCs/>
                      <w:color w:val="auto"/>
                      <w:szCs w:val="21"/>
                    </w:rPr>
                    <w:t>单位</w:t>
                  </w:r>
                </w:p>
              </w:tc>
              <w:tc>
                <w:tcPr>
                  <w:tcW w:w="711" w:type="pct"/>
                  <w:vAlign w:val="center"/>
                </w:tcPr>
                <w:p w14:paraId="5C5648EE">
                  <w:pPr>
                    <w:widowControl w:val="0"/>
                    <w:spacing w:line="240" w:lineRule="atLeast"/>
                    <w:jc w:val="center"/>
                    <w:rPr>
                      <w:b/>
                      <w:bCs/>
                      <w:color w:val="auto"/>
                      <w:szCs w:val="21"/>
                    </w:rPr>
                  </w:pPr>
                  <w:r>
                    <w:rPr>
                      <w:b/>
                      <w:bCs/>
                      <w:color w:val="auto"/>
                      <w:szCs w:val="21"/>
                    </w:rPr>
                    <w:t>检测结果</w:t>
                  </w:r>
                </w:p>
              </w:tc>
              <w:tc>
                <w:tcPr>
                  <w:tcW w:w="731" w:type="pct"/>
                  <w:vAlign w:val="center"/>
                </w:tcPr>
                <w:p w14:paraId="7AC1CE8C">
                  <w:pPr>
                    <w:widowControl w:val="0"/>
                    <w:jc w:val="center"/>
                    <w:rPr>
                      <w:b/>
                      <w:bCs/>
                      <w:color w:val="auto"/>
                      <w:szCs w:val="21"/>
                    </w:rPr>
                  </w:pPr>
                  <w:r>
                    <w:rPr>
                      <w:b/>
                      <w:bCs/>
                      <w:color w:val="auto"/>
                      <w:szCs w:val="21"/>
                    </w:rPr>
                    <w:t>参考限值</w:t>
                  </w:r>
                </w:p>
              </w:tc>
            </w:tr>
            <w:tr w14:paraId="0365F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restart"/>
                  <w:vAlign w:val="center"/>
                </w:tcPr>
                <w:p w14:paraId="104BC99A">
                  <w:pPr>
                    <w:widowControl w:val="0"/>
                    <w:jc w:val="center"/>
                    <w:rPr>
                      <w:bCs/>
                      <w:color w:val="auto"/>
                      <w:szCs w:val="21"/>
                    </w:rPr>
                  </w:pPr>
                  <w:r>
                    <w:rPr>
                      <w:bCs/>
                      <w:color w:val="auto"/>
                      <w:szCs w:val="21"/>
                    </w:rPr>
                    <w:t>污水处理设施进水口</w:t>
                  </w:r>
                </w:p>
              </w:tc>
              <w:tc>
                <w:tcPr>
                  <w:tcW w:w="1163" w:type="pct"/>
                  <w:vAlign w:val="center"/>
                </w:tcPr>
                <w:p w14:paraId="61DF4158">
                  <w:pPr>
                    <w:widowControl w:val="0"/>
                    <w:jc w:val="center"/>
                    <w:rPr>
                      <w:color w:val="auto"/>
                      <w:szCs w:val="21"/>
                    </w:rPr>
                  </w:pPr>
                  <w:r>
                    <w:rPr>
                      <w:bCs/>
                      <w:color w:val="auto"/>
                      <w:szCs w:val="21"/>
                    </w:rPr>
                    <w:t>pH值</w:t>
                  </w:r>
                </w:p>
              </w:tc>
              <w:tc>
                <w:tcPr>
                  <w:tcW w:w="761" w:type="pct"/>
                  <w:vAlign w:val="center"/>
                </w:tcPr>
                <w:p w14:paraId="50FF1978">
                  <w:pPr>
                    <w:widowControl w:val="0"/>
                    <w:jc w:val="center"/>
                    <w:rPr>
                      <w:color w:val="auto"/>
                      <w:szCs w:val="21"/>
                    </w:rPr>
                  </w:pPr>
                  <w:r>
                    <w:rPr>
                      <w:color w:val="auto"/>
                      <w:szCs w:val="21"/>
                    </w:rPr>
                    <w:t>无量纲</w:t>
                  </w:r>
                </w:p>
              </w:tc>
              <w:tc>
                <w:tcPr>
                  <w:tcW w:w="711" w:type="pct"/>
                  <w:vAlign w:val="center"/>
                </w:tcPr>
                <w:p w14:paraId="014C20E4">
                  <w:pPr>
                    <w:widowControl w:val="0"/>
                    <w:jc w:val="center"/>
                    <w:rPr>
                      <w:rFonts w:hint="default" w:eastAsia="宋体"/>
                      <w:color w:val="auto"/>
                      <w:szCs w:val="21"/>
                      <w:lang w:val="en-US" w:eastAsia="zh-CN"/>
                    </w:rPr>
                  </w:pPr>
                  <w:r>
                    <w:rPr>
                      <w:rFonts w:hint="eastAsia"/>
                      <w:color w:val="auto"/>
                      <w:szCs w:val="21"/>
                      <w:lang w:val="en-US" w:eastAsia="zh-CN"/>
                    </w:rPr>
                    <w:t>6.5</w:t>
                  </w:r>
                </w:p>
              </w:tc>
              <w:tc>
                <w:tcPr>
                  <w:tcW w:w="731" w:type="pct"/>
                  <w:vAlign w:val="center"/>
                </w:tcPr>
                <w:p w14:paraId="4ACC9284">
                  <w:pPr>
                    <w:widowControl w:val="0"/>
                    <w:jc w:val="center"/>
                    <w:rPr>
                      <w:color w:val="auto"/>
                      <w:szCs w:val="21"/>
                    </w:rPr>
                  </w:pPr>
                  <w:r>
                    <w:rPr>
                      <w:color w:val="auto"/>
                      <w:szCs w:val="21"/>
                    </w:rPr>
                    <w:t>/</w:t>
                  </w:r>
                </w:p>
              </w:tc>
            </w:tr>
            <w:tr w14:paraId="6990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710830BB">
                  <w:pPr>
                    <w:widowControl w:val="0"/>
                    <w:jc w:val="center"/>
                    <w:rPr>
                      <w:bCs/>
                      <w:color w:val="auto"/>
                      <w:szCs w:val="21"/>
                    </w:rPr>
                  </w:pPr>
                </w:p>
              </w:tc>
              <w:tc>
                <w:tcPr>
                  <w:tcW w:w="1163" w:type="pct"/>
                  <w:vAlign w:val="center"/>
                </w:tcPr>
                <w:p w14:paraId="40253131">
                  <w:pPr>
                    <w:widowControl w:val="0"/>
                    <w:jc w:val="center"/>
                    <w:rPr>
                      <w:bCs/>
                      <w:color w:val="auto"/>
                      <w:szCs w:val="21"/>
                    </w:rPr>
                  </w:pPr>
                  <w:r>
                    <w:rPr>
                      <w:bCs/>
                      <w:color w:val="auto"/>
                      <w:szCs w:val="21"/>
                    </w:rPr>
                    <w:t>化学需氧量</w:t>
                  </w:r>
                </w:p>
              </w:tc>
              <w:tc>
                <w:tcPr>
                  <w:tcW w:w="761" w:type="pct"/>
                  <w:vAlign w:val="center"/>
                </w:tcPr>
                <w:p w14:paraId="7381F7A2">
                  <w:pPr>
                    <w:widowControl w:val="0"/>
                    <w:jc w:val="center"/>
                    <w:rPr>
                      <w:color w:val="auto"/>
                      <w:szCs w:val="21"/>
                    </w:rPr>
                  </w:pPr>
                  <w:r>
                    <w:rPr>
                      <w:color w:val="auto"/>
                      <w:szCs w:val="21"/>
                    </w:rPr>
                    <w:t>mg/L</w:t>
                  </w:r>
                </w:p>
              </w:tc>
              <w:tc>
                <w:tcPr>
                  <w:tcW w:w="711" w:type="pct"/>
                  <w:vAlign w:val="center"/>
                </w:tcPr>
                <w:p w14:paraId="1859177A">
                  <w:pPr>
                    <w:widowControl w:val="0"/>
                    <w:jc w:val="center"/>
                    <w:rPr>
                      <w:rFonts w:hint="default" w:eastAsia="宋体"/>
                      <w:color w:val="auto"/>
                      <w:szCs w:val="21"/>
                      <w:lang w:val="en-US" w:eastAsia="zh-CN"/>
                    </w:rPr>
                  </w:pPr>
                  <w:r>
                    <w:rPr>
                      <w:rFonts w:hint="eastAsia"/>
                      <w:color w:val="auto"/>
                      <w:szCs w:val="21"/>
                      <w:lang w:val="en-US" w:eastAsia="zh-CN"/>
                    </w:rPr>
                    <w:t>156</w:t>
                  </w:r>
                </w:p>
              </w:tc>
              <w:tc>
                <w:tcPr>
                  <w:tcW w:w="731" w:type="pct"/>
                  <w:vAlign w:val="center"/>
                </w:tcPr>
                <w:p w14:paraId="60FF410A">
                  <w:pPr>
                    <w:widowControl w:val="0"/>
                    <w:jc w:val="center"/>
                    <w:rPr>
                      <w:color w:val="auto"/>
                      <w:szCs w:val="21"/>
                    </w:rPr>
                  </w:pPr>
                  <w:r>
                    <w:rPr>
                      <w:color w:val="auto"/>
                      <w:szCs w:val="21"/>
                    </w:rPr>
                    <w:t>/</w:t>
                  </w:r>
                </w:p>
              </w:tc>
            </w:tr>
            <w:tr w14:paraId="38D6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76F36984">
                  <w:pPr>
                    <w:widowControl w:val="0"/>
                    <w:jc w:val="center"/>
                    <w:rPr>
                      <w:bCs/>
                      <w:color w:val="auto"/>
                      <w:szCs w:val="21"/>
                    </w:rPr>
                  </w:pPr>
                </w:p>
              </w:tc>
              <w:tc>
                <w:tcPr>
                  <w:tcW w:w="1163" w:type="pct"/>
                  <w:vAlign w:val="center"/>
                </w:tcPr>
                <w:p w14:paraId="51BCDE11">
                  <w:pPr>
                    <w:widowControl w:val="0"/>
                    <w:jc w:val="center"/>
                    <w:rPr>
                      <w:rFonts w:hint="default" w:eastAsia="宋体"/>
                      <w:bCs/>
                      <w:color w:val="auto"/>
                      <w:szCs w:val="21"/>
                      <w:lang w:val="en-US" w:eastAsia="zh-CN"/>
                    </w:rPr>
                  </w:pPr>
                  <w:r>
                    <w:rPr>
                      <w:rFonts w:hint="eastAsia"/>
                      <w:bCs/>
                      <w:color w:val="auto"/>
                      <w:szCs w:val="21"/>
                      <w:lang w:val="en-US" w:eastAsia="zh-CN"/>
                    </w:rPr>
                    <w:t>总铝</w:t>
                  </w:r>
                </w:p>
              </w:tc>
              <w:tc>
                <w:tcPr>
                  <w:tcW w:w="761" w:type="pct"/>
                  <w:vAlign w:val="center"/>
                </w:tcPr>
                <w:p w14:paraId="4251887D">
                  <w:pPr>
                    <w:widowControl w:val="0"/>
                    <w:jc w:val="center"/>
                    <w:rPr>
                      <w:color w:val="auto"/>
                      <w:szCs w:val="21"/>
                    </w:rPr>
                  </w:pPr>
                  <w:r>
                    <w:rPr>
                      <w:color w:val="auto"/>
                      <w:szCs w:val="21"/>
                    </w:rPr>
                    <w:t>mg/L</w:t>
                  </w:r>
                </w:p>
              </w:tc>
              <w:tc>
                <w:tcPr>
                  <w:tcW w:w="711" w:type="pct"/>
                  <w:vAlign w:val="center"/>
                </w:tcPr>
                <w:p w14:paraId="66E6DEA4">
                  <w:pPr>
                    <w:widowControl w:val="0"/>
                    <w:jc w:val="center"/>
                    <w:rPr>
                      <w:rFonts w:hint="default" w:eastAsia="宋体"/>
                      <w:color w:val="auto"/>
                      <w:szCs w:val="21"/>
                      <w:lang w:val="en-US" w:eastAsia="zh-CN"/>
                    </w:rPr>
                  </w:pPr>
                  <w:r>
                    <w:rPr>
                      <w:rFonts w:hint="eastAsia"/>
                      <w:color w:val="auto"/>
                      <w:szCs w:val="21"/>
                      <w:lang w:val="en-US" w:eastAsia="zh-CN"/>
                    </w:rPr>
                    <w:t>ND</w:t>
                  </w:r>
                </w:p>
              </w:tc>
              <w:tc>
                <w:tcPr>
                  <w:tcW w:w="731" w:type="pct"/>
                  <w:vAlign w:val="center"/>
                </w:tcPr>
                <w:p w14:paraId="44D57352">
                  <w:pPr>
                    <w:widowControl w:val="0"/>
                    <w:jc w:val="center"/>
                    <w:rPr>
                      <w:color w:val="auto"/>
                      <w:szCs w:val="21"/>
                    </w:rPr>
                  </w:pPr>
                  <w:r>
                    <w:rPr>
                      <w:color w:val="auto"/>
                      <w:szCs w:val="21"/>
                    </w:rPr>
                    <w:t>/</w:t>
                  </w:r>
                </w:p>
              </w:tc>
            </w:tr>
            <w:tr w14:paraId="0D9A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18D99871">
                  <w:pPr>
                    <w:widowControl w:val="0"/>
                    <w:jc w:val="center"/>
                    <w:rPr>
                      <w:bCs/>
                      <w:color w:val="auto"/>
                      <w:szCs w:val="21"/>
                    </w:rPr>
                  </w:pPr>
                </w:p>
              </w:tc>
              <w:tc>
                <w:tcPr>
                  <w:tcW w:w="1163" w:type="pct"/>
                  <w:vAlign w:val="center"/>
                </w:tcPr>
                <w:p w14:paraId="551C7EA6">
                  <w:pPr>
                    <w:widowControl w:val="0"/>
                    <w:jc w:val="center"/>
                    <w:rPr>
                      <w:bCs/>
                      <w:color w:val="auto"/>
                      <w:szCs w:val="21"/>
                    </w:rPr>
                  </w:pPr>
                  <w:r>
                    <w:rPr>
                      <w:bCs/>
                      <w:color w:val="auto"/>
                      <w:szCs w:val="21"/>
                    </w:rPr>
                    <w:t>悬浮物</w:t>
                  </w:r>
                </w:p>
              </w:tc>
              <w:tc>
                <w:tcPr>
                  <w:tcW w:w="761" w:type="pct"/>
                  <w:vAlign w:val="center"/>
                </w:tcPr>
                <w:p w14:paraId="5F8B6112">
                  <w:pPr>
                    <w:widowControl w:val="0"/>
                    <w:jc w:val="center"/>
                    <w:rPr>
                      <w:color w:val="auto"/>
                      <w:szCs w:val="21"/>
                    </w:rPr>
                  </w:pPr>
                  <w:r>
                    <w:rPr>
                      <w:color w:val="auto"/>
                      <w:szCs w:val="21"/>
                    </w:rPr>
                    <w:t>mg/L</w:t>
                  </w:r>
                </w:p>
              </w:tc>
              <w:tc>
                <w:tcPr>
                  <w:tcW w:w="711" w:type="pct"/>
                  <w:vAlign w:val="center"/>
                </w:tcPr>
                <w:p w14:paraId="50A5568C">
                  <w:pPr>
                    <w:widowControl w:val="0"/>
                    <w:jc w:val="center"/>
                    <w:rPr>
                      <w:rFonts w:hint="default" w:eastAsia="宋体"/>
                      <w:color w:val="auto"/>
                      <w:szCs w:val="21"/>
                      <w:lang w:val="en-US" w:eastAsia="zh-CN"/>
                    </w:rPr>
                  </w:pPr>
                  <w:r>
                    <w:rPr>
                      <w:rFonts w:hint="eastAsia"/>
                      <w:color w:val="auto"/>
                      <w:szCs w:val="21"/>
                      <w:lang w:val="en-US" w:eastAsia="zh-CN"/>
                    </w:rPr>
                    <w:t>65</w:t>
                  </w:r>
                </w:p>
              </w:tc>
              <w:tc>
                <w:tcPr>
                  <w:tcW w:w="731" w:type="pct"/>
                  <w:vAlign w:val="center"/>
                </w:tcPr>
                <w:p w14:paraId="7754B1E2">
                  <w:pPr>
                    <w:widowControl w:val="0"/>
                    <w:jc w:val="center"/>
                    <w:rPr>
                      <w:color w:val="auto"/>
                      <w:szCs w:val="21"/>
                    </w:rPr>
                  </w:pPr>
                  <w:r>
                    <w:rPr>
                      <w:color w:val="auto"/>
                      <w:szCs w:val="21"/>
                    </w:rPr>
                    <w:t>/</w:t>
                  </w:r>
                </w:p>
              </w:tc>
            </w:tr>
            <w:tr w14:paraId="618B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598A04DF">
                  <w:pPr>
                    <w:widowControl w:val="0"/>
                    <w:jc w:val="center"/>
                    <w:rPr>
                      <w:bCs/>
                      <w:color w:val="auto"/>
                      <w:szCs w:val="21"/>
                    </w:rPr>
                  </w:pPr>
                </w:p>
              </w:tc>
              <w:tc>
                <w:tcPr>
                  <w:tcW w:w="1163" w:type="pct"/>
                  <w:vAlign w:val="center"/>
                </w:tcPr>
                <w:p w14:paraId="1658B8BC">
                  <w:pPr>
                    <w:widowControl w:val="0"/>
                    <w:jc w:val="center"/>
                    <w:rPr>
                      <w:bCs/>
                      <w:color w:val="auto"/>
                      <w:szCs w:val="21"/>
                    </w:rPr>
                  </w:pPr>
                  <w:r>
                    <w:rPr>
                      <w:bCs/>
                      <w:color w:val="auto"/>
                      <w:szCs w:val="21"/>
                    </w:rPr>
                    <w:t>氨氮</w:t>
                  </w:r>
                </w:p>
              </w:tc>
              <w:tc>
                <w:tcPr>
                  <w:tcW w:w="761" w:type="pct"/>
                  <w:vAlign w:val="center"/>
                </w:tcPr>
                <w:p w14:paraId="5BE95E88">
                  <w:pPr>
                    <w:widowControl w:val="0"/>
                    <w:jc w:val="center"/>
                    <w:rPr>
                      <w:color w:val="auto"/>
                      <w:szCs w:val="21"/>
                    </w:rPr>
                  </w:pPr>
                  <w:r>
                    <w:rPr>
                      <w:color w:val="auto"/>
                      <w:szCs w:val="21"/>
                    </w:rPr>
                    <w:t>mg/L</w:t>
                  </w:r>
                </w:p>
              </w:tc>
              <w:tc>
                <w:tcPr>
                  <w:tcW w:w="711" w:type="pct"/>
                  <w:vAlign w:val="center"/>
                </w:tcPr>
                <w:p w14:paraId="085776C0">
                  <w:pPr>
                    <w:widowControl w:val="0"/>
                    <w:jc w:val="center"/>
                    <w:rPr>
                      <w:rFonts w:hint="default" w:eastAsia="宋体"/>
                      <w:color w:val="auto"/>
                      <w:szCs w:val="21"/>
                      <w:lang w:val="en-US" w:eastAsia="zh-CN"/>
                    </w:rPr>
                  </w:pPr>
                  <w:r>
                    <w:rPr>
                      <w:rFonts w:hint="eastAsia"/>
                      <w:color w:val="auto"/>
                      <w:szCs w:val="21"/>
                      <w:lang w:val="en-US" w:eastAsia="zh-CN"/>
                    </w:rPr>
                    <w:t>0.542</w:t>
                  </w:r>
                </w:p>
              </w:tc>
              <w:tc>
                <w:tcPr>
                  <w:tcW w:w="731" w:type="pct"/>
                  <w:vAlign w:val="center"/>
                </w:tcPr>
                <w:p w14:paraId="73CE377A">
                  <w:pPr>
                    <w:widowControl w:val="0"/>
                    <w:jc w:val="center"/>
                    <w:rPr>
                      <w:color w:val="auto"/>
                      <w:szCs w:val="21"/>
                    </w:rPr>
                  </w:pPr>
                  <w:r>
                    <w:rPr>
                      <w:color w:val="auto"/>
                      <w:szCs w:val="21"/>
                    </w:rPr>
                    <w:t>/</w:t>
                  </w:r>
                </w:p>
              </w:tc>
            </w:tr>
            <w:tr w14:paraId="3AFF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380CA490">
                  <w:pPr>
                    <w:widowControl w:val="0"/>
                    <w:jc w:val="center"/>
                    <w:rPr>
                      <w:bCs/>
                      <w:color w:val="auto"/>
                      <w:szCs w:val="21"/>
                    </w:rPr>
                  </w:pPr>
                </w:p>
              </w:tc>
              <w:tc>
                <w:tcPr>
                  <w:tcW w:w="1163" w:type="pct"/>
                  <w:vAlign w:val="center"/>
                </w:tcPr>
                <w:p w14:paraId="227D4C61">
                  <w:pPr>
                    <w:widowControl w:val="0"/>
                    <w:jc w:val="center"/>
                    <w:rPr>
                      <w:bCs/>
                      <w:color w:val="auto"/>
                      <w:szCs w:val="21"/>
                    </w:rPr>
                  </w:pPr>
                  <w:r>
                    <w:rPr>
                      <w:bCs/>
                      <w:color w:val="auto"/>
                      <w:szCs w:val="21"/>
                    </w:rPr>
                    <w:t>总磷</w:t>
                  </w:r>
                </w:p>
              </w:tc>
              <w:tc>
                <w:tcPr>
                  <w:tcW w:w="761" w:type="pct"/>
                  <w:vAlign w:val="center"/>
                </w:tcPr>
                <w:p w14:paraId="28FA7BD7">
                  <w:pPr>
                    <w:widowControl w:val="0"/>
                    <w:jc w:val="center"/>
                    <w:rPr>
                      <w:color w:val="auto"/>
                      <w:szCs w:val="21"/>
                    </w:rPr>
                  </w:pPr>
                  <w:r>
                    <w:rPr>
                      <w:color w:val="auto"/>
                      <w:szCs w:val="21"/>
                    </w:rPr>
                    <w:t>mg/L</w:t>
                  </w:r>
                </w:p>
              </w:tc>
              <w:tc>
                <w:tcPr>
                  <w:tcW w:w="711" w:type="pct"/>
                  <w:vAlign w:val="center"/>
                </w:tcPr>
                <w:p w14:paraId="7EB96226">
                  <w:pPr>
                    <w:widowControl w:val="0"/>
                    <w:jc w:val="center"/>
                    <w:rPr>
                      <w:rFonts w:hint="default" w:eastAsia="宋体"/>
                      <w:color w:val="auto"/>
                      <w:szCs w:val="21"/>
                      <w:lang w:val="en-US" w:eastAsia="zh-CN"/>
                    </w:rPr>
                  </w:pPr>
                  <w:r>
                    <w:rPr>
                      <w:rFonts w:hint="eastAsia"/>
                      <w:color w:val="auto"/>
                      <w:szCs w:val="21"/>
                      <w:lang w:val="en-US" w:eastAsia="zh-CN"/>
                    </w:rPr>
                    <w:t>2.85</w:t>
                  </w:r>
                </w:p>
              </w:tc>
              <w:tc>
                <w:tcPr>
                  <w:tcW w:w="731" w:type="pct"/>
                  <w:vAlign w:val="center"/>
                </w:tcPr>
                <w:p w14:paraId="2AC6FD13">
                  <w:pPr>
                    <w:widowControl w:val="0"/>
                    <w:jc w:val="center"/>
                    <w:rPr>
                      <w:color w:val="auto"/>
                      <w:szCs w:val="21"/>
                    </w:rPr>
                  </w:pPr>
                  <w:r>
                    <w:rPr>
                      <w:color w:val="auto"/>
                      <w:szCs w:val="21"/>
                    </w:rPr>
                    <w:t>/</w:t>
                  </w:r>
                </w:p>
              </w:tc>
            </w:tr>
            <w:tr w14:paraId="03B16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7BD2F3AB">
                  <w:pPr>
                    <w:widowControl w:val="0"/>
                    <w:jc w:val="center"/>
                    <w:rPr>
                      <w:bCs/>
                      <w:color w:val="auto"/>
                      <w:szCs w:val="21"/>
                    </w:rPr>
                  </w:pPr>
                </w:p>
              </w:tc>
              <w:tc>
                <w:tcPr>
                  <w:tcW w:w="1163" w:type="pct"/>
                  <w:vAlign w:val="center"/>
                </w:tcPr>
                <w:p w14:paraId="7B400EDA">
                  <w:pPr>
                    <w:widowControl w:val="0"/>
                    <w:jc w:val="center"/>
                    <w:rPr>
                      <w:bCs/>
                      <w:color w:val="auto"/>
                      <w:szCs w:val="21"/>
                    </w:rPr>
                  </w:pPr>
                  <w:r>
                    <w:rPr>
                      <w:bCs/>
                      <w:color w:val="auto"/>
                      <w:szCs w:val="21"/>
                    </w:rPr>
                    <w:t>总氮</w:t>
                  </w:r>
                </w:p>
              </w:tc>
              <w:tc>
                <w:tcPr>
                  <w:tcW w:w="761" w:type="pct"/>
                  <w:vAlign w:val="center"/>
                </w:tcPr>
                <w:p w14:paraId="5A03DDD7">
                  <w:pPr>
                    <w:widowControl w:val="0"/>
                    <w:jc w:val="center"/>
                    <w:rPr>
                      <w:color w:val="auto"/>
                      <w:szCs w:val="21"/>
                    </w:rPr>
                  </w:pPr>
                  <w:r>
                    <w:rPr>
                      <w:color w:val="auto"/>
                      <w:szCs w:val="21"/>
                    </w:rPr>
                    <w:t>mg/L</w:t>
                  </w:r>
                </w:p>
              </w:tc>
              <w:tc>
                <w:tcPr>
                  <w:tcW w:w="711" w:type="pct"/>
                  <w:vAlign w:val="center"/>
                </w:tcPr>
                <w:p w14:paraId="2C56BA64">
                  <w:pPr>
                    <w:widowControl w:val="0"/>
                    <w:jc w:val="center"/>
                    <w:rPr>
                      <w:rFonts w:hint="default" w:eastAsia="宋体"/>
                      <w:color w:val="auto"/>
                      <w:szCs w:val="21"/>
                      <w:lang w:val="en-US" w:eastAsia="zh-CN"/>
                    </w:rPr>
                  </w:pPr>
                  <w:r>
                    <w:rPr>
                      <w:rFonts w:hint="eastAsia"/>
                      <w:color w:val="auto"/>
                      <w:szCs w:val="21"/>
                      <w:lang w:val="en-US" w:eastAsia="zh-CN"/>
                    </w:rPr>
                    <w:t>29.8</w:t>
                  </w:r>
                </w:p>
              </w:tc>
              <w:tc>
                <w:tcPr>
                  <w:tcW w:w="731" w:type="pct"/>
                  <w:vAlign w:val="center"/>
                </w:tcPr>
                <w:p w14:paraId="23304111">
                  <w:pPr>
                    <w:widowControl w:val="0"/>
                    <w:jc w:val="center"/>
                    <w:rPr>
                      <w:color w:val="auto"/>
                      <w:szCs w:val="21"/>
                    </w:rPr>
                  </w:pPr>
                  <w:r>
                    <w:rPr>
                      <w:color w:val="auto"/>
                      <w:szCs w:val="21"/>
                    </w:rPr>
                    <w:t>/</w:t>
                  </w:r>
                </w:p>
              </w:tc>
            </w:tr>
            <w:tr w14:paraId="0EE7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05D771CB">
                  <w:pPr>
                    <w:widowControl w:val="0"/>
                    <w:jc w:val="center"/>
                    <w:rPr>
                      <w:bCs/>
                      <w:color w:val="auto"/>
                      <w:szCs w:val="21"/>
                    </w:rPr>
                  </w:pPr>
                </w:p>
              </w:tc>
              <w:tc>
                <w:tcPr>
                  <w:tcW w:w="1163" w:type="pct"/>
                  <w:vAlign w:val="center"/>
                </w:tcPr>
                <w:p w14:paraId="795F8446">
                  <w:pPr>
                    <w:widowControl w:val="0"/>
                    <w:jc w:val="center"/>
                    <w:rPr>
                      <w:bCs/>
                      <w:color w:val="auto"/>
                      <w:szCs w:val="21"/>
                    </w:rPr>
                  </w:pPr>
                  <w:r>
                    <w:rPr>
                      <w:bCs/>
                      <w:color w:val="auto"/>
                      <w:szCs w:val="21"/>
                    </w:rPr>
                    <w:t>五日生化需氧量</w:t>
                  </w:r>
                </w:p>
              </w:tc>
              <w:tc>
                <w:tcPr>
                  <w:tcW w:w="761" w:type="pct"/>
                  <w:vAlign w:val="center"/>
                </w:tcPr>
                <w:p w14:paraId="3244F8E7">
                  <w:pPr>
                    <w:widowControl w:val="0"/>
                    <w:jc w:val="center"/>
                    <w:rPr>
                      <w:color w:val="auto"/>
                      <w:szCs w:val="21"/>
                    </w:rPr>
                  </w:pPr>
                  <w:r>
                    <w:rPr>
                      <w:color w:val="auto"/>
                      <w:szCs w:val="21"/>
                    </w:rPr>
                    <w:t>mg/L</w:t>
                  </w:r>
                </w:p>
              </w:tc>
              <w:tc>
                <w:tcPr>
                  <w:tcW w:w="711" w:type="pct"/>
                  <w:vAlign w:val="center"/>
                </w:tcPr>
                <w:p w14:paraId="14006D3A">
                  <w:pPr>
                    <w:widowControl w:val="0"/>
                    <w:jc w:val="center"/>
                    <w:rPr>
                      <w:rFonts w:hint="default" w:eastAsia="宋体"/>
                      <w:color w:val="auto"/>
                      <w:szCs w:val="21"/>
                      <w:lang w:val="en-US" w:eastAsia="zh-CN"/>
                    </w:rPr>
                  </w:pPr>
                  <w:r>
                    <w:rPr>
                      <w:rFonts w:hint="eastAsia"/>
                      <w:color w:val="auto"/>
                      <w:szCs w:val="21"/>
                      <w:lang w:val="en-US" w:eastAsia="zh-CN"/>
                    </w:rPr>
                    <w:t>76.5</w:t>
                  </w:r>
                </w:p>
              </w:tc>
              <w:tc>
                <w:tcPr>
                  <w:tcW w:w="731" w:type="pct"/>
                  <w:vAlign w:val="center"/>
                </w:tcPr>
                <w:p w14:paraId="4A1C5231">
                  <w:pPr>
                    <w:widowControl w:val="0"/>
                    <w:jc w:val="center"/>
                    <w:rPr>
                      <w:color w:val="auto"/>
                      <w:szCs w:val="21"/>
                    </w:rPr>
                  </w:pPr>
                  <w:r>
                    <w:rPr>
                      <w:color w:val="auto"/>
                      <w:szCs w:val="21"/>
                    </w:rPr>
                    <w:t>/</w:t>
                  </w:r>
                </w:p>
              </w:tc>
            </w:tr>
            <w:tr w14:paraId="35C6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Align w:val="center"/>
                </w:tcPr>
                <w:p w14:paraId="27749661">
                  <w:pPr>
                    <w:widowControl w:val="0"/>
                    <w:jc w:val="center"/>
                    <w:rPr>
                      <w:rFonts w:hint="default" w:eastAsia="宋体"/>
                      <w:bCs/>
                      <w:color w:val="auto"/>
                      <w:szCs w:val="21"/>
                      <w:lang w:val="en-US" w:eastAsia="zh-CN"/>
                    </w:rPr>
                  </w:pPr>
                  <w:r>
                    <w:rPr>
                      <w:rFonts w:hint="eastAsia"/>
                      <w:bCs/>
                      <w:color w:val="auto"/>
                      <w:szCs w:val="21"/>
                      <w:lang w:val="en-US" w:eastAsia="zh-CN"/>
                    </w:rPr>
                    <w:t>含镍废水回用处理设施进水口</w:t>
                  </w:r>
                </w:p>
              </w:tc>
              <w:tc>
                <w:tcPr>
                  <w:tcW w:w="1163" w:type="pct"/>
                  <w:vAlign w:val="center"/>
                </w:tcPr>
                <w:p w14:paraId="066AE987">
                  <w:pPr>
                    <w:widowControl w:val="0"/>
                    <w:jc w:val="center"/>
                    <w:rPr>
                      <w:rFonts w:hint="default" w:eastAsia="宋体"/>
                      <w:bCs/>
                      <w:color w:val="auto"/>
                      <w:szCs w:val="21"/>
                      <w:lang w:val="en-US" w:eastAsia="zh-CN"/>
                    </w:rPr>
                  </w:pPr>
                  <w:r>
                    <w:rPr>
                      <w:rFonts w:hint="eastAsia"/>
                      <w:bCs/>
                      <w:color w:val="auto"/>
                      <w:szCs w:val="21"/>
                      <w:lang w:val="en-US" w:eastAsia="zh-CN"/>
                    </w:rPr>
                    <w:t>总镍</w:t>
                  </w:r>
                </w:p>
              </w:tc>
              <w:tc>
                <w:tcPr>
                  <w:tcW w:w="761" w:type="pct"/>
                  <w:vAlign w:val="center"/>
                </w:tcPr>
                <w:p w14:paraId="62B50CD7">
                  <w:pPr>
                    <w:widowControl w:val="0"/>
                    <w:jc w:val="center"/>
                    <w:rPr>
                      <w:rFonts w:hint="default" w:eastAsia="宋体"/>
                      <w:color w:val="auto"/>
                      <w:szCs w:val="21"/>
                      <w:lang w:val="en-US" w:eastAsia="zh-CN"/>
                    </w:rPr>
                  </w:pPr>
                  <w:r>
                    <w:rPr>
                      <w:color w:val="auto"/>
                      <w:szCs w:val="21"/>
                    </w:rPr>
                    <w:t>mg/L</w:t>
                  </w:r>
                </w:p>
              </w:tc>
              <w:tc>
                <w:tcPr>
                  <w:tcW w:w="711" w:type="pct"/>
                  <w:vAlign w:val="center"/>
                </w:tcPr>
                <w:p w14:paraId="57158EFE">
                  <w:pPr>
                    <w:widowControl w:val="0"/>
                    <w:jc w:val="center"/>
                    <w:rPr>
                      <w:rFonts w:hint="default"/>
                      <w:color w:val="auto"/>
                      <w:szCs w:val="21"/>
                      <w:lang w:val="en-US" w:eastAsia="zh-CN"/>
                    </w:rPr>
                  </w:pPr>
                  <w:r>
                    <w:rPr>
                      <w:rFonts w:hint="eastAsia"/>
                      <w:color w:val="auto"/>
                      <w:szCs w:val="21"/>
                      <w:lang w:val="en-US" w:eastAsia="zh-CN"/>
                    </w:rPr>
                    <w:t>0.15</w:t>
                  </w:r>
                </w:p>
              </w:tc>
              <w:tc>
                <w:tcPr>
                  <w:tcW w:w="731" w:type="pct"/>
                  <w:vAlign w:val="center"/>
                </w:tcPr>
                <w:p w14:paraId="281A3777">
                  <w:pPr>
                    <w:widowControl w:val="0"/>
                    <w:jc w:val="center"/>
                    <w:rPr>
                      <w:rFonts w:hint="default" w:eastAsia="宋体"/>
                      <w:color w:val="auto"/>
                      <w:szCs w:val="21"/>
                      <w:lang w:val="en-US" w:eastAsia="zh-CN"/>
                    </w:rPr>
                  </w:pPr>
                  <w:r>
                    <w:rPr>
                      <w:rFonts w:hint="eastAsia"/>
                      <w:color w:val="auto"/>
                      <w:szCs w:val="21"/>
                      <w:lang w:val="en-US" w:eastAsia="zh-CN"/>
                    </w:rPr>
                    <w:t>0.5</w:t>
                  </w:r>
                </w:p>
              </w:tc>
            </w:tr>
            <w:tr w14:paraId="5814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restart"/>
                  <w:vAlign w:val="center"/>
                </w:tcPr>
                <w:p w14:paraId="13FECF86">
                  <w:pPr>
                    <w:widowControl w:val="0"/>
                    <w:jc w:val="center"/>
                    <w:rPr>
                      <w:bCs/>
                      <w:color w:val="auto"/>
                      <w:szCs w:val="21"/>
                    </w:rPr>
                  </w:pPr>
                  <w:r>
                    <w:rPr>
                      <w:bCs/>
                      <w:color w:val="auto"/>
                      <w:szCs w:val="21"/>
                    </w:rPr>
                    <w:t>污水处理设施出水口</w:t>
                  </w:r>
                </w:p>
              </w:tc>
              <w:tc>
                <w:tcPr>
                  <w:tcW w:w="1163" w:type="pct"/>
                  <w:vAlign w:val="center"/>
                </w:tcPr>
                <w:p w14:paraId="744D299B">
                  <w:pPr>
                    <w:widowControl w:val="0"/>
                    <w:jc w:val="center"/>
                    <w:rPr>
                      <w:color w:val="auto"/>
                      <w:szCs w:val="21"/>
                    </w:rPr>
                  </w:pPr>
                  <w:r>
                    <w:rPr>
                      <w:bCs/>
                      <w:color w:val="auto"/>
                      <w:szCs w:val="21"/>
                    </w:rPr>
                    <w:t>pH值</w:t>
                  </w:r>
                </w:p>
              </w:tc>
              <w:tc>
                <w:tcPr>
                  <w:tcW w:w="761" w:type="pct"/>
                  <w:vAlign w:val="center"/>
                </w:tcPr>
                <w:p w14:paraId="0E6DD436">
                  <w:pPr>
                    <w:widowControl w:val="0"/>
                    <w:jc w:val="center"/>
                    <w:rPr>
                      <w:color w:val="auto"/>
                      <w:szCs w:val="21"/>
                    </w:rPr>
                  </w:pPr>
                  <w:r>
                    <w:rPr>
                      <w:color w:val="auto"/>
                      <w:szCs w:val="21"/>
                    </w:rPr>
                    <w:t>无量纲</w:t>
                  </w:r>
                </w:p>
              </w:tc>
              <w:tc>
                <w:tcPr>
                  <w:tcW w:w="711" w:type="pct"/>
                  <w:vAlign w:val="center"/>
                </w:tcPr>
                <w:p w14:paraId="33B767DD">
                  <w:pPr>
                    <w:widowControl w:val="0"/>
                    <w:jc w:val="center"/>
                    <w:rPr>
                      <w:rFonts w:hint="default" w:eastAsia="宋体"/>
                      <w:color w:val="auto"/>
                      <w:szCs w:val="21"/>
                      <w:lang w:val="en-US" w:eastAsia="zh-CN"/>
                    </w:rPr>
                  </w:pPr>
                  <w:r>
                    <w:rPr>
                      <w:rFonts w:hint="eastAsia"/>
                      <w:color w:val="auto"/>
                      <w:szCs w:val="21"/>
                      <w:lang w:val="en-US" w:eastAsia="zh-CN"/>
                    </w:rPr>
                    <w:t>7.1</w:t>
                  </w:r>
                </w:p>
              </w:tc>
              <w:tc>
                <w:tcPr>
                  <w:tcW w:w="731" w:type="pct"/>
                  <w:vAlign w:val="center"/>
                </w:tcPr>
                <w:p w14:paraId="7490B25E">
                  <w:pPr>
                    <w:widowControl w:val="0"/>
                    <w:jc w:val="center"/>
                    <w:rPr>
                      <w:color w:val="auto"/>
                      <w:szCs w:val="21"/>
                    </w:rPr>
                  </w:pPr>
                  <w:r>
                    <w:rPr>
                      <w:color w:val="auto"/>
                      <w:szCs w:val="21"/>
                    </w:rPr>
                    <w:t>6~9</w:t>
                  </w:r>
                </w:p>
              </w:tc>
            </w:tr>
            <w:tr w14:paraId="57A3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1D5736DC">
                  <w:pPr>
                    <w:widowControl w:val="0"/>
                    <w:jc w:val="center"/>
                    <w:rPr>
                      <w:bCs/>
                      <w:color w:val="auto"/>
                      <w:szCs w:val="21"/>
                    </w:rPr>
                  </w:pPr>
                </w:p>
              </w:tc>
              <w:tc>
                <w:tcPr>
                  <w:tcW w:w="1163" w:type="pct"/>
                  <w:shd w:val="clear" w:color="auto" w:fill="auto"/>
                  <w:vAlign w:val="center"/>
                </w:tcPr>
                <w:p w14:paraId="1F89D937">
                  <w:pPr>
                    <w:widowControl w:val="0"/>
                    <w:jc w:val="center"/>
                    <w:rPr>
                      <w:rFonts w:ascii="Times New Roman" w:hAnsi="Times New Roman" w:eastAsia="宋体" w:cs="Times New Roman"/>
                      <w:bCs/>
                      <w:color w:val="auto"/>
                      <w:kern w:val="2"/>
                      <w:sz w:val="21"/>
                      <w:szCs w:val="21"/>
                      <w:lang w:val="en-US" w:eastAsia="zh-CN" w:bidi="ar-SA"/>
                    </w:rPr>
                  </w:pPr>
                  <w:r>
                    <w:rPr>
                      <w:bCs/>
                      <w:color w:val="auto"/>
                      <w:szCs w:val="21"/>
                    </w:rPr>
                    <w:t>化学需氧量</w:t>
                  </w:r>
                </w:p>
              </w:tc>
              <w:tc>
                <w:tcPr>
                  <w:tcW w:w="761" w:type="pct"/>
                  <w:vAlign w:val="center"/>
                </w:tcPr>
                <w:p w14:paraId="75F3869F">
                  <w:pPr>
                    <w:widowControl w:val="0"/>
                    <w:jc w:val="center"/>
                    <w:rPr>
                      <w:color w:val="auto"/>
                      <w:szCs w:val="21"/>
                    </w:rPr>
                  </w:pPr>
                  <w:r>
                    <w:rPr>
                      <w:color w:val="auto"/>
                      <w:szCs w:val="21"/>
                    </w:rPr>
                    <w:t>mg/L</w:t>
                  </w:r>
                </w:p>
              </w:tc>
              <w:tc>
                <w:tcPr>
                  <w:tcW w:w="711" w:type="pct"/>
                  <w:vAlign w:val="center"/>
                </w:tcPr>
                <w:p w14:paraId="7C150756">
                  <w:pPr>
                    <w:widowControl w:val="0"/>
                    <w:jc w:val="center"/>
                    <w:rPr>
                      <w:rFonts w:hint="default" w:eastAsia="宋体"/>
                      <w:color w:val="auto"/>
                      <w:szCs w:val="21"/>
                      <w:lang w:val="en-US" w:eastAsia="zh-CN"/>
                    </w:rPr>
                  </w:pPr>
                  <w:r>
                    <w:rPr>
                      <w:rFonts w:hint="eastAsia"/>
                      <w:color w:val="auto"/>
                      <w:szCs w:val="21"/>
                      <w:lang w:val="en-US" w:eastAsia="zh-CN"/>
                    </w:rPr>
                    <w:t>36</w:t>
                  </w:r>
                </w:p>
              </w:tc>
              <w:tc>
                <w:tcPr>
                  <w:tcW w:w="731" w:type="pct"/>
                  <w:vAlign w:val="center"/>
                </w:tcPr>
                <w:p w14:paraId="5D5FB551">
                  <w:pPr>
                    <w:widowControl w:val="0"/>
                    <w:jc w:val="center"/>
                    <w:rPr>
                      <w:color w:val="auto"/>
                      <w:szCs w:val="21"/>
                    </w:rPr>
                  </w:pPr>
                  <w:r>
                    <w:rPr>
                      <w:color w:val="auto"/>
                      <w:szCs w:val="21"/>
                    </w:rPr>
                    <w:t>90</w:t>
                  </w:r>
                </w:p>
              </w:tc>
            </w:tr>
            <w:tr w14:paraId="5EAA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2FD299CE">
                  <w:pPr>
                    <w:widowControl w:val="0"/>
                    <w:jc w:val="center"/>
                    <w:rPr>
                      <w:bCs/>
                      <w:color w:val="auto"/>
                      <w:szCs w:val="21"/>
                    </w:rPr>
                  </w:pPr>
                </w:p>
              </w:tc>
              <w:tc>
                <w:tcPr>
                  <w:tcW w:w="1163" w:type="pct"/>
                  <w:shd w:val="clear" w:color="auto" w:fill="auto"/>
                  <w:vAlign w:val="center"/>
                </w:tcPr>
                <w:p w14:paraId="78ABDFD8">
                  <w:pPr>
                    <w:widowControl w:val="0"/>
                    <w:jc w:val="center"/>
                    <w:rPr>
                      <w:rFonts w:hint="default"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总铝</w:t>
                  </w:r>
                </w:p>
              </w:tc>
              <w:tc>
                <w:tcPr>
                  <w:tcW w:w="761" w:type="pct"/>
                  <w:vAlign w:val="center"/>
                </w:tcPr>
                <w:p w14:paraId="238FA334">
                  <w:pPr>
                    <w:widowControl w:val="0"/>
                    <w:jc w:val="center"/>
                    <w:rPr>
                      <w:color w:val="auto"/>
                      <w:szCs w:val="21"/>
                    </w:rPr>
                  </w:pPr>
                  <w:r>
                    <w:rPr>
                      <w:color w:val="auto"/>
                      <w:szCs w:val="21"/>
                    </w:rPr>
                    <w:t>mg/L</w:t>
                  </w:r>
                </w:p>
              </w:tc>
              <w:tc>
                <w:tcPr>
                  <w:tcW w:w="711" w:type="pct"/>
                  <w:vAlign w:val="center"/>
                </w:tcPr>
                <w:p w14:paraId="1C786C35">
                  <w:pPr>
                    <w:widowControl w:val="0"/>
                    <w:jc w:val="center"/>
                    <w:rPr>
                      <w:rFonts w:hint="default" w:eastAsia="宋体"/>
                      <w:color w:val="auto"/>
                      <w:szCs w:val="21"/>
                      <w:lang w:val="en-US" w:eastAsia="zh-CN"/>
                    </w:rPr>
                  </w:pPr>
                  <w:r>
                    <w:rPr>
                      <w:rFonts w:hint="eastAsia"/>
                      <w:color w:val="auto"/>
                      <w:szCs w:val="21"/>
                      <w:lang w:val="en-US" w:eastAsia="zh-CN"/>
                    </w:rPr>
                    <w:t>ND</w:t>
                  </w:r>
                </w:p>
              </w:tc>
              <w:tc>
                <w:tcPr>
                  <w:tcW w:w="731" w:type="pct"/>
                  <w:vAlign w:val="center"/>
                </w:tcPr>
                <w:p w14:paraId="2AE960FE">
                  <w:pPr>
                    <w:widowControl w:val="0"/>
                    <w:jc w:val="center"/>
                    <w:rPr>
                      <w:rFonts w:hint="default" w:eastAsia="宋体"/>
                      <w:color w:val="auto"/>
                      <w:szCs w:val="21"/>
                      <w:lang w:val="en-US" w:eastAsia="zh-CN"/>
                    </w:rPr>
                  </w:pPr>
                  <w:r>
                    <w:rPr>
                      <w:rFonts w:hint="eastAsia"/>
                      <w:color w:val="auto"/>
                      <w:szCs w:val="21"/>
                      <w:lang w:val="en-US" w:eastAsia="zh-CN"/>
                    </w:rPr>
                    <w:t>6.0</w:t>
                  </w:r>
                </w:p>
              </w:tc>
            </w:tr>
            <w:tr w14:paraId="6E25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7150EE93">
                  <w:pPr>
                    <w:widowControl w:val="0"/>
                    <w:jc w:val="center"/>
                    <w:rPr>
                      <w:bCs/>
                      <w:color w:val="auto"/>
                      <w:szCs w:val="21"/>
                    </w:rPr>
                  </w:pPr>
                </w:p>
              </w:tc>
              <w:tc>
                <w:tcPr>
                  <w:tcW w:w="1163" w:type="pct"/>
                  <w:shd w:val="clear" w:color="auto" w:fill="auto"/>
                  <w:vAlign w:val="center"/>
                </w:tcPr>
                <w:p w14:paraId="3E0D4322">
                  <w:pPr>
                    <w:widowControl w:val="0"/>
                    <w:jc w:val="center"/>
                    <w:rPr>
                      <w:rFonts w:ascii="Times New Roman" w:hAnsi="Times New Roman" w:eastAsia="宋体" w:cs="Times New Roman"/>
                      <w:bCs/>
                      <w:color w:val="auto"/>
                      <w:kern w:val="2"/>
                      <w:sz w:val="21"/>
                      <w:szCs w:val="21"/>
                      <w:lang w:val="en-US" w:eastAsia="zh-CN" w:bidi="ar-SA"/>
                    </w:rPr>
                  </w:pPr>
                  <w:r>
                    <w:rPr>
                      <w:bCs/>
                      <w:color w:val="auto"/>
                      <w:szCs w:val="21"/>
                    </w:rPr>
                    <w:t>悬浮物</w:t>
                  </w:r>
                </w:p>
              </w:tc>
              <w:tc>
                <w:tcPr>
                  <w:tcW w:w="761" w:type="pct"/>
                  <w:vAlign w:val="center"/>
                </w:tcPr>
                <w:p w14:paraId="3059B6C8">
                  <w:pPr>
                    <w:widowControl w:val="0"/>
                    <w:jc w:val="center"/>
                    <w:rPr>
                      <w:color w:val="auto"/>
                      <w:szCs w:val="21"/>
                    </w:rPr>
                  </w:pPr>
                  <w:r>
                    <w:rPr>
                      <w:color w:val="auto"/>
                      <w:szCs w:val="21"/>
                    </w:rPr>
                    <w:t>mg/L</w:t>
                  </w:r>
                </w:p>
              </w:tc>
              <w:tc>
                <w:tcPr>
                  <w:tcW w:w="711" w:type="pct"/>
                  <w:vAlign w:val="center"/>
                </w:tcPr>
                <w:p w14:paraId="20127AA2">
                  <w:pPr>
                    <w:widowControl w:val="0"/>
                    <w:jc w:val="center"/>
                    <w:rPr>
                      <w:rFonts w:hint="default" w:eastAsia="宋体"/>
                      <w:color w:val="auto"/>
                      <w:szCs w:val="21"/>
                      <w:lang w:val="en-US" w:eastAsia="zh-CN"/>
                    </w:rPr>
                  </w:pPr>
                  <w:r>
                    <w:rPr>
                      <w:rFonts w:hint="eastAsia"/>
                      <w:color w:val="auto"/>
                      <w:szCs w:val="21"/>
                      <w:lang w:val="en-US" w:eastAsia="zh-CN"/>
                    </w:rPr>
                    <w:t>15</w:t>
                  </w:r>
                </w:p>
              </w:tc>
              <w:tc>
                <w:tcPr>
                  <w:tcW w:w="731" w:type="pct"/>
                  <w:shd w:val="clear" w:color="auto" w:fill="auto"/>
                  <w:vAlign w:val="center"/>
                </w:tcPr>
                <w:p w14:paraId="1CAA593D">
                  <w:pPr>
                    <w:widowControl w:val="0"/>
                    <w:jc w:val="center"/>
                    <w:rPr>
                      <w:rFonts w:ascii="Times New Roman" w:hAnsi="Times New Roman" w:eastAsia="宋体" w:cs="Times New Roman"/>
                      <w:color w:val="auto"/>
                      <w:kern w:val="2"/>
                      <w:sz w:val="21"/>
                      <w:szCs w:val="21"/>
                      <w:lang w:val="en-US" w:eastAsia="zh-CN" w:bidi="ar-SA"/>
                    </w:rPr>
                  </w:pPr>
                  <w:r>
                    <w:rPr>
                      <w:color w:val="auto"/>
                      <w:szCs w:val="21"/>
                    </w:rPr>
                    <w:t>60</w:t>
                  </w:r>
                </w:p>
              </w:tc>
            </w:tr>
            <w:tr w14:paraId="1AFF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57E1D073">
                  <w:pPr>
                    <w:widowControl w:val="0"/>
                    <w:jc w:val="center"/>
                    <w:rPr>
                      <w:bCs/>
                      <w:color w:val="auto"/>
                      <w:szCs w:val="21"/>
                    </w:rPr>
                  </w:pPr>
                </w:p>
              </w:tc>
              <w:tc>
                <w:tcPr>
                  <w:tcW w:w="1163" w:type="pct"/>
                  <w:shd w:val="clear" w:color="auto" w:fill="auto"/>
                  <w:vAlign w:val="center"/>
                </w:tcPr>
                <w:p w14:paraId="509B9212">
                  <w:pPr>
                    <w:widowControl w:val="0"/>
                    <w:jc w:val="center"/>
                    <w:rPr>
                      <w:rFonts w:ascii="Times New Roman" w:hAnsi="Times New Roman" w:eastAsia="宋体" w:cs="Times New Roman"/>
                      <w:bCs/>
                      <w:color w:val="auto"/>
                      <w:kern w:val="2"/>
                      <w:sz w:val="21"/>
                      <w:szCs w:val="21"/>
                      <w:lang w:val="en-US" w:eastAsia="zh-CN" w:bidi="ar-SA"/>
                    </w:rPr>
                  </w:pPr>
                  <w:r>
                    <w:rPr>
                      <w:bCs/>
                      <w:color w:val="auto"/>
                      <w:szCs w:val="21"/>
                    </w:rPr>
                    <w:t>氨氮</w:t>
                  </w:r>
                </w:p>
              </w:tc>
              <w:tc>
                <w:tcPr>
                  <w:tcW w:w="761" w:type="pct"/>
                  <w:vAlign w:val="center"/>
                </w:tcPr>
                <w:p w14:paraId="381C72DB">
                  <w:pPr>
                    <w:widowControl w:val="0"/>
                    <w:jc w:val="center"/>
                    <w:rPr>
                      <w:color w:val="auto"/>
                      <w:szCs w:val="21"/>
                    </w:rPr>
                  </w:pPr>
                  <w:r>
                    <w:rPr>
                      <w:color w:val="auto"/>
                      <w:szCs w:val="21"/>
                    </w:rPr>
                    <w:t>mg/L</w:t>
                  </w:r>
                </w:p>
              </w:tc>
              <w:tc>
                <w:tcPr>
                  <w:tcW w:w="711" w:type="pct"/>
                  <w:vAlign w:val="center"/>
                </w:tcPr>
                <w:p w14:paraId="0F436E90">
                  <w:pPr>
                    <w:widowControl w:val="0"/>
                    <w:jc w:val="center"/>
                    <w:rPr>
                      <w:rFonts w:hint="default" w:eastAsia="宋体"/>
                      <w:color w:val="auto"/>
                      <w:szCs w:val="21"/>
                      <w:lang w:val="en-US" w:eastAsia="zh-CN"/>
                    </w:rPr>
                  </w:pPr>
                  <w:r>
                    <w:rPr>
                      <w:rFonts w:hint="eastAsia"/>
                      <w:color w:val="auto"/>
                      <w:szCs w:val="21"/>
                      <w:lang w:val="en-US" w:eastAsia="zh-CN"/>
                    </w:rPr>
                    <w:t>0.258</w:t>
                  </w:r>
                </w:p>
              </w:tc>
              <w:tc>
                <w:tcPr>
                  <w:tcW w:w="731" w:type="pct"/>
                  <w:shd w:val="clear" w:color="auto" w:fill="auto"/>
                  <w:vAlign w:val="center"/>
                </w:tcPr>
                <w:p w14:paraId="1967E0DA">
                  <w:pPr>
                    <w:widowControl w:val="0"/>
                    <w:jc w:val="center"/>
                    <w:rPr>
                      <w:rFonts w:ascii="Times New Roman" w:hAnsi="Times New Roman" w:eastAsia="宋体" w:cs="Times New Roman"/>
                      <w:color w:val="auto"/>
                      <w:kern w:val="2"/>
                      <w:sz w:val="21"/>
                      <w:szCs w:val="21"/>
                      <w:lang w:val="en-US" w:eastAsia="zh-CN" w:bidi="ar-SA"/>
                    </w:rPr>
                  </w:pPr>
                  <w:r>
                    <w:rPr>
                      <w:color w:val="auto"/>
                      <w:szCs w:val="21"/>
                    </w:rPr>
                    <w:t>10</w:t>
                  </w:r>
                </w:p>
              </w:tc>
            </w:tr>
            <w:tr w14:paraId="6C11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09C38076">
                  <w:pPr>
                    <w:widowControl w:val="0"/>
                    <w:jc w:val="center"/>
                    <w:rPr>
                      <w:bCs/>
                      <w:color w:val="auto"/>
                      <w:szCs w:val="21"/>
                    </w:rPr>
                  </w:pPr>
                </w:p>
              </w:tc>
              <w:tc>
                <w:tcPr>
                  <w:tcW w:w="1163" w:type="pct"/>
                  <w:shd w:val="clear" w:color="auto" w:fill="auto"/>
                  <w:vAlign w:val="center"/>
                </w:tcPr>
                <w:p w14:paraId="49149030">
                  <w:pPr>
                    <w:widowControl w:val="0"/>
                    <w:jc w:val="center"/>
                    <w:rPr>
                      <w:rFonts w:ascii="Times New Roman" w:hAnsi="Times New Roman" w:eastAsia="宋体" w:cs="Times New Roman"/>
                      <w:bCs/>
                      <w:color w:val="auto"/>
                      <w:kern w:val="2"/>
                      <w:sz w:val="21"/>
                      <w:szCs w:val="21"/>
                      <w:lang w:val="en-US" w:eastAsia="zh-CN" w:bidi="ar-SA"/>
                    </w:rPr>
                  </w:pPr>
                  <w:r>
                    <w:rPr>
                      <w:bCs/>
                      <w:color w:val="auto"/>
                      <w:szCs w:val="21"/>
                    </w:rPr>
                    <w:t>总磷</w:t>
                  </w:r>
                </w:p>
              </w:tc>
              <w:tc>
                <w:tcPr>
                  <w:tcW w:w="761" w:type="pct"/>
                  <w:vAlign w:val="center"/>
                </w:tcPr>
                <w:p w14:paraId="4FDE573F">
                  <w:pPr>
                    <w:widowControl w:val="0"/>
                    <w:jc w:val="center"/>
                    <w:rPr>
                      <w:color w:val="auto"/>
                      <w:szCs w:val="21"/>
                    </w:rPr>
                  </w:pPr>
                  <w:r>
                    <w:rPr>
                      <w:color w:val="auto"/>
                      <w:szCs w:val="21"/>
                    </w:rPr>
                    <w:t>mg/L</w:t>
                  </w:r>
                </w:p>
              </w:tc>
              <w:tc>
                <w:tcPr>
                  <w:tcW w:w="711" w:type="pct"/>
                  <w:vAlign w:val="center"/>
                </w:tcPr>
                <w:p w14:paraId="348C54CB">
                  <w:pPr>
                    <w:widowControl w:val="0"/>
                    <w:jc w:val="center"/>
                    <w:rPr>
                      <w:rFonts w:hint="default" w:eastAsia="宋体"/>
                      <w:color w:val="auto"/>
                      <w:szCs w:val="21"/>
                      <w:lang w:val="en-US" w:eastAsia="zh-CN"/>
                    </w:rPr>
                  </w:pPr>
                  <w:r>
                    <w:rPr>
                      <w:rFonts w:hint="eastAsia"/>
                      <w:color w:val="auto"/>
                      <w:szCs w:val="21"/>
                      <w:lang w:val="en-US" w:eastAsia="zh-CN"/>
                    </w:rPr>
                    <w:t>0.25</w:t>
                  </w:r>
                </w:p>
              </w:tc>
              <w:tc>
                <w:tcPr>
                  <w:tcW w:w="731" w:type="pct"/>
                  <w:shd w:val="clear" w:color="auto" w:fill="auto"/>
                  <w:vAlign w:val="center"/>
                </w:tcPr>
                <w:p w14:paraId="2C80F9F0">
                  <w:pPr>
                    <w:widowControl w:val="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2.0</w:t>
                  </w:r>
                </w:p>
              </w:tc>
            </w:tr>
            <w:tr w14:paraId="045A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2E8E7CDB">
                  <w:pPr>
                    <w:widowControl w:val="0"/>
                    <w:jc w:val="center"/>
                    <w:rPr>
                      <w:bCs/>
                      <w:color w:val="auto"/>
                      <w:szCs w:val="21"/>
                    </w:rPr>
                  </w:pPr>
                </w:p>
              </w:tc>
              <w:tc>
                <w:tcPr>
                  <w:tcW w:w="1163" w:type="pct"/>
                  <w:shd w:val="clear" w:color="auto" w:fill="auto"/>
                  <w:vAlign w:val="center"/>
                </w:tcPr>
                <w:p w14:paraId="14F45AF3">
                  <w:pPr>
                    <w:widowControl w:val="0"/>
                    <w:jc w:val="center"/>
                    <w:rPr>
                      <w:rFonts w:ascii="Times New Roman" w:hAnsi="Times New Roman" w:eastAsia="宋体" w:cs="Times New Roman"/>
                      <w:bCs/>
                      <w:color w:val="auto"/>
                      <w:kern w:val="2"/>
                      <w:sz w:val="21"/>
                      <w:szCs w:val="21"/>
                      <w:lang w:val="en-US" w:eastAsia="zh-CN" w:bidi="ar-SA"/>
                    </w:rPr>
                  </w:pPr>
                  <w:r>
                    <w:rPr>
                      <w:bCs/>
                      <w:color w:val="auto"/>
                      <w:szCs w:val="21"/>
                    </w:rPr>
                    <w:t>总氮</w:t>
                  </w:r>
                </w:p>
              </w:tc>
              <w:tc>
                <w:tcPr>
                  <w:tcW w:w="761" w:type="pct"/>
                  <w:vAlign w:val="center"/>
                </w:tcPr>
                <w:p w14:paraId="5B583270">
                  <w:pPr>
                    <w:widowControl w:val="0"/>
                    <w:jc w:val="center"/>
                    <w:rPr>
                      <w:color w:val="auto"/>
                      <w:szCs w:val="21"/>
                    </w:rPr>
                  </w:pPr>
                  <w:r>
                    <w:rPr>
                      <w:color w:val="auto"/>
                      <w:szCs w:val="21"/>
                    </w:rPr>
                    <w:t>mg/L</w:t>
                  </w:r>
                </w:p>
              </w:tc>
              <w:tc>
                <w:tcPr>
                  <w:tcW w:w="711" w:type="pct"/>
                  <w:vAlign w:val="center"/>
                </w:tcPr>
                <w:p w14:paraId="3BA5E3EF">
                  <w:pPr>
                    <w:widowControl w:val="0"/>
                    <w:jc w:val="center"/>
                    <w:rPr>
                      <w:rFonts w:hint="default" w:eastAsia="宋体"/>
                      <w:color w:val="auto"/>
                      <w:szCs w:val="21"/>
                      <w:lang w:val="en-US" w:eastAsia="zh-CN"/>
                    </w:rPr>
                  </w:pPr>
                  <w:r>
                    <w:rPr>
                      <w:rFonts w:hint="eastAsia"/>
                      <w:color w:val="auto"/>
                      <w:szCs w:val="21"/>
                      <w:lang w:val="en-US" w:eastAsia="zh-CN"/>
                    </w:rPr>
                    <w:t>12.7</w:t>
                  </w:r>
                </w:p>
              </w:tc>
              <w:tc>
                <w:tcPr>
                  <w:tcW w:w="731" w:type="pct"/>
                  <w:vAlign w:val="center"/>
                </w:tcPr>
                <w:p w14:paraId="454385F2">
                  <w:pPr>
                    <w:widowControl w:val="0"/>
                    <w:jc w:val="center"/>
                    <w:rPr>
                      <w:rFonts w:hint="default" w:eastAsia="宋体"/>
                      <w:color w:val="auto"/>
                      <w:szCs w:val="21"/>
                      <w:lang w:val="en-US" w:eastAsia="zh-CN"/>
                    </w:rPr>
                  </w:pPr>
                  <w:r>
                    <w:rPr>
                      <w:rFonts w:hint="eastAsia"/>
                      <w:color w:val="auto"/>
                      <w:szCs w:val="21"/>
                      <w:lang w:val="en-US" w:eastAsia="zh-CN"/>
                    </w:rPr>
                    <w:t>40</w:t>
                  </w:r>
                </w:p>
              </w:tc>
            </w:tr>
            <w:tr w14:paraId="1FD8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32" w:type="pct"/>
                  <w:vMerge w:val="continue"/>
                  <w:vAlign w:val="center"/>
                </w:tcPr>
                <w:p w14:paraId="19FA0369">
                  <w:pPr>
                    <w:widowControl w:val="0"/>
                    <w:jc w:val="center"/>
                    <w:rPr>
                      <w:bCs/>
                      <w:color w:val="auto"/>
                      <w:szCs w:val="21"/>
                    </w:rPr>
                  </w:pPr>
                </w:p>
              </w:tc>
              <w:tc>
                <w:tcPr>
                  <w:tcW w:w="1163" w:type="pct"/>
                  <w:shd w:val="clear" w:color="auto" w:fill="auto"/>
                  <w:vAlign w:val="center"/>
                </w:tcPr>
                <w:p w14:paraId="32EFF6D2">
                  <w:pPr>
                    <w:widowControl w:val="0"/>
                    <w:jc w:val="center"/>
                    <w:rPr>
                      <w:rFonts w:hint="default" w:ascii="Times New Roman" w:hAnsi="Times New Roman" w:eastAsia="宋体" w:cs="Times New Roman"/>
                      <w:bCs/>
                      <w:color w:val="auto"/>
                      <w:kern w:val="2"/>
                      <w:sz w:val="21"/>
                      <w:szCs w:val="21"/>
                      <w:lang w:val="en-US" w:eastAsia="zh-CN" w:bidi="ar-SA"/>
                    </w:rPr>
                  </w:pPr>
                  <w:r>
                    <w:rPr>
                      <w:bCs/>
                      <w:color w:val="auto"/>
                      <w:szCs w:val="21"/>
                    </w:rPr>
                    <w:t>五日生化需氧量</w:t>
                  </w:r>
                </w:p>
              </w:tc>
              <w:tc>
                <w:tcPr>
                  <w:tcW w:w="761" w:type="pct"/>
                  <w:vAlign w:val="center"/>
                </w:tcPr>
                <w:p w14:paraId="0DCA9CF4">
                  <w:pPr>
                    <w:widowControl w:val="0"/>
                    <w:jc w:val="center"/>
                    <w:rPr>
                      <w:color w:val="auto"/>
                      <w:szCs w:val="21"/>
                    </w:rPr>
                  </w:pPr>
                  <w:r>
                    <w:rPr>
                      <w:color w:val="auto"/>
                      <w:szCs w:val="21"/>
                    </w:rPr>
                    <w:t>mg/L</w:t>
                  </w:r>
                </w:p>
              </w:tc>
              <w:tc>
                <w:tcPr>
                  <w:tcW w:w="711" w:type="pct"/>
                  <w:vAlign w:val="center"/>
                </w:tcPr>
                <w:p w14:paraId="45471F63">
                  <w:pPr>
                    <w:widowControl w:val="0"/>
                    <w:jc w:val="center"/>
                    <w:rPr>
                      <w:rFonts w:hint="default" w:eastAsia="宋体"/>
                      <w:color w:val="auto"/>
                      <w:szCs w:val="21"/>
                      <w:lang w:val="en-US" w:eastAsia="zh-CN"/>
                    </w:rPr>
                  </w:pPr>
                  <w:r>
                    <w:rPr>
                      <w:rFonts w:hint="eastAsia"/>
                      <w:color w:val="auto"/>
                      <w:szCs w:val="21"/>
                      <w:lang w:val="en-US" w:eastAsia="zh-CN"/>
                    </w:rPr>
                    <w:t>5.7</w:t>
                  </w:r>
                </w:p>
              </w:tc>
              <w:tc>
                <w:tcPr>
                  <w:tcW w:w="731" w:type="pct"/>
                  <w:vAlign w:val="center"/>
                </w:tcPr>
                <w:p w14:paraId="0C214EEC">
                  <w:pPr>
                    <w:widowControl w:val="0"/>
                    <w:jc w:val="center"/>
                    <w:rPr>
                      <w:rFonts w:hint="default" w:eastAsia="宋体"/>
                      <w:color w:val="auto"/>
                      <w:szCs w:val="21"/>
                      <w:lang w:val="en-US" w:eastAsia="zh-CN"/>
                    </w:rPr>
                  </w:pPr>
                  <w:r>
                    <w:rPr>
                      <w:rFonts w:hint="eastAsia"/>
                      <w:color w:val="auto"/>
                      <w:szCs w:val="21"/>
                      <w:lang w:val="en-US" w:eastAsia="zh-CN"/>
                    </w:rPr>
                    <w:t>20</w:t>
                  </w:r>
                </w:p>
              </w:tc>
            </w:tr>
            <w:tr w14:paraId="5289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vAlign w:val="center"/>
                </w:tcPr>
                <w:p w14:paraId="53394B4E">
                  <w:pPr>
                    <w:widowControl w:val="0"/>
                    <w:rPr>
                      <w:b/>
                      <w:bCs/>
                      <w:color w:val="auto"/>
                      <w:sz w:val="21"/>
                      <w:szCs w:val="21"/>
                    </w:rPr>
                  </w:pPr>
                  <w:r>
                    <w:rPr>
                      <w:b/>
                      <w:bCs/>
                      <w:color w:val="auto"/>
                      <w:sz w:val="21"/>
                      <w:szCs w:val="21"/>
                    </w:rPr>
                    <w:t>备注：</w:t>
                  </w:r>
                </w:p>
                <w:p w14:paraId="746B1F46">
                  <w:pPr>
                    <w:widowControl w:val="0"/>
                    <w:rPr>
                      <w:color w:val="auto"/>
                      <w:sz w:val="21"/>
                      <w:szCs w:val="21"/>
                    </w:rPr>
                  </w:pPr>
                  <w:r>
                    <w:rPr>
                      <w:color w:val="auto"/>
                      <w:sz w:val="21"/>
                      <w:szCs w:val="21"/>
                    </w:rPr>
                    <w:t>1、本检测结果只对当次采集样品负责。</w:t>
                  </w:r>
                </w:p>
                <w:p w14:paraId="7B7551DD">
                  <w:pPr>
                    <w:widowControl w:val="0"/>
                    <w:rPr>
                      <w:color w:val="auto"/>
                      <w:sz w:val="21"/>
                      <w:szCs w:val="21"/>
                    </w:rPr>
                  </w:pPr>
                  <w:r>
                    <w:rPr>
                      <w:color w:val="auto"/>
                      <w:sz w:val="21"/>
                      <w:szCs w:val="21"/>
                    </w:rPr>
                    <w:t>2、环境条件：2026.0</w:t>
                  </w:r>
                  <w:r>
                    <w:rPr>
                      <w:rFonts w:hint="eastAsia"/>
                      <w:color w:val="auto"/>
                      <w:sz w:val="21"/>
                      <w:szCs w:val="21"/>
                      <w:lang w:val="en-US" w:eastAsia="zh-CN"/>
                    </w:rPr>
                    <w:t>3</w:t>
                  </w:r>
                  <w:r>
                    <w:rPr>
                      <w:color w:val="auto"/>
                      <w:sz w:val="21"/>
                      <w:szCs w:val="21"/>
                    </w:rPr>
                    <w:t>.</w:t>
                  </w:r>
                  <w:r>
                    <w:rPr>
                      <w:rFonts w:hint="eastAsia"/>
                      <w:color w:val="auto"/>
                      <w:sz w:val="21"/>
                      <w:szCs w:val="21"/>
                      <w:lang w:val="en-US" w:eastAsia="zh-CN"/>
                    </w:rPr>
                    <w:t>13</w:t>
                  </w:r>
                  <w:r>
                    <w:rPr>
                      <w:color w:val="auto"/>
                      <w:sz w:val="21"/>
                      <w:szCs w:val="21"/>
                    </w:rPr>
                    <w:t>天气：</w:t>
                  </w:r>
                  <w:r>
                    <w:rPr>
                      <w:rFonts w:hint="eastAsia"/>
                      <w:color w:val="auto"/>
                      <w:sz w:val="21"/>
                      <w:szCs w:val="21"/>
                      <w:lang w:val="en-US" w:eastAsia="zh-CN"/>
                    </w:rPr>
                    <w:t>晴</w:t>
                  </w:r>
                  <w:r>
                    <w:rPr>
                      <w:color w:val="auto"/>
                      <w:sz w:val="21"/>
                      <w:szCs w:val="21"/>
                    </w:rPr>
                    <w:t>。</w:t>
                  </w:r>
                </w:p>
                <w:p w14:paraId="3E7D6AB7">
                  <w:pPr>
                    <w:pStyle w:val="20"/>
                    <w:rPr>
                      <w:color w:val="auto"/>
                      <w:kern w:val="2"/>
                      <w:sz w:val="21"/>
                      <w:szCs w:val="21"/>
                    </w:rPr>
                  </w:pPr>
                  <w:r>
                    <w:rPr>
                      <w:color w:val="auto"/>
                      <w:kern w:val="2"/>
                      <w:sz w:val="21"/>
                      <w:szCs w:val="21"/>
                    </w:rPr>
                    <w:t>3、</w:t>
                  </w:r>
                  <w:r>
                    <w:rPr>
                      <w:bCs/>
                      <w:color w:val="auto"/>
                      <w:sz w:val="21"/>
                      <w:szCs w:val="21"/>
                    </w:rPr>
                    <w:t>污水处理设施出水口</w:t>
                  </w:r>
                  <w:r>
                    <w:rPr>
                      <w:color w:val="auto"/>
                      <w:kern w:val="2"/>
                      <w:sz w:val="21"/>
                      <w:szCs w:val="21"/>
                    </w:rPr>
                    <w:t>样品状态均为：无色、无浮油、无气味；</w:t>
                  </w:r>
                  <w:r>
                    <w:rPr>
                      <w:bCs/>
                      <w:color w:val="auto"/>
                      <w:sz w:val="21"/>
                      <w:szCs w:val="21"/>
                    </w:rPr>
                    <w:t>污水处理设施进水口</w:t>
                  </w:r>
                  <w:r>
                    <w:rPr>
                      <w:color w:val="auto"/>
                      <w:kern w:val="2"/>
                      <w:sz w:val="21"/>
                      <w:szCs w:val="21"/>
                    </w:rPr>
                    <w:t>样品状态均为：</w:t>
                  </w:r>
                  <w:r>
                    <w:rPr>
                      <w:color w:val="auto"/>
                      <w:sz w:val="21"/>
                      <w:szCs w:val="21"/>
                    </w:rPr>
                    <w:t>浅蓝色、</w:t>
                  </w:r>
                  <w:r>
                    <w:rPr>
                      <w:rFonts w:hint="eastAsia"/>
                      <w:color w:val="auto"/>
                      <w:sz w:val="21"/>
                      <w:szCs w:val="21"/>
                      <w:lang w:val="en-US" w:eastAsia="zh-CN"/>
                    </w:rPr>
                    <w:t>味道强烈</w:t>
                  </w:r>
                  <w:r>
                    <w:rPr>
                      <w:color w:val="auto"/>
                      <w:sz w:val="21"/>
                      <w:szCs w:val="21"/>
                    </w:rPr>
                    <w:t>、无浮油</w:t>
                  </w:r>
                  <w:r>
                    <w:rPr>
                      <w:color w:val="auto"/>
                      <w:kern w:val="2"/>
                      <w:sz w:val="21"/>
                      <w:szCs w:val="21"/>
                    </w:rPr>
                    <w:t>。</w:t>
                  </w:r>
                </w:p>
                <w:p w14:paraId="3E987C89">
                  <w:pPr>
                    <w:pStyle w:val="20"/>
                    <w:rPr>
                      <w:rFonts w:hint="default" w:eastAsia="宋体"/>
                      <w:color w:val="auto"/>
                      <w:kern w:val="2"/>
                      <w:sz w:val="21"/>
                      <w:szCs w:val="21"/>
                      <w:lang w:val="en-US" w:eastAsia="zh-CN"/>
                    </w:rPr>
                  </w:pPr>
                  <w:r>
                    <w:rPr>
                      <w:rFonts w:hint="eastAsia"/>
                      <w:color w:val="auto"/>
                      <w:kern w:val="2"/>
                      <w:sz w:val="21"/>
                      <w:szCs w:val="21"/>
                      <w:lang w:val="en-US" w:eastAsia="zh-CN"/>
                    </w:rPr>
                    <w:t>4、</w:t>
                  </w:r>
                  <w:r>
                    <w:rPr>
                      <w:rFonts w:ascii="Times New Roman" w:hAnsi="Times New Roman" w:eastAsia="宋体" w:cs="Times New Roman"/>
                      <w:color w:val="auto"/>
                      <w:sz w:val="21"/>
                      <w:szCs w:val="21"/>
                    </w:rPr>
                    <w:t>执行《水污染物排放限值》DB44/26-2001第二时段一级排放标准</w:t>
                  </w:r>
                  <w:r>
                    <w:rPr>
                      <w:rFonts w:hint="eastAsia" w:ascii="Times New Roman" w:hAnsi="Times New Roman" w:eastAsia="宋体" w:cs="Times New Roman"/>
                      <w:color w:val="auto"/>
                      <w:sz w:val="21"/>
                      <w:szCs w:val="21"/>
                      <w:lang w:val="en-US" w:eastAsia="zh-CN"/>
                    </w:rPr>
                    <w:t>和广东省地方标准《电镀水污染物排放标准》（DB/441597-2015）表2新建项目非珠三角水污染物排放限值（其中化学需氧量、悬浮物、氨氮、总磷、总氮、总铝等六项指标按照表</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非珠三角排放限值的</w:t>
                  </w:r>
                  <w:r>
                    <w:rPr>
                      <w:rFonts w:hint="default" w:ascii="Times New Roman" w:hAnsi="Times New Roman" w:eastAsia="宋体" w:cs="Times New Roman"/>
                      <w:color w:val="auto"/>
                      <w:sz w:val="21"/>
                      <w:szCs w:val="21"/>
                      <w:lang w:val="en-US" w:eastAsia="zh-CN"/>
                    </w:rPr>
                    <w:t>200%</w:t>
                  </w:r>
                  <w:r>
                    <w:rPr>
                      <w:rFonts w:hint="eastAsia" w:ascii="Times New Roman" w:hAnsi="Times New Roman" w:eastAsia="宋体" w:cs="Times New Roman"/>
                      <w:color w:val="auto"/>
                      <w:sz w:val="21"/>
                      <w:szCs w:val="21"/>
                      <w:lang w:val="en-US" w:eastAsia="zh-CN"/>
                    </w:rPr>
                    <w:t>执行）两者较严值。</w:t>
                  </w:r>
                </w:p>
                <w:p w14:paraId="21C3E9B3">
                  <w:pPr>
                    <w:widowControl w:val="0"/>
                    <w:rPr>
                      <w:color w:val="auto"/>
                      <w:sz w:val="21"/>
                      <w:szCs w:val="21"/>
                    </w:rPr>
                  </w:pPr>
                  <w:r>
                    <w:rPr>
                      <w:rFonts w:hint="eastAsia"/>
                      <w:color w:val="auto"/>
                      <w:sz w:val="21"/>
                      <w:szCs w:val="21"/>
                      <w:lang w:val="en-US" w:eastAsia="zh-CN"/>
                    </w:rPr>
                    <w:t>5</w:t>
                  </w:r>
                  <w:r>
                    <w:rPr>
                      <w:color w:val="auto"/>
                      <w:sz w:val="21"/>
                      <w:szCs w:val="21"/>
                    </w:rPr>
                    <w:t>、</w:t>
                  </w:r>
                  <w:r>
                    <w:rPr>
                      <w:rFonts w:hint="eastAsia"/>
                      <w:color w:val="auto"/>
                      <w:kern w:val="2"/>
                      <w:sz w:val="21"/>
                      <w:szCs w:val="21"/>
                      <w:lang w:val="en-US" w:eastAsia="zh-CN"/>
                    </w:rPr>
                    <w:t>检测结果低于检出限或未检出以“ND”表示</w:t>
                  </w:r>
                  <w:r>
                    <w:rPr>
                      <w:color w:val="auto"/>
                      <w:sz w:val="21"/>
                      <w:szCs w:val="21"/>
                    </w:rPr>
                    <w:t>。</w:t>
                  </w:r>
                </w:p>
                <w:p w14:paraId="748A5FBE">
                  <w:pPr>
                    <w:widowControl w:val="0"/>
                    <w:rPr>
                      <w:color w:val="auto"/>
                      <w:sz w:val="21"/>
                      <w:szCs w:val="21"/>
                    </w:rPr>
                  </w:pPr>
                  <w:r>
                    <w:rPr>
                      <w:rFonts w:hint="eastAsia"/>
                      <w:color w:val="auto"/>
                      <w:sz w:val="21"/>
                      <w:szCs w:val="21"/>
                      <w:lang w:val="en-US" w:eastAsia="zh-CN"/>
                    </w:rPr>
                    <w:t>6</w:t>
                  </w:r>
                  <w:r>
                    <w:rPr>
                      <w:color w:val="auto"/>
                      <w:sz w:val="21"/>
                      <w:szCs w:val="21"/>
                    </w:rPr>
                    <w:t>、“/”表示标准限值没有要求，标准限值由客户提供。</w:t>
                  </w:r>
                </w:p>
                <w:p w14:paraId="38BAF096">
                  <w:pPr>
                    <w:widowControl w:val="0"/>
                    <w:rPr>
                      <w:rFonts w:hint="default" w:eastAsia="宋体"/>
                      <w:color w:val="auto"/>
                      <w:szCs w:val="21"/>
                      <w:lang w:val="en-US" w:eastAsia="zh-CN"/>
                    </w:rPr>
                  </w:pPr>
                  <w:r>
                    <w:rPr>
                      <w:rFonts w:hint="eastAsia"/>
                      <w:color w:val="auto"/>
                      <w:sz w:val="21"/>
                      <w:szCs w:val="21"/>
                      <w:lang w:val="en-US" w:eastAsia="zh-CN"/>
                    </w:rPr>
                    <w:t>7、含镍废水现已回用，仅检测进水口。</w:t>
                  </w:r>
                </w:p>
              </w:tc>
            </w:tr>
          </w:tbl>
          <w:p w14:paraId="31F5450C">
            <w:pPr>
              <w:adjustRightInd w:val="0"/>
              <w:snapToGrid w:val="0"/>
              <w:spacing w:line="240" w:lineRule="auto"/>
              <w:jc w:val="center"/>
              <w:rPr>
                <w:rFonts w:hint="eastAsia" w:hAnsi="宋体"/>
                <w:b/>
                <w:bCs/>
                <w:color w:val="auto"/>
                <w:szCs w:val="21"/>
              </w:rPr>
            </w:pPr>
            <w:r>
              <w:rPr>
                <w:rFonts w:hint="eastAsia" w:hAnsi="宋体"/>
                <w:b/>
                <w:bCs/>
                <w:color w:val="auto"/>
                <w:szCs w:val="21"/>
              </w:rPr>
              <w:t>表2-</w:t>
            </w:r>
            <w:r>
              <w:rPr>
                <w:rFonts w:hint="eastAsia" w:hAnsi="宋体"/>
                <w:b/>
                <w:bCs/>
                <w:color w:val="auto"/>
                <w:szCs w:val="21"/>
                <w:lang w:val="en-US" w:eastAsia="zh-CN"/>
              </w:rPr>
              <w:t>22</w:t>
            </w:r>
            <w:r>
              <w:rPr>
                <w:rFonts w:hint="eastAsia" w:hAnsi="宋体"/>
                <w:b/>
                <w:bCs/>
                <w:color w:val="auto"/>
                <w:szCs w:val="21"/>
              </w:rPr>
              <w:t>现有项目生活污水检测结果一览表</w:t>
            </w:r>
            <w:r>
              <w:rPr>
                <w:rFonts w:hint="eastAsia" w:hAnsi="宋体"/>
                <w:b/>
                <w:bCs/>
                <w:color w:val="auto"/>
                <w:szCs w:val="21"/>
                <w:lang w:eastAsia="zh-CN"/>
              </w:rPr>
              <w:t>（</w:t>
            </w:r>
            <w:r>
              <w:rPr>
                <w:rFonts w:hint="eastAsia" w:hAnsi="宋体"/>
                <w:b/>
                <w:bCs/>
                <w:color w:val="auto"/>
                <w:szCs w:val="21"/>
                <w:lang w:val="en-US" w:eastAsia="zh-CN"/>
              </w:rPr>
              <w:t>2026年3月13日</w:t>
            </w:r>
            <w:r>
              <w:rPr>
                <w:rFonts w:hint="eastAsia" w:hAnsi="宋体"/>
                <w:b/>
                <w:bCs/>
                <w:color w:val="auto"/>
                <w:szCs w:val="21"/>
                <w:lang w:eastAsia="zh-CN"/>
              </w:rPr>
              <w:t>）</w:t>
            </w:r>
          </w:p>
          <w:tbl>
            <w:tblPr>
              <w:tblStyle w:val="4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1"/>
              <w:gridCol w:w="2456"/>
              <w:gridCol w:w="975"/>
              <w:gridCol w:w="1620"/>
              <w:gridCol w:w="1825"/>
            </w:tblGrid>
            <w:tr w14:paraId="381F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282" w:type="pct"/>
                  <w:vAlign w:val="center"/>
                </w:tcPr>
                <w:p w14:paraId="4D647B04">
                  <w:pPr>
                    <w:widowControl w:val="0"/>
                    <w:spacing w:line="240" w:lineRule="auto"/>
                    <w:jc w:val="center"/>
                    <w:rPr>
                      <w:b/>
                      <w:bCs/>
                      <w:color w:val="auto"/>
                      <w:szCs w:val="21"/>
                    </w:rPr>
                  </w:pPr>
                  <w:r>
                    <w:rPr>
                      <w:b/>
                      <w:bCs/>
                      <w:color w:val="auto"/>
                      <w:szCs w:val="21"/>
                    </w:rPr>
                    <w:t>检测点位名称</w:t>
                  </w:r>
                </w:p>
              </w:tc>
              <w:tc>
                <w:tcPr>
                  <w:tcW w:w="1328" w:type="pct"/>
                  <w:vAlign w:val="center"/>
                </w:tcPr>
                <w:p w14:paraId="16212E8E">
                  <w:pPr>
                    <w:widowControl w:val="0"/>
                    <w:spacing w:line="240" w:lineRule="auto"/>
                    <w:jc w:val="center"/>
                    <w:rPr>
                      <w:b/>
                      <w:bCs/>
                      <w:color w:val="auto"/>
                      <w:szCs w:val="21"/>
                    </w:rPr>
                  </w:pPr>
                  <w:r>
                    <w:rPr>
                      <w:b/>
                      <w:bCs/>
                      <w:color w:val="auto"/>
                      <w:szCs w:val="21"/>
                    </w:rPr>
                    <w:t>检测项目</w:t>
                  </w:r>
                </w:p>
              </w:tc>
              <w:tc>
                <w:tcPr>
                  <w:tcW w:w="527" w:type="pct"/>
                  <w:vAlign w:val="center"/>
                </w:tcPr>
                <w:p w14:paraId="3CC95F8D">
                  <w:pPr>
                    <w:widowControl w:val="0"/>
                    <w:spacing w:line="240" w:lineRule="auto"/>
                    <w:jc w:val="center"/>
                    <w:rPr>
                      <w:b/>
                      <w:bCs/>
                      <w:color w:val="auto"/>
                      <w:szCs w:val="21"/>
                    </w:rPr>
                  </w:pPr>
                  <w:r>
                    <w:rPr>
                      <w:b/>
                      <w:bCs/>
                      <w:color w:val="auto"/>
                      <w:szCs w:val="21"/>
                    </w:rPr>
                    <w:t>单位</w:t>
                  </w:r>
                </w:p>
              </w:tc>
              <w:tc>
                <w:tcPr>
                  <w:tcW w:w="876" w:type="pct"/>
                  <w:vAlign w:val="center"/>
                </w:tcPr>
                <w:p w14:paraId="01D5A189">
                  <w:pPr>
                    <w:widowControl w:val="0"/>
                    <w:spacing w:line="240" w:lineRule="auto"/>
                    <w:jc w:val="center"/>
                    <w:rPr>
                      <w:b/>
                      <w:bCs/>
                      <w:color w:val="auto"/>
                      <w:szCs w:val="21"/>
                    </w:rPr>
                  </w:pPr>
                  <w:r>
                    <w:rPr>
                      <w:b/>
                      <w:bCs/>
                      <w:color w:val="auto"/>
                      <w:szCs w:val="21"/>
                    </w:rPr>
                    <w:t>检测结果</w:t>
                  </w:r>
                </w:p>
              </w:tc>
              <w:tc>
                <w:tcPr>
                  <w:tcW w:w="986" w:type="pct"/>
                  <w:vAlign w:val="center"/>
                </w:tcPr>
                <w:p w14:paraId="22A78F25">
                  <w:pPr>
                    <w:widowControl w:val="0"/>
                    <w:spacing w:line="240" w:lineRule="auto"/>
                    <w:jc w:val="center"/>
                    <w:rPr>
                      <w:b/>
                      <w:bCs/>
                      <w:color w:val="auto"/>
                      <w:szCs w:val="21"/>
                    </w:rPr>
                  </w:pPr>
                  <w:r>
                    <w:rPr>
                      <w:b/>
                      <w:bCs/>
                      <w:color w:val="auto"/>
                      <w:szCs w:val="21"/>
                    </w:rPr>
                    <w:t>参考限值</w:t>
                  </w:r>
                </w:p>
              </w:tc>
            </w:tr>
            <w:tr w14:paraId="4C5C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restart"/>
                  <w:vAlign w:val="center"/>
                </w:tcPr>
                <w:p w14:paraId="55567384">
                  <w:pPr>
                    <w:widowControl w:val="0"/>
                    <w:spacing w:line="240" w:lineRule="auto"/>
                    <w:jc w:val="center"/>
                    <w:rPr>
                      <w:bCs/>
                      <w:color w:val="auto"/>
                      <w:szCs w:val="21"/>
                    </w:rPr>
                  </w:pPr>
                  <w:r>
                    <w:rPr>
                      <w:bCs/>
                      <w:color w:val="auto"/>
                      <w:szCs w:val="21"/>
                    </w:rPr>
                    <w:t>厂区污水总排放口</w:t>
                  </w:r>
                </w:p>
              </w:tc>
              <w:tc>
                <w:tcPr>
                  <w:tcW w:w="1328" w:type="pct"/>
                  <w:vAlign w:val="center"/>
                </w:tcPr>
                <w:p w14:paraId="03704114">
                  <w:pPr>
                    <w:widowControl w:val="0"/>
                    <w:spacing w:line="240" w:lineRule="auto"/>
                    <w:jc w:val="center"/>
                    <w:rPr>
                      <w:color w:val="auto"/>
                      <w:szCs w:val="21"/>
                    </w:rPr>
                  </w:pPr>
                  <w:r>
                    <w:rPr>
                      <w:bCs/>
                      <w:color w:val="auto"/>
                      <w:szCs w:val="21"/>
                    </w:rPr>
                    <w:t>pH值</w:t>
                  </w:r>
                </w:p>
              </w:tc>
              <w:tc>
                <w:tcPr>
                  <w:tcW w:w="527" w:type="pct"/>
                  <w:vAlign w:val="center"/>
                </w:tcPr>
                <w:p w14:paraId="5C3BB930">
                  <w:pPr>
                    <w:widowControl w:val="0"/>
                    <w:spacing w:line="240" w:lineRule="auto"/>
                    <w:jc w:val="center"/>
                    <w:rPr>
                      <w:color w:val="auto"/>
                      <w:szCs w:val="21"/>
                    </w:rPr>
                  </w:pPr>
                  <w:r>
                    <w:rPr>
                      <w:color w:val="auto"/>
                      <w:szCs w:val="21"/>
                    </w:rPr>
                    <w:t>无量纲</w:t>
                  </w:r>
                </w:p>
              </w:tc>
              <w:tc>
                <w:tcPr>
                  <w:tcW w:w="876" w:type="pct"/>
                  <w:vAlign w:val="center"/>
                </w:tcPr>
                <w:p w14:paraId="6C2AC6E0">
                  <w:pPr>
                    <w:widowControl w:val="0"/>
                    <w:spacing w:line="240" w:lineRule="auto"/>
                    <w:jc w:val="center"/>
                    <w:rPr>
                      <w:rFonts w:hint="default" w:eastAsia="宋体"/>
                      <w:color w:val="auto"/>
                      <w:szCs w:val="21"/>
                      <w:lang w:val="en-US" w:eastAsia="zh-CN"/>
                    </w:rPr>
                  </w:pPr>
                  <w:r>
                    <w:rPr>
                      <w:rFonts w:hint="eastAsia"/>
                      <w:color w:val="auto"/>
                      <w:szCs w:val="21"/>
                      <w:lang w:val="en-US" w:eastAsia="zh-CN"/>
                    </w:rPr>
                    <w:t>7.2</w:t>
                  </w:r>
                </w:p>
              </w:tc>
              <w:tc>
                <w:tcPr>
                  <w:tcW w:w="1680" w:type="dxa"/>
                  <w:vAlign w:val="center"/>
                </w:tcPr>
                <w:p w14:paraId="6A8A484A">
                  <w:pPr>
                    <w:widowControl w:val="0"/>
                    <w:spacing w:line="240" w:lineRule="auto"/>
                    <w:jc w:val="center"/>
                    <w:rPr>
                      <w:color w:val="auto"/>
                      <w:szCs w:val="21"/>
                    </w:rPr>
                  </w:pPr>
                  <w:r>
                    <w:rPr>
                      <w:color w:val="auto"/>
                      <w:szCs w:val="21"/>
                    </w:rPr>
                    <w:t>6~9</w:t>
                  </w:r>
                </w:p>
              </w:tc>
            </w:tr>
            <w:tr w14:paraId="06BE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7BE74FC7">
                  <w:pPr>
                    <w:widowControl w:val="0"/>
                    <w:spacing w:line="240" w:lineRule="auto"/>
                    <w:jc w:val="center"/>
                    <w:rPr>
                      <w:bCs/>
                      <w:color w:val="auto"/>
                      <w:szCs w:val="21"/>
                    </w:rPr>
                  </w:pPr>
                </w:p>
              </w:tc>
              <w:tc>
                <w:tcPr>
                  <w:tcW w:w="1328" w:type="pct"/>
                  <w:vAlign w:val="center"/>
                </w:tcPr>
                <w:p w14:paraId="11A0F34E">
                  <w:pPr>
                    <w:widowControl w:val="0"/>
                    <w:spacing w:line="240" w:lineRule="auto"/>
                    <w:jc w:val="center"/>
                    <w:rPr>
                      <w:bCs/>
                      <w:color w:val="auto"/>
                      <w:szCs w:val="21"/>
                    </w:rPr>
                  </w:pPr>
                  <w:r>
                    <w:rPr>
                      <w:bCs/>
                      <w:color w:val="auto"/>
                      <w:szCs w:val="21"/>
                    </w:rPr>
                    <w:t>化学需氧量</w:t>
                  </w:r>
                </w:p>
              </w:tc>
              <w:tc>
                <w:tcPr>
                  <w:tcW w:w="527" w:type="pct"/>
                  <w:vAlign w:val="center"/>
                </w:tcPr>
                <w:p w14:paraId="218DF6F3">
                  <w:pPr>
                    <w:widowControl w:val="0"/>
                    <w:spacing w:line="240" w:lineRule="auto"/>
                    <w:jc w:val="center"/>
                    <w:rPr>
                      <w:color w:val="auto"/>
                      <w:szCs w:val="21"/>
                    </w:rPr>
                  </w:pPr>
                  <w:r>
                    <w:rPr>
                      <w:color w:val="auto"/>
                      <w:szCs w:val="21"/>
                    </w:rPr>
                    <w:t>mg/L</w:t>
                  </w:r>
                </w:p>
              </w:tc>
              <w:tc>
                <w:tcPr>
                  <w:tcW w:w="876" w:type="pct"/>
                  <w:vAlign w:val="center"/>
                </w:tcPr>
                <w:p w14:paraId="11B3108A">
                  <w:pPr>
                    <w:widowControl w:val="0"/>
                    <w:spacing w:line="240" w:lineRule="auto"/>
                    <w:jc w:val="center"/>
                    <w:rPr>
                      <w:rFonts w:hint="default" w:eastAsia="宋体"/>
                      <w:color w:val="auto"/>
                      <w:szCs w:val="21"/>
                      <w:lang w:val="en-US" w:eastAsia="zh-CN"/>
                    </w:rPr>
                  </w:pPr>
                  <w:r>
                    <w:rPr>
                      <w:rFonts w:hint="eastAsia"/>
                      <w:color w:val="auto"/>
                      <w:szCs w:val="21"/>
                      <w:lang w:val="en-US" w:eastAsia="zh-CN"/>
                    </w:rPr>
                    <w:t>32</w:t>
                  </w:r>
                </w:p>
              </w:tc>
              <w:tc>
                <w:tcPr>
                  <w:tcW w:w="1680" w:type="dxa"/>
                  <w:vAlign w:val="center"/>
                </w:tcPr>
                <w:p w14:paraId="4E6F7667">
                  <w:pPr>
                    <w:widowControl w:val="0"/>
                    <w:spacing w:line="240" w:lineRule="auto"/>
                    <w:jc w:val="center"/>
                    <w:rPr>
                      <w:color w:val="auto"/>
                      <w:szCs w:val="21"/>
                    </w:rPr>
                  </w:pPr>
                  <w:r>
                    <w:rPr>
                      <w:color w:val="auto"/>
                      <w:szCs w:val="21"/>
                    </w:rPr>
                    <w:t>500</w:t>
                  </w:r>
                </w:p>
              </w:tc>
            </w:tr>
            <w:tr w14:paraId="6E1E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019F16B6">
                  <w:pPr>
                    <w:widowControl w:val="0"/>
                    <w:spacing w:line="240" w:lineRule="auto"/>
                    <w:jc w:val="center"/>
                    <w:rPr>
                      <w:bCs/>
                      <w:color w:val="auto"/>
                      <w:szCs w:val="21"/>
                    </w:rPr>
                  </w:pPr>
                </w:p>
              </w:tc>
              <w:tc>
                <w:tcPr>
                  <w:tcW w:w="1328" w:type="pct"/>
                  <w:vAlign w:val="center"/>
                </w:tcPr>
                <w:p w14:paraId="45A80DD5">
                  <w:pPr>
                    <w:widowControl w:val="0"/>
                    <w:spacing w:line="240" w:lineRule="auto"/>
                    <w:jc w:val="center"/>
                    <w:rPr>
                      <w:bCs/>
                      <w:color w:val="auto"/>
                      <w:szCs w:val="21"/>
                    </w:rPr>
                  </w:pPr>
                  <w:r>
                    <w:rPr>
                      <w:bCs/>
                      <w:color w:val="auto"/>
                      <w:szCs w:val="21"/>
                    </w:rPr>
                    <w:t>动植物油</w:t>
                  </w:r>
                </w:p>
              </w:tc>
              <w:tc>
                <w:tcPr>
                  <w:tcW w:w="527" w:type="pct"/>
                  <w:vAlign w:val="center"/>
                </w:tcPr>
                <w:p w14:paraId="091A3FF0">
                  <w:pPr>
                    <w:widowControl w:val="0"/>
                    <w:spacing w:line="240" w:lineRule="auto"/>
                    <w:jc w:val="center"/>
                    <w:rPr>
                      <w:color w:val="auto"/>
                      <w:szCs w:val="21"/>
                    </w:rPr>
                  </w:pPr>
                  <w:r>
                    <w:rPr>
                      <w:color w:val="auto"/>
                      <w:szCs w:val="21"/>
                    </w:rPr>
                    <w:t>mg/L</w:t>
                  </w:r>
                </w:p>
              </w:tc>
              <w:tc>
                <w:tcPr>
                  <w:tcW w:w="1663" w:type="dxa"/>
                  <w:vAlign w:val="center"/>
                </w:tcPr>
                <w:p w14:paraId="20F4D6E5">
                  <w:pPr>
                    <w:widowControl w:val="0"/>
                    <w:spacing w:line="240" w:lineRule="auto"/>
                    <w:jc w:val="center"/>
                    <w:rPr>
                      <w:rFonts w:hint="default" w:eastAsia="宋体"/>
                      <w:color w:val="auto"/>
                      <w:szCs w:val="21"/>
                      <w:lang w:val="en-US" w:eastAsia="zh-CN"/>
                    </w:rPr>
                  </w:pPr>
                  <w:r>
                    <w:rPr>
                      <w:rFonts w:hint="eastAsia"/>
                      <w:color w:val="auto"/>
                      <w:szCs w:val="21"/>
                      <w:lang w:val="en-US" w:eastAsia="zh-CN"/>
                    </w:rPr>
                    <w:t>1.88</w:t>
                  </w:r>
                </w:p>
              </w:tc>
              <w:tc>
                <w:tcPr>
                  <w:tcW w:w="1680" w:type="dxa"/>
                  <w:vAlign w:val="center"/>
                </w:tcPr>
                <w:p w14:paraId="56F7A701">
                  <w:pPr>
                    <w:widowControl w:val="0"/>
                    <w:spacing w:line="240" w:lineRule="auto"/>
                    <w:jc w:val="center"/>
                    <w:rPr>
                      <w:color w:val="auto"/>
                      <w:szCs w:val="21"/>
                    </w:rPr>
                  </w:pPr>
                  <w:r>
                    <w:rPr>
                      <w:color w:val="auto"/>
                      <w:szCs w:val="21"/>
                    </w:rPr>
                    <w:t>100</w:t>
                  </w:r>
                </w:p>
              </w:tc>
            </w:tr>
            <w:tr w14:paraId="1F15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341D4EE1">
                  <w:pPr>
                    <w:widowControl w:val="0"/>
                    <w:spacing w:line="240" w:lineRule="auto"/>
                    <w:jc w:val="center"/>
                    <w:rPr>
                      <w:bCs/>
                      <w:color w:val="auto"/>
                      <w:szCs w:val="21"/>
                    </w:rPr>
                  </w:pPr>
                </w:p>
              </w:tc>
              <w:tc>
                <w:tcPr>
                  <w:tcW w:w="1328" w:type="pct"/>
                  <w:vAlign w:val="center"/>
                </w:tcPr>
                <w:p w14:paraId="227B5E4E">
                  <w:pPr>
                    <w:widowControl w:val="0"/>
                    <w:spacing w:line="240" w:lineRule="auto"/>
                    <w:jc w:val="center"/>
                    <w:rPr>
                      <w:bCs/>
                      <w:color w:val="auto"/>
                      <w:szCs w:val="21"/>
                    </w:rPr>
                  </w:pPr>
                  <w:r>
                    <w:rPr>
                      <w:bCs/>
                      <w:color w:val="auto"/>
                      <w:szCs w:val="21"/>
                    </w:rPr>
                    <w:t>悬浮物</w:t>
                  </w:r>
                </w:p>
              </w:tc>
              <w:tc>
                <w:tcPr>
                  <w:tcW w:w="527" w:type="pct"/>
                  <w:vAlign w:val="center"/>
                </w:tcPr>
                <w:p w14:paraId="5E9B644B">
                  <w:pPr>
                    <w:widowControl w:val="0"/>
                    <w:spacing w:line="240" w:lineRule="auto"/>
                    <w:jc w:val="center"/>
                    <w:rPr>
                      <w:color w:val="auto"/>
                      <w:szCs w:val="21"/>
                    </w:rPr>
                  </w:pPr>
                  <w:r>
                    <w:rPr>
                      <w:color w:val="auto"/>
                      <w:szCs w:val="21"/>
                    </w:rPr>
                    <w:t>mg/L</w:t>
                  </w:r>
                </w:p>
              </w:tc>
              <w:tc>
                <w:tcPr>
                  <w:tcW w:w="1663" w:type="dxa"/>
                  <w:vAlign w:val="center"/>
                </w:tcPr>
                <w:p w14:paraId="37296284">
                  <w:pPr>
                    <w:widowControl w:val="0"/>
                    <w:spacing w:line="240" w:lineRule="auto"/>
                    <w:jc w:val="center"/>
                    <w:rPr>
                      <w:rFonts w:hint="default" w:eastAsia="宋体"/>
                      <w:color w:val="auto"/>
                      <w:szCs w:val="21"/>
                      <w:lang w:val="en-US" w:eastAsia="zh-CN"/>
                    </w:rPr>
                  </w:pPr>
                  <w:r>
                    <w:rPr>
                      <w:rFonts w:hint="eastAsia"/>
                      <w:color w:val="auto"/>
                      <w:szCs w:val="21"/>
                      <w:lang w:val="en-US" w:eastAsia="zh-CN"/>
                    </w:rPr>
                    <w:t>25</w:t>
                  </w:r>
                </w:p>
              </w:tc>
              <w:tc>
                <w:tcPr>
                  <w:tcW w:w="1680" w:type="dxa"/>
                  <w:vAlign w:val="center"/>
                </w:tcPr>
                <w:p w14:paraId="080CF82E">
                  <w:pPr>
                    <w:widowControl w:val="0"/>
                    <w:spacing w:line="240" w:lineRule="auto"/>
                    <w:jc w:val="center"/>
                    <w:rPr>
                      <w:color w:val="auto"/>
                      <w:szCs w:val="21"/>
                    </w:rPr>
                  </w:pPr>
                  <w:r>
                    <w:rPr>
                      <w:color w:val="auto"/>
                      <w:szCs w:val="21"/>
                    </w:rPr>
                    <w:t>400</w:t>
                  </w:r>
                </w:p>
              </w:tc>
            </w:tr>
            <w:tr w14:paraId="6A62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1AAFA662">
                  <w:pPr>
                    <w:widowControl w:val="0"/>
                    <w:spacing w:line="240" w:lineRule="auto"/>
                    <w:jc w:val="center"/>
                    <w:rPr>
                      <w:bCs/>
                      <w:color w:val="auto"/>
                      <w:szCs w:val="21"/>
                    </w:rPr>
                  </w:pPr>
                </w:p>
              </w:tc>
              <w:tc>
                <w:tcPr>
                  <w:tcW w:w="1328" w:type="pct"/>
                  <w:vAlign w:val="center"/>
                </w:tcPr>
                <w:p w14:paraId="5BB7DC35">
                  <w:pPr>
                    <w:widowControl w:val="0"/>
                    <w:spacing w:line="240" w:lineRule="auto"/>
                    <w:jc w:val="center"/>
                    <w:rPr>
                      <w:bCs/>
                      <w:color w:val="auto"/>
                      <w:szCs w:val="21"/>
                    </w:rPr>
                  </w:pPr>
                  <w:r>
                    <w:rPr>
                      <w:bCs/>
                      <w:color w:val="auto"/>
                      <w:szCs w:val="21"/>
                    </w:rPr>
                    <w:t>氨氮</w:t>
                  </w:r>
                </w:p>
              </w:tc>
              <w:tc>
                <w:tcPr>
                  <w:tcW w:w="527" w:type="pct"/>
                  <w:vAlign w:val="center"/>
                </w:tcPr>
                <w:p w14:paraId="5DE70C8E">
                  <w:pPr>
                    <w:widowControl w:val="0"/>
                    <w:spacing w:line="240" w:lineRule="auto"/>
                    <w:jc w:val="center"/>
                    <w:rPr>
                      <w:color w:val="auto"/>
                      <w:szCs w:val="21"/>
                    </w:rPr>
                  </w:pPr>
                  <w:r>
                    <w:rPr>
                      <w:color w:val="auto"/>
                      <w:szCs w:val="21"/>
                    </w:rPr>
                    <w:t>mg/L</w:t>
                  </w:r>
                </w:p>
              </w:tc>
              <w:tc>
                <w:tcPr>
                  <w:tcW w:w="1663" w:type="dxa"/>
                  <w:vAlign w:val="center"/>
                </w:tcPr>
                <w:p w14:paraId="0CA42143">
                  <w:pPr>
                    <w:widowControl w:val="0"/>
                    <w:spacing w:line="240" w:lineRule="auto"/>
                    <w:jc w:val="center"/>
                    <w:rPr>
                      <w:rFonts w:hint="default" w:eastAsia="宋体"/>
                      <w:color w:val="auto"/>
                      <w:szCs w:val="21"/>
                      <w:lang w:val="en-US" w:eastAsia="zh-CN"/>
                    </w:rPr>
                  </w:pPr>
                  <w:r>
                    <w:rPr>
                      <w:rFonts w:hint="eastAsia"/>
                      <w:color w:val="auto"/>
                      <w:szCs w:val="21"/>
                      <w:lang w:val="en-US" w:eastAsia="zh-CN"/>
                    </w:rPr>
                    <w:t>2.42</w:t>
                  </w:r>
                </w:p>
              </w:tc>
              <w:tc>
                <w:tcPr>
                  <w:tcW w:w="1680" w:type="dxa"/>
                  <w:vAlign w:val="center"/>
                </w:tcPr>
                <w:p w14:paraId="30D9BB8B">
                  <w:pPr>
                    <w:widowControl w:val="0"/>
                    <w:spacing w:line="240" w:lineRule="auto"/>
                    <w:jc w:val="center"/>
                    <w:rPr>
                      <w:color w:val="auto"/>
                      <w:szCs w:val="21"/>
                    </w:rPr>
                  </w:pPr>
                  <w:r>
                    <w:rPr>
                      <w:color w:val="auto"/>
                      <w:szCs w:val="21"/>
                    </w:rPr>
                    <w:t>/</w:t>
                  </w:r>
                </w:p>
              </w:tc>
            </w:tr>
            <w:tr w14:paraId="6304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4F290226">
                  <w:pPr>
                    <w:widowControl w:val="0"/>
                    <w:spacing w:line="240" w:lineRule="auto"/>
                    <w:jc w:val="center"/>
                    <w:rPr>
                      <w:bCs/>
                      <w:color w:val="auto"/>
                      <w:szCs w:val="21"/>
                    </w:rPr>
                  </w:pPr>
                </w:p>
              </w:tc>
              <w:tc>
                <w:tcPr>
                  <w:tcW w:w="1328" w:type="pct"/>
                  <w:vAlign w:val="center"/>
                </w:tcPr>
                <w:p w14:paraId="6CD81AE1">
                  <w:pPr>
                    <w:widowControl w:val="0"/>
                    <w:spacing w:line="240" w:lineRule="auto"/>
                    <w:jc w:val="center"/>
                    <w:rPr>
                      <w:bCs/>
                      <w:color w:val="auto"/>
                      <w:szCs w:val="21"/>
                    </w:rPr>
                  </w:pPr>
                  <w:r>
                    <w:rPr>
                      <w:bCs/>
                      <w:color w:val="auto"/>
                      <w:szCs w:val="21"/>
                    </w:rPr>
                    <w:t>总磷</w:t>
                  </w:r>
                </w:p>
              </w:tc>
              <w:tc>
                <w:tcPr>
                  <w:tcW w:w="527" w:type="pct"/>
                  <w:vAlign w:val="center"/>
                </w:tcPr>
                <w:p w14:paraId="745B5E52">
                  <w:pPr>
                    <w:widowControl w:val="0"/>
                    <w:spacing w:line="240" w:lineRule="auto"/>
                    <w:jc w:val="center"/>
                    <w:rPr>
                      <w:color w:val="auto"/>
                      <w:szCs w:val="21"/>
                    </w:rPr>
                  </w:pPr>
                  <w:r>
                    <w:rPr>
                      <w:color w:val="auto"/>
                      <w:szCs w:val="21"/>
                    </w:rPr>
                    <w:t>mg/L</w:t>
                  </w:r>
                </w:p>
              </w:tc>
              <w:tc>
                <w:tcPr>
                  <w:tcW w:w="1663" w:type="dxa"/>
                  <w:vAlign w:val="center"/>
                </w:tcPr>
                <w:p w14:paraId="5CE27FF7">
                  <w:pPr>
                    <w:widowControl w:val="0"/>
                    <w:spacing w:line="240" w:lineRule="auto"/>
                    <w:jc w:val="center"/>
                    <w:rPr>
                      <w:rFonts w:hint="default" w:eastAsia="宋体"/>
                      <w:color w:val="auto"/>
                      <w:szCs w:val="21"/>
                      <w:lang w:val="en-US" w:eastAsia="zh-CN"/>
                    </w:rPr>
                  </w:pPr>
                  <w:r>
                    <w:rPr>
                      <w:rFonts w:hint="eastAsia"/>
                      <w:color w:val="auto"/>
                      <w:szCs w:val="21"/>
                      <w:lang w:val="en-US" w:eastAsia="zh-CN"/>
                    </w:rPr>
                    <w:t>3.65</w:t>
                  </w:r>
                </w:p>
              </w:tc>
              <w:tc>
                <w:tcPr>
                  <w:tcW w:w="1680" w:type="dxa"/>
                  <w:vAlign w:val="center"/>
                </w:tcPr>
                <w:p w14:paraId="0C98BB4C">
                  <w:pPr>
                    <w:widowControl w:val="0"/>
                    <w:spacing w:line="240" w:lineRule="auto"/>
                    <w:jc w:val="center"/>
                    <w:rPr>
                      <w:color w:val="auto"/>
                      <w:szCs w:val="21"/>
                    </w:rPr>
                  </w:pPr>
                  <w:r>
                    <w:rPr>
                      <w:color w:val="auto"/>
                      <w:szCs w:val="21"/>
                    </w:rPr>
                    <w:t>/</w:t>
                  </w:r>
                </w:p>
              </w:tc>
            </w:tr>
            <w:tr w14:paraId="6AB57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5154E32A">
                  <w:pPr>
                    <w:widowControl w:val="0"/>
                    <w:spacing w:line="240" w:lineRule="auto"/>
                    <w:jc w:val="center"/>
                    <w:rPr>
                      <w:bCs/>
                      <w:color w:val="auto"/>
                      <w:szCs w:val="21"/>
                    </w:rPr>
                  </w:pPr>
                </w:p>
              </w:tc>
              <w:tc>
                <w:tcPr>
                  <w:tcW w:w="1328" w:type="pct"/>
                  <w:vAlign w:val="center"/>
                </w:tcPr>
                <w:p w14:paraId="30EA44B6">
                  <w:pPr>
                    <w:widowControl w:val="0"/>
                    <w:spacing w:line="240" w:lineRule="auto"/>
                    <w:jc w:val="center"/>
                    <w:rPr>
                      <w:bCs/>
                      <w:color w:val="auto"/>
                      <w:szCs w:val="21"/>
                    </w:rPr>
                  </w:pPr>
                  <w:r>
                    <w:rPr>
                      <w:bCs/>
                      <w:color w:val="auto"/>
                      <w:szCs w:val="21"/>
                    </w:rPr>
                    <w:t>总氮</w:t>
                  </w:r>
                </w:p>
              </w:tc>
              <w:tc>
                <w:tcPr>
                  <w:tcW w:w="527" w:type="pct"/>
                  <w:vAlign w:val="center"/>
                </w:tcPr>
                <w:p w14:paraId="7DB88AB2">
                  <w:pPr>
                    <w:widowControl w:val="0"/>
                    <w:spacing w:line="240" w:lineRule="auto"/>
                    <w:jc w:val="center"/>
                    <w:rPr>
                      <w:color w:val="auto"/>
                      <w:szCs w:val="21"/>
                    </w:rPr>
                  </w:pPr>
                  <w:r>
                    <w:rPr>
                      <w:color w:val="auto"/>
                      <w:szCs w:val="21"/>
                    </w:rPr>
                    <w:t>mg/L</w:t>
                  </w:r>
                </w:p>
              </w:tc>
              <w:tc>
                <w:tcPr>
                  <w:tcW w:w="1663" w:type="dxa"/>
                  <w:vAlign w:val="center"/>
                </w:tcPr>
                <w:p w14:paraId="34A61BF6">
                  <w:pPr>
                    <w:widowControl w:val="0"/>
                    <w:spacing w:line="240" w:lineRule="auto"/>
                    <w:jc w:val="center"/>
                    <w:rPr>
                      <w:rFonts w:hint="default" w:eastAsia="宋体"/>
                      <w:color w:val="auto"/>
                      <w:szCs w:val="21"/>
                      <w:lang w:val="en-US" w:eastAsia="zh-CN"/>
                    </w:rPr>
                  </w:pPr>
                  <w:r>
                    <w:rPr>
                      <w:rFonts w:hint="eastAsia"/>
                      <w:color w:val="auto"/>
                      <w:szCs w:val="21"/>
                      <w:lang w:val="en-US" w:eastAsia="zh-CN"/>
                    </w:rPr>
                    <w:t>39.8</w:t>
                  </w:r>
                </w:p>
              </w:tc>
              <w:tc>
                <w:tcPr>
                  <w:tcW w:w="1680" w:type="dxa"/>
                  <w:vAlign w:val="center"/>
                </w:tcPr>
                <w:p w14:paraId="30B93052">
                  <w:pPr>
                    <w:widowControl w:val="0"/>
                    <w:spacing w:line="240" w:lineRule="auto"/>
                    <w:jc w:val="center"/>
                    <w:rPr>
                      <w:color w:val="auto"/>
                      <w:szCs w:val="21"/>
                    </w:rPr>
                  </w:pPr>
                  <w:r>
                    <w:rPr>
                      <w:color w:val="auto"/>
                      <w:szCs w:val="21"/>
                    </w:rPr>
                    <w:t>/</w:t>
                  </w:r>
                </w:p>
              </w:tc>
            </w:tr>
            <w:tr w14:paraId="2844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0DBB60D9">
                  <w:pPr>
                    <w:widowControl w:val="0"/>
                    <w:spacing w:line="240" w:lineRule="auto"/>
                    <w:jc w:val="center"/>
                    <w:rPr>
                      <w:bCs/>
                      <w:color w:val="auto"/>
                      <w:szCs w:val="21"/>
                    </w:rPr>
                  </w:pPr>
                </w:p>
              </w:tc>
              <w:tc>
                <w:tcPr>
                  <w:tcW w:w="1328" w:type="pct"/>
                  <w:vAlign w:val="center"/>
                </w:tcPr>
                <w:p w14:paraId="05A4723D">
                  <w:pPr>
                    <w:widowControl w:val="0"/>
                    <w:spacing w:line="240" w:lineRule="auto"/>
                    <w:jc w:val="center"/>
                    <w:rPr>
                      <w:bCs/>
                      <w:color w:val="auto"/>
                      <w:szCs w:val="21"/>
                    </w:rPr>
                  </w:pPr>
                  <w:r>
                    <w:rPr>
                      <w:bCs/>
                      <w:color w:val="auto"/>
                      <w:szCs w:val="21"/>
                    </w:rPr>
                    <w:t>五日生化需氧量</w:t>
                  </w:r>
                </w:p>
              </w:tc>
              <w:tc>
                <w:tcPr>
                  <w:tcW w:w="527" w:type="pct"/>
                  <w:vAlign w:val="center"/>
                </w:tcPr>
                <w:p w14:paraId="642D24AE">
                  <w:pPr>
                    <w:widowControl w:val="0"/>
                    <w:spacing w:line="240" w:lineRule="auto"/>
                    <w:jc w:val="center"/>
                    <w:rPr>
                      <w:color w:val="auto"/>
                      <w:szCs w:val="21"/>
                    </w:rPr>
                  </w:pPr>
                  <w:r>
                    <w:rPr>
                      <w:color w:val="auto"/>
                      <w:szCs w:val="21"/>
                    </w:rPr>
                    <w:t>mg/L</w:t>
                  </w:r>
                </w:p>
              </w:tc>
              <w:tc>
                <w:tcPr>
                  <w:tcW w:w="1663" w:type="dxa"/>
                  <w:vAlign w:val="center"/>
                </w:tcPr>
                <w:p w14:paraId="2C25B31C">
                  <w:pPr>
                    <w:widowControl w:val="0"/>
                    <w:spacing w:line="240" w:lineRule="auto"/>
                    <w:jc w:val="center"/>
                    <w:rPr>
                      <w:rFonts w:hint="default" w:eastAsia="宋体"/>
                      <w:color w:val="auto"/>
                      <w:szCs w:val="21"/>
                      <w:lang w:val="en-US" w:eastAsia="zh-CN"/>
                    </w:rPr>
                  </w:pPr>
                  <w:r>
                    <w:rPr>
                      <w:rFonts w:hint="eastAsia"/>
                      <w:color w:val="auto"/>
                      <w:szCs w:val="21"/>
                      <w:lang w:val="en-US" w:eastAsia="zh-CN"/>
                    </w:rPr>
                    <w:t>27.5</w:t>
                  </w:r>
                </w:p>
              </w:tc>
              <w:tc>
                <w:tcPr>
                  <w:tcW w:w="1680" w:type="dxa"/>
                  <w:vAlign w:val="center"/>
                </w:tcPr>
                <w:p w14:paraId="2501C03A">
                  <w:pPr>
                    <w:widowControl w:val="0"/>
                    <w:spacing w:line="240" w:lineRule="auto"/>
                    <w:jc w:val="center"/>
                    <w:rPr>
                      <w:color w:val="auto"/>
                      <w:szCs w:val="21"/>
                    </w:rPr>
                  </w:pPr>
                  <w:r>
                    <w:rPr>
                      <w:color w:val="auto"/>
                      <w:szCs w:val="21"/>
                    </w:rPr>
                    <w:t>300</w:t>
                  </w:r>
                </w:p>
              </w:tc>
            </w:tr>
            <w:tr w14:paraId="7868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vAlign w:val="center"/>
                </w:tcPr>
                <w:p w14:paraId="43756D72">
                  <w:pPr>
                    <w:widowControl w:val="0"/>
                    <w:spacing w:line="240" w:lineRule="auto"/>
                    <w:rPr>
                      <w:b/>
                      <w:bCs/>
                      <w:color w:val="auto"/>
                      <w:szCs w:val="21"/>
                    </w:rPr>
                  </w:pPr>
                  <w:r>
                    <w:rPr>
                      <w:b/>
                      <w:bCs/>
                      <w:color w:val="auto"/>
                      <w:szCs w:val="21"/>
                    </w:rPr>
                    <w:t>备注：</w:t>
                  </w:r>
                </w:p>
                <w:p w14:paraId="25BDB40A">
                  <w:pPr>
                    <w:widowControl w:val="0"/>
                    <w:spacing w:line="240" w:lineRule="auto"/>
                    <w:rPr>
                      <w:color w:val="auto"/>
                      <w:szCs w:val="21"/>
                    </w:rPr>
                  </w:pPr>
                  <w:r>
                    <w:rPr>
                      <w:color w:val="auto"/>
                      <w:szCs w:val="21"/>
                    </w:rPr>
                    <w:t>1、本检测结果只对当次采集样品负责。</w:t>
                  </w:r>
                </w:p>
                <w:p w14:paraId="327E0C02">
                  <w:pPr>
                    <w:widowControl w:val="0"/>
                    <w:spacing w:line="240" w:lineRule="auto"/>
                    <w:rPr>
                      <w:color w:val="auto"/>
                      <w:szCs w:val="21"/>
                    </w:rPr>
                  </w:pPr>
                  <w:r>
                    <w:rPr>
                      <w:color w:val="auto"/>
                      <w:szCs w:val="21"/>
                    </w:rPr>
                    <w:t>2、环境条件：2026.0</w:t>
                  </w:r>
                  <w:r>
                    <w:rPr>
                      <w:rFonts w:hint="eastAsia"/>
                      <w:color w:val="auto"/>
                      <w:szCs w:val="21"/>
                      <w:lang w:val="en-US" w:eastAsia="zh-CN"/>
                    </w:rPr>
                    <w:t>3</w:t>
                  </w:r>
                  <w:r>
                    <w:rPr>
                      <w:color w:val="auto"/>
                      <w:szCs w:val="21"/>
                    </w:rPr>
                    <w:t>.</w:t>
                  </w:r>
                  <w:r>
                    <w:rPr>
                      <w:rFonts w:hint="eastAsia"/>
                      <w:color w:val="auto"/>
                      <w:szCs w:val="21"/>
                      <w:lang w:val="en-US" w:eastAsia="zh-CN"/>
                    </w:rPr>
                    <w:t>13</w:t>
                  </w:r>
                  <w:r>
                    <w:rPr>
                      <w:color w:val="auto"/>
                      <w:szCs w:val="21"/>
                    </w:rPr>
                    <w:t>天气：</w:t>
                  </w:r>
                  <w:r>
                    <w:rPr>
                      <w:rFonts w:hint="eastAsia"/>
                      <w:color w:val="auto"/>
                      <w:szCs w:val="21"/>
                      <w:lang w:val="en-US" w:eastAsia="zh-CN"/>
                    </w:rPr>
                    <w:t>晴</w:t>
                  </w:r>
                  <w:r>
                    <w:rPr>
                      <w:color w:val="auto"/>
                      <w:szCs w:val="21"/>
                    </w:rPr>
                    <w:t>。</w:t>
                  </w:r>
                </w:p>
                <w:p w14:paraId="246FDAA8">
                  <w:pPr>
                    <w:widowControl w:val="0"/>
                    <w:spacing w:line="240" w:lineRule="auto"/>
                    <w:rPr>
                      <w:color w:val="auto"/>
                      <w:szCs w:val="21"/>
                    </w:rPr>
                  </w:pPr>
                  <w:r>
                    <w:rPr>
                      <w:color w:val="auto"/>
                      <w:szCs w:val="21"/>
                    </w:rPr>
                    <w:t>3、样品状态均为：浅黄色、无浮油、微弱气味。</w:t>
                  </w:r>
                </w:p>
                <w:p w14:paraId="3E8914D6">
                  <w:pPr>
                    <w:widowControl w:val="0"/>
                    <w:spacing w:line="240" w:lineRule="auto"/>
                    <w:rPr>
                      <w:color w:val="auto"/>
                      <w:szCs w:val="21"/>
                    </w:rPr>
                  </w:pPr>
                  <w:r>
                    <w:rPr>
                      <w:color w:val="auto"/>
                      <w:szCs w:val="21"/>
                    </w:rPr>
                    <w:t>4、执行《水污染物排放限值》DB44/26-2001第二时段三级排放标准。</w:t>
                  </w:r>
                </w:p>
                <w:p w14:paraId="0708C322">
                  <w:pPr>
                    <w:widowControl w:val="0"/>
                    <w:spacing w:line="240" w:lineRule="auto"/>
                    <w:rPr>
                      <w:color w:val="auto"/>
                      <w:szCs w:val="21"/>
                    </w:rPr>
                  </w:pPr>
                  <w:r>
                    <w:rPr>
                      <w:color w:val="auto"/>
                      <w:szCs w:val="21"/>
                    </w:rPr>
                    <w:t>5、“/”表示标准限值没有要求，标准限值由客户提供。</w:t>
                  </w:r>
                </w:p>
              </w:tc>
            </w:tr>
          </w:tbl>
          <w:p w14:paraId="0B88E89D">
            <w:pPr>
              <w:ind w:firstLine="422" w:firstLineChars="200"/>
              <w:jc w:val="center"/>
              <w:rPr>
                <w:rFonts w:hint="eastAsia" w:hAnsi="宋体" w:eastAsia="宋体"/>
                <w:b/>
                <w:bCs/>
                <w:color w:val="auto"/>
                <w:szCs w:val="21"/>
                <w:lang w:eastAsia="zh-CN"/>
              </w:rPr>
            </w:pPr>
            <w:r>
              <w:rPr>
                <w:rFonts w:hint="eastAsia" w:hAnsi="宋体"/>
                <w:b/>
                <w:bCs/>
                <w:color w:val="auto"/>
                <w:szCs w:val="21"/>
              </w:rPr>
              <w:t>表2-</w:t>
            </w:r>
            <w:r>
              <w:rPr>
                <w:rFonts w:hint="eastAsia" w:hAnsi="宋体"/>
                <w:b/>
                <w:bCs/>
                <w:color w:val="auto"/>
                <w:szCs w:val="21"/>
                <w:lang w:val="en-US" w:eastAsia="zh-CN"/>
              </w:rPr>
              <w:t>23</w:t>
            </w:r>
            <w:r>
              <w:rPr>
                <w:rFonts w:hint="eastAsia" w:hAnsi="宋体"/>
                <w:b/>
                <w:bCs/>
                <w:color w:val="auto"/>
                <w:szCs w:val="21"/>
              </w:rPr>
              <w:t>现有项目生产废水检测结果一览表</w:t>
            </w:r>
            <w:r>
              <w:rPr>
                <w:rFonts w:hint="eastAsia" w:hAnsi="宋体"/>
                <w:b/>
                <w:bCs/>
                <w:color w:val="auto"/>
                <w:szCs w:val="21"/>
                <w:lang w:eastAsia="zh-CN"/>
              </w:rPr>
              <w:t>（</w:t>
            </w:r>
            <w:r>
              <w:rPr>
                <w:rFonts w:hint="eastAsia" w:hAnsi="宋体"/>
                <w:b/>
                <w:bCs/>
                <w:color w:val="auto"/>
                <w:szCs w:val="21"/>
                <w:lang w:val="en-US" w:eastAsia="zh-CN"/>
              </w:rPr>
              <w:t>2026年5月6日</w:t>
            </w:r>
            <w:r>
              <w:rPr>
                <w:rFonts w:hint="eastAsia" w:hAnsi="宋体"/>
                <w:b/>
                <w:bCs/>
                <w:color w:val="auto"/>
                <w:szCs w:val="21"/>
                <w:lang w:eastAsia="zh-CN"/>
              </w:rPr>
              <w:t>）</w:t>
            </w:r>
          </w:p>
          <w:tbl>
            <w:tblPr>
              <w:tblStyle w:val="43"/>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0"/>
              <w:gridCol w:w="2454"/>
              <w:gridCol w:w="971"/>
              <w:gridCol w:w="1616"/>
              <w:gridCol w:w="1831"/>
            </w:tblGrid>
            <w:tr w14:paraId="1433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Align w:val="center"/>
                </w:tcPr>
                <w:p w14:paraId="1E507F37">
                  <w:pPr>
                    <w:widowControl w:val="0"/>
                    <w:spacing w:line="240" w:lineRule="atLeast"/>
                    <w:jc w:val="center"/>
                    <w:rPr>
                      <w:b/>
                      <w:bCs/>
                      <w:color w:val="auto"/>
                      <w:szCs w:val="21"/>
                    </w:rPr>
                  </w:pPr>
                  <w:r>
                    <w:rPr>
                      <w:b/>
                      <w:bCs/>
                      <w:color w:val="auto"/>
                      <w:szCs w:val="21"/>
                    </w:rPr>
                    <w:t>检测点位名称</w:t>
                  </w:r>
                </w:p>
              </w:tc>
              <w:tc>
                <w:tcPr>
                  <w:tcW w:w="1327" w:type="pct"/>
                  <w:vAlign w:val="center"/>
                </w:tcPr>
                <w:p w14:paraId="112D32F5">
                  <w:pPr>
                    <w:widowControl w:val="0"/>
                    <w:spacing w:line="240" w:lineRule="atLeast"/>
                    <w:jc w:val="center"/>
                    <w:rPr>
                      <w:b/>
                      <w:bCs/>
                      <w:color w:val="auto"/>
                      <w:szCs w:val="21"/>
                    </w:rPr>
                  </w:pPr>
                  <w:r>
                    <w:rPr>
                      <w:b/>
                      <w:bCs/>
                      <w:color w:val="auto"/>
                      <w:szCs w:val="21"/>
                    </w:rPr>
                    <w:t>检测项目</w:t>
                  </w:r>
                </w:p>
              </w:tc>
              <w:tc>
                <w:tcPr>
                  <w:tcW w:w="525" w:type="pct"/>
                  <w:vAlign w:val="center"/>
                </w:tcPr>
                <w:p w14:paraId="0E08898B">
                  <w:pPr>
                    <w:widowControl w:val="0"/>
                    <w:spacing w:line="240" w:lineRule="atLeast"/>
                    <w:jc w:val="center"/>
                    <w:rPr>
                      <w:b/>
                      <w:bCs/>
                      <w:color w:val="auto"/>
                      <w:szCs w:val="21"/>
                    </w:rPr>
                  </w:pPr>
                  <w:r>
                    <w:rPr>
                      <w:b/>
                      <w:bCs/>
                      <w:color w:val="auto"/>
                      <w:szCs w:val="21"/>
                    </w:rPr>
                    <w:t>单位</w:t>
                  </w:r>
                </w:p>
              </w:tc>
              <w:tc>
                <w:tcPr>
                  <w:tcW w:w="874" w:type="pct"/>
                  <w:vAlign w:val="center"/>
                </w:tcPr>
                <w:p w14:paraId="7891573C">
                  <w:pPr>
                    <w:widowControl w:val="0"/>
                    <w:spacing w:line="240" w:lineRule="atLeast"/>
                    <w:jc w:val="center"/>
                    <w:rPr>
                      <w:b/>
                      <w:bCs/>
                      <w:color w:val="auto"/>
                      <w:szCs w:val="21"/>
                    </w:rPr>
                  </w:pPr>
                  <w:r>
                    <w:rPr>
                      <w:b/>
                      <w:bCs/>
                      <w:color w:val="auto"/>
                      <w:szCs w:val="21"/>
                    </w:rPr>
                    <w:t>检测结果</w:t>
                  </w:r>
                </w:p>
              </w:tc>
              <w:tc>
                <w:tcPr>
                  <w:tcW w:w="990" w:type="pct"/>
                  <w:vAlign w:val="center"/>
                </w:tcPr>
                <w:p w14:paraId="7ACC8C68">
                  <w:pPr>
                    <w:widowControl w:val="0"/>
                    <w:jc w:val="center"/>
                    <w:rPr>
                      <w:b/>
                      <w:bCs/>
                      <w:color w:val="auto"/>
                      <w:szCs w:val="21"/>
                    </w:rPr>
                  </w:pPr>
                  <w:r>
                    <w:rPr>
                      <w:b/>
                      <w:bCs/>
                      <w:color w:val="auto"/>
                      <w:szCs w:val="21"/>
                    </w:rPr>
                    <w:t>参考限值</w:t>
                  </w:r>
                </w:p>
              </w:tc>
            </w:tr>
            <w:tr w14:paraId="7F6A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restart"/>
                  <w:vAlign w:val="center"/>
                </w:tcPr>
                <w:p w14:paraId="163B1031">
                  <w:pPr>
                    <w:widowControl w:val="0"/>
                    <w:jc w:val="center"/>
                    <w:rPr>
                      <w:bCs/>
                      <w:color w:val="auto"/>
                      <w:szCs w:val="21"/>
                    </w:rPr>
                  </w:pPr>
                  <w:r>
                    <w:rPr>
                      <w:bCs/>
                      <w:color w:val="auto"/>
                      <w:szCs w:val="21"/>
                    </w:rPr>
                    <w:t>污水处理设施进水口</w:t>
                  </w:r>
                </w:p>
              </w:tc>
              <w:tc>
                <w:tcPr>
                  <w:tcW w:w="1327" w:type="pct"/>
                  <w:vAlign w:val="center"/>
                </w:tcPr>
                <w:p w14:paraId="72E8E04B">
                  <w:pPr>
                    <w:widowControl w:val="0"/>
                    <w:jc w:val="center"/>
                    <w:rPr>
                      <w:color w:val="auto"/>
                      <w:szCs w:val="21"/>
                    </w:rPr>
                  </w:pPr>
                  <w:r>
                    <w:rPr>
                      <w:bCs/>
                      <w:color w:val="auto"/>
                      <w:szCs w:val="21"/>
                    </w:rPr>
                    <w:t>pH值</w:t>
                  </w:r>
                </w:p>
              </w:tc>
              <w:tc>
                <w:tcPr>
                  <w:tcW w:w="525" w:type="pct"/>
                  <w:vAlign w:val="center"/>
                </w:tcPr>
                <w:p w14:paraId="6AF19BCC">
                  <w:pPr>
                    <w:widowControl w:val="0"/>
                    <w:jc w:val="center"/>
                    <w:rPr>
                      <w:color w:val="auto"/>
                      <w:szCs w:val="21"/>
                    </w:rPr>
                  </w:pPr>
                  <w:r>
                    <w:rPr>
                      <w:color w:val="auto"/>
                      <w:szCs w:val="21"/>
                    </w:rPr>
                    <w:t>无量纲</w:t>
                  </w:r>
                </w:p>
              </w:tc>
              <w:tc>
                <w:tcPr>
                  <w:tcW w:w="874" w:type="pct"/>
                  <w:vAlign w:val="center"/>
                </w:tcPr>
                <w:p w14:paraId="51F2D95E">
                  <w:pPr>
                    <w:widowControl w:val="0"/>
                    <w:jc w:val="center"/>
                    <w:rPr>
                      <w:color w:val="auto"/>
                      <w:szCs w:val="21"/>
                    </w:rPr>
                  </w:pPr>
                  <w:r>
                    <w:rPr>
                      <w:color w:val="auto"/>
                      <w:szCs w:val="21"/>
                    </w:rPr>
                    <w:t>6.8</w:t>
                  </w:r>
                </w:p>
              </w:tc>
              <w:tc>
                <w:tcPr>
                  <w:tcW w:w="990" w:type="pct"/>
                  <w:vAlign w:val="center"/>
                </w:tcPr>
                <w:p w14:paraId="6C89D984">
                  <w:pPr>
                    <w:widowControl w:val="0"/>
                    <w:jc w:val="center"/>
                    <w:rPr>
                      <w:color w:val="auto"/>
                      <w:szCs w:val="21"/>
                    </w:rPr>
                  </w:pPr>
                  <w:r>
                    <w:rPr>
                      <w:color w:val="auto"/>
                      <w:szCs w:val="21"/>
                    </w:rPr>
                    <w:t>/</w:t>
                  </w:r>
                </w:p>
              </w:tc>
            </w:tr>
            <w:tr w14:paraId="25EF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358F5690">
                  <w:pPr>
                    <w:widowControl w:val="0"/>
                    <w:jc w:val="center"/>
                    <w:rPr>
                      <w:bCs/>
                      <w:color w:val="auto"/>
                      <w:szCs w:val="21"/>
                    </w:rPr>
                  </w:pPr>
                </w:p>
              </w:tc>
              <w:tc>
                <w:tcPr>
                  <w:tcW w:w="1327" w:type="pct"/>
                  <w:vAlign w:val="center"/>
                </w:tcPr>
                <w:p w14:paraId="56F8942C">
                  <w:pPr>
                    <w:widowControl w:val="0"/>
                    <w:jc w:val="center"/>
                    <w:rPr>
                      <w:bCs/>
                      <w:color w:val="auto"/>
                      <w:szCs w:val="21"/>
                    </w:rPr>
                  </w:pPr>
                  <w:r>
                    <w:rPr>
                      <w:bCs/>
                      <w:color w:val="auto"/>
                      <w:szCs w:val="21"/>
                    </w:rPr>
                    <w:t>化学需氧量</w:t>
                  </w:r>
                </w:p>
              </w:tc>
              <w:tc>
                <w:tcPr>
                  <w:tcW w:w="525" w:type="pct"/>
                  <w:vAlign w:val="center"/>
                </w:tcPr>
                <w:p w14:paraId="19594F3A">
                  <w:pPr>
                    <w:widowControl w:val="0"/>
                    <w:jc w:val="center"/>
                    <w:rPr>
                      <w:color w:val="auto"/>
                      <w:szCs w:val="21"/>
                    </w:rPr>
                  </w:pPr>
                  <w:r>
                    <w:rPr>
                      <w:color w:val="auto"/>
                      <w:szCs w:val="21"/>
                    </w:rPr>
                    <w:t>mg/L</w:t>
                  </w:r>
                </w:p>
              </w:tc>
              <w:tc>
                <w:tcPr>
                  <w:tcW w:w="874" w:type="pct"/>
                  <w:vAlign w:val="center"/>
                </w:tcPr>
                <w:p w14:paraId="1241257C">
                  <w:pPr>
                    <w:widowControl w:val="0"/>
                    <w:jc w:val="center"/>
                    <w:rPr>
                      <w:color w:val="auto"/>
                      <w:szCs w:val="21"/>
                    </w:rPr>
                  </w:pPr>
                  <w:r>
                    <w:rPr>
                      <w:color w:val="auto"/>
                      <w:szCs w:val="21"/>
                    </w:rPr>
                    <w:t>216</w:t>
                  </w:r>
                </w:p>
              </w:tc>
              <w:tc>
                <w:tcPr>
                  <w:tcW w:w="990" w:type="pct"/>
                  <w:vAlign w:val="center"/>
                </w:tcPr>
                <w:p w14:paraId="6847CF79">
                  <w:pPr>
                    <w:widowControl w:val="0"/>
                    <w:jc w:val="center"/>
                    <w:rPr>
                      <w:color w:val="auto"/>
                      <w:szCs w:val="21"/>
                    </w:rPr>
                  </w:pPr>
                  <w:r>
                    <w:rPr>
                      <w:color w:val="auto"/>
                      <w:szCs w:val="21"/>
                    </w:rPr>
                    <w:t>/</w:t>
                  </w:r>
                </w:p>
              </w:tc>
            </w:tr>
            <w:tr w14:paraId="6D5F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3CACF3C2">
                  <w:pPr>
                    <w:widowControl w:val="0"/>
                    <w:jc w:val="center"/>
                    <w:rPr>
                      <w:bCs/>
                      <w:color w:val="auto"/>
                      <w:szCs w:val="21"/>
                    </w:rPr>
                  </w:pPr>
                </w:p>
              </w:tc>
              <w:tc>
                <w:tcPr>
                  <w:tcW w:w="1327" w:type="pct"/>
                  <w:shd w:val="clear" w:color="auto" w:fill="auto"/>
                  <w:vAlign w:val="center"/>
                </w:tcPr>
                <w:p w14:paraId="0C672CAB">
                  <w:pPr>
                    <w:widowControl w:val="0"/>
                    <w:jc w:val="center"/>
                    <w:rPr>
                      <w:rFonts w:hint="default"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总铝</w:t>
                  </w:r>
                </w:p>
              </w:tc>
              <w:tc>
                <w:tcPr>
                  <w:tcW w:w="525" w:type="pct"/>
                  <w:shd w:val="clear" w:color="auto" w:fill="auto"/>
                  <w:vAlign w:val="center"/>
                </w:tcPr>
                <w:p w14:paraId="600291AB">
                  <w:pPr>
                    <w:widowControl w:val="0"/>
                    <w:jc w:val="center"/>
                    <w:rPr>
                      <w:rFonts w:ascii="Times New Roman" w:hAnsi="Times New Roman" w:eastAsia="宋体" w:cs="Times New Roman"/>
                      <w:color w:val="auto"/>
                      <w:kern w:val="2"/>
                      <w:sz w:val="21"/>
                      <w:szCs w:val="21"/>
                      <w:lang w:val="en-US" w:eastAsia="zh-CN" w:bidi="ar-SA"/>
                    </w:rPr>
                  </w:pPr>
                  <w:r>
                    <w:rPr>
                      <w:color w:val="auto"/>
                      <w:szCs w:val="21"/>
                    </w:rPr>
                    <w:t>mg/L</w:t>
                  </w:r>
                </w:p>
              </w:tc>
              <w:tc>
                <w:tcPr>
                  <w:tcW w:w="874" w:type="pct"/>
                  <w:shd w:val="clear" w:color="auto" w:fill="auto"/>
                  <w:vAlign w:val="center"/>
                </w:tcPr>
                <w:p w14:paraId="5E2D764B">
                  <w:pPr>
                    <w:widowControl w:val="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ND</w:t>
                  </w:r>
                </w:p>
              </w:tc>
              <w:tc>
                <w:tcPr>
                  <w:tcW w:w="990" w:type="pct"/>
                  <w:shd w:val="clear" w:color="auto" w:fill="auto"/>
                  <w:vAlign w:val="center"/>
                </w:tcPr>
                <w:p w14:paraId="17662577">
                  <w:pPr>
                    <w:widowControl w:val="0"/>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lang w:val="en-US" w:eastAsia="zh-CN"/>
                    </w:rPr>
                    <w:t>/</w:t>
                  </w:r>
                </w:p>
              </w:tc>
            </w:tr>
            <w:tr w14:paraId="2C03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4F118784">
                  <w:pPr>
                    <w:widowControl w:val="0"/>
                    <w:jc w:val="center"/>
                    <w:rPr>
                      <w:bCs/>
                      <w:color w:val="auto"/>
                      <w:szCs w:val="21"/>
                    </w:rPr>
                  </w:pPr>
                </w:p>
              </w:tc>
              <w:tc>
                <w:tcPr>
                  <w:tcW w:w="1327" w:type="pct"/>
                  <w:vAlign w:val="center"/>
                </w:tcPr>
                <w:p w14:paraId="604E56A0">
                  <w:pPr>
                    <w:widowControl w:val="0"/>
                    <w:jc w:val="center"/>
                    <w:rPr>
                      <w:bCs/>
                      <w:color w:val="auto"/>
                      <w:szCs w:val="21"/>
                    </w:rPr>
                  </w:pPr>
                  <w:r>
                    <w:rPr>
                      <w:bCs/>
                      <w:color w:val="auto"/>
                      <w:szCs w:val="21"/>
                    </w:rPr>
                    <w:t>悬浮物</w:t>
                  </w:r>
                </w:p>
              </w:tc>
              <w:tc>
                <w:tcPr>
                  <w:tcW w:w="525" w:type="pct"/>
                  <w:vAlign w:val="center"/>
                </w:tcPr>
                <w:p w14:paraId="385E2E36">
                  <w:pPr>
                    <w:widowControl w:val="0"/>
                    <w:jc w:val="center"/>
                    <w:rPr>
                      <w:color w:val="auto"/>
                      <w:szCs w:val="21"/>
                    </w:rPr>
                  </w:pPr>
                  <w:r>
                    <w:rPr>
                      <w:color w:val="auto"/>
                      <w:szCs w:val="21"/>
                    </w:rPr>
                    <w:t>mg/L</w:t>
                  </w:r>
                </w:p>
              </w:tc>
              <w:tc>
                <w:tcPr>
                  <w:tcW w:w="874" w:type="pct"/>
                  <w:vAlign w:val="center"/>
                </w:tcPr>
                <w:p w14:paraId="101FB1A6">
                  <w:pPr>
                    <w:widowControl w:val="0"/>
                    <w:jc w:val="center"/>
                    <w:rPr>
                      <w:color w:val="auto"/>
                      <w:szCs w:val="21"/>
                    </w:rPr>
                  </w:pPr>
                  <w:r>
                    <w:rPr>
                      <w:color w:val="auto"/>
                      <w:szCs w:val="21"/>
                    </w:rPr>
                    <w:t>179</w:t>
                  </w:r>
                </w:p>
              </w:tc>
              <w:tc>
                <w:tcPr>
                  <w:tcW w:w="990" w:type="pct"/>
                  <w:vAlign w:val="center"/>
                </w:tcPr>
                <w:p w14:paraId="2AEEF397">
                  <w:pPr>
                    <w:widowControl w:val="0"/>
                    <w:jc w:val="center"/>
                    <w:rPr>
                      <w:color w:val="auto"/>
                      <w:szCs w:val="21"/>
                    </w:rPr>
                  </w:pPr>
                  <w:r>
                    <w:rPr>
                      <w:color w:val="auto"/>
                      <w:szCs w:val="21"/>
                    </w:rPr>
                    <w:t>/</w:t>
                  </w:r>
                </w:p>
              </w:tc>
            </w:tr>
            <w:tr w14:paraId="1B44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23988477">
                  <w:pPr>
                    <w:widowControl w:val="0"/>
                    <w:jc w:val="center"/>
                    <w:rPr>
                      <w:bCs/>
                      <w:color w:val="auto"/>
                      <w:szCs w:val="21"/>
                    </w:rPr>
                  </w:pPr>
                </w:p>
              </w:tc>
              <w:tc>
                <w:tcPr>
                  <w:tcW w:w="1327" w:type="pct"/>
                  <w:vAlign w:val="center"/>
                </w:tcPr>
                <w:p w14:paraId="2D1E8267">
                  <w:pPr>
                    <w:widowControl w:val="0"/>
                    <w:jc w:val="center"/>
                    <w:rPr>
                      <w:bCs/>
                      <w:color w:val="auto"/>
                      <w:szCs w:val="21"/>
                    </w:rPr>
                  </w:pPr>
                  <w:r>
                    <w:rPr>
                      <w:bCs/>
                      <w:color w:val="auto"/>
                      <w:szCs w:val="21"/>
                    </w:rPr>
                    <w:t>氨氮</w:t>
                  </w:r>
                </w:p>
              </w:tc>
              <w:tc>
                <w:tcPr>
                  <w:tcW w:w="525" w:type="pct"/>
                  <w:vAlign w:val="center"/>
                </w:tcPr>
                <w:p w14:paraId="067D739A">
                  <w:pPr>
                    <w:widowControl w:val="0"/>
                    <w:jc w:val="center"/>
                    <w:rPr>
                      <w:color w:val="auto"/>
                      <w:szCs w:val="21"/>
                    </w:rPr>
                  </w:pPr>
                  <w:r>
                    <w:rPr>
                      <w:color w:val="auto"/>
                      <w:szCs w:val="21"/>
                    </w:rPr>
                    <w:t>mg/L</w:t>
                  </w:r>
                </w:p>
              </w:tc>
              <w:tc>
                <w:tcPr>
                  <w:tcW w:w="874" w:type="pct"/>
                  <w:vAlign w:val="center"/>
                </w:tcPr>
                <w:p w14:paraId="15C887AE">
                  <w:pPr>
                    <w:widowControl w:val="0"/>
                    <w:jc w:val="center"/>
                    <w:rPr>
                      <w:color w:val="auto"/>
                      <w:szCs w:val="21"/>
                    </w:rPr>
                  </w:pPr>
                  <w:r>
                    <w:rPr>
                      <w:color w:val="auto"/>
                      <w:szCs w:val="21"/>
                    </w:rPr>
                    <w:t>3.30</w:t>
                  </w:r>
                </w:p>
              </w:tc>
              <w:tc>
                <w:tcPr>
                  <w:tcW w:w="990" w:type="pct"/>
                  <w:vAlign w:val="center"/>
                </w:tcPr>
                <w:p w14:paraId="4909E28C">
                  <w:pPr>
                    <w:widowControl w:val="0"/>
                    <w:jc w:val="center"/>
                    <w:rPr>
                      <w:color w:val="auto"/>
                      <w:szCs w:val="21"/>
                    </w:rPr>
                  </w:pPr>
                  <w:r>
                    <w:rPr>
                      <w:color w:val="auto"/>
                      <w:szCs w:val="21"/>
                    </w:rPr>
                    <w:t>/</w:t>
                  </w:r>
                </w:p>
              </w:tc>
            </w:tr>
            <w:tr w14:paraId="603A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3C8C3176">
                  <w:pPr>
                    <w:widowControl w:val="0"/>
                    <w:jc w:val="center"/>
                    <w:rPr>
                      <w:bCs/>
                      <w:color w:val="auto"/>
                      <w:szCs w:val="21"/>
                    </w:rPr>
                  </w:pPr>
                </w:p>
              </w:tc>
              <w:tc>
                <w:tcPr>
                  <w:tcW w:w="1327" w:type="pct"/>
                  <w:vAlign w:val="center"/>
                </w:tcPr>
                <w:p w14:paraId="695251A8">
                  <w:pPr>
                    <w:widowControl w:val="0"/>
                    <w:jc w:val="center"/>
                    <w:rPr>
                      <w:bCs/>
                      <w:color w:val="auto"/>
                      <w:szCs w:val="21"/>
                    </w:rPr>
                  </w:pPr>
                  <w:r>
                    <w:rPr>
                      <w:bCs/>
                      <w:color w:val="auto"/>
                      <w:szCs w:val="21"/>
                    </w:rPr>
                    <w:t>总磷</w:t>
                  </w:r>
                </w:p>
              </w:tc>
              <w:tc>
                <w:tcPr>
                  <w:tcW w:w="525" w:type="pct"/>
                  <w:vAlign w:val="center"/>
                </w:tcPr>
                <w:p w14:paraId="1613996A">
                  <w:pPr>
                    <w:widowControl w:val="0"/>
                    <w:jc w:val="center"/>
                    <w:rPr>
                      <w:color w:val="auto"/>
                      <w:szCs w:val="21"/>
                    </w:rPr>
                  </w:pPr>
                  <w:r>
                    <w:rPr>
                      <w:color w:val="auto"/>
                      <w:szCs w:val="21"/>
                    </w:rPr>
                    <w:t>mg/L</w:t>
                  </w:r>
                </w:p>
              </w:tc>
              <w:tc>
                <w:tcPr>
                  <w:tcW w:w="874" w:type="pct"/>
                  <w:vAlign w:val="center"/>
                </w:tcPr>
                <w:p w14:paraId="08F122E5">
                  <w:pPr>
                    <w:widowControl w:val="0"/>
                    <w:jc w:val="center"/>
                    <w:rPr>
                      <w:color w:val="auto"/>
                      <w:szCs w:val="21"/>
                    </w:rPr>
                  </w:pPr>
                  <w:r>
                    <w:rPr>
                      <w:color w:val="auto"/>
                      <w:szCs w:val="21"/>
                    </w:rPr>
                    <w:t>1.72</w:t>
                  </w:r>
                </w:p>
              </w:tc>
              <w:tc>
                <w:tcPr>
                  <w:tcW w:w="990" w:type="pct"/>
                  <w:vAlign w:val="center"/>
                </w:tcPr>
                <w:p w14:paraId="25D46530">
                  <w:pPr>
                    <w:widowControl w:val="0"/>
                    <w:jc w:val="center"/>
                    <w:rPr>
                      <w:color w:val="auto"/>
                      <w:szCs w:val="21"/>
                    </w:rPr>
                  </w:pPr>
                  <w:r>
                    <w:rPr>
                      <w:color w:val="auto"/>
                      <w:szCs w:val="21"/>
                    </w:rPr>
                    <w:t>/</w:t>
                  </w:r>
                </w:p>
              </w:tc>
            </w:tr>
            <w:tr w14:paraId="3866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45FA1CA0">
                  <w:pPr>
                    <w:widowControl w:val="0"/>
                    <w:jc w:val="center"/>
                    <w:rPr>
                      <w:bCs/>
                      <w:color w:val="auto"/>
                      <w:szCs w:val="21"/>
                    </w:rPr>
                  </w:pPr>
                </w:p>
              </w:tc>
              <w:tc>
                <w:tcPr>
                  <w:tcW w:w="1327" w:type="pct"/>
                  <w:vAlign w:val="center"/>
                </w:tcPr>
                <w:p w14:paraId="2728EE95">
                  <w:pPr>
                    <w:widowControl w:val="0"/>
                    <w:jc w:val="center"/>
                    <w:rPr>
                      <w:bCs/>
                      <w:color w:val="auto"/>
                      <w:szCs w:val="21"/>
                    </w:rPr>
                  </w:pPr>
                  <w:r>
                    <w:rPr>
                      <w:bCs/>
                      <w:color w:val="auto"/>
                      <w:szCs w:val="21"/>
                    </w:rPr>
                    <w:t>总氮</w:t>
                  </w:r>
                </w:p>
              </w:tc>
              <w:tc>
                <w:tcPr>
                  <w:tcW w:w="525" w:type="pct"/>
                  <w:vAlign w:val="center"/>
                </w:tcPr>
                <w:p w14:paraId="68559667">
                  <w:pPr>
                    <w:widowControl w:val="0"/>
                    <w:jc w:val="center"/>
                    <w:rPr>
                      <w:color w:val="auto"/>
                      <w:szCs w:val="21"/>
                    </w:rPr>
                  </w:pPr>
                  <w:r>
                    <w:rPr>
                      <w:color w:val="auto"/>
                      <w:szCs w:val="21"/>
                    </w:rPr>
                    <w:t>mg/L</w:t>
                  </w:r>
                </w:p>
              </w:tc>
              <w:tc>
                <w:tcPr>
                  <w:tcW w:w="874" w:type="pct"/>
                  <w:vAlign w:val="center"/>
                </w:tcPr>
                <w:p w14:paraId="3677EA2D">
                  <w:pPr>
                    <w:widowControl w:val="0"/>
                    <w:jc w:val="center"/>
                    <w:rPr>
                      <w:color w:val="auto"/>
                      <w:szCs w:val="21"/>
                    </w:rPr>
                  </w:pPr>
                  <w:r>
                    <w:rPr>
                      <w:color w:val="auto"/>
                      <w:szCs w:val="21"/>
                    </w:rPr>
                    <w:t>5.80</w:t>
                  </w:r>
                </w:p>
              </w:tc>
              <w:tc>
                <w:tcPr>
                  <w:tcW w:w="990" w:type="pct"/>
                  <w:vAlign w:val="center"/>
                </w:tcPr>
                <w:p w14:paraId="315F8462">
                  <w:pPr>
                    <w:widowControl w:val="0"/>
                    <w:jc w:val="center"/>
                    <w:rPr>
                      <w:color w:val="auto"/>
                      <w:szCs w:val="21"/>
                    </w:rPr>
                  </w:pPr>
                  <w:r>
                    <w:rPr>
                      <w:color w:val="auto"/>
                      <w:szCs w:val="21"/>
                    </w:rPr>
                    <w:t>/</w:t>
                  </w:r>
                </w:p>
              </w:tc>
            </w:tr>
            <w:tr w14:paraId="5C8B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4E7FAE61">
                  <w:pPr>
                    <w:widowControl w:val="0"/>
                    <w:jc w:val="center"/>
                    <w:rPr>
                      <w:bCs/>
                      <w:color w:val="auto"/>
                      <w:szCs w:val="21"/>
                    </w:rPr>
                  </w:pPr>
                </w:p>
              </w:tc>
              <w:tc>
                <w:tcPr>
                  <w:tcW w:w="1327" w:type="pct"/>
                  <w:vAlign w:val="center"/>
                </w:tcPr>
                <w:p w14:paraId="13519389">
                  <w:pPr>
                    <w:widowControl w:val="0"/>
                    <w:jc w:val="center"/>
                    <w:rPr>
                      <w:bCs/>
                      <w:color w:val="auto"/>
                      <w:szCs w:val="21"/>
                    </w:rPr>
                  </w:pPr>
                  <w:r>
                    <w:rPr>
                      <w:bCs/>
                      <w:color w:val="auto"/>
                      <w:szCs w:val="21"/>
                    </w:rPr>
                    <w:t>五日生化需氧量</w:t>
                  </w:r>
                </w:p>
              </w:tc>
              <w:tc>
                <w:tcPr>
                  <w:tcW w:w="525" w:type="pct"/>
                  <w:vAlign w:val="center"/>
                </w:tcPr>
                <w:p w14:paraId="3B95AF82">
                  <w:pPr>
                    <w:widowControl w:val="0"/>
                    <w:jc w:val="center"/>
                    <w:rPr>
                      <w:color w:val="auto"/>
                      <w:szCs w:val="21"/>
                    </w:rPr>
                  </w:pPr>
                  <w:r>
                    <w:rPr>
                      <w:color w:val="auto"/>
                      <w:szCs w:val="21"/>
                    </w:rPr>
                    <w:t>mg/L</w:t>
                  </w:r>
                </w:p>
              </w:tc>
              <w:tc>
                <w:tcPr>
                  <w:tcW w:w="874" w:type="pct"/>
                  <w:vAlign w:val="center"/>
                </w:tcPr>
                <w:p w14:paraId="787AE5AA">
                  <w:pPr>
                    <w:widowControl w:val="0"/>
                    <w:jc w:val="center"/>
                    <w:rPr>
                      <w:color w:val="auto"/>
                      <w:szCs w:val="21"/>
                    </w:rPr>
                  </w:pPr>
                  <w:r>
                    <w:rPr>
                      <w:color w:val="auto"/>
                      <w:szCs w:val="21"/>
                    </w:rPr>
                    <w:t>86.8</w:t>
                  </w:r>
                </w:p>
              </w:tc>
              <w:tc>
                <w:tcPr>
                  <w:tcW w:w="990" w:type="pct"/>
                  <w:vAlign w:val="center"/>
                </w:tcPr>
                <w:p w14:paraId="1DC9A9FD">
                  <w:pPr>
                    <w:widowControl w:val="0"/>
                    <w:jc w:val="center"/>
                    <w:rPr>
                      <w:color w:val="auto"/>
                      <w:szCs w:val="21"/>
                    </w:rPr>
                  </w:pPr>
                  <w:r>
                    <w:rPr>
                      <w:color w:val="auto"/>
                      <w:szCs w:val="21"/>
                    </w:rPr>
                    <w:t>/</w:t>
                  </w:r>
                </w:p>
              </w:tc>
            </w:tr>
            <w:tr w14:paraId="0E9A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restart"/>
                  <w:vAlign w:val="center"/>
                </w:tcPr>
                <w:p w14:paraId="5E5FC52F">
                  <w:pPr>
                    <w:widowControl w:val="0"/>
                    <w:jc w:val="center"/>
                    <w:rPr>
                      <w:bCs/>
                      <w:color w:val="auto"/>
                      <w:szCs w:val="21"/>
                    </w:rPr>
                  </w:pPr>
                  <w:r>
                    <w:rPr>
                      <w:bCs/>
                      <w:color w:val="auto"/>
                      <w:szCs w:val="21"/>
                    </w:rPr>
                    <w:t>污水处理设施出水口</w:t>
                  </w:r>
                </w:p>
              </w:tc>
              <w:tc>
                <w:tcPr>
                  <w:tcW w:w="1327" w:type="pct"/>
                  <w:vAlign w:val="center"/>
                </w:tcPr>
                <w:p w14:paraId="1B1C838E">
                  <w:pPr>
                    <w:widowControl w:val="0"/>
                    <w:jc w:val="center"/>
                    <w:rPr>
                      <w:color w:val="auto"/>
                      <w:szCs w:val="21"/>
                    </w:rPr>
                  </w:pPr>
                  <w:r>
                    <w:rPr>
                      <w:bCs/>
                      <w:color w:val="auto"/>
                      <w:szCs w:val="21"/>
                    </w:rPr>
                    <w:t>pH值</w:t>
                  </w:r>
                </w:p>
              </w:tc>
              <w:tc>
                <w:tcPr>
                  <w:tcW w:w="525" w:type="pct"/>
                  <w:vAlign w:val="center"/>
                </w:tcPr>
                <w:p w14:paraId="2FEF8C25">
                  <w:pPr>
                    <w:widowControl w:val="0"/>
                    <w:jc w:val="center"/>
                    <w:rPr>
                      <w:color w:val="auto"/>
                      <w:szCs w:val="21"/>
                    </w:rPr>
                  </w:pPr>
                  <w:r>
                    <w:rPr>
                      <w:color w:val="auto"/>
                      <w:szCs w:val="21"/>
                    </w:rPr>
                    <w:t>无量纲</w:t>
                  </w:r>
                </w:p>
              </w:tc>
              <w:tc>
                <w:tcPr>
                  <w:tcW w:w="874" w:type="pct"/>
                  <w:vAlign w:val="center"/>
                </w:tcPr>
                <w:p w14:paraId="13E02BB4">
                  <w:pPr>
                    <w:widowControl w:val="0"/>
                    <w:jc w:val="center"/>
                    <w:rPr>
                      <w:color w:val="auto"/>
                      <w:szCs w:val="21"/>
                    </w:rPr>
                  </w:pPr>
                  <w:r>
                    <w:rPr>
                      <w:color w:val="auto"/>
                      <w:szCs w:val="21"/>
                    </w:rPr>
                    <w:t>7.3</w:t>
                  </w:r>
                </w:p>
              </w:tc>
              <w:tc>
                <w:tcPr>
                  <w:tcW w:w="990" w:type="pct"/>
                  <w:vAlign w:val="center"/>
                </w:tcPr>
                <w:p w14:paraId="19F95E14">
                  <w:pPr>
                    <w:widowControl w:val="0"/>
                    <w:jc w:val="center"/>
                    <w:rPr>
                      <w:color w:val="auto"/>
                      <w:szCs w:val="21"/>
                    </w:rPr>
                  </w:pPr>
                  <w:r>
                    <w:rPr>
                      <w:color w:val="auto"/>
                      <w:szCs w:val="21"/>
                    </w:rPr>
                    <w:t>6~9</w:t>
                  </w:r>
                </w:p>
              </w:tc>
            </w:tr>
            <w:tr w14:paraId="26AE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650C879C">
                  <w:pPr>
                    <w:widowControl w:val="0"/>
                    <w:jc w:val="center"/>
                    <w:rPr>
                      <w:bCs/>
                      <w:color w:val="auto"/>
                      <w:szCs w:val="21"/>
                    </w:rPr>
                  </w:pPr>
                </w:p>
              </w:tc>
              <w:tc>
                <w:tcPr>
                  <w:tcW w:w="1327" w:type="pct"/>
                  <w:vAlign w:val="center"/>
                </w:tcPr>
                <w:p w14:paraId="2CBB4836">
                  <w:pPr>
                    <w:widowControl w:val="0"/>
                    <w:jc w:val="center"/>
                    <w:rPr>
                      <w:bCs/>
                      <w:color w:val="auto"/>
                      <w:szCs w:val="21"/>
                    </w:rPr>
                  </w:pPr>
                  <w:r>
                    <w:rPr>
                      <w:bCs/>
                      <w:color w:val="auto"/>
                      <w:szCs w:val="21"/>
                    </w:rPr>
                    <w:t>化学需氧量</w:t>
                  </w:r>
                </w:p>
              </w:tc>
              <w:tc>
                <w:tcPr>
                  <w:tcW w:w="525" w:type="pct"/>
                  <w:vAlign w:val="center"/>
                </w:tcPr>
                <w:p w14:paraId="27CDFF9C">
                  <w:pPr>
                    <w:widowControl w:val="0"/>
                    <w:jc w:val="center"/>
                    <w:rPr>
                      <w:color w:val="auto"/>
                      <w:szCs w:val="21"/>
                    </w:rPr>
                  </w:pPr>
                  <w:r>
                    <w:rPr>
                      <w:color w:val="auto"/>
                      <w:szCs w:val="21"/>
                    </w:rPr>
                    <w:t>mg/L</w:t>
                  </w:r>
                </w:p>
              </w:tc>
              <w:tc>
                <w:tcPr>
                  <w:tcW w:w="874" w:type="pct"/>
                  <w:vAlign w:val="center"/>
                </w:tcPr>
                <w:p w14:paraId="24D3BBCC">
                  <w:pPr>
                    <w:widowControl w:val="0"/>
                    <w:jc w:val="center"/>
                    <w:rPr>
                      <w:color w:val="auto"/>
                      <w:szCs w:val="21"/>
                    </w:rPr>
                  </w:pPr>
                  <w:r>
                    <w:rPr>
                      <w:color w:val="auto"/>
                      <w:szCs w:val="21"/>
                    </w:rPr>
                    <w:t>56</w:t>
                  </w:r>
                </w:p>
              </w:tc>
              <w:tc>
                <w:tcPr>
                  <w:tcW w:w="990" w:type="pct"/>
                  <w:vAlign w:val="center"/>
                </w:tcPr>
                <w:p w14:paraId="69D83675">
                  <w:pPr>
                    <w:widowControl w:val="0"/>
                    <w:jc w:val="center"/>
                    <w:rPr>
                      <w:color w:val="auto"/>
                      <w:szCs w:val="21"/>
                    </w:rPr>
                  </w:pPr>
                  <w:r>
                    <w:rPr>
                      <w:color w:val="auto"/>
                      <w:szCs w:val="21"/>
                    </w:rPr>
                    <w:t>90</w:t>
                  </w:r>
                </w:p>
              </w:tc>
            </w:tr>
            <w:tr w14:paraId="3FD2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30566B2E">
                  <w:pPr>
                    <w:widowControl w:val="0"/>
                    <w:jc w:val="center"/>
                    <w:rPr>
                      <w:bCs/>
                      <w:color w:val="auto"/>
                      <w:szCs w:val="21"/>
                    </w:rPr>
                  </w:pPr>
                </w:p>
              </w:tc>
              <w:tc>
                <w:tcPr>
                  <w:tcW w:w="1327" w:type="pct"/>
                  <w:shd w:val="clear" w:color="auto" w:fill="auto"/>
                  <w:vAlign w:val="center"/>
                </w:tcPr>
                <w:p w14:paraId="551F91FC">
                  <w:pPr>
                    <w:widowControl w:val="0"/>
                    <w:jc w:val="center"/>
                    <w:rPr>
                      <w:rFonts w:hint="default" w:ascii="Times New Roman" w:hAnsi="Times New Roman" w:eastAsia="宋体" w:cs="Times New Roman"/>
                      <w:bCs/>
                      <w:color w:val="auto"/>
                      <w:kern w:val="2"/>
                      <w:sz w:val="21"/>
                      <w:szCs w:val="21"/>
                      <w:lang w:val="en-US" w:eastAsia="zh-CN" w:bidi="ar-SA"/>
                    </w:rPr>
                  </w:pPr>
                  <w:r>
                    <w:rPr>
                      <w:rFonts w:hint="eastAsia"/>
                      <w:bCs/>
                      <w:color w:val="auto"/>
                      <w:szCs w:val="21"/>
                      <w:lang w:val="en-US" w:eastAsia="zh-CN"/>
                    </w:rPr>
                    <w:t>总铝</w:t>
                  </w:r>
                </w:p>
              </w:tc>
              <w:tc>
                <w:tcPr>
                  <w:tcW w:w="525" w:type="pct"/>
                  <w:shd w:val="clear" w:color="auto" w:fill="auto"/>
                  <w:vAlign w:val="center"/>
                </w:tcPr>
                <w:p w14:paraId="5F7A42BE">
                  <w:pPr>
                    <w:widowControl w:val="0"/>
                    <w:jc w:val="center"/>
                    <w:rPr>
                      <w:rFonts w:ascii="Times New Roman" w:hAnsi="Times New Roman" w:eastAsia="宋体" w:cs="Times New Roman"/>
                      <w:color w:val="auto"/>
                      <w:kern w:val="2"/>
                      <w:sz w:val="21"/>
                      <w:szCs w:val="21"/>
                      <w:lang w:val="en-US" w:eastAsia="zh-CN" w:bidi="ar-SA"/>
                    </w:rPr>
                  </w:pPr>
                  <w:r>
                    <w:rPr>
                      <w:color w:val="auto"/>
                      <w:szCs w:val="21"/>
                    </w:rPr>
                    <w:t>mg/L</w:t>
                  </w:r>
                </w:p>
              </w:tc>
              <w:tc>
                <w:tcPr>
                  <w:tcW w:w="874" w:type="pct"/>
                  <w:shd w:val="clear" w:color="auto" w:fill="auto"/>
                  <w:vAlign w:val="center"/>
                </w:tcPr>
                <w:p w14:paraId="7348F603">
                  <w:pPr>
                    <w:widowControl w:val="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ND</w:t>
                  </w:r>
                </w:p>
              </w:tc>
              <w:tc>
                <w:tcPr>
                  <w:tcW w:w="990" w:type="pct"/>
                  <w:shd w:val="clear" w:color="auto" w:fill="auto"/>
                  <w:vAlign w:val="center"/>
                </w:tcPr>
                <w:p w14:paraId="044CE2D5">
                  <w:pPr>
                    <w:widowControl w:val="0"/>
                    <w:jc w:val="center"/>
                    <w:rPr>
                      <w:rFonts w:hint="default" w:ascii="Times New Roman" w:hAnsi="Times New Roman" w:eastAsia="宋体" w:cs="Times New Roman"/>
                      <w:color w:val="auto"/>
                      <w:kern w:val="2"/>
                      <w:sz w:val="21"/>
                      <w:szCs w:val="21"/>
                      <w:lang w:val="en-US" w:eastAsia="zh-CN" w:bidi="ar-SA"/>
                    </w:rPr>
                  </w:pPr>
                  <w:r>
                    <w:rPr>
                      <w:rFonts w:hint="eastAsia"/>
                      <w:color w:val="auto"/>
                      <w:szCs w:val="21"/>
                      <w:lang w:val="en-US" w:eastAsia="zh-CN"/>
                    </w:rPr>
                    <w:t>6.0</w:t>
                  </w:r>
                </w:p>
              </w:tc>
            </w:tr>
            <w:tr w14:paraId="6D2D7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73A5657F">
                  <w:pPr>
                    <w:widowControl w:val="0"/>
                    <w:jc w:val="center"/>
                    <w:rPr>
                      <w:bCs/>
                      <w:color w:val="auto"/>
                      <w:szCs w:val="21"/>
                    </w:rPr>
                  </w:pPr>
                </w:p>
              </w:tc>
              <w:tc>
                <w:tcPr>
                  <w:tcW w:w="1327" w:type="pct"/>
                  <w:vAlign w:val="center"/>
                </w:tcPr>
                <w:p w14:paraId="0291479A">
                  <w:pPr>
                    <w:widowControl w:val="0"/>
                    <w:jc w:val="center"/>
                    <w:rPr>
                      <w:bCs/>
                      <w:color w:val="auto"/>
                      <w:szCs w:val="21"/>
                    </w:rPr>
                  </w:pPr>
                  <w:r>
                    <w:rPr>
                      <w:bCs/>
                      <w:color w:val="auto"/>
                      <w:szCs w:val="21"/>
                    </w:rPr>
                    <w:t>悬浮物</w:t>
                  </w:r>
                </w:p>
              </w:tc>
              <w:tc>
                <w:tcPr>
                  <w:tcW w:w="525" w:type="pct"/>
                  <w:vAlign w:val="center"/>
                </w:tcPr>
                <w:p w14:paraId="1A749F76">
                  <w:pPr>
                    <w:widowControl w:val="0"/>
                    <w:jc w:val="center"/>
                    <w:rPr>
                      <w:color w:val="auto"/>
                      <w:szCs w:val="21"/>
                    </w:rPr>
                  </w:pPr>
                  <w:r>
                    <w:rPr>
                      <w:color w:val="auto"/>
                      <w:szCs w:val="21"/>
                    </w:rPr>
                    <w:t>mg/L</w:t>
                  </w:r>
                </w:p>
              </w:tc>
              <w:tc>
                <w:tcPr>
                  <w:tcW w:w="874" w:type="pct"/>
                  <w:vAlign w:val="center"/>
                </w:tcPr>
                <w:p w14:paraId="07163469">
                  <w:pPr>
                    <w:widowControl w:val="0"/>
                    <w:jc w:val="center"/>
                    <w:rPr>
                      <w:color w:val="auto"/>
                      <w:szCs w:val="21"/>
                    </w:rPr>
                  </w:pPr>
                  <w:r>
                    <w:rPr>
                      <w:color w:val="auto"/>
                      <w:szCs w:val="21"/>
                    </w:rPr>
                    <w:t>51</w:t>
                  </w:r>
                </w:p>
              </w:tc>
              <w:tc>
                <w:tcPr>
                  <w:tcW w:w="990" w:type="pct"/>
                  <w:vAlign w:val="center"/>
                </w:tcPr>
                <w:p w14:paraId="79E54FA5">
                  <w:pPr>
                    <w:widowControl w:val="0"/>
                    <w:jc w:val="center"/>
                    <w:rPr>
                      <w:color w:val="auto"/>
                      <w:szCs w:val="21"/>
                    </w:rPr>
                  </w:pPr>
                  <w:r>
                    <w:rPr>
                      <w:color w:val="auto"/>
                      <w:szCs w:val="21"/>
                    </w:rPr>
                    <w:t>60</w:t>
                  </w:r>
                </w:p>
              </w:tc>
            </w:tr>
            <w:tr w14:paraId="29D6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03ACAB96">
                  <w:pPr>
                    <w:widowControl w:val="0"/>
                    <w:jc w:val="center"/>
                    <w:rPr>
                      <w:bCs/>
                      <w:color w:val="auto"/>
                      <w:szCs w:val="21"/>
                    </w:rPr>
                  </w:pPr>
                </w:p>
              </w:tc>
              <w:tc>
                <w:tcPr>
                  <w:tcW w:w="1327" w:type="pct"/>
                  <w:vAlign w:val="center"/>
                </w:tcPr>
                <w:p w14:paraId="123F5AE8">
                  <w:pPr>
                    <w:widowControl w:val="0"/>
                    <w:jc w:val="center"/>
                    <w:rPr>
                      <w:bCs/>
                      <w:color w:val="auto"/>
                      <w:szCs w:val="21"/>
                    </w:rPr>
                  </w:pPr>
                  <w:r>
                    <w:rPr>
                      <w:bCs/>
                      <w:color w:val="auto"/>
                      <w:szCs w:val="21"/>
                    </w:rPr>
                    <w:t>氨氮</w:t>
                  </w:r>
                </w:p>
              </w:tc>
              <w:tc>
                <w:tcPr>
                  <w:tcW w:w="525" w:type="pct"/>
                  <w:vAlign w:val="center"/>
                </w:tcPr>
                <w:p w14:paraId="238F3FB7">
                  <w:pPr>
                    <w:widowControl w:val="0"/>
                    <w:jc w:val="center"/>
                    <w:rPr>
                      <w:color w:val="auto"/>
                      <w:szCs w:val="21"/>
                    </w:rPr>
                  </w:pPr>
                  <w:r>
                    <w:rPr>
                      <w:color w:val="auto"/>
                      <w:szCs w:val="21"/>
                    </w:rPr>
                    <w:t>mg/L</w:t>
                  </w:r>
                </w:p>
              </w:tc>
              <w:tc>
                <w:tcPr>
                  <w:tcW w:w="874" w:type="pct"/>
                  <w:vAlign w:val="center"/>
                </w:tcPr>
                <w:p w14:paraId="498C0341">
                  <w:pPr>
                    <w:widowControl w:val="0"/>
                    <w:jc w:val="center"/>
                    <w:rPr>
                      <w:color w:val="auto"/>
                      <w:szCs w:val="21"/>
                    </w:rPr>
                  </w:pPr>
                  <w:r>
                    <w:rPr>
                      <w:color w:val="auto"/>
                      <w:szCs w:val="21"/>
                    </w:rPr>
                    <w:t>1.39</w:t>
                  </w:r>
                </w:p>
              </w:tc>
              <w:tc>
                <w:tcPr>
                  <w:tcW w:w="990" w:type="pct"/>
                  <w:vAlign w:val="center"/>
                </w:tcPr>
                <w:p w14:paraId="1B65C229">
                  <w:pPr>
                    <w:widowControl w:val="0"/>
                    <w:jc w:val="center"/>
                    <w:rPr>
                      <w:color w:val="auto"/>
                      <w:szCs w:val="21"/>
                    </w:rPr>
                  </w:pPr>
                  <w:r>
                    <w:rPr>
                      <w:color w:val="auto"/>
                      <w:szCs w:val="21"/>
                    </w:rPr>
                    <w:t>10</w:t>
                  </w:r>
                </w:p>
              </w:tc>
            </w:tr>
            <w:tr w14:paraId="41C4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2158F333">
                  <w:pPr>
                    <w:widowControl w:val="0"/>
                    <w:jc w:val="center"/>
                    <w:rPr>
                      <w:bCs/>
                      <w:color w:val="auto"/>
                      <w:szCs w:val="21"/>
                    </w:rPr>
                  </w:pPr>
                </w:p>
              </w:tc>
              <w:tc>
                <w:tcPr>
                  <w:tcW w:w="1327" w:type="pct"/>
                  <w:vAlign w:val="center"/>
                </w:tcPr>
                <w:p w14:paraId="6C76A931">
                  <w:pPr>
                    <w:widowControl w:val="0"/>
                    <w:jc w:val="center"/>
                    <w:rPr>
                      <w:bCs/>
                      <w:color w:val="auto"/>
                      <w:szCs w:val="21"/>
                    </w:rPr>
                  </w:pPr>
                  <w:r>
                    <w:rPr>
                      <w:bCs/>
                      <w:color w:val="auto"/>
                      <w:szCs w:val="21"/>
                    </w:rPr>
                    <w:t>总磷</w:t>
                  </w:r>
                </w:p>
              </w:tc>
              <w:tc>
                <w:tcPr>
                  <w:tcW w:w="525" w:type="pct"/>
                  <w:vAlign w:val="center"/>
                </w:tcPr>
                <w:p w14:paraId="1F45A973">
                  <w:pPr>
                    <w:widowControl w:val="0"/>
                    <w:jc w:val="center"/>
                    <w:rPr>
                      <w:color w:val="auto"/>
                      <w:szCs w:val="21"/>
                    </w:rPr>
                  </w:pPr>
                  <w:r>
                    <w:rPr>
                      <w:color w:val="auto"/>
                      <w:szCs w:val="21"/>
                    </w:rPr>
                    <w:t>mg/L</w:t>
                  </w:r>
                </w:p>
              </w:tc>
              <w:tc>
                <w:tcPr>
                  <w:tcW w:w="874" w:type="pct"/>
                  <w:vAlign w:val="center"/>
                </w:tcPr>
                <w:p w14:paraId="4E8262F0">
                  <w:pPr>
                    <w:widowControl w:val="0"/>
                    <w:jc w:val="center"/>
                    <w:rPr>
                      <w:color w:val="auto"/>
                      <w:szCs w:val="21"/>
                    </w:rPr>
                  </w:pPr>
                  <w:r>
                    <w:rPr>
                      <w:color w:val="auto"/>
                      <w:szCs w:val="21"/>
                    </w:rPr>
                    <w:t>0.27</w:t>
                  </w:r>
                </w:p>
              </w:tc>
              <w:tc>
                <w:tcPr>
                  <w:tcW w:w="990" w:type="pct"/>
                  <w:vAlign w:val="center"/>
                </w:tcPr>
                <w:p w14:paraId="7B1A79EF">
                  <w:pPr>
                    <w:widowControl w:val="0"/>
                    <w:jc w:val="center"/>
                    <w:rPr>
                      <w:rFonts w:hint="default" w:eastAsia="宋体"/>
                      <w:color w:val="auto"/>
                      <w:szCs w:val="21"/>
                      <w:lang w:val="en-US" w:eastAsia="zh-CN"/>
                    </w:rPr>
                  </w:pPr>
                  <w:r>
                    <w:rPr>
                      <w:rFonts w:hint="eastAsia"/>
                      <w:color w:val="auto"/>
                      <w:szCs w:val="21"/>
                      <w:lang w:val="en-US" w:eastAsia="zh-CN"/>
                    </w:rPr>
                    <w:t>2.0</w:t>
                  </w:r>
                </w:p>
              </w:tc>
            </w:tr>
            <w:tr w14:paraId="4C7E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348C10B0">
                  <w:pPr>
                    <w:widowControl w:val="0"/>
                    <w:jc w:val="center"/>
                    <w:rPr>
                      <w:bCs/>
                      <w:color w:val="auto"/>
                      <w:szCs w:val="21"/>
                    </w:rPr>
                  </w:pPr>
                </w:p>
              </w:tc>
              <w:tc>
                <w:tcPr>
                  <w:tcW w:w="1327" w:type="pct"/>
                  <w:vAlign w:val="center"/>
                </w:tcPr>
                <w:p w14:paraId="7C6902F4">
                  <w:pPr>
                    <w:widowControl w:val="0"/>
                    <w:jc w:val="center"/>
                    <w:rPr>
                      <w:bCs/>
                      <w:color w:val="auto"/>
                      <w:szCs w:val="21"/>
                    </w:rPr>
                  </w:pPr>
                  <w:r>
                    <w:rPr>
                      <w:bCs/>
                      <w:color w:val="auto"/>
                      <w:szCs w:val="21"/>
                    </w:rPr>
                    <w:t>总氮</w:t>
                  </w:r>
                </w:p>
              </w:tc>
              <w:tc>
                <w:tcPr>
                  <w:tcW w:w="525" w:type="pct"/>
                  <w:vAlign w:val="center"/>
                </w:tcPr>
                <w:p w14:paraId="63A354BB">
                  <w:pPr>
                    <w:widowControl w:val="0"/>
                    <w:jc w:val="center"/>
                    <w:rPr>
                      <w:color w:val="auto"/>
                      <w:szCs w:val="21"/>
                    </w:rPr>
                  </w:pPr>
                  <w:r>
                    <w:rPr>
                      <w:color w:val="auto"/>
                      <w:szCs w:val="21"/>
                    </w:rPr>
                    <w:t>mg/L</w:t>
                  </w:r>
                </w:p>
              </w:tc>
              <w:tc>
                <w:tcPr>
                  <w:tcW w:w="874" w:type="pct"/>
                  <w:vAlign w:val="center"/>
                </w:tcPr>
                <w:p w14:paraId="0BF68126">
                  <w:pPr>
                    <w:widowControl w:val="0"/>
                    <w:jc w:val="center"/>
                    <w:rPr>
                      <w:color w:val="auto"/>
                      <w:szCs w:val="21"/>
                    </w:rPr>
                  </w:pPr>
                  <w:r>
                    <w:rPr>
                      <w:color w:val="auto"/>
                      <w:szCs w:val="21"/>
                    </w:rPr>
                    <w:t>2.11</w:t>
                  </w:r>
                </w:p>
              </w:tc>
              <w:tc>
                <w:tcPr>
                  <w:tcW w:w="990" w:type="pct"/>
                  <w:vAlign w:val="center"/>
                </w:tcPr>
                <w:p w14:paraId="0AC541E9">
                  <w:pPr>
                    <w:widowControl w:val="0"/>
                    <w:jc w:val="center"/>
                    <w:rPr>
                      <w:rFonts w:hint="default" w:eastAsia="宋体"/>
                      <w:color w:val="auto"/>
                      <w:szCs w:val="21"/>
                      <w:lang w:val="en-US" w:eastAsia="zh-CN"/>
                    </w:rPr>
                  </w:pPr>
                  <w:r>
                    <w:rPr>
                      <w:rFonts w:hint="eastAsia"/>
                      <w:color w:val="auto"/>
                      <w:szCs w:val="21"/>
                      <w:lang w:val="en-US" w:eastAsia="zh-CN"/>
                    </w:rPr>
                    <w:t>40</w:t>
                  </w:r>
                </w:p>
              </w:tc>
            </w:tr>
            <w:tr w14:paraId="5044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20FCADF4">
                  <w:pPr>
                    <w:widowControl w:val="0"/>
                    <w:jc w:val="center"/>
                    <w:rPr>
                      <w:bCs/>
                      <w:color w:val="auto"/>
                      <w:szCs w:val="21"/>
                    </w:rPr>
                  </w:pPr>
                </w:p>
              </w:tc>
              <w:tc>
                <w:tcPr>
                  <w:tcW w:w="1327" w:type="pct"/>
                  <w:vAlign w:val="center"/>
                </w:tcPr>
                <w:p w14:paraId="18AA35FF">
                  <w:pPr>
                    <w:widowControl w:val="0"/>
                    <w:jc w:val="center"/>
                    <w:rPr>
                      <w:bCs/>
                      <w:color w:val="auto"/>
                      <w:szCs w:val="21"/>
                    </w:rPr>
                  </w:pPr>
                  <w:r>
                    <w:rPr>
                      <w:bCs/>
                      <w:color w:val="auto"/>
                      <w:szCs w:val="21"/>
                    </w:rPr>
                    <w:t>五日生化需氧量</w:t>
                  </w:r>
                </w:p>
              </w:tc>
              <w:tc>
                <w:tcPr>
                  <w:tcW w:w="525" w:type="pct"/>
                  <w:vAlign w:val="center"/>
                </w:tcPr>
                <w:p w14:paraId="54E62EA2">
                  <w:pPr>
                    <w:widowControl w:val="0"/>
                    <w:jc w:val="center"/>
                    <w:rPr>
                      <w:color w:val="auto"/>
                      <w:szCs w:val="21"/>
                    </w:rPr>
                  </w:pPr>
                  <w:r>
                    <w:rPr>
                      <w:color w:val="auto"/>
                      <w:szCs w:val="21"/>
                    </w:rPr>
                    <w:t>mg/L</w:t>
                  </w:r>
                </w:p>
              </w:tc>
              <w:tc>
                <w:tcPr>
                  <w:tcW w:w="874" w:type="pct"/>
                  <w:vAlign w:val="center"/>
                </w:tcPr>
                <w:p w14:paraId="1D97E322">
                  <w:pPr>
                    <w:widowControl w:val="0"/>
                    <w:jc w:val="center"/>
                    <w:rPr>
                      <w:color w:val="auto"/>
                      <w:szCs w:val="21"/>
                    </w:rPr>
                  </w:pPr>
                  <w:r>
                    <w:rPr>
                      <w:color w:val="auto"/>
                      <w:szCs w:val="21"/>
                    </w:rPr>
                    <w:t>17.2</w:t>
                  </w:r>
                </w:p>
              </w:tc>
              <w:tc>
                <w:tcPr>
                  <w:tcW w:w="990" w:type="pct"/>
                  <w:vAlign w:val="center"/>
                </w:tcPr>
                <w:p w14:paraId="66F14081">
                  <w:pPr>
                    <w:widowControl w:val="0"/>
                    <w:jc w:val="center"/>
                    <w:rPr>
                      <w:color w:val="auto"/>
                      <w:szCs w:val="21"/>
                    </w:rPr>
                  </w:pPr>
                  <w:r>
                    <w:rPr>
                      <w:color w:val="auto"/>
                      <w:szCs w:val="21"/>
                    </w:rPr>
                    <w:t>20</w:t>
                  </w:r>
                </w:p>
              </w:tc>
            </w:tr>
            <w:tr w14:paraId="3A89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vAlign w:val="center"/>
                </w:tcPr>
                <w:p w14:paraId="6D3DB6B7">
                  <w:pPr>
                    <w:widowControl w:val="0"/>
                    <w:rPr>
                      <w:color w:val="auto"/>
                      <w:szCs w:val="21"/>
                    </w:rPr>
                  </w:pPr>
                  <w:r>
                    <w:rPr>
                      <w:color w:val="auto"/>
                      <w:szCs w:val="21"/>
                    </w:rPr>
                    <w:t>备注：</w:t>
                  </w:r>
                </w:p>
                <w:p w14:paraId="73977374">
                  <w:pPr>
                    <w:widowControl w:val="0"/>
                    <w:rPr>
                      <w:color w:val="auto"/>
                      <w:szCs w:val="21"/>
                    </w:rPr>
                  </w:pPr>
                  <w:r>
                    <w:rPr>
                      <w:color w:val="auto"/>
                      <w:szCs w:val="21"/>
                    </w:rPr>
                    <w:t>1、本检测结果只对当次采集样品负责。</w:t>
                  </w:r>
                </w:p>
                <w:p w14:paraId="1435156A">
                  <w:pPr>
                    <w:widowControl w:val="0"/>
                    <w:rPr>
                      <w:color w:val="auto"/>
                      <w:szCs w:val="21"/>
                    </w:rPr>
                  </w:pPr>
                  <w:r>
                    <w:rPr>
                      <w:color w:val="auto"/>
                      <w:szCs w:val="21"/>
                    </w:rPr>
                    <w:t>2、环境条件：2026.05.06天气：阴。</w:t>
                  </w:r>
                </w:p>
                <w:p w14:paraId="5383491E">
                  <w:pPr>
                    <w:pStyle w:val="20"/>
                    <w:rPr>
                      <w:color w:val="auto"/>
                      <w:kern w:val="2"/>
                      <w:sz w:val="21"/>
                      <w:szCs w:val="21"/>
                    </w:rPr>
                  </w:pPr>
                  <w:r>
                    <w:rPr>
                      <w:color w:val="auto"/>
                      <w:kern w:val="2"/>
                      <w:sz w:val="21"/>
                      <w:szCs w:val="21"/>
                    </w:rPr>
                    <w:t>3、</w:t>
                  </w:r>
                  <w:r>
                    <w:rPr>
                      <w:bCs/>
                      <w:color w:val="auto"/>
                      <w:sz w:val="21"/>
                      <w:szCs w:val="21"/>
                    </w:rPr>
                    <w:t>污水处理设施出水口</w:t>
                  </w:r>
                  <w:r>
                    <w:rPr>
                      <w:color w:val="auto"/>
                      <w:kern w:val="2"/>
                      <w:sz w:val="21"/>
                      <w:szCs w:val="21"/>
                    </w:rPr>
                    <w:t>样品状态均为：无色、无浮油、无气味；</w:t>
                  </w:r>
                  <w:r>
                    <w:rPr>
                      <w:bCs/>
                      <w:color w:val="auto"/>
                      <w:sz w:val="21"/>
                      <w:szCs w:val="21"/>
                    </w:rPr>
                    <w:t>污水处理设施进水口</w:t>
                  </w:r>
                  <w:r>
                    <w:rPr>
                      <w:color w:val="auto"/>
                      <w:kern w:val="2"/>
                      <w:sz w:val="21"/>
                      <w:szCs w:val="21"/>
                    </w:rPr>
                    <w:t>样品状态均为：</w:t>
                  </w:r>
                  <w:r>
                    <w:rPr>
                      <w:color w:val="auto"/>
                      <w:sz w:val="21"/>
                      <w:szCs w:val="21"/>
                    </w:rPr>
                    <w:t>浅蓝色、</w:t>
                  </w:r>
                  <w:r>
                    <w:rPr>
                      <w:rFonts w:hint="eastAsia"/>
                      <w:color w:val="auto"/>
                      <w:sz w:val="21"/>
                      <w:szCs w:val="21"/>
                    </w:rPr>
                    <w:t>无味</w:t>
                  </w:r>
                  <w:r>
                    <w:rPr>
                      <w:color w:val="auto"/>
                      <w:sz w:val="21"/>
                      <w:szCs w:val="21"/>
                    </w:rPr>
                    <w:t>、无浮油</w:t>
                  </w:r>
                  <w:r>
                    <w:rPr>
                      <w:color w:val="auto"/>
                      <w:kern w:val="2"/>
                      <w:sz w:val="21"/>
                      <w:szCs w:val="21"/>
                    </w:rPr>
                    <w:t>。</w:t>
                  </w:r>
                </w:p>
                <w:p w14:paraId="6E038C52">
                  <w:pPr>
                    <w:pStyle w:val="20"/>
                    <w:rPr>
                      <w:rFonts w:hint="default" w:eastAsia="宋体"/>
                      <w:color w:val="auto"/>
                      <w:kern w:val="2"/>
                      <w:sz w:val="21"/>
                      <w:szCs w:val="21"/>
                      <w:lang w:val="en-US" w:eastAsia="zh-CN"/>
                    </w:rPr>
                  </w:pPr>
                  <w:r>
                    <w:rPr>
                      <w:rFonts w:hint="eastAsia"/>
                      <w:color w:val="auto"/>
                      <w:kern w:val="2"/>
                      <w:sz w:val="21"/>
                      <w:szCs w:val="21"/>
                      <w:lang w:val="en-US" w:eastAsia="zh-CN"/>
                    </w:rPr>
                    <w:t>4、“ND”表示该项目检测结果低于使用方法的检出限。</w:t>
                  </w:r>
                </w:p>
                <w:p w14:paraId="6E98D3EB">
                  <w:pPr>
                    <w:widowControl w:val="0"/>
                    <w:rPr>
                      <w:color w:val="auto"/>
                      <w:szCs w:val="21"/>
                    </w:rPr>
                  </w:pPr>
                  <w:r>
                    <w:rPr>
                      <w:rFonts w:hint="eastAsia"/>
                      <w:color w:val="auto"/>
                      <w:szCs w:val="21"/>
                      <w:lang w:val="en-US" w:eastAsia="zh-CN"/>
                    </w:rPr>
                    <w:t>5</w:t>
                  </w:r>
                  <w:r>
                    <w:rPr>
                      <w:color w:val="auto"/>
                      <w:szCs w:val="21"/>
                    </w:rPr>
                    <w:t>、执行</w:t>
                  </w:r>
                  <w:r>
                    <w:rPr>
                      <w:rFonts w:ascii="Times New Roman" w:hAnsi="Times New Roman" w:eastAsia="宋体" w:cs="Times New Roman"/>
                      <w:color w:val="auto"/>
                      <w:sz w:val="21"/>
                      <w:szCs w:val="21"/>
                    </w:rPr>
                    <w:t>《水污染物排放限值》DB44/26-2001第二时段一级排放标准</w:t>
                  </w:r>
                  <w:r>
                    <w:rPr>
                      <w:rFonts w:hint="eastAsia" w:ascii="Times New Roman" w:hAnsi="Times New Roman" w:eastAsia="宋体" w:cs="Times New Roman"/>
                      <w:color w:val="auto"/>
                      <w:sz w:val="21"/>
                      <w:szCs w:val="21"/>
                      <w:lang w:val="en-US" w:eastAsia="zh-CN"/>
                    </w:rPr>
                    <w:t>和广东省地方标准《电镀水污染物排放标准》（DB/441597-2015）表2新建项目非珠三角水污染物排放限值（其中化学需氧量、悬浮物、氨氮、总磷、总氮、总铝等六项指标按照表</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非珠三角排放限值的</w:t>
                  </w:r>
                  <w:r>
                    <w:rPr>
                      <w:rFonts w:hint="default" w:ascii="Times New Roman" w:hAnsi="Times New Roman" w:eastAsia="宋体" w:cs="Times New Roman"/>
                      <w:color w:val="auto"/>
                      <w:sz w:val="21"/>
                      <w:szCs w:val="21"/>
                      <w:lang w:val="en-US" w:eastAsia="zh-CN"/>
                    </w:rPr>
                    <w:t>200%</w:t>
                  </w:r>
                  <w:r>
                    <w:rPr>
                      <w:rFonts w:hint="eastAsia" w:ascii="Times New Roman" w:hAnsi="Times New Roman" w:eastAsia="宋体" w:cs="Times New Roman"/>
                      <w:color w:val="auto"/>
                      <w:sz w:val="21"/>
                      <w:szCs w:val="21"/>
                      <w:lang w:val="en-US" w:eastAsia="zh-CN"/>
                    </w:rPr>
                    <w:t>执行）两者较严值</w:t>
                  </w:r>
                  <w:r>
                    <w:rPr>
                      <w:color w:val="auto"/>
                      <w:szCs w:val="21"/>
                    </w:rPr>
                    <w:t>。</w:t>
                  </w:r>
                </w:p>
                <w:p w14:paraId="0276B5C9">
                  <w:pPr>
                    <w:widowControl w:val="0"/>
                    <w:rPr>
                      <w:rFonts w:hint="default" w:eastAsia="宋体"/>
                      <w:color w:val="auto"/>
                      <w:szCs w:val="21"/>
                      <w:lang w:val="en-US" w:eastAsia="zh-CN"/>
                    </w:rPr>
                  </w:pPr>
                  <w:r>
                    <w:rPr>
                      <w:rFonts w:hint="eastAsia"/>
                      <w:color w:val="auto"/>
                      <w:szCs w:val="21"/>
                      <w:lang w:val="en-US" w:eastAsia="zh-CN"/>
                    </w:rPr>
                    <w:t>6</w:t>
                  </w:r>
                  <w:r>
                    <w:rPr>
                      <w:color w:val="auto"/>
                      <w:szCs w:val="21"/>
                    </w:rPr>
                    <w:t>、“/”表示标准限值没有要求，标准限值由客户提供。</w:t>
                  </w:r>
                </w:p>
              </w:tc>
            </w:tr>
          </w:tbl>
          <w:p w14:paraId="5B220DAC">
            <w:pPr>
              <w:adjustRightInd w:val="0"/>
              <w:snapToGrid w:val="0"/>
              <w:spacing w:line="240" w:lineRule="auto"/>
              <w:jc w:val="center"/>
              <w:rPr>
                <w:rFonts w:hint="eastAsia" w:hAnsi="宋体"/>
                <w:b/>
                <w:bCs/>
                <w:color w:val="auto"/>
                <w:szCs w:val="21"/>
              </w:rPr>
            </w:pPr>
            <w:r>
              <w:rPr>
                <w:rFonts w:hint="eastAsia" w:hAnsi="宋体"/>
                <w:b/>
                <w:bCs/>
                <w:color w:val="auto"/>
                <w:szCs w:val="21"/>
              </w:rPr>
              <w:t>表2-</w:t>
            </w:r>
            <w:r>
              <w:rPr>
                <w:rFonts w:hint="eastAsia" w:hAnsi="宋体"/>
                <w:b/>
                <w:bCs/>
                <w:color w:val="auto"/>
                <w:szCs w:val="21"/>
                <w:lang w:val="en-US" w:eastAsia="zh-CN"/>
              </w:rPr>
              <w:t>24</w:t>
            </w:r>
            <w:r>
              <w:rPr>
                <w:rFonts w:hint="eastAsia" w:hAnsi="宋体"/>
                <w:b/>
                <w:bCs/>
                <w:color w:val="auto"/>
                <w:szCs w:val="21"/>
              </w:rPr>
              <w:t>现有项目生活污水检测结果一览表</w:t>
            </w:r>
            <w:r>
              <w:rPr>
                <w:rFonts w:hint="eastAsia" w:hAnsi="宋体"/>
                <w:b/>
                <w:bCs/>
                <w:color w:val="auto"/>
                <w:szCs w:val="21"/>
                <w:lang w:eastAsia="zh-CN"/>
              </w:rPr>
              <w:t>（</w:t>
            </w:r>
            <w:r>
              <w:rPr>
                <w:rFonts w:hint="eastAsia" w:hAnsi="宋体"/>
                <w:b/>
                <w:bCs/>
                <w:color w:val="auto"/>
                <w:szCs w:val="21"/>
                <w:lang w:val="en-US" w:eastAsia="zh-CN"/>
              </w:rPr>
              <w:t>2026年5月6日</w:t>
            </w:r>
            <w:r>
              <w:rPr>
                <w:rFonts w:hint="eastAsia" w:hAnsi="宋体"/>
                <w:b/>
                <w:bCs/>
                <w:color w:val="auto"/>
                <w:szCs w:val="21"/>
                <w:lang w:eastAsia="zh-CN"/>
              </w:rPr>
              <w:t>）</w:t>
            </w:r>
          </w:p>
          <w:tbl>
            <w:tblPr>
              <w:tblStyle w:val="4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1"/>
              <w:gridCol w:w="2456"/>
              <w:gridCol w:w="975"/>
              <w:gridCol w:w="1620"/>
              <w:gridCol w:w="1825"/>
            </w:tblGrid>
            <w:tr w14:paraId="48F49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Align w:val="center"/>
                </w:tcPr>
                <w:p w14:paraId="4473756C">
                  <w:pPr>
                    <w:widowControl w:val="0"/>
                    <w:spacing w:line="240" w:lineRule="auto"/>
                    <w:jc w:val="center"/>
                    <w:rPr>
                      <w:b/>
                      <w:bCs/>
                      <w:color w:val="auto"/>
                      <w:szCs w:val="21"/>
                    </w:rPr>
                  </w:pPr>
                  <w:r>
                    <w:rPr>
                      <w:b/>
                      <w:bCs/>
                      <w:color w:val="auto"/>
                      <w:szCs w:val="21"/>
                    </w:rPr>
                    <w:t>检测点位名称</w:t>
                  </w:r>
                </w:p>
              </w:tc>
              <w:tc>
                <w:tcPr>
                  <w:tcW w:w="1328" w:type="pct"/>
                  <w:vAlign w:val="center"/>
                </w:tcPr>
                <w:p w14:paraId="1C6C8654">
                  <w:pPr>
                    <w:widowControl w:val="0"/>
                    <w:spacing w:line="240" w:lineRule="auto"/>
                    <w:jc w:val="center"/>
                    <w:rPr>
                      <w:b/>
                      <w:bCs/>
                      <w:color w:val="auto"/>
                      <w:szCs w:val="21"/>
                    </w:rPr>
                  </w:pPr>
                  <w:r>
                    <w:rPr>
                      <w:b/>
                      <w:bCs/>
                      <w:color w:val="auto"/>
                      <w:szCs w:val="21"/>
                    </w:rPr>
                    <w:t>检测项目</w:t>
                  </w:r>
                </w:p>
              </w:tc>
              <w:tc>
                <w:tcPr>
                  <w:tcW w:w="527" w:type="pct"/>
                  <w:vAlign w:val="center"/>
                </w:tcPr>
                <w:p w14:paraId="0A6A130B">
                  <w:pPr>
                    <w:widowControl w:val="0"/>
                    <w:spacing w:line="240" w:lineRule="auto"/>
                    <w:jc w:val="center"/>
                    <w:rPr>
                      <w:b/>
                      <w:bCs/>
                      <w:color w:val="auto"/>
                      <w:szCs w:val="21"/>
                    </w:rPr>
                  </w:pPr>
                  <w:r>
                    <w:rPr>
                      <w:b/>
                      <w:bCs/>
                      <w:color w:val="auto"/>
                      <w:szCs w:val="21"/>
                    </w:rPr>
                    <w:t>单位</w:t>
                  </w:r>
                </w:p>
              </w:tc>
              <w:tc>
                <w:tcPr>
                  <w:tcW w:w="876" w:type="pct"/>
                  <w:vAlign w:val="center"/>
                </w:tcPr>
                <w:p w14:paraId="22694E43">
                  <w:pPr>
                    <w:widowControl w:val="0"/>
                    <w:spacing w:line="240" w:lineRule="auto"/>
                    <w:jc w:val="center"/>
                    <w:rPr>
                      <w:b/>
                      <w:bCs/>
                      <w:color w:val="auto"/>
                      <w:szCs w:val="21"/>
                    </w:rPr>
                  </w:pPr>
                  <w:r>
                    <w:rPr>
                      <w:b/>
                      <w:bCs/>
                      <w:color w:val="auto"/>
                      <w:szCs w:val="21"/>
                    </w:rPr>
                    <w:t>检测结果</w:t>
                  </w:r>
                </w:p>
              </w:tc>
              <w:tc>
                <w:tcPr>
                  <w:tcW w:w="986" w:type="pct"/>
                  <w:vAlign w:val="center"/>
                </w:tcPr>
                <w:p w14:paraId="3CEC1BD5">
                  <w:pPr>
                    <w:widowControl w:val="0"/>
                    <w:spacing w:line="240" w:lineRule="auto"/>
                    <w:jc w:val="center"/>
                    <w:rPr>
                      <w:b/>
                      <w:bCs/>
                      <w:color w:val="auto"/>
                      <w:szCs w:val="21"/>
                    </w:rPr>
                  </w:pPr>
                  <w:r>
                    <w:rPr>
                      <w:b/>
                      <w:bCs/>
                      <w:color w:val="auto"/>
                      <w:szCs w:val="21"/>
                    </w:rPr>
                    <w:t>参考限值</w:t>
                  </w:r>
                </w:p>
              </w:tc>
            </w:tr>
            <w:tr w14:paraId="660B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restart"/>
                  <w:vAlign w:val="center"/>
                </w:tcPr>
                <w:p w14:paraId="6B2EAB45">
                  <w:pPr>
                    <w:widowControl w:val="0"/>
                    <w:spacing w:line="240" w:lineRule="auto"/>
                    <w:jc w:val="center"/>
                    <w:rPr>
                      <w:bCs/>
                      <w:color w:val="auto"/>
                      <w:szCs w:val="21"/>
                    </w:rPr>
                  </w:pPr>
                  <w:r>
                    <w:rPr>
                      <w:bCs/>
                      <w:color w:val="auto"/>
                      <w:szCs w:val="21"/>
                    </w:rPr>
                    <w:t>厂区污水总排放口</w:t>
                  </w:r>
                </w:p>
              </w:tc>
              <w:tc>
                <w:tcPr>
                  <w:tcW w:w="1328" w:type="pct"/>
                  <w:vAlign w:val="center"/>
                </w:tcPr>
                <w:p w14:paraId="786D6C60">
                  <w:pPr>
                    <w:widowControl w:val="0"/>
                    <w:spacing w:line="240" w:lineRule="auto"/>
                    <w:jc w:val="center"/>
                    <w:rPr>
                      <w:color w:val="auto"/>
                      <w:szCs w:val="21"/>
                    </w:rPr>
                  </w:pPr>
                  <w:r>
                    <w:rPr>
                      <w:bCs/>
                      <w:color w:val="auto"/>
                      <w:szCs w:val="21"/>
                    </w:rPr>
                    <w:t>pH值</w:t>
                  </w:r>
                </w:p>
              </w:tc>
              <w:tc>
                <w:tcPr>
                  <w:tcW w:w="527" w:type="pct"/>
                  <w:vAlign w:val="center"/>
                </w:tcPr>
                <w:p w14:paraId="18E397E3">
                  <w:pPr>
                    <w:widowControl w:val="0"/>
                    <w:spacing w:line="240" w:lineRule="auto"/>
                    <w:jc w:val="center"/>
                    <w:rPr>
                      <w:color w:val="auto"/>
                      <w:szCs w:val="21"/>
                    </w:rPr>
                  </w:pPr>
                  <w:r>
                    <w:rPr>
                      <w:color w:val="auto"/>
                      <w:szCs w:val="21"/>
                    </w:rPr>
                    <w:t>无量纲</w:t>
                  </w:r>
                </w:p>
              </w:tc>
              <w:tc>
                <w:tcPr>
                  <w:tcW w:w="876" w:type="pct"/>
                  <w:vAlign w:val="center"/>
                </w:tcPr>
                <w:p w14:paraId="6E46A06D">
                  <w:pPr>
                    <w:widowControl w:val="0"/>
                    <w:spacing w:line="240" w:lineRule="auto"/>
                    <w:jc w:val="center"/>
                    <w:rPr>
                      <w:color w:val="auto"/>
                      <w:szCs w:val="21"/>
                    </w:rPr>
                  </w:pPr>
                  <w:r>
                    <w:rPr>
                      <w:color w:val="auto"/>
                      <w:szCs w:val="21"/>
                    </w:rPr>
                    <w:t>7.1</w:t>
                  </w:r>
                </w:p>
              </w:tc>
              <w:tc>
                <w:tcPr>
                  <w:tcW w:w="1680" w:type="dxa"/>
                  <w:vAlign w:val="center"/>
                </w:tcPr>
                <w:p w14:paraId="268561F2">
                  <w:pPr>
                    <w:widowControl w:val="0"/>
                    <w:spacing w:line="240" w:lineRule="auto"/>
                    <w:jc w:val="center"/>
                    <w:rPr>
                      <w:color w:val="auto"/>
                      <w:szCs w:val="21"/>
                    </w:rPr>
                  </w:pPr>
                  <w:r>
                    <w:rPr>
                      <w:color w:val="auto"/>
                      <w:szCs w:val="21"/>
                    </w:rPr>
                    <w:t>6~9</w:t>
                  </w:r>
                </w:p>
              </w:tc>
            </w:tr>
            <w:tr w14:paraId="3264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5AAB868C">
                  <w:pPr>
                    <w:widowControl w:val="0"/>
                    <w:spacing w:line="240" w:lineRule="auto"/>
                    <w:jc w:val="center"/>
                    <w:rPr>
                      <w:bCs/>
                      <w:color w:val="auto"/>
                      <w:szCs w:val="21"/>
                    </w:rPr>
                  </w:pPr>
                </w:p>
              </w:tc>
              <w:tc>
                <w:tcPr>
                  <w:tcW w:w="1328" w:type="pct"/>
                  <w:vAlign w:val="center"/>
                </w:tcPr>
                <w:p w14:paraId="01557EA8">
                  <w:pPr>
                    <w:widowControl w:val="0"/>
                    <w:spacing w:line="240" w:lineRule="auto"/>
                    <w:jc w:val="center"/>
                    <w:rPr>
                      <w:bCs/>
                      <w:color w:val="auto"/>
                      <w:szCs w:val="21"/>
                    </w:rPr>
                  </w:pPr>
                  <w:r>
                    <w:rPr>
                      <w:bCs/>
                      <w:color w:val="auto"/>
                      <w:szCs w:val="21"/>
                    </w:rPr>
                    <w:t>化学需氧量</w:t>
                  </w:r>
                </w:p>
              </w:tc>
              <w:tc>
                <w:tcPr>
                  <w:tcW w:w="527" w:type="pct"/>
                  <w:vAlign w:val="center"/>
                </w:tcPr>
                <w:p w14:paraId="47E8A5AF">
                  <w:pPr>
                    <w:widowControl w:val="0"/>
                    <w:spacing w:line="240" w:lineRule="auto"/>
                    <w:jc w:val="center"/>
                    <w:rPr>
                      <w:color w:val="auto"/>
                      <w:szCs w:val="21"/>
                    </w:rPr>
                  </w:pPr>
                  <w:r>
                    <w:rPr>
                      <w:color w:val="auto"/>
                      <w:szCs w:val="21"/>
                    </w:rPr>
                    <w:t>mg/L</w:t>
                  </w:r>
                </w:p>
              </w:tc>
              <w:tc>
                <w:tcPr>
                  <w:tcW w:w="876" w:type="pct"/>
                  <w:vAlign w:val="center"/>
                </w:tcPr>
                <w:p w14:paraId="4328FC53">
                  <w:pPr>
                    <w:widowControl w:val="0"/>
                    <w:spacing w:line="240" w:lineRule="auto"/>
                    <w:jc w:val="center"/>
                    <w:rPr>
                      <w:color w:val="auto"/>
                      <w:szCs w:val="21"/>
                    </w:rPr>
                  </w:pPr>
                  <w:r>
                    <w:rPr>
                      <w:color w:val="auto"/>
                      <w:szCs w:val="21"/>
                    </w:rPr>
                    <w:t>236</w:t>
                  </w:r>
                </w:p>
              </w:tc>
              <w:tc>
                <w:tcPr>
                  <w:tcW w:w="1680" w:type="dxa"/>
                  <w:vAlign w:val="center"/>
                </w:tcPr>
                <w:p w14:paraId="1664C19D">
                  <w:pPr>
                    <w:widowControl w:val="0"/>
                    <w:spacing w:line="240" w:lineRule="auto"/>
                    <w:jc w:val="center"/>
                    <w:rPr>
                      <w:color w:val="auto"/>
                      <w:szCs w:val="21"/>
                    </w:rPr>
                  </w:pPr>
                  <w:r>
                    <w:rPr>
                      <w:color w:val="auto"/>
                      <w:szCs w:val="21"/>
                    </w:rPr>
                    <w:t>500</w:t>
                  </w:r>
                </w:p>
              </w:tc>
            </w:tr>
            <w:tr w14:paraId="3A9D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50AE950B">
                  <w:pPr>
                    <w:widowControl w:val="0"/>
                    <w:spacing w:line="240" w:lineRule="auto"/>
                    <w:jc w:val="center"/>
                    <w:rPr>
                      <w:bCs/>
                      <w:color w:val="auto"/>
                      <w:szCs w:val="21"/>
                    </w:rPr>
                  </w:pPr>
                </w:p>
              </w:tc>
              <w:tc>
                <w:tcPr>
                  <w:tcW w:w="1328" w:type="pct"/>
                  <w:vAlign w:val="center"/>
                </w:tcPr>
                <w:p w14:paraId="5498A268">
                  <w:pPr>
                    <w:widowControl w:val="0"/>
                    <w:spacing w:line="240" w:lineRule="auto"/>
                    <w:jc w:val="center"/>
                    <w:rPr>
                      <w:bCs/>
                      <w:color w:val="auto"/>
                      <w:szCs w:val="21"/>
                    </w:rPr>
                  </w:pPr>
                  <w:r>
                    <w:rPr>
                      <w:bCs/>
                      <w:color w:val="auto"/>
                      <w:szCs w:val="21"/>
                    </w:rPr>
                    <w:t>动植物油</w:t>
                  </w:r>
                </w:p>
              </w:tc>
              <w:tc>
                <w:tcPr>
                  <w:tcW w:w="527" w:type="pct"/>
                  <w:vAlign w:val="center"/>
                </w:tcPr>
                <w:p w14:paraId="7E9B60B2">
                  <w:pPr>
                    <w:widowControl w:val="0"/>
                    <w:spacing w:line="240" w:lineRule="auto"/>
                    <w:jc w:val="center"/>
                    <w:rPr>
                      <w:color w:val="auto"/>
                      <w:szCs w:val="21"/>
                    </w:rPr>
                  </w:pPr>
                  <w:r>
                    <w:rPr>
                      <w:color w:val="auto"/>
                      <w:szCs w:val="21"/>
                    </w:rPr>
                    <w:t>mg/L</w:t>
                  </w:r>
                </w:p>
              </w:tc>
              <w:tc>
                <w:tcPr>
                  <w:tcW w:w="876" w:type="pct"/>
                  <w:vAlign w:val="center"/>
                </w:tcPr>
                <w:p w14:paraId="29D9829A">
                  <w:pPr>
                    <w:widowControl w:val="0"/>
                    <w:spacing w:line="240" w:lineRule="auto"/>
                    <w:jc w:val="center"/>
                    <w:rPr>
                      <w:color w:val="auto"/>
                      <w:szCs w:val="21"/>
                    </w:rPr>
                  </w:pPr>
                  <w:r>
                    <w:rPr>
                      <w:color w:val="auto"/>
                      <w:szCs w:val="21"/>
                    </w:rPr>
                    <w:t>0.43</w:t>
                  </w:r>
                </w:p>
              </w:tc>
              <w:tc>
                <w:tcPr>
                  <w:tcW w:w="1680" w:type="dxa"/>
                  <w:vAlign w:val="center"/>
                </w:tcPr>
                <w:p w14:paraId="18742431">
                  <w:pPr>
                    <w:widowControl w:val="0"/>
                    <w:spacing w:line="240" w:lineRule="auto"/>
                    <w:jc w:val="center"/>
                    <w:rPr>
                      <w:color w:val="auto"/>
                      <w:szCs w:val="21"/>
                    </w:rPr>
                  </w:pPr>
                  <w:r>
                    <w:rPr>
                      <w:color w:val="auto"/>
                      <w:szCs w:val="21"/>
                    </w:rPr>
                    <w:t>100</w:t>
                  </w:r>
                </w:p>
              </w:tc>
            </w:tr>
            <w:tr w14:paraId="364E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392A53F0">
                  <w:pPr>
                    <w:widowControl w:val="0"/>
                    <w:spacing w:line="240" w:lineRule="auto"/>
                    <w:jc w:val="center"/>
                    <w:rPr>
                      <w:bCs/>
                      <w:color w:val="auto"/>
                      <w:szCs w:val="21"/>
                    </w:rPr>
                  </w:pPr>
                </w:p>
              </w:tc>
              <w:tc>
                <w:tcPr>
                  <w:tcW w:w="1328" w:type="pct"/>
                  <w:vAlign w:val="center"/>
                </w:tcPr>
                <w:p w14:paraId="27E300CC">
                  <w:pPr>
                    <w:widowControl w:val="0"/>
                    <w:spacing w:line="240" w:lineRule="auto"/>
                    <w:jc w:val="center"/>
                    <w:rPr>
                      <w:bCs/>
                      <w:color w:val="auto"/>
                      <w:szCs w:val="21"/>
                    </w:rPr>
                  </w:pPr>
                  <w:r>
                    <w:rPr>
                      <w:bCs/>
                      <w:color w:val="auto"/>
                      <w:szCs w:val="21"/>
                    </w:rPr>
                    <w:t>悬浮物</w:t>
                  </w:r>
                </w:p>
              </w:tc>
              <w:tc>
                <w:tcPr>
                  <w:tcW w:w="527" w:type="pct"/>
                  <w:vAlign w:val="center"/>
                </w:tcPr>
                <w:p w14:paraId="4AA24715">
                  <w:pPr>
                    <w:widowControl w:val="0"/>
                    <w:spacing w:line="240" w:lineRule="auto"/>
                    <w:jc w:val="center"/>
                    <w:rPr>
                      <w:color w:val="auto"/>
                      <w:szCs w:val="21"/>
                    </w:rPr>
                  </w:pPr>
                  <w:r>
                    <w:rPr>
                      <w:color w:val="auto"/>
                      <w:szCs w:val="21"/>
                    </w:rPr>
                    <w:t>mg/L</w:t>
                  </w:r>
                </w:p>
              </w:tc>
              <w:tc>
                <w:tcPr>
                  <w:tcW w:w="876" w:type="pct"/>
                  <w:vAlign w:val="center"/>
                </w:tcPr>
                <w:p w14:paraId="4E8DDA94">
                  <w:pPr>
                    <w:widowControl w:val="0"/>
                    <w:spacing w:line="240" w:lineRule="auto"/>
                    <w:jc w:val="center"/>
                    <w:rPr>
                      <w:color w:val="auto"/>
                      <w:szCs w:val="21"/>
                    </w:rPr>
                  </w:pPr>
                  <w:r>
                    <w:rPr>
                      <w:color w:val="auto"/>
                      <w:szCs w:val="21"/>
                    </w:rPr>
                    <w:t>152</w:t>
                  </w:r>
                </w:p>
              </w:tc>
              <w:tc>
                <w:tcPr>
                  <w:tcW w:w="1680" w:type="dxa"/>
                  <w:vAlign w:val="center"/>
                </w:tcPr>
                <w:p w14:paraId="33073376">
                  <w:pPr>
                    <w:widowControl w:val="0"/>
                    <w:spacing w:line="240" w:lineRule="auto"/>
                    <w:jc w:val="center"/>
                    <w:rPr>
                      <w:color w:val="auto"/>
                      <w:szCs w:val="21"/>
                    </w:rPr>
                  </w:pPr>
                  <w:r>
                    <w:rPr>
                      <w:color w:val="auto"/>
                      <w:szCs w:val="21"/>
                    </w:rPr>
                    <w:t>400</w:t>
                  </w:r>
                </w:p>
              </w:tc>
            </w:tr>
            <w:tr w14:paraId="6061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6B1F4B89">
                  <w:pPr>
                    <w:widowControl w:val="0"/>
                    <w:spacing w:line="240" w:lineRule="auto"/>
                    <w:jc w:val="center"/>
                    <w:rPr>
                      <w:bCs/>
                      <w:color w:val="auto"/>
                      <w:szCs w:val="21"/>
                    </w:rPr>
                  </w:pPr>
                </w:p>
              </w:tc>
              <w:tc>
                <w:tcPr>
                  <w:tcW w:w="1328" w:type="pct"/>
                  <w:vAlign w:val="center"/>
                </w:tcPr>
                <w:p w14:paraId="2AA1C301">
                  <w:pPr>
                    <w:widowControl w:val="0"/>
                    <w:spacing w:line="240" w:lineRule="auto"/>
                    <w:jc w:val="center"/>
                    <w:rPr>
                      <w:bCs/>
                      <w:color w:val="auto"/>
                      <w:szCs w:val="21"/>
                    </w:rPr>
                  </w:pPr>
                  <w:r>
                    <w:rPr>
                      <w:bCs/>
                      <w:color w:val="auto"/>
                      <w:szCs w:val="21"/>
                    </w:rPr>
                    <w:t>氨氮</w:t>
                  </w:r>
                </w:p>
              </w:tc>
              <w:tc>
                <w:tcPr>
                  <w:tcW w:w="527" w:type="pct"/>
                  <w:vAlign w:val="center"/>
                </w:tcPr>
                <w:p w14:paraId="1AC2B723">
                  <w:pPr>
                    <w:widowControl w:val="0"/>
                    <w:spacing w:line="240" w:lineRule="auto"/>
                    <w:jc w:val="center"/>
                    <w:rPr>
                      <w:color w:val="auto"/>
                      <w:szCs w:val="21"/>
                    </w:rPr>
                  </w:pPr>
                  <w:r>
                    <w:rPr>
                      <w:color w:val="auto"/>
                      <w:szCs w:val="21"/>
                    </w:rPr>
                    <w:t>mg/L</w:t>
                  </w:r>
                </w:p>
              </w:tc>
              <w:tc>
                <w:tcPr>
                  <w:tcW w:w="876" w:type="pct"/>
                  <w:vAlign w:val="center"/>
                </w:tcPr>
                <w:p w14:paraId="3AF86EEA">
                  <w:pPr>
                    <w:widowControl w:val="0"/>
                    <w:spacing w:line="240" w:lineRule="auto"/>
                    <w:jc w:val="center"/>
                    <w:rPr>
                      <w:color w:val="auto"/>
                      <w:szCs w:val="21"/>
                    </w:rPr>
                  </w:pPr>
                  <w:r>
                    <w:rPr>
                      <w:color w:val="auto"/>
                      <w:szCs w:val="21"/>
                    </w:rPr>
                    <w:t>1.62</w:t>
                  </w:r>
                </w:p>
              </w:tc>
              <w:tc>
                <w:tcPr>
                  <w:tcW w:w="1680" w:type="dxa"/>
                  <w:vAlign w:val="center"/>
                </w:tcPr>
                <w:p w14:paraId="67C3DF7F">
                  <w:pPr>
                    <w:widowControl w:val="0"/>
                    <w:spacing w:line="240" w:lineRule="auto"/>
                    <w:jc w:val="center"/>
                    <w:rPr>
                      <w:color w:val="auto"/>
                      <w:szCs w:val="21"/>
                    </w:rPr>
                  </w:pPr>
                  <w:r>
                    <w:rPr>
                      <w:color w:val="auto"/>
                      <w:szCs w:val="21"/>
                    </w:rPr>
                    <w:t>/</w:t>
                  </w:r>
                </w:p>
              </w:tc>
            </w:tr>
            <w:tr w14:paraId="35CA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2993DA39">
                  <w:pPr>
                    <w:widowControl w:val="0"/>
                    <w:spacing w:line="240" w:lineRule="auto"/>
                    <w:jc w:val="center"/>
                    <w:rPr>
                      <w:bCs/>
                      <w:color w:val="auto"/>
                      <w:szCs w:val="21"/>
                    </w:rPr>
                  </w:pPr>
                </w:p>
              </w:tc>
              <w:tc>
                <w:tcPr>
                  <w:tcW w:w="1328" w:type="pct"/>
                  <w:vAlign w:val="center"/>
                </w:tcPr>
                <w:p w14:paraId="28278431">
                  <w:pPr>
                    <w:widowControl w:val="0"/>
                    <w:spacing w:line="240" w:lineRule="auto"/>
                    <w:jc w:val="center"/>
                    <w:rPr>
                      <w:bCs/>
                      <w:color w:val="auto"/>
                      <w:szCs w:val="21"/>
                    </w:rPr>
                  </w:pPr>
                  <w:r>
                    <w:rPr>
                      <w:bCs/>
                      <w:color w:val="auto"/>
                      <w:szCs w:val="21"/>
                    </w:rPr>
                    <w:t>总磷</w:t>
                  </w:r>
                </w:p>
              </w:tc>
              <w:tc>
                <w:tcPr>
                  <w:tcW w:w="527" w:type="pct"/>
                  <w:vAlign w:val="center"/>
                </w:tcPr>
                <w:p w14:paraId="0F070A38">
                  <w:pPr>
                    <w:widowControl w:val="0"/>
                    <w:spacing w:line="240" w:lineRule="auto"/>
                    <w:jc w:val="center"/>
                    <w:rPr>
                      <w:color w:val="auto"/>
                      <w:szCs w:val="21"/>
                    </w:rPr>
                  </w:pPr>
                  <w:r>
                    <w:rPr>
                      <w:color w:val="auto"/>
                      <w:szCs w:val="21"/>
                    </w:rPr>
                    <w:t>mg/L</w:t>
                  </w:r>
                </w:p>
              </w:tc>
              <w:tc>
                <w:tcPr>
                  <w:tcW w:w="876" w:type="pct"/>
                  <w:vAlign w:val="center"/>
                </w:tcPr>
                <w:p w14:paraId="1C1FC596">
                  <w:pPr>
                    <w:widowControl w:val="0"/>
                    <w:spacing w:line="240" w:lineRule="auto"/>
                    <w:jc w:val="center"/>
                    <w:rPr>
                      <w:color w:val="auto"/>
                      <w:szCs w:val="21"/>
                    </w:rPr>
                  </w:pPr>
                  <w:r>
                    <w:rPr>
                      <w:color w:val="auto"/>
                      <w:szCs w:val="21"/>
                    </w:rPr>
                    <w:t>0.39</w:t>
                  </w:r>
                </w:p>
              </w:tc>
              <w:tc>
                <w:tcPr>
                  <w:tcW w:w="1680" w:type="dxa"/>
                  <w:vAlign w:val="center"/>
                </w:tcPr>
                <w:p w14:paraId="09EBCAA9">
                  <w:pPr>
                    <w:widowControl w:val="0"/>
                    <w:spacing w:line="240" w:lineRule="auto"/>
                    <w:jc w:val="center"/>
                    <w:rPr>
                      <w:color w:val="auto"/>
                      <w:szCs w:val="21"/>
                    </w:rPr>
                  </w:pPr>
                  <w:r>
                    <w:rPr>
                      <w:color w:val="auto"/>
                      <w:szCs w:val="21"/>
                    </w:rPr>
                    <w:t>/</w:t>
                  </w:r>
                </w:p>
              </w:tc>
            </w:tr>
            <w:tr w14:paraId="5BC2B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31DB1C8A">
                  <w:pPr>
                    <w:widowControl w:val="0"/>
                    <w:spacing w:line="240" w:lineRule="auto"/>
                    <w:jc w:val="center"/>
                    <w:rPr>
                      <w:bCs/>
                      <w:color w:val="auto"/>
                      <w:szCs w:val="21"/>
                    </w:rPr>
                  </w:pPr>
                </w:p>
              </w:tc>
              <w:tc>
                <w:tcPr>
                  <w:tcW w:w="1328" w:type="pct"/>
                  <w:vAlign w:val="center"/>
                </w:tcPr>
                <w:p w14:paraId="3DE29613">
                  <w:pPr>
                    <w:widowControl w:val="0"/>
                    <w:spacing w:line="240" w:lineRule="auto"/>
                    <w:jc w:val="center"/>
                    <w:rPr>
                      <w:bCs/>
                      <w:color w:val="auto"/>
                      <w:szCs w:val="21"/>
                    </w:rPr>
                  </w:pPr>
                  <w:r>
                    <w:rPr>
                      <w:bCs/>
                      <w:color w:val="auto"/>
                      <w:szCs w:val="21"/>
                    </w:rPr>
                    <w:t>总氮</w:t>
                  </w:r>
                </w:p>
              </w:tc>
              <w:tc>
                <w:tcPr>
                  <w:tcW w:w="527" w:type="pct"/>
                  <w:vAlign w:val="center"/>
                </w:tcPr>
                <w:p w14:paraId="38A43CBB">
                  <w:pPr>
                    <w:widowControl w:val="0"/>
                    <w:spacing w:line="240" w:lineRule="auto"/>
                    <w:jc w:val="center"/>
                    <w:rPr>
                      <w:color w:val="auto"/>
                      <w:szCs w:val="21"/>
                    </w:rPr>
                  </w:pPr>
                  <w:r>
                    <w:rPr>
                      <w:color w:val="auto"/>
                      <w:szCs w:val="21"/>
                    </w:rPr>
                    <w:t>mg/L</w:t>
                  </w:r>
                </w:p>
              </w:tc>
              <w:tc>
                <w:tcPr>
                  <w:tcW w:w="876" w:type="pct"/>
                  <w:vAlign w:val="center"/>
                </w:tcPr>
                <w:p w14:paraId="0FBAA602">
                  <w:pPr>
                    <w:widowControl w:val="0"/>
                    <w:spacing w:line="240" w:lineRule="auto"/>
                    <w:jc w:val="center"/>
                    <w:rPr>
                      <w:color w:val="auto"/>
                      <w:szCs w:val="21"/>
                    </w:rPr>
                  </w:pPr>
                  <w:r>
                    <w:rPr>
                      <w:color w:val="auto"/>
                      <w:szCs w:val="21"/>
                    </w:rPr>
                    <w:t>2.53</w:t>
                  </w:r>
                </w:p>
              </w:tc>
              <w:tc>
                <w:tcPr>
                  <w:tcW w:w="1680" w:type="dxa"/>
                  <w:vAlign w:val="center"/>
                </w:tcPr>
                <w:p w14:paraId="067F4690">
                  <w:pPr>
                    <w:widowControl w:val="0"/>
                    <w:spacing w:line="240" w:lineRule="auto"/>
                    <w:jc w:val="center"/>
                    <w:rPr>
                      <w:color w:val="auto"/>
                      <w:szCs w:val="21"/>
                    </w:rPr>
                  </w:pPr>
                  <w:r>
                    <w:rPr>
                      <w:color w:val="auto"/>
                      <w:szCs w:val="21"/>
                    </w:rPr>
                    <w:t>/</w:t>
                  </w:r>
                </w:p>
              </w:tc>
            </w:tr>
            <w:tr w14:paraId="336C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82" w:type="pct"/>
                  <w:vMerge w:val="continue"/>
                  <w:vAlign w:val="center"/>
                </w:tcPr>
                <w:p w14:paraId="594326DA">
                  <w:pPr>
                    <w:widowControl w:val="0"/>
                    <w:spacing w:line="240" w:lineRule="auto"/>
                    <w:jc w:val="center"/>
                    <w:rPr>
                      <w:bCs/>
                      <w:color w:val="auto"/>
                      <w:szCs w:val="21"/>
                    </w:rPr>
                  </w:pPr>
                </w:p>
              </w:tc>
              <w:tc>
                <w:tcPr>
                  <w:tcW w:w="1328" w:type="pct"/>
                  <w:vAlign w:val="center"/>
                </w:tcPr>
                <w:p w14:paraId="00366DF0">
                  <w:pPr>
                    <w:widowControl w:val="0"/>
                    <w:spacing w:line="240" w:lineRule="auto"/>
                    <w:jc w:val="center"/>
                    <w:rPr>
                      <w:bCs/>
                      <w:color w:val="auto"/>
                      <w:szCs w:val="21"/>
                    </w:rPr>
                  </w:pPr>
                  <w:r>
                    <w:rPr>
                      <w:bCs/>
                      <w:color w:val="auto"/>
                      <w:szCs w:val="21"/>
                    </w:rPr>
                    <w:t>五日生化需氧量</w:t>
                  </w:r>
                </w:p>
              </w:tc>
              <w:tc>
                <w:tcPr>
                  <w:tcW w:w="527" w:type="pct"/>
                  <w:vAlign w:val="center"/>
                </w:tcPr>
                <w:p w14:paraId="43244383">
                  <w:pPr>
                    <w:widowControl w:val="0"/>
                    <w:spacing w:line="240" w:lineRule="auto"/>
                    <w:jc w:val="center"/>
                    <w:rPr>
                      <w:color w:val="auto"/>
                      <w:szCs w:val="21"/>
                    </w:rPr>
                  </w:pPr>
                  <w:r>
                    <w:rPr>
                      <w:color w:val="auto"/>
                      <w:szCs w:val="21"/>
                    </w:rPr>
                    <w:t>mg/L</w:t>
                  </w:r>
                </w:p>
              </w:tc>
              <w:tc>
                <w:tcPr>
                  <w:tcW w:w="876" w:type="pct"/>
                  <w:vAlign w:val="center"/>
                </w:tcPr>
                <w:p w14:paraId="613EE2B0">
                  <w:pPr>
                    <w:widowControl w:val="0"/>
                    <w:spacing w:line="240" w:lineRule="auto"/>
                    <w:jc w:val="center"/>
                    <w:rPr>
                      <w:color w:val="auto"/>
                      <w:szCs w:val="21"/>
                    </w:rPr>
                  </w:pPr>
                  <w:r>
                    <w:rPr>
                      <w:color w:val="auto"/>
                      <w:szCs w:val="21"/>
                    </w:rPr>
                    <w:t>93.2</w:t>
                  </w:r>
                </w:p>
              </w:tc>
              <w:tc>
                <w:tcPr>
                  <w:tcW w:w="1680" w:type="dxa"/>
                  <w:vAlign w:val="center"/>
                </w:tcPr>
                <w:p w14:paraId="448B69F5">
                  <w:pPr>
                    <w:widowControl w:val="0"/>
                    <w:spacing w:line="240" w:lineRule="auto"/>
                    <w:jc w:val="center"/>
                    <w:rPr>
                      <w:color w:val="auto"/>
                      <w:szCs w:val="21"/>
                    </w:rPr>
                  </w:pPr>
                  <w:r>
                    <w:rPr>
                      <w:color w:val="auto"/>
                      <w:szCs w:val="21"/>
                    </w:rPr>
                    <w:t>300</w:t>
                  </w:r>
                </w:p>
              </w:tc>
            </w:tr>
            <w:tr w14:paraId="7CF3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vAlign w:val="center"/>
                </w:tcPr>
                <w:p w14:paraId="69F6AEC1">
                  <w:pPr>
                    <w:widowControl w:val="0"/>
                    <w:spacing w:line="240" w:lineRule="auto"/>
                    <w:rPr>
                      <w:color w:val="auto"/>
                      <w:szCs w:val="21"/>
                    </w:rPr>
                  </w:pPr>
                  <w:r>
                    <w:rPr>
                      <w:color w:val="auto"/>
                      <w:szCs w:val="21"/>
                    </w:rPr>
                    <w:t>备注：</w:t>
                  </w:r>
                </w:p>
                <w:p w14:paraId="379B1282">
                  <w:pPr>
                    <w:widowControl w:val="0"/>
                    <w:spacing w:line="240" w:lineRule="auto"/>
                    <w:rPr>
                      <w:color w:val="auto"/>
                      <w:szCs w:val="21"/>
                    </w:rPr>
                  </w:pPr>
                  <w:r>
                    <w:rPr>
                      <w:color w:val="auto"/>
                      <w:szCs w:val="21"/>
                    </w:rPr>
                    <w:t>1、本检测结果只对当次采集样品负责。</w:t>
                  </w:r>
                </w:p>
                <w:p w14:paraId="5321CA62">
                  <w:pPr>
                    <w:widowControl w:val="0"/>
                    <w:spacing w:line="240" w:lineRule="auto"/>
                    <w:rPr>
                      <w:color w:val="auto"/>
                      <w:szCs w:val="21"/>
                    </w:rPr>
                  </w:pPr>
                  <w:r>
                    <w:rPr>
                      <w:color w:val="auto"/>
                      <w:szCs w:val="21"/>
                    </w:rPr>
                    <w:t>2、环境条件：2026.05.06天气：阴。</w:t>
                  </w:r>
                </w:p>
                <w:p w14:paraId="525E048A">
                  <w:pPr>
                    <w:widowControl w:val="0"/>
                    <w:spacing w:line="240" w:lineRule="auto"/>
                    <w:rPr>
                      <w:color w:val="auto"/>
                      <w:szCs w:val="21"/>
                    </w:rPr>
                  </w:pPr>
                  <w:r>
                    <w:rPr>
                      <w:color w:val="auto"/>
                      <w:szCs w:val="21"/>
                    </w:rPr>
                    <w:t>3、样品状态均为：浅黄色、无浮油、微弱气味。</w:t>
                  </w:r>
                </w:p>
                <w:p w14:paraId="7BE11465">
                  <w:pPr>
                    <w:widowControl w:val="0"/>
                    <w:spacing w:line="240" w:lineRule="auto"/>
                    <w:rPr>
                      <w:color w:val="auto"/>
                      <w:szCs w:val="21"/>
                    </w:rPr>
                  </w:pPr>
                  <w:r>
                    <w:rPr>
                      <w:color w:val="auto"/>
                      <w:szCs w:val="21"/>
                    </w:rPr>
                    <w:t>4、执行《水污染物排放限值》DB44/26-2001第二时段三级排放标准。</w:t>
                  </w:r>
                </w:p>
                <w:p w14:paraId="04D866F9">
                  <w:pPr>
                    <w:widowControl w:val="0"/>
                    <w:spacing w:line="240" w:lineRule="auto"/>
                    <w:rPr>
                      <w:color w:val="auto"/>
                      <w:szCs w:val="21"/>
                    </w:rPr>
                  </w:pPr>
                  <w:r>
                    <w:rPr>
                      <w:color w:val="auto"/>
                      <w:szCs w:val="21"/>
                    </w:rPr>
                    <w:t>5、“/”表示标准限值没有要求，标准限值由客户提供。</w:t>
                  </w:r>
                </w:p>
              </w:tc>
            </w:tr>
          </w:tbl>
          <w:p w14:paraId="13D5D191">
            <w:pPr>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现有项目厨房含油废水隔油隔渣池预处理、其他生活污水经三级化粪池预处理可达到广东省地方标准《水污染物排放限值》（DB44/26-2001）第二时段三级标准和广东阳东经济开发区污水处理厂接管标准两者较严值；生产废水经自建综合废水处理站处理后可达到广东省地方标准《水污染物排放限值》（DB44/26-2001）第二时段一级标准和广东省地方标准《电镀水污染物排放标准》（DB/441597-2015）表2新建项目非珠三角水污染物排放限值（其中化学需氧量、悬浮物、氨氮、总磷、总氮、总铝等六项指标按照表</w:t>
            </w:r>
            <w:r>
              <w:rPr>
                <w:rFonts w:hint="default"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lang w:val="en-US" w:eastAsia="zh-CN"/>
              </w:rPr>
              <w:t>非珠三角排放限值的</w:t>
            </w:r>
            <w:r>
              <w:rPr>
                <w:rFonts w:hint="default" w:ascii="Times New Roman" w:hAnsi="Times New Roman" w:eastAsia="宋体" w:cs="Times New Roman"/>
                <w:color w:val="auto"/>
                <w:sz w:val="24"/>
                <w:lang w:val="en-US" w:eastAsia="zh-CN"/>
              </w:rPr>
              <w:t>200%</w:t>
            </w:r>
            <w:r>
              <w:rPr>
                <w:rFonts w:hint="eastAsia" w:ascii="Times New Roman" w:hAnsi="Times New Roman" w:eastAsia="宋体" w:cs="Times New Roman"/>
                <w:color w:val="auto"/>
                <w:sz w:val="24"/>
                <w:lang w:val="en-US" w:eastAsia="zh-CN"/>
              </w:rPr>
              <w:t>执行）两者较严值。</w:t>
            </w:r>
          </w:p>
          <w:p w14:paraId="043F643D">
            <w:pPr>
              <w:spacing w:line="360" w:lineRule="auto"/>
              <w:ind w:firstLine="480" w:firstLineChars="200"/>
              <w:rPr>
                <w:rFonts w:hint="default" w:eastAsia="宋体"/>
                <w:color w:val="auto"/>
                <w:sz w:val="24"/>
                <w:lang w:val="en-US" w:eastAsia="zh-CN"/>
              </w:rPr>
            </w:pPr>
            <w:r>
              <w:rPr>
                <w:rFonts w:hint="eastAsia"/>
                <w:color w:val="auto"/>
                <w:sz w:val="24"/>
                <w:lang w:val="en-US" w:eastAsia="zh-CN"/>
              </w:rPr>
              <w:t>根据现有项目废水污染物日常两次监测浓度的平均值计算如下所示。</w:t>
            </w:r>
          </w:p>
          <w:p w14:paraId="2372070A">
            <w:pPr>
              <w:ind w:firstLine="422" w:firstLineChars="200"/>
              <w:jc w:val="center"/>
              <w:rPr>
                <w:rFonts w:hint="default" w:eastAsia="宋体"/>
                <w:b/>
                <w:bCs/>
                <w:color w:val="auto"/>
                <w:highlight w:val="none"/>
                <w:lang w:val="en-US" w:eastAsia="zh-CN"/>
              </w:rPr>
            </w:pPr>
            <w:r>
              <w:rPr>
                <w:b/>
                <w:bCs/>
                <w:color w:val="auto"/>
                <w:highlight w:val="none"/>
              </w:rPr>
              <w:t>表2-</w:t>
            </w:r>
            <w:r>
              <w:rPr>
                <w:rFonts w:hint="eastAsia"/>
                <w:b/>
                <w:bCs/>
                <w:color w:val="auto"/>
                <w:highlight w:val="none"/>
                <w:lang w:val="en-US" w:eastAsia="zh-CN"/>
              </w:rPr>
              <w:t>25</w:t>
            </w:r>
            <w:r>
              <w:rPr>
                <w:b/>
                <w:bCs/>
                <w:color w:val="auto"/>
                <w:highlight w:val="none"/>
              </w:rPr>
              <w:t>现有项目</w:t>
            </w:r>
            <w:r>
              <w:rPr>
                <w:rFonts w:hint="eastAsia"/>
                <w:b/>
                <w:bCs/>
                <w:color w:val="auto"/>
                <w:highlight w:val="none"/>
              </w:rPr>
              <w:t>废水</w:t>
            </w:r>
            <w:r>
              <w:rPr>
                <w:b/>
                <w:bCs/>
                <w:color w:val="auto"/>
                <w:highlight w:val="none"/>
              </w:rPr>
              <w:t>污染物</w:t>
            </w:r>
            <w:r>
              <w:rPr>
                <w:rFonts w:hint="eastAsia"/>
                <w:b/>
                <w:bCs/>
                <w:color w:val="auto"/>
                <w:highlight w:val="none"/>
                <w:lang w:val="en-US" w:eastAsia="zh-CN"/>
              </w:rPr>
              <w:t>平均排放浓度</w:t>
            </w:r>
            <w:r>
              <w:rPr>
                <w:b/>
                <w:bCs/>
                <w:color w:val="auto"/>
                <w:highlight w:val="none"/>
              </w:rPr>
              <w:t>一览表</w:t>
            </w:r>
            <w:r>
              <w:rPr>
                <w:rFonts w:hint="eastAsia"/>
                <w:b/>
                <w:bCs/>
                <w:color w:val="auto"/>
                <w:highlight w:val="none"/>
                <w:lang w:val="en-US" w:eastAsia="zh-CN"/>
              </w:rPr>
              <w:t xml:space="preserve">   单位：mg/L</w:t>
            </w:r>
          </w:p>
          <w:tbl>
            <w:tblPr>
              <w:tblStyle w:val="42"/>
              <w:tblW w:w="9573" w:type="dxa"/>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958"/>
              <w:gridCol w:w="1020"/>
              <w:gridCol w:w="1005"/>
              <w:gridCol w:w="990"/>
              <w:gridCol w:w="990"/>
              <w:gridCol w:w="960"/>
              <w:gridCol w:w="1065"/>
              <w:gridCol w:w="1235"/>
            </w:tblGrid>
            <w:tr w14:paraId="779E84D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trPr>
              <w:tc>
                <w:tcPr>
                  <w:tcW w:w="1350" w:type="dxa"/>
                  <w:tcBorders>
                    <w:tl2br w:val="nil"/>
                    <w:tr2bl w:val="nil"/>
                  </w:tcBorders>
                  <w:vAlign w:val="center"/>
                </w:tcPr>
                <w:p w14:paraId="7A64C06B">
                  <w:pPr>
                    <w:jc w:val="center"/>
                    <w:rPr>
                      <w:rFonts w:hint="default" w:eastAsia="宋体"/>
                      <w:b/>
                      <w:bCs/>
                      <w:color w:val="auto"/>
                      <w:highlight w:val="none"/>
                      <w:lang w:val="en-US" w:eastAsia="zh-CN"/>
                    </w:rPr>
                  </w:pPr>
                  <w:r>
                    <w:rPr>
                      <w:b/>
                      <w:bCs/>
                      <w:color w:val="auto"/>
                      <w:highlight w:val="none"/>
                    </w:rPr>
                    <w:t>污染源</w:t>
                  </w:r>
                  <w:r>
                    <w:rPr>
                      <w:rFonts w:hint="eastAsia"/>
                      <w:b/>
                      <w:bCs/>
                      <w:color w:val="auto"/>
                      <w:highlight w:val="none"/>
                      <w:lang w:val="en-US" w:eastAsia="zh-CN"/>
                    </w:rPr>
                    <w:t>/项目</w:t>
                  </w:r>
                </w:p>
              </w:tc>
              <w:tc>
                <w:tcPr>
                  <w:tcW w:w="958" w:type="dxa"/>
                  <w:tcBorders>
                    <w:tl2br w:val="nil"/>
                    <w:tr2bl w:val="nil"/>
                  </w:tcBorders>
                  <w:vAlign w:val="center"/>
                </w:tcPr>
                <w:p w14:paraId="5DC218A4">
                  <w:pPr>
                    <w:jc w:val="center"/>
                    <w:rPr>
                      <w:b/>
                      <w:bCs/>
                      <w:color w:val="auto"/>
                      <w:highlight w:val="none"/>
                    </w:rPr>
                  </w:pPr>
                  <w:r>
                    <w:rPr>
                      <w:b/>
                      <w:bCs/>
                      <w:color w:val="auto"/>
                      <w:szCs w:val="21"/>
                      <w:highlight w:val="none"/>
                    </w:rPr>
                    <w:t>化学需氧量</w:t>
                  </w:r>
                </w:p>
              </w:tc>
              <w:tc>
                <w:tcPr>
                  <w:tcW w:w="1020" w:type="dxa"/>
                  <w:tcBorders>
                    <w:tl2br w:val="nil"/>
                    <w:tr2bl w:val="nil"/>
                  </w:tcBorders>
                  <w:vAlign w:val="center"/>
                </w:tcPr>
                <w:p w14:paraId="7EC460B7">
                  <w:pPr>
                    <w:jc w:val="center"/>
                    <w:rPr>
                      <w:rFonts w:hint="default"/>
                      <w:b/>
                      <w:bCs/>
                      <w:color w:val="auto"/>
                      <w:szCs w:val="21"/>
                      <w:highlight w:val="none"/>
                      <w:lang w:val="en-US" w:eastAsia="zh-CN"/>
                    </w:rPr>
                  </w:pPr>
                  <w:r>
                    <w:rPr>
                      <w:rFonts w:hint="eastAsia"/>
                      <w:b/>
                      <w:bCs/>
                      <w:color w:val="auto"/>
                      <w:szCs w:val="21"/>
                      <w:highlight w:val="none"/>
                      <w:lang w:val="en-US" w:eastAsia="zh-CN"/>
                    </w:rPr>
                    <w:t>动植物油</w:t>
                  </w:r>
                </w:p>
              </w:tc>
              <w:tc>
                <w:tcPr>
                  <w:tcW w:w="1005" w:type="dxa"/>
                  <w:tcBorders>
                    <w:tl2br w:val="nil"/>
                    <w:tr2bl w:val="nil"/>
                  </w:tcBorders>
                  <w:shd w:val="clear" w:color="auto" w:fill="auto"/>
                  <w:vAlign w:val="center"/>
                </w:tcPr>
                <w:p w14:paraId="43341441">
                  <w:pPr>
                    <w:jc w:val="center"/>
                    <w:rPr>
                      <w:rFonts w:hint="eastAsia" w:ascii="Times New Roman" w:hAnsi="Times New Roman" w:eastAsia="宋体" w:cs="Times New Roman"/>
                      <w:b/>
                      <w:bCs/>
                      <w:color w:val="auto"/>
                      <w:kern w:val="2"/>
                      <w:sz w:val="21"/>
                      <w:szCs w:val="21"/>
                      <w:highlight w:val="none"/>
                      <w:lang w:val="en-US" w:eastAsia="zh-CN" w:bidi="ar-SA"/>
                    </w:rPr>
                  </w:pPr>
                  <w:r>
                    <w:rPr>
                      <w:b/>
                      <w:bCs/>
                      <w:color w:val="auto"/>
                      <w:szCs w:val="21"/>
                      <w:highlight w:val="none"/>
                    </w:rPr>
                    <w:t>悬浮物</w:t>
                  </w:r>
                </w:p>
              </w:tc>
              <w:tc>
                <w:tcPr>
                  <w:tcW w:w="990" w:type="dxa"/>
                  <w:tcBorders>
                    <w:tl2br w:val="nil"/>
                    <w:tr2bl w:val="nil"/>
                  </w:tcBorders>
                  <w:shd w:val="clear" w:color="auto" w:fill="auto"/>
                  <w:vAlign w:val="center"/>
                </w:tcPr>
                <w:p w14:paraId="40D752C1">
                  <w:pPr>
                    <w:jc w:val="center"/>
                    <w:rPr>
                      <w:rFonts w:hint="eastAsia" w:ascii="Times New Roman" w:hAnsi="Times New Roman" w:eastAsia="宋体" w:cs="Times New Roman"/>
                      <w:b/>
                      <w:bCs/>
                      <w:color w:val="auto"/>
                      <w:kern w:val="2"/>
                      <w:sz w:val="21"/>
                      <w:szCs w:val="24"/>
                      <w:highlight w:val="none"/>
                      <w:lang w:val="en-US" w:eastAsia="zh-CN" w:bidi="ar-SA"/>
                    </w:rPr>
                  </w:pPr>
                  <w:r>
                    <w:rPr>
                      <w:rFonts w:hint="eastAsia"/>
                      <w:b/>
                      <w:bCs/>
                      <w:color w:val="auto"/>
                      <w:highlight w:val="none"/>
                      <w:lang w:val="en-US" w:eastAsia="zh-CN"/>
                    </w:rPr>
                    <w:t>氨氮</w:t>
                  </w:r>
                </w:p>
              </w:tc>
              <w:tc>
                <w:tcPr>
                  <w:tcW w:w="990" w:type="dxa"/>
                  <w:tcBorders>
                    <w:tl2br w:val="nil"/>
                    <w:tr2bl w:val="nil"/>
                  </w:tcBorders>
                  <w:shd w:val="clear" w:color="auto" w:fill="auto"/>
                  <w:vAlign w:val="center"/>
                </w:tcPr>
                <w:p w14:paraId="019D703C">
                  <w:pPr>
                    <w:jc w:val="center"/>
                    <w:rPr>
                      <w:rFonts w:hint="eastAsia" w:ascii="Times New Roman" w:hAnsi="Times New Roman" w:eastAsia="宋体" w:cs="Times New Roman"/>
                      <w:b/>
                      <w:bCs/>
                      <w:color w:val="auto"/>
                      <w:kern w:val="2"/>
                      <w:sz w:val="21"/>
                      <w:szCs w:val="24"/>
                      <w:highlight w:val="none"/>
                      <w:lang w:val="en-US" w:eastAsia="zh-CN" w:bidi="ar-SA"/>
                    </w:rPr>
                  </w:pPr>
                  <w:r>
                    <w:rPr>
                      <w:rFonts w:hint="eastAsia"/>
                      <w:b/>
                      <w:bCs/>
                      <w:color w:val="auto"/>
                      <w:highlight w:val="none"/>
                      <w:lang w:val="en-US" w:eastAsia="zh-CN"/>
                    </w:rPr>
                    <w:t>总磷</w:t>
                  </w:r>
                </w:p>
              </w:tc>
              <w:tc>
                <w:tcPr>
                  <w:tcW w:w="960" w:type="dxa"/>
                  <w:tcBorders>
                    <w:tl2br w:val="nil"/>
                    <w:tr2bl w:val="nil"/>
                  </w:tcBorders>
                  <w:shd w:val="clear" w:color="auto" w:fill="auto"/>
                  <w:vAlign w:val="center"/>
                </w:tcPr>
                <w:p w14:paraId="67A4F345">
                  <w:pPr>
                    <w:jc w:val="center"/>
                    <w:rPr>
                      <w:rFonts w:hint="eastAsia" w:ascii="Times New Roman" w:hAnsi="Times New Roman" w:eastAsia="宋体" w:cs="Times New Roman"/>
                      <w:b/>
                      <w:bCs/>
                      <w:color w:val="auto"/>
                      <w:kern w:val="2"/>
                      <w:sz w:val="21"/>
                      <w:szCs w:val="24"/>
                      <w:highlight w:val="none"/>
                      <w:lang w:val="en-US" w:eastAsia="zh-CN" w:bidi="ar-SA"/>
                    </w:rPr>
                  </w:pPr>
                  <w:r>
                    <w:rPr>
                      <w:rFonts w:hint="eastAsia"/>
                      <w:b/>
                      <w:bCs/>
                      <w:color w:val="auto"/>
                      <w:highlight w:val="none"/>
                      <w:lang w:val="en-US" w:eastAsia="zh-CN"/>
                    </w:rPr>
                    <w:t>总氮</w:t>
                  </w:r>
                </w:p>
              </w:tc>
              <w:tc>
                <w:tcPr>
                  <w:tcW w:w="1065" w:type="dxa"/>
                  <w:tcBorders>
                    <w:tl2br w:val="nil"/>
                    <w:tr2bl w:val="nil"/>
                  </w:tcBorders>
                  <w:vAlign w:val="center"/>
                </w:tcPr>
                <w:p w14:paraId="7DAF80CD">
                  <w:pPr>
                    <w:jc w:val="center"/>
                    <w:rPr>
                      <w:rFonts w:hint="eastAsia"/>
                      <w:b/>
                      <w:bCs/>
                      <w:color w:val="auto"/>
                      <w:highlight w:val="none"/>
                    </w:rPr>
                  </w:pPr>
                  <w:r>
                    <w:rPr>
                      <w:b/>
                      <w:bCs/>
                      <w:color w:val="auto"/>
                      <w:szCs w:val="21"/>
                      <w:highlight w:val="none"/>
                    </w:rPr>
                    <w:t>五日生化需氧量</w:t>
                  </w:r>
                </w:p>
              </w:tc>
              <w:tc>
                <w:tcPr>
                  <w:tcW w:w="1235" w:type="dxa"/>
                  <w:tcBorders>
                    <w:tl2br w:val="nil"/>
                    <w:tr2bl w:val="nil"/>
                  </w:tcBorders>
                  <w:vAlign w:val="center"/>
                </w:tcPr>
                <w:p w14:paraId="0EB86605">
                  <w:pPr>
                    <w:jc w:val="center"/>
                    <w:rPr>
                      <w:rFonts w:hint="default" w:eastAsia="宋体"/>
                      <w:b/>
                      <w:bCs/>
                      <w:color w:val="auto"/>
                      <w:szCs w:val="21"/>
                      <w:highlight w:val="none"/>
                      <w:lang w:val="en-US" w:eastAsia="zh-CN"/>
                    </w:rPr>
                  </w:pPr>
                  <w:r>
                    <w:rPr>
                      <w:rFonts w:hint="eastAsia"/>
                      <w:b/>
                      <w:bCs/>
                      <w:color w:val="auto"/>
                      <w:szCs w:val="21"/>
                      <w:highlight w:val="none"/>
                      <w:lang w:val="en-US" w:eastAsia="zh-CN"/>
                    </w:rPr>
                    <w:t>总铝</w:t>
                  </w:r>
                </w:p>
              </w:tc>
            </w:tr>
            <w:tr w14:paraId="1DF1064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50" w:type="dxa"/>
                  <w:tcBorders>
                    <w:tl2br w:val="nil"/>
                    <w:tr2bl w:val="nil"/>
                  </w:tcBorders>
                  <w:vAlign w:val="center"/>
                </w:tcPr>
                <w:p w14:paraId="5CD8F69F">
                  <w:pPr>
                    <w:jc w:val="center"/>
                    <w:rPr>
                      <w:rFonts w:hint="default" w:eastAsia="宋体"/>
                      <w:b w:val="0"/>
                      <w:bCs w:val="0"/>
                      <w:color w:val="auto"/>
                      <w:highlight w:val="none"/>
                      <w:lang w:val="en-US" w:eastAsia="zh-CN"/>
                    </w:rPr>
                  </w:pPr>
                  <w:r>
                    <w:rPr>
                      <w:rFonts w:hint="eastAsia"/>
                      <w:b w:val="0"/>
                      <w:bCs w:val="0"/>
                      <w:color w:val="auto"/>
                      <w:highlight w:val="none"/>
                      <w:lang w:val="en-US" w:eastAsia="zh-CN"/>
                    </w:rPr>
                    <w:t>生产废水</w:t>
                  </w:r>
                </w:p>
              </w:tc>
              <w:tc>
                <w:tcPr>
                  <w:tcW w:w="958" w:type="dxa"/>
                  <w:tcBorders>
                    <w:tl2br w:val="nil"/>
                    <w:tr2bl w:val="nil"/>
                  </w:tcBorders>
                  <w:shd w:val="clear" w:color="auto" w:fill="auto"/>
                  <w:vAlign w:val="center"/>
                </w:tcPr>
                <w:p w14:paraId="4A738088">
                  <w:pPr>
                    <w:widowControl w:val="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46</w:t>
                  </w:r>
                </w:p>
              </w:tc>
              <w:tc>
                <w:tcPr>
                  <w:tcW w:w="1020" w:type="dxa"/>
                  <w:tcBorders>
                    <w:tl2br w:val="nil"/>
                    <w:tr2bl w:val="nil"/>
                  </w:tcBorders>
                  <w:shd w:val="clear" w:color="auto" w:fill="auto"/>
                  <w:vAlign w:val="center"/>
                </w:tcPr>
                <w:p w14:paraId="302D3E8A">
                  <w:pPr>
                    <w:widowControl w:val="0"/>
                    <w:jc w:val="center"/>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w:t>
                  </w:r>
                </w:p>
              </w:tc>
              <w:tc>
                <w:tcPr>
                  <w:tcW w:w="1005" w:type="dxa"/>
                  <w:tcBorders>
                    <w:tl2br w:val="nil"/>
                    <w:tr2bl w:val="nil"/>
                  </w:tcBorders>
                  <w:vAlign w:val="center"/>
                </w:tcPr>
                <w:p w14:paraId="41B5925A">
                  <w:pPr>
                    <w:jc w:val="center"/>
                    <w:rPr>
                      <w:rFonts w:hint="default" w:eastAsia="宋体"/>
                      <w:b w:val="0"/>
                      <w:bCs w:val="0"/>
                      <w:color w:val="auto"/>
                      <w:highlight w:val="none"/>
                      <w:lang w:val="en-US" w:eastAsia="zh-CN"/>
                    </w:rPr>
                  </w:pPr>
                  <w:r>
                    <w:rPr>
                      <w:rFonts w:hint="eastAsia"/>
                      <w:b w:val="0"/>
                      <w:bCs w:val="0"/>
                      <w:color w:val="auto"/>
                      <w:highlight w:val="none"/>
                      <w:lang w:val="en-US" w:eastAsia="zh-CN"/>
                    </w:rPr>
                    <w:t>33</w:t>
                  </w:r>
                </w:p>
              </w:tc>
              <w:tc>
                <w:tcPr>
                  <w:tcW w:w="990" w:type="dxa"/>
                  <w:tcBorders>
                    <w:tl2br w:val="nil"/>
                    <w:tr2bl w:val="nil"/>
                  </w:tcBorders>
                  <w:vAlign w:val="center"/>
                </w:tcPr>
                <w:p w14:paraId="43AAF49C">
                  <w:pPr>
                    <w:widowControl w:val="0"/>
                    <w:jc w:val="center"/>
                    <w:rPr>
                      <w:rFonts w:hint="default"/>
                      <w:b w:val="0"/>
                      <w:bCs w:val="0"/>
                      <w:color w:val="auto"/>
                      <w:highlight w:val="none"/>
                      <w:lang w:val="en-US" w:eastAsia="zh-CN"/>
                    </w:rPr>
                  </w:pPr>
                  <w:r>
                    <w:rPr>
                      <w:rFonts w:hint="eastAsia"/>
                      <w:b w:val="0"/>
                      <w:bCs w:val="0"/>
                      <w:color w:val="auto"/>
                      <w:highlight w:val="none"/>
                      <w:lang w:val="en-US" w:eastAsia="zh-CN"/>
                    </w:rPr>
                    <w:t>0.824</w:t>
                  </w:r>
                </w:p>
              </w:tc>
              <w:tc>
                <w:tcPr>
                  <w:tcW w:w="990" w:type="dxa"/>
                  <w:tcBorders>
                    <w:tl2br w:val="nil"/>
                    <w:tr2bl w:val="nil"/>
                  </w:tcBorders>
                  <w:shd w:val="clear" w:color="auto" w:fill="auto"/>
                  <w:vAlign w:val="center"/>
                </w:tcPr>
                <w:p w14:paraId="0E2A1BE7">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0.26</w:t>
                  </w:r>
                </w:p>
              </w:tc>
              <w:tc>
                <w:tcPr>
                  <w:tcW w:w="960" w:type="dxa"/>
                  <w:tcBorders>
                    <w:tl2br w:val="nil"/>
                    <w:tr2bl w:val="nil"/>
                  </w:tcBorders>
                  <w:shd w:val="clear" w:color="auto" w:fill="auto"/>
                  <w:vAlign w:val="center"/>
                </w:tcPr>
                <w:p w14:paraId="0C269EFD">
                  <w:pPr>
                    <w:widowControl w:val="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7.405</w:t>
                  </w:r>
                </w:p>
              </w:tc>
              <w:tc>
                <w:tcPr>
                  <w:tcW w:w="1065" w:type="dxa"/>
                  <w:tcBorders>
                    <w:tl2br w:val="nil"/>
                    <w:tr2bl w:val="nil"/>
                  </w:tcBorders>
                  <w:vAlign w:val="center"/>
                </w:tcPr>
                <w:p w14:paraId="168BCD8B">
                  <w:pPr>
                    <w:jc w:val="center"/>
                    <w:rPr>
                      <w:rFonts w:hint="default" w:eastAsia="宋体"/>
                      <w:b w:val="0"/>
                      <w:bCs w:val="0"/>
                      <w:color w:val="auto"/>
                      <w:highlight w:val="none"/>
                      <w:lang w:val="en-US" w:eastAsia="zh-CN"/>
                    </w:rPr>
                  </w:pPr>
                  <w:r>
                    <w:rPr>
                      <w:rFonts w:hint="eastAsia"/>
                      <w:b w:val="0"/>
                      <w:bCs w:val="0"/>
                      <w:color w:val="auto"/>
                      <w:highlight w:val="none"/>
                      <w:lang w:val="en-US" w:eastAsia="zh-CN"/>
                    </w:rPr>
                    <w:t>11.45</w:t>
                  </w:r>
                </w:p>
              </w:tc>
              <w:tc>
                <w:tcPr>
                  <w:tcW w:w="1235" w:type="dxa"/>
                  <w:tcBorders>
                    <w:tl2br w:val="nil"/>
                    <w:tr2bl w:val="nil"/>
                  </w:tcBorders>
                  <w:vAlign w:val="center"/>
                </w:tcPr>
                <w:p w14:paraId="3605CA2C">
                  <w:pPr>
                    <w:jc w:val="center"/>
                    <w:rPr>
                      <w:rFonts w:hint="default"/>
                      <w:b w:val="0"/>
                      <w:bCs w:val="0"/>
                      <w:color w:val="auto"/>
                      <w:highlight w:val="none"/>
                      <w:lang w:val="en-US" w:eastAsia="zh-CN"/>
                    </w:rPr>
                  </w:pPr>
                  <w:r>
                    <w:rPr>
                      <w:rFonts w:hint="eastAsia"/>
                      <w:b w:val="0"/>
                      <w:bCs w:val="0"/>
                      <w:color w:val="auto"/>
                      <w:highlight w:val="none"/>
                      <w:lang w:val="en-US" w:eastAsia="zh-CN"/>
                    </w:rPr>
                    <w:t>0.00115</w:t>
                  </w:r>
                </w:p>
              </w:tc>
            </w:tr>
            <w:tr w14:paraId="6D0E9A2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50" w:type="dxa"/>
                  <w:tcBorders>
                    <w:tl2br w:val="nil"/>
                    <w:tr2bl w:val="nil"/>
                  </w:tcBorders>
                  <w:vAlign w:val="center"/>
                </w:tcPr>
                <w:p w14:paraId="1305B249">
                  <w:pPr>
                    <w:jc w:val="center"/>
                    <w:rPr>
                      <w:rFonts w:hint="default"/>
                      <w:b w:val="0"/>
                      <w:bCs w:val="0"/>
                      <w:color w:val="auto"/>
                      <w:highlight w:val="none"/>
                      <w:lang w:val="en-US" w:eastAsia="zh-CN"/>
                    </w:rPr>
                  </w:pPr>
                  <w:r>
                    <w:rPr>
                      <w:rFonts w:hint="eastAsia"/>
                      <w:b w:val="0"/>
                      <w:bCs w:val="0"/>
                      <w:color w:val="auto"/>
                      <w:highlight w:val="none"/>
                      <w:lang w:val="en-US" w:eastAsia="zh-CN"/>
                    </w:rPr>
                    <w:t>生活污水</w:t>
                  </w:r>
                </w:p>
              </w:tc>
              <w:tc>
                <w:tcPr>
                  <w:tcW w:w="958" w:type="dxa"/>
                  <w:tcBorders>
                    <w:tl2br w:val="nil"/>
                    <w:tr2bl w:val="nil"/>
                  </w:tcBorders>
                  <w:shd w:val="clear" w:color="auto" w:fill="auto"/>
                  <w:vAlign w:val="center"/>
                </w:tcPr>
                <w:p w14:paraId="1AC36322">
                  <w:pPr>
                    <w:widowControl w:val="0"/>
                    <w:jc w:val="center"/>
                    <w:rPr>
                      <w:rFonts w:hint="default" w:eastAsia="宋体"/>
                      <w:b w:val="0"/>
                      <w:bCs w:val="0"/>
                      <w:color w:val="auto"/>
                      <w:szCs w:val="21"/>
                      <w:highlight w:val="none"/>
                      <w:lang w:val="en-US" w:eastAsia="zh-CN"/>
                    </w:rPr>
                  </w:pPr>
                  <w:r>
                    <w:rPr>
                      <w:rFonts w:hint="eastAsia"/>
                      <w:b w:val="0"/>
                      <w:bCs w:val="0"/>
                      <w:color w:val="auto"/>
                      <w:szCs w:val="21"/>
                      <w:highlight w:val="none"/>
                      <w:lang w:val="en-US" w:eastAsia="zh-CN"/>
                    </w:rPr>
                    <w:t>134</w:t>
                  </w:r>
                </w:p>
              </w:tc>
              <w:tc>
                <w:tcPr>
                  <w:tcW w:w="1020" w:type="dxa"/>
                  <w:tcBorders>
                    <w:tl2br w:val="nil"/>
                    <w:tr2bl w:val="nil"/>
                  </w:tcBorders>
                  <w:shd w:val="clear" w:color="auto" w:fill="auto"/>
                  <w:vAlign w:val="center"/>
                </w:tcPr>
                <w:p w14:paraId="461ED5AD">
                  <w:pPr>
                    <w:widowControl w:val="0"/>
                    <w:jc w:val="center"/>
                    <w:rPr>
                      <w:rFonts w:hint="default"/>
                      <w:b w:val="0"/>
                      <w:bCs w:val="0"/>
                      <w:color w:val="auto"/>
                      <w:szCs w:val="21"/>
                      <w:highlight w:val="none"/>
                      <w:lang w:val="en-US" w:eastAsia="zh-CN"/>
                    </w:rPr>
                  </w:pPr>
                  <w:r>
                    <w:rPr>
                      <w:rFonts w:hint="eastAsia"/>
                      <w:b w:val="0"/>
                      <w:bCs w:val="0"/>
                      <w:color w:val="auto"/>
                      <w:szCs w:val="21"/>
                      <w:highlight w:val="none"/>
                      <w:lang w:val="en-US" w:eastAsia="zh-CN"/>
                    </w:rPr>
                    <w:t>1.155</w:t>
                  </w:r>
                </w:p>
              </w:tc>
              <w:tc>
                <w:tcPr>
                  <w:tcW w:w="1005" w:type="dxa"/>
                  <w:tcBorders>
                    <w:tl2br w:val="nil"/>
                    <w:tr2bl w:val="nil"/>
                  </w:tcBorders>
                  <w:shd w:val="clear" w:color="auto" w:fill="auto"/>
                  <w:vAlign w:val="center"/>
                </w:tcPr>
                <w:p w14:paraId="7245FD43">
                  <w:pPr>
                    <w:widowControl w:val="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b w:val="0"/>
                      <w:bCs w:val="0"/>
                      <w:color w:val="auto"/>
                      <w:szCs w:val="21"/>
                      <w:highlight w:val="none"/>
                      <w:lang w:val="en-US" w:eastAsia="zh-CN"/>
                    </w:rPr>
                    <w:t>88.5</w:t>
                  </w:r>
                </w:p>
              </w:tc>
              <w:tc>
                <w:tcPr>
                  <w:tcW w:w="990" w:type="dxa"/>
                  <w:tcBorders>
                    <w:tl2br w:val="nil"/>
                    <w:tr2bl w:val="nil"/>
                  </w:tcBorders>
                  <w:shd w:val="clear" w:color="auto" w:fill="auto"/>
                  <w:vAlign w:val="center"/>
                </w:tcPr>
                <w:p w14:paraId="38DAA6EC">
                  <w:pPr>
                    <w:jc w:val="center"/>
                    <w:rPr>
                      <w:rFonts w:hint="default" w:ascii="Times New Roman" w:hAnsi="Times New Roman" w:eastAsia="宋体" w:cs="Times New Roman"/>
                      <w:b w:val="0"/>
                      <w:bCs w:val="0"/>
                      <w:color w:val="auto"/>
                      <w:kern w:val="2"/>
                      <w:sz w:val="21"/>
                      <w:szCs w:val="24"/>
                      <w:highlight w:val="none"/>
                      <w:lang w:val="en-US" w:eastAsia="zh-CN" w:bidi="ar-SA"/>
                    </w:rPr>
                  </w:pPr>
                  <w:r>
                    <w:rPr>
                      <w:rFonts w:hint="eastAsia"/>
                      <w:b w:val="0"/>
                      <w:bCs w:val="0"/>
                      <w:color w:val="auto"/>
                      <w:highlight w:val="none"/>
                      <w:lang w:val="en-US" w:eastAsia="zh-CN"/>
                    </w:rPr>
                    <w:t>2.02</w:t>
                  </w:r>
                </w:p>
              </w:tc>
              <w:tc>
                <w:tcPr>
                  <w:tcW w:w="990" w:type="dxa"/>
                  <w:tcBorders>
                    <w:tl2br w:val="nil"/>
                    <w:tr2bl w:val="nil"/>
                  </w:tcBorders>
                  <w:shd w:val="clear" w:color="auto" w:fill="auto"/>
                  <w:vAlign w:val="center"/>
                </w:tcPr>
                <w:p w14:paraId="65554C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2.02</w:t>
                  </w:r>
                </w:p>
              </w:tc>
              <w:tc>
                <w:tcPr>
                  <w:tcW w:w="960" w:type="dxa"/>
                  <w:tcBorders>
                    <w:tl2br w:val="nil"/>
                    <w:tr2bl w:val="nil"/>
                  </w:tcBorders>
                  <w:shd w:val="clear" w:color="auto" w:fill="auto"/>
                  <w:vAlign w:val="center"/>
                </w:tcPr>
                <w:p w14:paraId="6D74B5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21.165</w:t>
                  </w:r>
                </w:p>
              </w:tc>
              <w:tc>
                <w:tcPr>
                  <w:tcW w:w="1065" w:type="dxa"/>
                  <w:tcBorders>
                    <w:tl2br w:val="nil"/>
                    <w:tr2bl w:val="nil"/>
                  </w:tcBorders>
                  <w:vAlign w:val="center"/>
                </w:tcPr>
                <w:p w14:paraId="1882D7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60.35</w:t>
                  </w:r>
                </w:p>
              </w:tc>
              <w:tc>
                <w:tcPr>
                  <w:tcW w:w="1235" w:type="dxa"/>
                  <w:tcBorders>
                    <w:tl2br w:val="nil"/>
                    <w:tr2bl w:val="nil"/>
                  </w:tcBorders>
                  <w:vAlign w:val="center"/>
                </w:tcPr>
                <w:p w14:paraId="0386F843">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r>
            <w:tr w14:paraId="2CA1F79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73" w:type="dxa"/>
                  <w:gridSpan w:val="9"/>
                  <w:tcBorders>
                    <w:tl2br w:val="nil"/>
                    <w:tr2bl w:val="nil"/>
                  </w:tcBorders>
                  <w:vAlign w:val="center"/>
                </w:tcPr>
                <w:p w14:paraId="4B9A911B">
                  <w:pPr>
                    <w:keepNext w:val="0"/>
                    <w:keepLines w:val="0"/>
                    <w:widowControl/>
                    <w:suppressLineNumbers w:val="0"/>
                    <w:jc w:val="left"/>
                    <w:textAlignment w:val="center"/>
                    <w:rPr>
                      <w:rFonts w:hint="eastAsia" w:cs="Times New Roman"/>
                      <w:b/>
                      <w:bCs/>
                      <w:i w:val="0"/>
                      <w:iCs w:val="0"/>
                      <w:color w:val="auto"/>
                      <w:kern w:val="0"/>
                      <w:sz w:val="21"/>
                      <w:szCs w:val="21"/>
                      <w:u w:val="none"/>
                      <w:lang w:val="en-US" w:eastAsia="zh-CN" w:bidi="ar"/>
                    </w:rPr>
                  </w:pPr>
                  <w:r>
                    <w:rPr>
                      <w:rFonts w:hint="eastAsia" w:cs="Times New Roman"/>
                      <w:b/>
                      <w:bCs/>
                      <w:i w:val="0"/>
                      <w:iCs w:val="0"/>
                      <w:color w:val="auto"/>
                      <w:kern w:val="0"/>
                      <w:sz w:val="21"/>
                      <w:szCs w:val="21"/>
                      <w:u w:val="none"/>
                      <w:lang w:val="en-US" w:eastAsia="zh-CN" w:bidi="ar"/>
                    </w:rPr>
                    <w:t>备注：</w:t>
                  </w:r>
                </w:p>
                <w:p w14:paraId="71982B79">
                  <w:pPr>
                    <w:keepNext w:val="0"/>
                    <w:keepLines w:val="0"/>
                    <w:widowControl/>
                    <w:suppressLineNumbers w:val="0"/>
                    <w:jc w:val="left"/>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1、由于总铝浓度为未检出，因此现有项目按总铝检出限核算排放量，其检出限为1.15</w:t>
                  </w:r>
                  <w:r>
                    <w:rPr>
                      <w:rFonts w:hint="default" w:ascii="Times New Roman" w:hAnsi="Times New Roman" w:cs="Times New Roman"/>
                      <w:i w:val="0"/>
                      <w:iCs w:val="0"/>
                      <w:color w:val="auto"/>
                      <w:kern w:val="0"/>
                      <w:sz w:val="21"/>
                      <w:szCs w:val="21"/>
                      <w:u w:val="none"/>
                      <w:lang w:val="en-US" w:eastAsia="zh-CN" w:bidi="ar"/>
                    </w:rPr>
                    <w:t>μg/L</w:t>
                  </w:r>
                  <w:r>
                    <w:rPr>
                      <w:rFonts w:hint="eastAsia" w:cs="Times New Roman"/>
                      <w:i w:val="0"/>
                      <w:iCs w:val="0"/>
                      <w:color w:val="auto"/>
                      <w:kern w:val="0"/>
                      <w:sz w:val="21"/>
                      <w:szCs w:val="21"/>
                      <w:u w:val="none"/>
                      <w:lang w:val="en-US" w:eastAsia="zh-CN" w:bidi="ar"/>
                    </w:rPr>
                    <w:t>。</w:t>
                  </w:r>
                </w:p>
                <w:p w14:paraId="58E6C7C4">
                  <w:pPr>
                    <w:keepNext w:val="0"/>
                    <w:keepLines w:val="0"/>
                    <w:widowControl/>
                    <w:suppressLineNumbers w:val="0"/>
                    <w:jc w:val="left"/>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2、由于含镍废水已回用，现有项目已不排放含镍废水，因此现有项目废水污染物排放量不对镍进行统计。</w:t>
                  </w:r>
                </w:p>
              </w:tc>
            </w:tr>
          </w:tbl>
          <w:p w14:paraId="0CD5766E">
            <w:pPr>
              <w:spacing w:line="360" w:lineRule="auto"/>
              <w:ind w:firstLine="480" w:firstLineChars="200"/>
              <w:rPr>
                <w:rFonts w:hint="eastAsia"/>
                <w:color w:val="auto"/>
                <w:sz w:val="24"/>
              </w:rPr>
            </w:pPr>
            <w:r>
              <w:rPr>
                <w:rFonts w:hint="eastAsia"/>
                <w:color w:val="auto"/>
                <w:sz w:val="24"/>
                <w:lang w:val="en-US" w:eastAsia="zh-CN"/>
              </w:rPr>
              <w:t>根据表2-25计算的废水污染物平均排放浓度进行核算现有项目废水污染物排放情况，具体</w:t>
            </w:r>
            <w:r>
              <w:rPr>
                <w:rFonts w:hint="eastAsia"/>
                <w:color w:val="auto"/>
                <w:sz w:val="24"/>
              </w:rPr>
              <w:t>见表2-</w:t>
            </w:r>
            <w:r>
              <w:rPr>
                <w:rFonts w:hint="eastAsia"/>
                <w:color w:val="auto"/>
                <w:sz w:val="24"/>
                <w:lang w:val="en-US" w:eastAsia="zh-CN"/>
              </w:rPr>
              <w:t>26</w:t>
            </w:r>
            <w:r>
              <w:rPr>
                <w:rFonts w:hint="eastAsia"/>
                <w:color w:val="auto"/>
                <w:sz w:val="24"/>
              </w:rPr>
              <w:t>所示。</w:t>
            </w:r>
          </w:p>
          <w:p w14:paraId="2E420026">
            <w:pPr>
              <w:ind w:firstLine="422" w:firstLineChars="200"/>
              <w:jc w:val="center"/>
              <w:rPr>
                <w:b/>
                <w:bCs/>
                <w:color w:val="auto"/>
                <w:highlight w:val="none"/>
              </w:rPr>
            </w:pPr>
          </w:p>
          <w:p w14:paraId="11258304">
            <w:pPr>
              <w:ind w:firstLine="422" w:firstLineChars="200"/>
              <w:jc w:val="center"/>
              <w:rPr>
                <w:b/>
                <w:bCs/>
                <w:color w:val="auto"/>
                <w:highlight w:val="none"/>
              </w:rPr>
            </w:pPr>
          </w:p>
          <w:p w14:paraId="742D09C3">
            <w:pPr>
              <w:ind w:firstLine="422" w:firstLineChars="200"/>
              <w:jc w:val="center"/>
              <w:rPr>
                <w:b/>
                <w:bCs/>
                <w:color w:val="auto"/>
                <w:highlight w:val="none"/>
              </w:rPr>
            </w:pPr>
            <w:r>
              <w:rPr>
                <w:b/>
                <w:bCs/>
                <w:color w:val="auto"/>
                <w:highlight w:val="none"/>
              </w:rPr>
              <w:t>表2-</w:t>
            </w:r>
            <w:r>
              <w:rPr>
                <w:rFonts w:hint="eastAsia"/>
                <w:b/>
                <w:bCs/>
                <w:color w:val="auto"/>
                <w:highlight w:val="none"/>
                <w:lang w:val="en-US" w:eastAsia="zh-CN"/>
              </w:rPr>
              <w:t>26</w:t>
            </w:r>
            <w:r>
              <w:rPr>
                <w:b/>
                <w:bCs/>
                <w:color w:val="auto"/>
                <w:highlight w:val="none"/>
              </w:rPr>
              <w:t>现有项目</w:t>
            </w:r>
            <w:r>
              <w:rPr>
                <w:rFonts w:hint="eastAsia"/>
                <w:b/>
                <w:bCs/>
                <w:color w:val="auto"/>
                <w:highlight w:val="none"/>
              </w:rPr>
              <w:t>废水</w:t>
            </w:r>
            <w:r>
              <w:rPr>
                <w:b/>
                <w:bCs/>
                <w:color w:val="auto"/>
                <w:highlight w:val="none"/>
              </w:rPr>
              <w:t>污染物排放情况一览表</w:t>
            </w:r>
          </w:p>
          <w:tbl>
            <w:tblPr>
              <w:tblStyle w:val="42"/>
              <w:tblW w:w="9559" w:type="dxa"/>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2265"/>
              <w:gridCol w:w="2265"/>
              <w:gridCol w:w="2100"/>
              <w:gridCol w:w="1890"/>
            </w:tblGrid>
            <w:tr w14:paraId="439201F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tcBorders>
                    <w:tl2br w:val="nil"/>
                    <w:tr2bl w:val="nil"/>
                  </w:tcBorders>
                  <w:vAlign w:val="center"/>
                </w:tcPr>
                <w:p w14:paraId="7EDC79B1">
                  <w:pPr>
                    <w:jc w:val="center"/>
                    <w:rPr>
                      <w:b/>
                      <w:bCs/>
                      <w:color w:val="auto"/>
                      <w:highlight w:val="none"/>
                    </w:rPr>
                  </w:pPr>
                  <w:r>
                    <w:rPr>
                      <w:b/>
                      <w:bCs/>
                      <w:color w:val="auto"/>
                      <w:highlight w:val="none"/>
                    </w:rPr>
                    <w:t>污染源</w:t>
                  </w:r>
                </w:p>
              </w:tc>
              <w:tc>
                <w:tcPr>
                  <w:tcW w:w="2265" w:type="dxa"/>
                  <w:tcBorders>
                    <w:tl2br w:val="nil"/>
                    <w:tr2bl w:val="nil"/>
                  </w:tcBorders>
                  <w:vAlign w:val="center"/>
                </w:tcPr>
                <w:p w14:paraId="6B35853E">
                  <w:pPr>
                    <w:jc w:val="center"/>
                    <w:rPr>
                      <w:b/>
                      <w:bCs/>
                      <w:color w:val="auto"/>
                      <w:highlight w:val="none"/>
                    </w:rPr>
                  </w:pPr>
                  <w:r>
                    <w:rPr>
                      <w:b/>
                      <w:bCs/>
                      <w:color w:val="auto"/>
                      <w:highlight w:val="none"/>
                    </w:rPr>
                    <w:t>污染物</w:t>
                  </w:r>
                </w:p>
              </w:tc>
              <w:tc>
                <w:tcPr>
                  <w:tcW w:w="2265" w:type="dxa"/>
                  <w:tcBorders>
                    <w:tl2br w:val="nil"/>
                    <w:tr2bl w:val="nil"/>
                  </w:tcBorders>
                  <w:vAlign w:val="center"/>
                </w:tcPr>
                <w:p w14:paraId="7F4584CB">
                  <w:pPr>
                    <w:jc w:val="center"/>
                    <w:rPr>
                      <w:b/>
                      <w:bCs/>
                      <w:color w:val="auto"/>
                      <w:highlight w:val="none"/>
                    </w:rPr>
                  </w:pPr>
                  <w:r>
                    <w:rPr>
                      <w:b/>
                      <w:bCs/>
                      <w:color w:val="auto"/>
                      <w:highlight w:val="none"/>
                    </w:rPr>
                    <w:t>废水排放量t/a</w:t>
                  </w:r>
                </w:p>
              </w:tc>
              <w:tc>
                <w:tcPr>
                  <w:tcW w:w="2100" w:type="dxa"/>
                  <w:tcBorders>
                    <w:tl2br w:val="nil"/>
                    <w:tr2bl w:val="nil"/>
                  </w:tcBorders>
                  <w:vAlign w:val="center"/>
                </w:tcPr>
                <w:p w14:paraId="290467E4">
                  <w:pPr>
                    <w:jc w:val="center"/>
                    <w:rPr>
                      <w:b/>
                      <w:bCs/>
                      <w:color w:val="auto"/>
                      <w:highlight w:val="none"/>
                    </w:rPr>
                  </w:pPr>
                  <w:r>
                    <w:rPr>
                      <w:b/>
                      <w:bCs/>
                      <w:color w:val="auto"/>
                      <w:highlight w:val="none"/>
                    </w:rPr>
                    <w:t>排放浓度mg/L</w:t>
                  </w:r>
                </w:p>
              </w:tc>
              <w:tc>
                <w:tcPr>
                  <w:tcW w:w="1890" w:type="dxa"/>
                  <w:tcBorders>
                    <w:tl2br w:val="nil"/>
                    <w:tr2bl w:val="nil"/>
                  </w:tcBorders>
                  <w:vAlign w:val="center"/>
                </w:tcPr>
                <w:p w14:paraId="29127151">
                  <w:pPr>
                    <w:jc w:val="center"/>
                    <w:rPr>
                      <w:rFonts w:hint="eastAsia"/>
                      <w:b/>
                      <w:bCs/>
                      <w:color w:val="auto"/>
                      <w:highlight w:val="none"/>
                    </w:rPr>
                  </w:pPr>
                  <w:r>
                    <w:rPr>
                      <w:b/>
                      <w:bCs/>
                      <w:color w:val="auto"/>
                      <w:highlight w:val="none"/>
                    </w:rPr>
                    <w:t>排放量t/a</w:t>
                  </w:r>
                </w:p>
              </w:tc>
            </w:tr>
            <w:tr w14:paraId="35876E1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restart"/>
                  <w:tcBorders>
                    <w:tl2br w:val="nil"/>
                    <w:tr2bl w:val="nil"/>
                  </w:tcBorders>
                  <w:vAlign w:val="center"/>
                </w:tcPr>
                <w:p w14:paraId="042CE52C">
                  <w:pPr>
                    <w:jc w:val="center"/>
                    <w:rPr>
                      <w:rFonts w:hint="default" w:eastAsia="宋体"/>
                      <w:b w:val="0"/>
                      <w:bCs w:val="0"/>
                      <w:color w:val="auto"/>
                      <w:highlight w:val="none"/>
                      <w:lang w:val="en-US" w:eastAsia="zh-CN"/>
                    </w:rPr>
                  </w:pPr>
                  <w:r>
                    <w:rPr>
                      <w:rFonts w:hint="eastAsia"/>
                      <w:b w:val="0"/>
                      <w:bCs w:val="0"/>
                      <w:color w:val="auto"/>
                      <w:highlight w:val="none"/>
                      <w:lang w:val="en-US" w:eastAsia="zh-CN"/>
                    </w:rPr>
                    <w:t>生产废水</w:t>
                  </w:r>
                </w:p>
              </w:tc>
              <w:tc>
                <w:tcPr>
                  <w:tcW w:w="2265" w:type="dxa"/>
                  <w:tcBorders>
                    <w:tl2br w:val="nil"/>
                    <w:tr2bl w:val="nil"/>
                  </w:tcBorders>
                  <w:shd w:val="clear" w:color="auto" w:fill="auto"/>
                  <w:vAlign w:val="center"/>
                </w:tcPr>
                <w:p w14:paraId="14AD0315">
                  <w:pPr>
                    <w:widowControl w:val="0"/>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化学需氧量</w:t>
                  </w:r>
                </w:p>
              </w:tc>
              <w:tc>
                <w:tcPr>
                  <w:tcW w:w="2265" w:type="dxa"/>
                  <w:vMerge w:val="restart"/>
                  <w:tcBorders>
                    <w:tl2br w:val="nil"/>
                    <w:tr2bl w:val="nil"/>
                  </w:tcBorders>
                  <w:vAlign w:val="center"/>
                </w:tcPr>
                <w:p w14:paraId="5914EF74">
                  <w:pPr>
                    <w:jc w:val="center"/>
                    <w:rPr>
                      <w:rFonts w:hint="default" w:eastAsia="宋体"/>
                      <w:b w:val="0"/>
                      <w:bCs w:val="0"/>
                      <w:color w:val="auto"/>
                      <w:highlight w:val="none"/>
                      <w:lang w:val="en-US" w:eastAsia="zh-CN"/>
                    </w:rPr>
                  </w:pPr>
                  <w:r>
                    <w:rPr>
                      <w:rFonts w:hint="eastAsia"/>
                      <w:b w:val="0"/>
                      <w:bCs w:val="0"/>
                      <w:color w:val="auto"/>
                      <w:highlight w:val="none"/>
                      <w:lang w:val="en-US" w:eastAsia="zh-CN"/>
                    </w:rPr>
                    <w:t>24750t/a</w:t>
                  </w:r>
                </w:p>
              </w:tc>
              <w:tc>
                <w:tcPr>
                  <w:tcW w:w="2100" w:type="dxa"/>
                  <w:tcBorders>
                    <w:tl2br w:val="nil"/>
                    <w:tr2bl w:val="nil"/>
                  </w:tcBorders>
                  <w:shd w:val="clear" w:color="auto" w:fill="auto"/>
                  <w:vAlign w:val="center"/>
                </w:tcPr>
                <w:p w14:paraId="59B9489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46</w:t>
                  </w:r>
                </w:p>
              </w:tc>
              <w:tc>
                <w:tcPr>
                  <w:tcW w:w="1890" w:type="dxa"/>
                  <w:tcBorders>
                    <w:tl2br w:val="nil"/>
                    <w:tr2bl w:val="nil"/>
                  </w:tcBorders>
                  <w:vAlign w:val="center"/>
                </w:tcPr>
                <w:p w14:paraId="147F73AC">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1.1385 </w:t>
                  </w:r>
                </w:p>
              </w:tc>
            </w:tr>
            <w:tr w14:paraId="5BE9C80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37C02FB2">
                  <w:pPr>
                    <w:jc w:val="center"/>
                    <w:rPr>
                      <w:b w:val="0"/>
                      <w:bCs w:val="0"/>
                      <w:color w:val="auto"/>
                      <w:highlight w:val="none"/>
                    </w:rPr>
                  </w:pPr>
                </w:p>
              </w:tc>
              <w:tc>
                <w:tcPr>
                  <w:tcW w:w="2265" w:type="dxa"/>
                  <w:tcBorders>
                    <w:tl2br w:val="nil"/>
                    <w:tr2bl w:val="nil"/>
                  </w:tcBorders>
                  <w:shd w:val="clear" w:color="auto" w:fill="auto"/>
                  <w:vAlign w:val="center"/>
                </w:tcPr>
                <w:p w14:paraId="3D4A169C">
                  <w:pPr>
                    <w:widowControl w:val="0"/>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悬浮物</w:t>
                  </w:r>
                </w:p>
              </w:tc>
              <w:tc>
                <w:tcPr>
                  <w:tcW w:w="2265" w:type="dxa"/>
                  <w:vMerge w:val="continue"/>
                  <w:tcBorders>
                    <w:tl2br w:val="nil"/>
                    <w:tr2bl w:val="nil"/>
                  </w:tcBorders>
                  <w:vAlign w:val="center"/>
                </w:tcPr>
                <w:p w14:paraId="54C93201">
                  <w:pPr>
                    <w:jc w:val="center"/>
                    <w:rPr>
                      <w:b w:val="0"/>
                      <w:bCs w:val="0"/>
                      <w:color w:val="auto"/>
                      <w:highlight w:val="none"/>
                    </w:rPr>
                  </w:pPr>
                </w:p>
              </w:tc>
              <w:tc>
                <w:tcPr>
                  <w:tcW w:w="2100" w:type="dxa"/>
                  <w:tcBorders>
                    <w:tl2br w:val="nil"/>
                    <w:tr2bl w:val="nil"/>
                  </w:tcBorders>
                  <w:shd w:val="clear" w:color="auto" w:fill="auto"/>
                  <w:vAlign w:val="center"/>
                </w:tcPr>
                <w:p w14:paraId="53B82B8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33</w:t>
                  </w:r>
                </w:p>
              </w:tc>
              <w:tc>
                <w:tcPr>
                  <w:tcW w:w="1890" w:type="dxa"/>
                  <w:tcBorders>
                    <w:tl2br w:val="nil"/>
                    <w:tr2bl w:val="nil"/>
                  </w:tcBorders>
                  <w:vAlign w:val="center"/>
                </w:tcPr>
                <w:p w14:paraId="660A33B9">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0.8168 </w:t>
                  </w:r>
                </w:p>
              </w:tc>
            </w:tr>
            <w:tr w14:paraId="3505C15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29C4C4A4">
                  <w:pPr>
                    <w:jc w:val="center"/>
                    <w:rPr>
                      <w:b w:val="0"/>
                      <w:bCs w:val="0"/>
                      <w:color w:val="auto"/>
                      <w:highlight w:val="none"/>
                    </w:rPr>
                  </w:pPr>
                </w:p>
              </w:tc>
              <w:tc>
                <w:tcPr>
                  <w:tcW w:w="2265" w:type="dxa"/>
                  <w:tcBorders>
                    <w:tl2br w:val="nil"/>
                    <w:tr2bl w:val="nil"/>
                  </w:tcBorders>
                  <w:shd w:val="clear" w:color="auto" w:fill="auto"/>
                  <w:vAlign w:val="center"/>
                </w:tcPr>
                <w:p w14:paraId="5861B9E4">
                  <w:pPr>
                    <w:widowControl w:val="0"/>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氨氮</w:t>
                  </w:r>
                </w:p>
              </w:tc>
              <w:tc>
                <w:tcPr>
                  <w:tcW w:w="2265" w:type="dxa"/>
                  <w:vMerge w:val="continue"/>
                  <w:tcBorders>
                    <w:tl2br w:val="nil"/>
                    <w:tr2bl w:val="nil"/>
                  </w:tcBorders>
                  <w:vAlign w:val="center"/>
                </w:tcPr>
                <w:p w14:paraId="17B502B1">
                  <w:pPr>
                    <w:jc w:val="center"/>
                    <w:rPr>
                      <w:b w:val="0"/>
                      <w:bCs w:val="0"/>
                      <w:color w:val="auto"/>
                      <w:highlight w:val="none"/>
                    </w:rPr>
                  </w:pPr>
                </w:p>
              </w:tc>
              <w:tc>
                <w:tcPr>
                  <w:tcW w:w="2100" w:type="dxa"/>
                  <w:tcBorders>
                    <w:tl2br w:val="nil"/>
                    <w:tr2bl w:val="nil"/>
                  </w:tcBorders>
                  <w:shd w:val="clear" w:color="auto" w:fill="auto"/>
                  <w:vAlign w:val="center"/>
                </w:tcPr>
                <w:p w14:paraId="167F842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0.824</w:t>
                  </w:r>
                </w:p>
              </w:tc>
              <w:tc>
                <w:tcPr>
                  <w:tcW w:w="1890" w:type="dxa"/>
                  <w:tcBorders>
                    <w:tl2br w:val="nil"/>
                    <w:tr2bl w:val="nil"/>
                  </w:tcBorders>
                  <w:vAlign w:val="center"/>
                </w:tcPr>
                <w:p w14:paraId="2F530960">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0.0204 </w:t>
                  </w:r>
                </w:p>
              </w:tc>
            </w:tr>
            <w:tr w14:paraId="7EA60E2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71469119">
                  <w:pPr>
                    <w:jc w:val="center"/>
                    <w:rPr>
                      <w:b w:val="0"/>
                      <w:bCs w:val="0"/>
                      <w:color w:val="auto"/>
                      <w:highlight w:val="none"/>
                    </w:rPr>
                  </w:pPr>
                </w:p>
              </w:tc>
              <w:tc>
                <w:tcPr>
                  <w:tcW w:w="2265" w:type="dxa"/>
                  <w:tcBorders>
                    <w:tl2br w:val="nil"/>
                    <w:tr2bl w:val="nil"/>
                  </w:tcBorders>
                  <w:shd w:val="clear" w:color="auto" w:fill="auto"/>
                  <w:vAlign w:val="center"/>
                </w:tcPr>
                <w:p w14:paraId="4F518A1F">
                  <w:pPr>
                    <w:widowControl w:val="0"/>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总磷</w:t>
                  </w:r>
                </w:p>
              </w:tc>
              <w:tc>
                <w:tcPr>
                  <w:tcW w:w="2265" w:type="dxa"/>
                  <w:vMerge w:val="continue"/>
                  <w:tcBorders>
                    <w:tl2br w:val="nil"/>
                    <w:tr2bl w:val="nil"/>
                  </w:tcBorders>
                  <w:vAlign w:val="center"/>
                </w:tcPr>
                <w:p w14:paraId="7D11A788">
                  <w:pPr>
                    <w:jc w:val="center"/>
                    <w:rPr>
                      <w:b w:val="0"/>
                      <w:bCs w:val="0"/>
                      <w:color w:val="auto"/>
                      <w:highlight w:val="none"/>
                    </w:rPr>
                  </w:pPr>
                </w:p>
              </w:tc>
              <w:tc>
                <w:tcPr>
                  <w:tcW w:w="2100" w:type="dxa"/>
                  <w:tcBorders>
                    <w:tl2br w:val="nil"/>
                    <w:tr2bl w:val="nil"/>
                  </w:tcBorders>
                  <w:shd w:val="clear" w:color="auto" w:fill="auto"/>
                  <w:vAlign w:val="center"/>
                </w:tcPr>
                <w:p w14:paraId="6CF3A86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0.26</w:t>
                  </w:r>
                </w:p>
              </w:tc>
              <w:tc>
                <w:tcPr>
                  <w:tcW w:w="1890" w:type="dxa"/>
                  <w:tcBorders>
                    <w:tl2br w:val="nil"/>
                    <w:tr2bl w:val="nil"/>
                  </w:tcBorders>
                  <w:vAlign w:val="center"/>
                </w:tcPr>
                <w:p w14:paraId="4534D30E">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0.0064 </w:t>
                  </w:r>
                </w:p>
              </w:tc>
            </w:tr>
            <w:tr w14:paraId="3BC447C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6C57C642">
                  <w:pPr>
                    <w:jc w:val="center"/>
                    <w:rPr>
                      <w:b w:val="0"/>
                      <w:bCs w:val="0"/>
                      <w:color w:val="auto"/>
                      <w:highlight w:val="none"/>
                    </w:rPr>
                  </w:pPr>
                </w:p>
              </w:tc>
              <w:tc>
                <w:tcPr>
                  <w:tcW w:w="2265" w:type="dxa"/>
                  <w:tcBorders>
                    <w:tl2br w:val="nil"/>
                    <w:tr2bl w:val="nil"/>
                  </w:tcBorders>
                  <w:shd w:val="clear" w:color="auto" w:fill="auto"/>
                  <w:vAlign w:val="center"/>
                </w:tcPr>
                <w:p w14:paraId="5D10D840">
                  <w:pPr>
                    <w:widowControl w:val="0"/>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总氮</w:t>
                  </w:r>
                </w:p>
              </w:tc>
              <w:tc>
                <w:tcPr>
                  <w:tcW w:w="2265" w:type="dxa"/>
                  <w:vMerge w:val="continue"/>
                  <w:tcBorders>
                    <w:tl2br w:val="nil"/>
                    <w:tr2bl w:val="nil"/>
                  </w:tcBorders>
                  <w:vAlign w:val="center"/>
                </w:tcPr>
                <w:p w14:paraId="0568B305">
                  <w:pPr>
                    <w:jc w:val="center"/>
                    <w:rPr>
                      <w:b w:val="0"/>
                      <w:bCs w:val="0"/>
                      <w:color w:val="auto"/>
                      <w:highlight w:val="none"/>
                    </w:rPr>
                  </w:pPr>
                </w:p>
              </w:tc>
              <w:tc>
                <w:tcPr>
                  <w:tcW w:w="2100" w:type="dxa"/>
                  <w:tcBorders>
                    <w:tl2br w:val="nil"/>
                    <w:tr2bl w:val="nil"/>
                  </w:tcBorders>
                  <w:shd w:val="clear" w:color="auto" w:fill="auto"/>
                  <w:vAlign w:val="center"/>
                </w:tcPr>
                <w:p w14:paraId="1B0007D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7.405</w:t>
                  </w:r>
                </w:p>
              </w:tc>
              <w:tc>
                <w:tcPr>
                  <w:tcW w:w="1890" w:type="dxa"/>
                  <w:tcBorders>
                    <w:tl2br w:val="nil"/>
                    <w:tr2bl w:val="nil"/>
                  </w:tcBorders>
                  <w:vAlign w:val="center"/>
                </w:tcPr>
                <w:p w14:paraId="61BA935B">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0.1833 </w:t>
                  </w:r>
                </w:p>
              </w:tc>
            </w:tr>
            <w:tr w14:paraId="3532F6A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6D8BCAB8">
                  <w:pPr>
                    <w:jc w:val="center"/>
                    <w:rPr>
                      <w:b w:val="0"/>
                      <w:bCs w:val="0"/>
                      <w:color w:val="auto"/>
                      <w:highlight w:val="none"/>
                    </w:rPr>
                  </w:pPr>
                </w:p>
              </w:tc>
              <w:tc>
                <w:tcPr>
                  <w:tcW w:w="2265" w:type="dxa"/>
                  <w:tcBorders>
                    <w:tl2br w:val="nil"/>
                    <w:tr2bl w:val="nil"/>
                  </w:tcBorders>
                  <w:shd w:val="clear" w:color="auto" w:fill="auto"/>
                  <w:vAlign w:val="center"/>
                </w:tcPr>
                <w:p w14:paraId="61ED7E4E">
                  <w:pPr>
                    <w:widowControl w:val="0"/>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五日生化需氧量</w:t>
                  </w:r>
                </w:p>
              </w:tc>
              <w:tc>
                <w:tcPr>
                  <w:tcW w:w="2265" w:type="dxa"/>
                  <w:vMerge w:val="continue"/>
                  <w:tcBorders>
                    <w:tl2br w:val="nil"/>
                    <w:tr2bl w:val="nil"/>
                  </w:tcBorders>
                  <w:vAlign w:val="center"/>
                </w:tcPr>
                <w:p w14:paraId="1BFD31C5">
                  <w:pPr>
                    <w:jc w:val="center"/>
                    <w:rPr>
                      <w:b w:val="0"/>
                      <w:bCs w:val="0"/>
                      <w:color w:val="auto"/>
                      <w:highlight w:val="none"/>
                    </w:rPr>
                  </w:pPr>
                </w:p>
              </w:tc>
              <w:tc>
                <w:tcPr>
                  <w:tcW w:w="2100" w:type="dxa"/>
                  <w:tcBorders>
                    <w:tl2br w:val="nil"/>
                    <w:tr2bl w:val="nil"/>
                  </w:tcBorders>
                  <w:shd w:val="clear" w:color="auto" w:fill="auto"/>
                  <w:vAlign w:val="center"/>
                </w:tcPr>
                <w:p w14:paraId="566388F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11.45</w:t>
                  </w:r>
                </w:p>
              </w:tc>
              <w:tc>
                <w:tcPr>
                  <w:tcW w:w="1890" w:type="dxa"/>
                  <w:tcBorders>
                    <w:tl2br w:val="nil"/>
                    <w:tr2bl w:val="nil"/>
                  </w:tcBorders>
                  <w:vAlign w:val="center"/>
                </w:tcPr>
                <w:p w14:paraId="6A56664F">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0.2834 </w:t>
                  </w:r>
                </w:p>
              </w:tc>
            </w:tr>
            <w:tr w14:paraId="76A9B6D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75A145C5">
                  <w:pPr>
                    <w:jc w:val="center"/>
                    <w:rPr>
                      <w:b w:val="0"/>
                      <w:bCs w:val="0"/>
                      <w:color w:val="auto"/>
                      <w:highlight w:val="none"/>
                    </w:rPr>
                  </w:pPr>
                </w:p>
              </w:tc>
              <w:tc>
                <w:tcPr>
                  <w:tcW w:w="2265" w:type="dxa"/>
                  <w:tcBorders>
                    <w:tl2br w:val="nil"/>
                    <w:tr2bl w:val="nil"/>
                  </w:tcBorders>
                  <w:shd w:val="clear" w:color="auto" w:fill="auto"/>
                  <w:vAlign w:val="center"/>
                </w:tcPr>
                <w:p w14:paraId="0B6873A8">
                  <w:pPr>
                    <w:widowControl w:val="0"/>
                    <w:jc w:val="center"/>
                    <w:rPr>
                      <w:rFonts w:hint="default" w:eastAsia="宋体"/>
                      <w:b w:val="0"/>
                      <w:bCs w:val="0"/>
                      <w:color w:val="auto"/>
                      <w:szCs w:val="21"/>
                      <w:highlight w:val="none"/>
                      <w:lang w:val="en-US" w:eastAsia="zh-CN"/>
                    </w:rPr>
                  </w:pPr>
                  <w:r>
                    <w:rPr>
                      <w:rFonts w:hint="eastAsia"/>
                      <w:b w:val="0"/>
                      <w:bCs w:val="0"/>
                      <w:color w:val="auto"/>
                      <w:szCs w:val="21"/>
                      <w:highlight w:val="none"/>
                      <w:lang w:val="en-US" w:eastAsia="zh-CN"/>
                    </w:rPr>
                    <w:t>总铝</w:t>
                  </w:r>
                </w:p>
              </w:tc>
              <w:tc>
                <w:tcPr>
                  <w:tcW w:w="2265" w:type="dxa"/>
                  <w:vMerge w:val="continue"/>
                  <w:tcBorders>
                    <w:tl2br w:val="nil"/>
                    <w:tr2bl w:val="nil"/>
                  </w:tcBorders>
                  <w:vAlign w:val="center"/>
                </w:tcPr>
                <w:p w14:paraId="31EA2FB9">
                  <w:pPr>
                    <w:jc w:val="center"/>
                    <w:rPr>
                      <w:b w:val="0"/>
                      <w:bCs w:val="0"/>
                      <w:color w:val="auto"/>
                      <w:highlight w:val="none"/>
                    </w:rPr>
                  </w:pPr>
                </w:p>
              </w:tc>
              <w:tc>
                <w:tcPr>
                  <w:tcW w:w="2100" w:type="dxa"/>
                  <w:tcBorders>
                    <w:tl2br w:val="nil"/>
                    <w:tr2bl w:val="nil"/>
                  </w:tcBorders>
                  <w:shd w:val="clear" w:color="auto" w:fill="auto"/>
                  <w:vAlign w:val="center"/>
                </w:tcPr>
                <w:p w14:paraId="4BF3B1AC">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0.00115</w:t>
                  </w:r>
                </w:p>
              </w:tc>
              <w:tc>
                <w:tcPr>
                  <w:tcW w:w="1890" w:type="dxa"/>
                  <w:tcBorders>
                    <w:tl2br w:val="nil"/>
                    <w:tr2bl w:val="nil"/>
                  </w:tcBorders>
                  <w:vAlign w:val="center"/>
                </w:tcPr>
                <w:p w14:paraId="6BF499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0.000028</w:t>
                  </w:r>
                </w:p>
              </w:tc>
            </w:tr>
            <w:tr w14:paraId="406AB8D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restart"/>
                  <w:tcBorders>
                    <w:tl2br w:val="nil"/>
                    <w:tr2bl w:val="nil"/>
                  </w:tcBorders>
                  <w:vAlign w:val="center"/>
                </w:tcPr>
                <w:p w14:paraId="5D807079">
                  <w:pPr>
                    <w:jc w:val="center"/>
                    <w:rPr>
                      <w:rFonts w:hint="default" w:eastAsia="宋体"/>
                      <w:b w:val="0"/>
                      <w:bCs w:val="0"/>
                      <w:color w:val="auto"/>
                      <w:highlight w:val="none"/>
                      <w:lang w:val="en-US" w:eastAsia="zh-CN"/>
                    </w:rPr>
                  </w:pPr>
                  <w:r>
                    <w:rPr>
                      <w:rFonts w:hint="eastAsia"/>
                      <w:b w:val="0"/>
                      <w:bCs w:val="0"/>
                      <w:color w:val="auto"/>
                      <w:highlight w:val="none"/>
                      <w:lang w:val="en-US" w:eastAsia="zh-CN"/>
                    </w:rPr>
                    <w:t>生活污水</w:t>
                  </w:r>
                </w:p>
              </w:tc>
              <w:tc>
                <w:tcPr>
                  <w:tcW w:w="2265" w:type="dxa"/>
                  <w:tcBorders>
                    <w:tl2br w:val="nil"/>
                    <w:tr2bl w:val="nil"/>
                  </w:tcBorders>
                  <w:shd w:val="clear" w:color="auto" w:fill="auto"/>
                  <w:vAlign w:val="center"/>
                </w:tcPr>
                <w:p w14:paraId="7E2E92FE">
                  <w:pPr>
                    <w:widowControl w:val="0"/>
                    <w:spacing w:line="240" w:lineRule="auto"/>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化学需氧量</w:t>
                  </w:r>
                </w:p>
              </w:tc>
              <w:tc>
                <w:tcPr>
                  <w:tcW w:w="2265" w:type="dxa"/>
                  <w:vMerge w:val="restart"/>
                  <w:tcBorders>
                    <w:tl2br w:val="nil"/>
                    <w:tr2bl w:val="nil"/>
                  </w:tcBorders>
                  <w:vAlign w:val="center"/>
                </w:tcPr>
                <w:p w14:paraId="10165617">
                  <w:pPr>
                    <w:jc w:val="center"/>
                    <w:rPr>
                      <w:rFonts w:hint="default" w:eastAsia="宋体"/>
                      <w:b w:val="0"/>
                      <w:bCs w:val="0"/>
                      <w:color w:val="auto"/>
                      <w:highlight w:val="none"/>
                      <w:lang w:val="en-US" w:eastAsia="zh-CN"/>
                    </w:rPr>
                  </w:pPr>
                  <w:r>
                    <w:rPr>
                      <w:rFonts w:hint="eastAsia"/>
                      <w:b w:val="0"/>
                      <w:bCs w:val="0"/>
                      <w:color w:val="auto"/>
                      <w:highlight w:val="none"/>
                      <w:lang w:val="en-US" w:eastAsia="zh-CN"/>
                    </w:rPr>
                    <w:t>12960t/a</w:t>
                  </w:r>
                </w:p>
              </w:tc>
              <w:tc>
                <w:tcPr>
                  <w:tcW w:w="2100" w:type="dxa"/>
                  <w:tcBorders>
                    <w:tl2br w:val="nil"/>
                    <w:tr2bl w:val="nil"/>
                  </w:tcBorders>
                  <w:shd w:val="clear" w:color="auto" w:fill="auto"/>
                  <w:vAlign w:val="center"/>
                </w:tcPr>
                <w:p w14:paraId="2B863F2C">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134</w:t>
                  </w:r>
                </w:p>
              </w:tc>
              <w:tc>
                <w:tcPr>
                  <w:tcW w:w="1890" w:type="dxa"/>
                  <w:tcBorders>
                    <w:tl2br w:val="nil"/>
                    <w:tr2bl w:val="nil"/>
                  </w:tcBorders>
                  <w:vAlign w:val="center"/>
                </w:tcPr>
                <w:p w14:paraId="54A18B34">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1.7366 </w:t>
                  </w:r>
                </w:p>
              </w:tc>
            </w:tr>
            <w:tr w14:paraId="43FFBE7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09A89245">
                  <w:pPr>
                    <w:jc w:val="center"/>
                    <w:rPr>
                      <w:b w:val="0"/>
                      <w:bCs w:val="0"/>
                      <w:color w:val="auto"/>
                      <w:highlight w:val="none"/>
                    </w:rPr>
                  </w:pPr>
                </w:p>
              </w:tc>
              <w:tc>
                <w:tcPr>
                  <w:tcW w:w="2265" w:type="dxa"/>
                  <w:tcBorders>
                    <w:tl2br w:val="nil"/>
                    <w:tr2bl w:val="nil"/>
                  </w:tcBorders>
                  <w:shd w:val="clear" w:color="auto" w:fill="auto"/>
                  <w:vAlign w:val="center"/>
                </w:tcPr>
                <w:p w14:paraId="26B381C3">
                  <w:pPr>
                    <w:widowControl w:val="0"/>
                    <w:spacing w:line="240" w:lineRule="auto"/>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动植物油</w:t>
                  </w:r>
                </w:p>
              </w:tc>
              <w:tc>
                <w:tcPr>
                  <w:tcW w:w="2265" w:type="dxa"/>
                  <w:vMerge w:val="continue"/>
                  <w:tcBorders>
                    <w:tl2br w:val="nil"/>
                    <w:tr2bl w:val="nil"/>
                  </w:tcBorders>
                  <w:vAlign w:val="center"/>
                </w:tcPr>
                <w:p w14:paraId="157C342C">
                  <w:pPr>
                    <w:jc w:val="center"/>
                    <w:rPr>
                      <w:b w:val="0"/>
                      <w:bCs w:val="0"/>
                      <w:color w:val="auto"/>
                      <w:highlight w:val="none"/>
                    </w:rPr>
                  </w:pPr>
                </w:p>
              </w:tc>
              <w:tc>
                <w:tcPr>
                  <w:tcW w:w="2100" w:type="dxa"/>
                  <w:tcBorders>
                    <w:tl2br w:val="nil"/>
                    <w:tr2bl w:val="nil"/>
                  </w:tcBorders>
                  <w:shd w:val="clear" w:color="auto" w:fill="auto"/>
                  <w:vAlign w:val="center"/>
                </w:tcPr>
                <w:p w14:paraId="3D95922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1.155</w:t>
                  </w:r>
                </w:p>
              </w:tc>
              <w:tc>
                <w:tcPr>
                  <w:tcW w:w="1890" w:type="dxa"/>
                  <w:tcBorders>
                    <w:tl2br w:val="nil"/>
                    <w:tr2bl w:val="nil"/>
                  </w:tcBorders>
                  <w:vAlign w:val="center"/>
                </w:tcPr>
                <w:p w14:paraId="18FDC594">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0.0150 </w:t>
                  </w:r>
                </w:p>
              </w:tc>
            </w:tr>
            <w:tr w14:paraId="50057BE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3C4C438D">
                  <w:pPr>
                    <w:jc w:val="center"/>
                    <w:rPr>
                      <w:b w:val="0"/>
                      <w:bCs w:val="0"/>
                      <w:color w:val="auto"/>
                      <w:highlight w:val="none"/>
                    </w:rPr>
                  </w:pPr>
                </w:p>
              </w:tc>
              <w:tc>
                <w:tcPr>
                  <w:tcW w:w="2265" w:type="dxa"/>
                  <w:tcBorders>
                    <w:tl2br w:val="nil"/>
                    <w:tr2bl w:val="nil"/>
                  </w:tcBorders>
                  <w:shd w:val="clear" w:color="auto" w:fill="auto"/>
                  <w:vAlign w:val="center"/>
                </w:tcPr>
                <w:p w14:paraId="78AD29AB">
                  <w:pPr>
                    <w:widowControl w:val="0"/>
                    <w:spacing w:line="240" w:lineRule="auto"/>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悬浮物</w:t>
                  </w:r>
                </w:p>
              </w:tc>
              <w:tc>
                <w:tcPr>
                  <w:tcW w:w="2265" w:type="dxa"/>
                  <w:vMerge w:val="continue"/>
                  <w:tcBorders>
                    <w:tl2br w:val="nil"/>
                    <w:tr2bl w:val="nil"/>
                  </w:tcBorders>
                  <w:vAlign w:val="center"/>
                </w:tcPr>
                <w:p w14:paraId="59CBF5D4">
                  <w:pPr>
                    <w:jc w:val="center"/>
                    <w:rPr>
                      <w:b w:val="0"/>
                      <w:bCs w:val="0"/>
                      <w:color w:val="auto"/>
                      <w:highlight w:val="none"/>
                    </w:rPr>
                  </w:pPr>
                </w:p>
              </w:tc>
              <w:tc>
                <w:tcPr>
                  <w:tcW w:w="2100" w:type="dxa"/>
                  <w:tcBorders>
                    <w:tl2br w:val="nil"/>
                    <w:tr2bl w:val="nil"/>
                  </w:tcBorders>
                  <w:shd w:val="clear" w:color="auto" w:fill="auto"/>
                  <w:vAlign w:val="center"/>
                </w:tcPr>
                <w:p w14:paraId="2D4AF70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88.5</w:t>
                  </w:r>
                </w:p>
              </w:tc>
              <w:tc>
                <w:tcPr>
                  <w:tcW w:w="1890" w:type="dxa"/>
                  <w:tcBorders>
                    <w:tl2br w:val="nil"/>
                    <w:tr2bl w:val="nil"/>
                  </w:tcBorders>
                  <w:vAlign w:val="center"/>
                </w:tcPr>
                <w:p w14:paraId="7285ACE8">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1.1470 </w:t>
                  </w:r>
                </w:p>
              </w:tc>
            </w:tr>
            <w:tr w14:paraId="475626A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1EE6535E">
                  <w:pPr>
                    <w:jc w:val="center"/>
                    <w:rPr>
                      <w:b w:val="0"/>
                      <w:bCs w:val="0"/>
                      <w:color w:val="auto"/>
                      <w:highlight w:val="none"/>
                    </w:rPr>
                  </w:pPr>
                </w:p>
              </w:tc>
              <w:tc>
                <w:tcPr>
                  <w:tcW w:w="2265" w:type="dxa"/>
                  <w:tcBorders>
                    <w:tl2br w:val="nil"/>
                    <w:tr2bl w:val="nil"/>
                  </w:tcBorders>
                  <w:shd w:val="clear" w:color="auto" w:fill="auto"/>
                  <w:vAlign w:val="center"/>
                </w:tcPr>
                <w:p w14:paraId="30B33D19">
                  <w:pPr>
                    <w:widowControl w:val="0"/>
                    <w:spacing w:line="240" w:lineRule="auto"/>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氨氮</w:t>
                  </w:r>
                </w:p>
              </w:tc>
              <w:tc>
                <w:tcPr>
                  <w:tcW w:w="2265" w:type="dxa"/>
                  <w:vMerge w:val="continue"/>
                  <w:tcBorders>
                    <w:tl2br w:val="nil"/>
                    <w:tr2bl w:val="nil"/>
                  </w:tcBorders>
                  <w:vAlign w:val="center"/>
                </w:tcPr>
                <w:p w14:paraId="2C827740">
                  <w:pPr>
                    <w:jc w:val="center"/>
                    <w:rPr>
                      <w:b w:val="0"/>
                      <w:bCs w:val="0"/>
                      <w:color w:val="auto"/>
                      <w:highlight w:val="none"/>
                    </w:rPr>
                  </w:pPr>
                </w:p>
              </w:tc>
              <w:tc>
                <w:tcPr>
                  <w:tcW w:w="2100" w:type="dxa"/>
                  <w:tcBorders>
                    <w:tl2br w:val="nil"/>
                    <w:tr2bl w:val="nil"/>
                  </w:tcBorders>
                  <w:shd w:val="clear" w:color="auto" w:fill="auto"/>
                  <w:vAlign w:val="center"/>
                </w:tcPr>
                <w:p w14:paraId="63C62B9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2.02</w:t>
                  </w:r>
                </w:p>
              </w:tc>
              <w:tc>
                <w:tcPr>
                  <w:tcW w:w="1890" w:type="dxa"/>
                  <w:tcBorders>
                    <w:tl2br w:val="nil"/>
                    <w:tr2bl w:val="nil"/>
                  </w:tcBorders>
                  <w:vAlign w:val="center"/>
                </w:tcPr>
                <w:p w14:paraId="5B35D151">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0.0262 </w:t>
                  </w:r>
                </w:p>
              </w:tc>
            </w:tr>
            <w:tr w14:paraId="77E8FCB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3A954AAE">
                  <w:pPr>
                    <w:jc w:val="center"/>
                    <w:rPr>
                      <w:b w:val="0"/>
                      <w:bCs w:val="0"/>
                      <w:color w:val="auto"/>
                      <w:highlight w:val="none"/>
                    </w:rPr>
                  </w:pPr>
                </w:p>
              </w:tc>
              <w:tc>
                <w:tcPr>
                  <w:tcW w:w="2265" w:type="dxa"/>
                  <w:tcBorders>
                    <w:tl2br w:val="nil"/>
                    <w:tr2bl w:val="nil"/>
                  </w:tcBorders>
                  <w:shd w:val="clear" w:color="auto" w:fill="auto"/>
                  <w:vAlign w:val="center"/>
                </w:tcPr>
                <w:p w14:paraId="20679AD9">
                  <w:pPr>
                    <w:widowControl w:val="0"/>
                    <w:spacing w:line="240" w:lineRule="auto"/>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总磷</w:t>
                  </w:r>
                </w:p>
              </w:tc>
              <w:tc>
                <w:tcPr>
                  <w:tcW w:w="2265" w:type="dxa"/>
                  <w:vMerge w:val="continue"/>
                  <w:tcBorders>
                    <w:tl2br w:val="nil"/>
                    <w:tr2bl w:val="nil"/>
                  </w:tcBorders>
                  <w:vAlign w:val="center"/>
                </w:tcPr>
                <w:p w14:paraId="3499B966">
                  <w:pPr>
                    <w:jc w:val="center"/>
                    <w:rPr>
                      <w:b w:val="0"/>
                      <w:bCs w:val="0"/>
                      <w:color w:val="auto"/>
                      <w:highlight w:val="none"/>
                    </w:rPr>
                  </w:pPr>
                </w:p>
              </w:tc>
              <w:tc>
                <w:tcPr>
                  <w:tcW w:w="2100" w:type="dxa"/>
                  <w:tcBorders>
                    <w:tl2br w:val="nil"/>
                    <w:tr2bl w:val="nil"/>
                  </w:tcBorders>
                  <w:shd w:val="clear" w:color="auto" w:fill="auto"/>
                  <w:vAlign w:val="center"/>
                </w:tcPr>
                <w:p w14:paraId="6565FC2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2.02</w:t>
                  </w:r>
                </w:p>
              </w:tc>
              <w:tc>
                <w:tcPr>
                  <w:tcW w:w="1890" w:type="dxa"/>
                  <w:tcBorders>
                    <w:tl2br w:val="nil"/>
                    <w:tr2bl w:val="nil"/>
                  </w:tcBorders>
                  <w:vAlign w:val="center"/>
                </w:tcPr>
                <w:p w14:paraId="3E0049E0">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0.0262 </w:t>
                  </w:r>
                </w:p>
              </w:tc>
            </w:tr>
            <w:tr w14:paraId="10C955C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173A37F8">
                  <w:pPr>
                    <w:jc w:val="center"/>
                    <w:rPr>
                      <w:b w:val="0"/>
                      <w:bCs w:val="0"/>
                      <w:color w:val="auto"/>
                      <w:highlight w:val="none"/>
                    </w:rPr>
                  </w:pPr>
                </w:p>
              </w:tc>
              <w:tc>
                <w:tcPr>
                  <w:tcW w:w="2265" w:type="dxa"/>
                  <w:tcBorders>
                    <w:tl2br w:val="nil"/>
                    <w:tr2bl w:val="nil"/>
                  </w:tcBorders>
                  <w:shd w:val="clear" w:color="auto" w:fill="auto"/>
                  <w:vAlign w:val="center"/>
                </w:tcPr>
                <w:p w14:paraId="018C97BA">
                  <w:pPr>
                    <w:widowControl w:val="0"/>
                    <w:spacing w:line="240" w:lineRule="auto"/>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总氮</w:t>
                  </w:r>
                </w:p>
              </w:tc>
              <w:tc>
                <w:tcPr>
                  <w:tcW w:w="2265" w:type="dxa"/>
                  <w:vMerge w:val="continue"/>
                  <w:tcBorders>
                    <w:tl2br w:val="nil"/>
                    <w:tr2bl w:val="nil"/>
                  </w:tcBorders>
                  <w:vAlign w:val="center"/>
                </w:tcPr>
                <w:p w14:paraId="5FCBBDE8">
                  <w:pPr>
                    <w:jc w:val="center"/>
                    <w:rPr>
                      <w:b w:val="0"/>
                      <w:bCs w:val="0"/>
                      <w:color w:val="auto"/>
                      <w:highlight w:val="none"/>
                    </w:rPr>
                  </w:pPr>
                </w:p>
              </w:tc>
              <w:tc>
                <w:tcPr>
                  <w:tcW w:w="2100" w:type="dxa"/>
                  <w:tcBorders>
                    <w:tl2br w:val="nil"/>
                    <w:tr2bl w:val="nil"/>
                  </w:tcBorders>
                  <w:shd w:val="clear" w:color="auto" w:fill="auto"/>
                  <w:vAlign w:val="center"/>
                </w:tcPr>
                <w:p w14:paraId="194C56E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21.165</w:t>
                  </w:r>
                </w:p>
              </w:tc>
              <w:tc>
                <w:tcPr>
                  <w:tcW w:w="1890" w:type="dxa"/>
                  <w:tcBorders>
                    <w:tl2br w:val="nil"/>
                    <w:tr2bl w:val="nil"/>
                  </w:tcBorders>
                  <w:vAlign w:val="center"/>
                </w:tcPr>
                <w:p w14:paraId="679582F8">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0.2743 </w:t>
                  </w:r>
                </w:p>
              </w:tc>
            </w:tr>
            <w:tr w14:paraId="63DEB3B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48C3A819">
                  <w:pPr>
                    <w:jc w:val="center"/>
                    <w:rPr>
                      <w:b w:val="0"/>
                      <w:bCs w:val="0"/>
                      <w:color w:val="auto"/>
                      <w:highlight w:val="none"/>
                    </w:rPr>
                  </w:pPr>
                </w:p>
              </w:tc>
              <w:tc>
                <w:tcPr>
                  <w:tcW w:w="2265" w:type="dxa"/>
                  <w:tcBorders>
                    <w:tl2br w:val="nil"/>
                    <w:tr2bl w:val="nil"/>
                  </w:tcBorders>
                  <w:shd w:val="clear" w:color="auto" w:fill="auto"/>
                  <w:vAlign w:val="center"/>
                </w:tcPr>
                <w:p w14:paraId="52A1C011">
                  <w:pPr>
                    <w:widowControl w:val="0"/>
                    <w:spacing w:line="240" w:lineRule="auto"/>
                    <w:jc w:val="center"/>
                    <w:rPr>
                      <w:rFonts w:ascii="Times New Roman" w:hAnsi="Times New Roman" w:eastAsia="宋体" w:cs="Times New Roman"/>
                      <w:b w:val="0"/>
                      <w:bCs w:val="0"/>
                      <w:color w:val="auto"/>
                      <w:kern w:val="2"/>
                      <w:sz w:val="21"/>
                      <w:szCs w:val="21"/>
                      <w:highlight w:val="none"/>
                      <w:lang w:val="en-US" w:eastAsia="zh-CN" w:bidi="ar-SA"/>
                    </w:rPr>
                  </w:pPr>
                  <w:r>
                    <w:rPr>
                      <w:b w:val="0"/>
                      <w:bCs w:val="0"/>
                      <w:color w:val="auto"/>
                      <w:szCs w:val="21"/>
                      <w:highlight w:val="none"/>
                    </w:rPr>
                    <w:t>五日生化需氧量</w:t>
                  </w:r>
                </w:p>
              </w:tc>
              <w:tc>
                <w:tcPr>
                  <w:tcW w:w="2265" w:type="dxa"/>
                  <w:vMerge w:val="continue"/>
                  <w:tcBorders>
                    <w:tl2br w:val="nil"/>
                    <w:tr2bl w:val="nil"/>
                  </w:tcBorders>
                  <w:vAlign w:val="center"/>
                </w:tcPr>
                <w:p w14:paraId="25A8EB65">
                  <w:pPr>
                    <w:jc w:val="center"/>
                    <w:rPr>
                      <w:b w:val="0"/>
                      <w:bCs w:val="0"/>
                      <w:color w:val="auto"/>
                      <w:highlight w:val="none"/>
                    </w:rPr>
                  </w:pPr>
                </w:p>
              </w:tc>
              <w:tc>
                <w:tcPr>
                  <w:tcW w:w="2100" w:type="dxa"/>
                  <w:tcBorders>
                    <w:tl2br w:val="nil"/>
                    <w:tr2bl w:val="nil"/>
                  </w:tcBorders>
                  <w:shd w:val="clear" w:color="auto" w:fill="auto"/>
                  <w:vAlign w:val="center"/>
                </w:tcPr>
                <w:p w14:paraId="0830B41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60.35</w:t>
                  </w:r>
                </w:p>
              </w:tc>
              <w:tc>
                <w:tcPr>
                  <w:tcW w:w="1890" w:type="dxa"/>
                  <w:tcBorders>
                    <w:tl2br w:val="nil"/>
                    <w:tr2bl w:val="nil"/>
                  </w:tcBorders>
                  <w:vAlign w:val="center"/>
                </w:tcPr>
                <w:p w14:paraId="3FEA89EB">
                  <w:pPr>
                    <w:keepNext w:val="0"/>
                    <w:keepLines w:val="0"/>
                    <w:widowControl/>
                    <w:suppressLineNumbers w:val="0"/>
                    <w:jc w:val="center"/>
                    <w:textAlignment w:val="center"/>
                    <w:rPr>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0.7821 </w:t>
                  </w:r>
                </w:p>
              </w:tc>
            </w:tr>
            <w:tr w14:paraId="14C1F7D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restart"/>
                  <w:tcBorders>
                    <w:tl2br w:val="nil"/>
                    <w:tr2bl w:val="nil"/>
                  </w:tcBorders>
                  <w:vAlign w:val="center"/>
                </w:tcPr>
                <w:p w14:paraId="536192BB">
                  <w:pPr>
                    <w:jc w:val="center"/>
                    <w:rPr>
                      <w:b w:val="0"/>
                      <w:bCs w:val="0"/>
                      <w:color w:val="auto"/>
                      <w:highlight w:val="none"/>
                    </w:rPr>
                  </w:pPr>
                  <w:r>
                    <w:rPr>
                      <w:rFonts w:hint="eastAsia"/>
                      <w:b w:val="0"/>
                      <w:bCs w:val="0"/>
                      <w:color w:val="auto"/>
                      <w:highlight w:val="none"/>
                    </w:rPr>
                    <w:t>综合废水排放</w:t>
                  </w:r>
                </w:p>
              </w:tc>
              <w:tc>
                <w:tcPr>
                  <w:tcW w:w="2265" w:type="dxa"/>
                  <w:tcBorders>
                    <w:tl2br w:val="nil"/>
                    <w:tr2bl w:val="nil"/>
                  </w:tcBorders>
                  <w:vAlign w:val="center"/>
                </w:tcPr>
                <w:p w14:paraId="6146E666">
                  <w:pPr>
                    <w:widowControl w:val="0"/>
                    <w:spacing w:line="240" w:lineRule="auto"/>
                    <w:jc w:val="center"/>
                    <w:rPr>
                      <w:b w:val="0"/>
                      <w:bCs w:val="0"/>
                      <w:color w:val="auto"/>
                      <w:szCs w:val="21"/>
                      <w:highlight w:val="none"/>
                    </w:rPr>
                  </w:pPr>
                  <w:r>
                    <w:rPr>
                      <w:b w:val="0"/>
                      <w:bCs w:val="0"/>
                      <w:color w:val="auto"/>
                      <w:szCs w:val="21"/>
                      <w:highlight w:val="none"/>
                    </w:rPr>
                    <w:t>化学需氧量</w:t>
                  </w:r>
                </w:p>
              </w:tc>
              <w:tc>
                <w:tcPr>
                  <w:tcW w:w="2265" w:type="dxa"/>
                  <w:vMerge w:val="restart"/>
                  <w:tcBorders>
                    <w:tl2br w:val="nil"/>
                    <w:tr2bl w:val="nil"/>
                  </w:tcBorders>
                  <w:vAlign w:val="center"/>
                </w:tcPr>
                <w:p w14:paraId="7801C86B">
                  <w:pPr>
                    <w:jc w:val="center"/>
                    <w:rPr>
                      <w:b w:val="0"/>
                      <w:bCs w:val="0"/>
                      <w:color w:val="auto"/>
                      <w:highlight w:val="none"/>
                    </w:rPr>
                  </w:pPr>
                  <w:r>
                    <w:rPr>
                      <w:rFonts w:hint="eastAsia"/>
                      <w:b w:val="0"/>
                      <w:bCs w:val="0"/>
                      <w:color w:val="auto"/>
                      <w:highlight w:val="none"/>
                    </w:rPr>
                    <w:t>37710</w:t>
                  </w:r>
                  <w:r>
                    <w:rPr>
                      <w:b w:val="0"/>
                      <w:bCs w:val="0"/>
                      <w:color w:val="auto"/>
                      <w:highlight w:val="none"/>
                    </w:rPr>
                    <w:t>t/a</w:t>
                  </w:r>
                </w:p>
              </w:tc>
              <w:tc>
                <w:tcPr>
                  <w:tcW w:w="2100" w:type="dxa"/>
                  <w:tcBorders>
                    <w:tl2br w:val="nil"/>
                    <w:tr2bl w:val="nil"/>
                  </w:tcBorders>
                  <w:shd w:val="clear" w:color="auto" w:fill="auto"/>
                  <w:vAlign w:val="center"/>
                </w:tcPr>
                <w:p w14:paraId="7772AA40">
                  <w:pPr>
                    <w:keepNext w:val="0"/>
                    <w:keepLines w:val="0"/>
                    <w:widowControl/>
                    <w:suppressLineNumbers w:val="0"/>
                    <w:jc w:val="center"/>
                    <w:textAlignment w:val="center"/>
                    <w:rPr>
                      <w:rFonts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76.24 </w:t>
                  </w:r>
                </w:p>
              </w:tc>
              <w:tc>
                <w:tcPr>
                  <w:tcW w:w="1890" w:type="dxa"/>
                  <w:tcBorders>
                    <w:tl2br w:val="nil"/>
                    <w:tr2bl w:val="nil"/>
                  </w:tcBorders>
                  <w:vAlign w:val="center"/>
                </w:tcPr>
                <w:p w14:paraId="04FA6359">
                  <w:pPr>
                    <w:keepNext w:val="0"/>
                    <w:keepLines w:val="0"/>
                    <w:widowControl/>
                    <w:suppressLineNumbers w:val="0"/>
                    <w:jc w:val="center"/>
                    <w:textAlignment w:val="center"/>
                    <w:rPr>
                      <w:rFonts w:hint="eastAsia"/>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2.8751 </w:t>
                  </w:r>
                </w:p>
              </w:tc>
            </w:tr>
            <w:tr w14:paraId="048A8A3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704CE663">
                  <w:pPr>
                    <w:jc w:val="center"/>
                    <w:rPr>
                      <w:b w:val="0"/>
                      <w:bCs w:val="0"/>
                      <w:color w:val="auto"/>
                      <w:highlight w:val="none"/>
                    </w:rPr>
                  </w:pPr>
                </w:p>
              </w:tc>
              <w:tc>
                <w:tcPr>
                  <w:tcW w:w="2265" w:type="dxa"/>
                  <w:tcBorders>
                    <w:tl2br w:val="nil"/>
                    <w:tr2bl w:val="nil"/>
                  </w:tcBorders>
                  <w:vAlign w:val="center"/>
                </w:tcPr>
                <w:p w14:paraId="512F5F85">
                  <w:pPr>
                    <w:widowControl w:val="0"/>
                    <w:spacing w:line="240" w:lineRule="auto"/>
                    <w:jc w:val="center"/>
                    <w:rPr>
                      <w:b w:val="0"/>
                      <w:bCs w:val="0"/>
                      <w:color w:val="auto"/>
                      <w:szCs w:val="21"/>
                      <w:highlight w:val="none"/>
                    </w:rPr>
                  </w:pPr>
                  <w:r>
                    <w:rPr>
                      <w:b w:val="0"/>
                      <w:bCs w:val="0"/>
                      <w:color w:val="auto"/>
                      <w:szCs w:val="21"/>
                      <w:highlight w:val="none"/>
                    </w:rPr>
                    <w:t>动植物油</w:t>
                  </w:r>
                </w:p>
              </w:tc>
              <w:tc>
                <w:tcPr>
                  <w:tcW w:w="2265" w:type="dxa"/>
                  <w:vMerge w:val="continue"/>
                  <w:tcBorders>
                    <w:tl2br w:val="nil"/>
                    <w:tr2bl w:val="nil"/>
                  </w:tcBorders>
                  <w:vAlign w:val="center"/>
                </w:tcPr>
                <w:p w14:paraId="21705F63">
                  <w:pPr>
                    <w:jc w:val="center"/>
                    <w:rPr>
                      <w:b w:val="0"/>
                      <w:bCs w:val="0"/>
                      <w:color w:val="auto"/>
                      <w:highlight w:val="none"/>
                    </w:rPr>
                  </w:pPr>
                </w:p>
              </w:tc>
              <w:tc>
                <w:tcPr>
                  <w:tcW w:w="2100" w:type="dxa"/>
                  <w:tcBorders>
                    <w:tl2br w:val="nil"/>
                    <w:tr2bl w:val="nil"/>
                  </w:tcBorders>
                  <w:shd w:val="clear" w:color="auto" w:fill="auto"/>
                  <w:vAlign w:val="center"/>
                </w:tcPr>
                <w:p w14:paraId="6F082C48">
                  <w:pPr>
                    <w:keepNext w:val="0"/>
                    <w:keepLines w:val="0"/>
                    <w:widowControl/>
                    <w:suppressLineNumbers w:val="0"/>
                    <w:jc w:val="center"/>
                    <w:textAlignment w:val="center"/>
                    <w:rPr>
                      <w:rFonts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0.40 </w:t>
                  </w:r>
                </w:p>
              </w:tc>
              <w:tc>
                <w:tcPr>
                  <w:tcW w:w="1890" w:type="dxa"/>
                  <w:tcBorders>
                    <w:tl2br w:val="nil"/>
                    <w:tr2bl w:val="nil"/>
                  </w:tcBorders>
                  <w:vAlign w:val="center"/>
                </w:tcPr>
                <w:p w14:paraId="2797C5C3">
                  <w:pPr>
                    <w:keepNext w:val="0"/>
                    <w:keepLines w:val="0"/>
                    <w:widowControl/>
                    <w:suppressLineNumbers w:val="0"/>
                    <w:jc w:val="center"/>
                    <w:textAlignment w:val="center"/>
                    <w:rPr>
                      <w:rFonts w:hint="eastAsia"/>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0.0150 </w:t>
                  </w:r>
                </w:p>
              </w:tc>
            </w:tr>
            <w:tr w14:paraId="7C340FA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51E4C7DA">
                  <w:pPr>
                    <w:jc w:val="center"/>
                    <w:rPr>
                      <w:b w:val="0"/>
                      <w:bCs w:val="0"/>
                      <w:color w:val="auto"/>
                      <w:highlight w:val="none"/>
                    </w:rPr>
                  </w:pPr>
                </w:p>
              </w:tc>
              <w:tc>
                <w:tcPr>
                  <w:tcW w:w="2265" w:type="dxa"/>
                  <w:tcBorders>
                    <w:tl2br w:val="nil"/>
                    <w:tr2bl w:val="nil"/>
                  </w:tcBorders>
                  <w:vAlign w:val="center"/>
                </w:tcPr>
                <w:p w14:paraId="50D3E3AA">
                  <w:pPr>
                    <w:widowControl w:val="0"/>
                    <w:spacing w:line="240" w:lineRule="auto"/>
                    <w:jc w:val="center"/>
                    <w:rPr>
                      <w:b w:val="0"/>
                      <w:bCs w:val="0"/>
                      <w:color w:val="auto"/>
                      <w:szCs w:val="21"/>
                      <w:highlight w:val="none"/>
                    </w:rPr>
                  </w:pPr>
                  <w:r>
                    <w:rPr>
                      <w:b w:val="0"/>
                      <w:bCs w:val="0"/>
                      <w:color w:val="auto"/>
                      <w:szCs w:val="21"/>
                      <w:highlight w:val="none"/>
                    </w:rPr>
                    <w:t>悬浮物</w:t>
                  </w:r>
                </w:p>
              </w:tc>
              <w:tc>
                <w:tcPr>
                  <w:tcW w:w="2265" w:type="dxa"/>
                  <w:vMerge w:val="continue"/>
                  <w:tcBorders>
                    <w:tl2br w:val="nil"/>
                    <w:tr2bl w:val="nil"/>
                  </w:tcBorders>
                  <w:vAlign w:val="center"/>
                </w:tcPr>
                <w:p w14:paraId="6BD1D90E">
                  <w:pPr>
                    <w:jc w:val="center"/>
                    <w:rPr>
                      <w:b w:val="0"/>
                      <w:bCs w:val="0"/>
                      <w:color w:val="auto"/>
                      <w:highlight w:val="none"/>
                    </w:rPr>
                  </w:pPr>
                </w:p>
              </w:tc>
              <w:tc>
                <w:tcPr>
                  <w:tcW w:w="2100" w:type="dxa"/>
                  <w:tcBorders>
                    <w:tl2br w:val="nil"/>
                    <w:tr2bl w:val="nil"/>
                  </w:tcBorders>
                  <w:shd w:val="clear" w:color="auto" w:fill="auto"/>
                  <w:vAlign w:val="center"/>
                </w:tcPr>
                <w:p w14:paraId="6C80E84B">
                  <w:pPr>
                    <w:keepNext w:val="0"/>
                    <w:keepLines w:val="0"/>
                    <w:widowControl/>
                    <w:suppressLineNumbers w:val="0"/>
                    <w:jc w:val="center"/>
                    <w:textAlignment w:val="center"/>
                    <w:rPr>
                      <w:rFonts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52.07 </w:t>
                  </w:r>
                </w:p>
              </w:tc>
              <w:tc>
                <w:tcPr>
                  <w:tcW w:w="1890" w:type="dxa"/>
                  <w:tcBorders>
                    <w:tl2br w:val="nil"/>
                    <w:tr2bl w:val="nil"/>
                  </w:tcBorders>
                  <w:vAlign w:val="center"/>
                </w:tcPr>
                <w:p w14:paraId="285C68FA">
                  <w:pPr>
                    <w:keepNext w:val="0"/>
                    <w:keepLines w:val="0"/>
                    <w:widowControl/>
                    <w:suppressLineNumbers w:val="0"/>
                    <w:jc w:val="center"/>
                    <w:textAlignment w:val="center"/>
                    <w:rPr>
                      <w:rFonts w:hint="eastAsia"/>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1.9637 </w:t>
                  </w:r>
                </w:p>
              </w:tc>
            </w:tr>
            <w:tr w14:paraId="7B93AD3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7449EC95">
                  <w:pPr>
                    <w:jc w:val="center"/>
                    <w:rPr>
                      <w:b w:val="0"/>
                      <w:bCs w:val="0"/>
                      <w:color w:val="auto"/>
                      <w:highlight w:val="none"/>
                    </w:rPr>
                  </w:pPr>
                </w:p>
              </w:tc>
              <w:tc>
                <w:tcPr>
                  <w:tcW w:w="2265" w:type="dxa"/>
                  <w:tcBorders>
                    <w:tl2br w:val="nil"/>
                    <w:tr2bl w:val="nil"/>
                  </w:tcBorders>
                  <w:vAlign w:val="center"/>
                </w:tcPr>
                <w:p w14:paraId="53060BD6">
                  <w:pPr>
                    <w:widowControl w:val="0"/>
                    <w:spacing w:line="240" w:lineRule="auto"/>
                    <w:jc w:val="center"/>
                    <w:rPr>
                      <w:b w:val="0"/>
                      <w:bCs w:val="0"/>
                      <w:color w:val="auto"/>
                      <w:szCs w:val="21"/>
                      <w:highlight w:val="none"/>
                    </w:rPr>
                  </w:pPr>
                  <w:r>
                    <w:rPr>
                      <w:b w:val="0"/>
                      <w:bCs w:val="0"/>
                      <w:color w:val="auto"/>
                      <w:szCs w:val="21"/>
                      <w:highlight w:val="none"/>
                    </w:rPr>
                    <w:t>氨氮</w:t>
                  </w:r>
                </w:p>
              </w:tc>
              <w:tc>
                <w:tcPr>
                  <w:tcW w:w="2265" w:type="dxa"/>
                  <w:vMerge w:val="continue"/>
                  <w:tcBorders>
                    <w:tl2br w:val="nil"/>
                    <w:tr2bl w:val="nil"/>
                  </w:tcBorders>
                  <w:vAlign w:val="center"/>
                </w:tcPr>
                <w:p w14:paraId="2A00E663">
                  <w:pPr>
                    <w:jc w:val="center"/>
                    <w:rPr>
                      <w:b w:val="0"/>
                      <w:bCs w:val="0"/>
                      <w:color w:val="auto"/>
                      <w:highlight w:val="none"/>
                    </w:rPr>
                  </w:pPr>
                </w:p>
              </w:tc>
              <w:tc>
                <w:tcPr>
                  <w:tcW w:w="2100" w:type="dxa"/>
                  <w:tcBorders>
                    <w:tl2br w:val="nil"/>
                    <w:tr2bl w:val="nil"/>
                  </w:tcBorders>
                  <w:shd w:val="clear" w:color="auto" w:fill="auto"/>
                  <w:vAlign w:val="center"/>
                </w:tcPr>
                <w:p w14:paraId="7F932F0A">
                  <w:pPr>
                    <w:keepNext w:val="0"/>
                    <w:keepLines w:val="0"/>
                    <w:widowControl/>
                    <w:suppressLineNumbers w:val="0"/>
                    <w:jc w:val="center"/>
                    <w:textAlignment w:val="center"/>
                    <w:rPr>
                      <w:rFonts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1.24 </w:t>
                  </w:r>
                </w:p>
              </w:tc>
              <w:tc>
                <w:tcPr>
                  <w:tcW w:w="1890" w:type="dxa"/>
                  <w:tcBorders>
                    <w:tl2br w:val="nil"/>
                    <w:tr2bl w:val="nil"/>
                  </w:tcBorders>
                  <w:vAlign w:val="center"/>
                </w:tcPr>
                <w:p w14:paraId="4C8092FC">
                  <w:pPr>
                    <w:keepNext w:val="0"/>
                    <w:keepLines w:val="0"/>
                    <w:widowControl/>
                    <w:suppressLineNumbers w:val="0"/>
                    <w:jc w:val="center"/>
                    <w:textAlignment w:val="center"/>
                    <w:rPr>
                      <w:rFonts w:hint="eastAsia"/>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0.0466 </w:t>
                  </w:r>
                </w:p>
              </w:tc>
            </w:tr>
            <w:tr w14:paraId="134CAD2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vAlign w:val="center"/>
                </w:tcPr>
                <w:p w14:paraId="6B69888C">
                  <w:pPr>
                    <w:jc w:val="center"/>
                    <w:rPr>
                      <w:b w:val="0"/>
                      <w:bCs w:val="0"/>
                      <w:color w:val="auto"/>
                      <w:highlight w:val="none"/>
                    </w:rPr>
                  </w:pPr>
                </w:p>
              </w:tc>
              <w:tc>
                <w:tcPr>
                  <w:tcW w:w="2265" w:type="dxa"/>
                  <w:tcBorders>
                    <w:tl2br w:val="nil"/>
                    <w:tr2bl w:val="nil"/>
                  </w:tcBorders>
                  <w:vAlign w:val="center"/>
                </w:tcPr>
                <w:p w14:paraId="4AA85413">
                  <w:pPr>
                    <w:widowControl w:val="0"/>
                    <w:spacing w:line="240" w:lineRule="auto"/>
                    <w:jc w:val="center"/>
                    <w:rPr>
                      <w:b w:val="0"/>
                      <w:bCs w:val="0"/>
                      <w:color w:val="auto"/>
                      <w:szCs w:val="21"/>
                      <w:highlight w:val="none"/>
                    </w:rPr>
                  </w:pPr>
                  <w:r>
                    <w:rPr>
                      <w:b w:val="0"/>
                      <w:bCs w:val="0"/>
                      <w:color w:val="auto"/>
                      <w:szCs w:val="21"/>
                      <w:highlight w:val="none"/>
                    </w:rPr>
                    <w:t>总磷</w:t>
                  </w:r>
                </w:p>
              </w:tc>
              <w:tc>
                <w:tcPr>
                  <w:tcW w:w="2265" w:type="dxa"/>
                  <w:vMerge w:val="continue"/>
                  <w:tcBorders>
                    <w:tl2br w:val="nil"/>
                    <w:tr2bl w:val="nil"/>
                  </w:tcBorders>
                  <w:vAlign w:val="center"/>
                </w:tcPr>
                <w:p w14:paraId="36AE486D">
                  <w:pPr>
                    <w:jc w:val="center"/>
                    <w:rPr>
                      <w:b w:val="0"/>
                      <w:bCs w:val="0"/>
                      <w:color w:val="auto"/>
                      <w:highlight w:val="none"/>
                    </w:rPr>
                  </w:pPr>
                </w:p>
              </w:tc>
              <w:tc>
                <w:tcPr>
                  <w:tcW w:w="2100" w:type="dxa"/>
                  <w:tcBorders>
                    <w:tl2br w:val="nil"/>
                    <w:tr2bl w:val="nil"/>
                  </w:tcBorders>
                  <w:shd w:val="clear" w:color="auto" w:fill="auto"/>
                  <w:vAlign w:val="center"/>
                </w:tcPr>
                <w:p w14:paraId="571D4A2C">
                  <w:pPr>
                    <w:keepNext w:val="0"/>
                    <w:keepLines w:val="0"/>
                    <w:widowControl/>
                    <w:suppressLineNumbers w:val="0"/>
                    <w:jc w:val="center"/>
                    <w:textAlignment w:val="center"/>
                    <w:rPr>
                      <w:rFonts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0.86 </w:t>
                  </w:r>
                </w:p>
              </w:tc>
              <w:tc>
                <w:tcPr>
                  <w:tcW w:w="1890" w:type="dxa"/>
                  <w:tcBorders>
                    <w:tl2br w:val="nil"/>
                    <w:tr2bl w:val="nil"/>
                  </w:tcBorders>
                  <w:vAlign w:val="center"/>
                </w:tcPr>
                <w:p w14:paraId="19B36C41">
                  <w:pPr>
                    <w:keepNext w:val="0"/>
                    <w:keepLines w:val="0"/>
                    <w:widowControl/>
                    <w:suppressLineNumbers w:val="0"/>
                    <w:jc w:val="center"/>
                    <w:textAlignment w:val="center"/>
                    <w:rPr>
                      <w:rFonts w:hint="eastAsia"/>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0.0326 </w:t>
                  </w:r>
                </w:p>
              </w:tc>
            </w:tr>
            <w:tr w14:paraId="1D93000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tcPr>
                <w:p w14:paraId="7F9BFCE5">
                  <w:pPr>
                    <w:jc w:val="center"/>
                    <w:rPr>
                      <w:b w:val="0"/>
                      <w:bCs w:val="0"/>
                      <w:color w:val="auto"/>
                      <w:highlight w:val="none"/>
                    </w:rPr>
                  </w:pPr>
                </w:p>
              </w:tc>
              <w:tc>
                <w:tcPr>
                  <w:tcW w:w="2265" w:type="dxa"/>
                  <w:tcBorders>
                    <w:tl2br w:val="nil"/>
                    <w:tr2bl w:val="nil"/>
                  </w:tcBorders>
                  <w:vAlign w:val="center"/>
                </w:tcPr>
                <w:p w14:paraId="1E41D8D3">
                  <w:pPr>
                    <w:widowControl w:val="0"/>
                    <w:spacing w:line="240" w:lineRule="auto"/>
                    <w:jc w:val="center"/>
                    <w:rPr>
                      <w:b w:val="0"/>
                      <w:bCs w:val="0"/>
                      <w:color w:val="auto"/>
                      <w:szCs w:val="21"/>
                      <w:highlight w:val="none"/>
                    </w:rPr>
                  </w:pPr>
                  <w:r>
                    <w:rPr>
                      <w:b w:val="0"/>
                      <w:bCs w:val="0"/>
                      <w:color w:val="auto"/>
                      <w:szCs w:val="21"/>
                      <w:highlight w:val="none"/>
                    </w:rPr>
                    <w:t>总氮</w:t>
                  </w:r>
                </w:p>
              </w:tc>
              <w:tc>
                <w:tcPr>
                  <w:tcW w:w="2265" w:type="dxa"/>
                  <w:vMerge w:val="continue"/>
                  <w:tcBorders>
                    <w:tl2br w:val="nil"/>
                    <w:tr2bl w:val="nil"/>
                  </w:tcBorders>
                </w:tcPr>
                <w:p w14:paraId="5F27E567">
                  <w:pPr>
                    <w:jc w:val="center"/>
                    <w:rPr>
                      <w:b w:val="0"/>
                      <w:bCs w:val="0"/>
                      <w:color w:val="auto"/>
                      <w:highlight w:val="none"/>
                    </w:rPr>
                  </w:pPr>
                </w:p>
              </w:tc>
              <w:tc>
                <w:tcPr>
                  <w:tcW w:w="2100" w:type="dxa"/>
                  <w:tcBorders>
                    <w:tl2br w:val="nil"/>
                    <w:tr2bl w:val="nil"/>
                  </w:tcBorders>
                  <w:shd w:val="clear" w:color="auto" w:fill="auto"/>
                  <w:vAlign w:val="center"/>
                </w:tcPr>
                <w:p w14:paraId="18987697">
                  <w:pPr>
                    <w:keepNext w:val="0"/>
                    <w:keepLines w:val="0"/>
                    <w:widowControl/>
                    <w:suppressLineNumbers w:val="0"/>
                    <w:jc w:val="center"/>
                    <w:textAlignment w:val="center"/>
                    <w:rPr>
                      <w:rFonts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12.13 </w:t>
                  </w:r>
                </w:p>
              </w:tc>
              <w:tc>
                <w:tcPr>
                  <w:tcW w:w="1890" w:type="dxa"/>
                  <w:tcBorders>
                    <w:tl2br w:val="nil"/>
                    <w:tr2bl w:val="nil"/>
                  </w:tcBorders>
                  <w:vAlign w:val="center"/>
                </w:tcPr>
                <w:p w14:paraId="2C0A2DFD">
                  <w:pPr>
                    <w:keepNext w:val="0"/>
                    <w:keepLines w:val="0"/>
                    <w:widowControl/>
                    <w:suppressLineNumbers w:val="0"/>
                    <w:jc w:val="center"/>
                    <w:textAlignment w:val="center"/>
                    <w:rPr>
                      <w:rFonts w:hint="eastAsia"/>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0.4576 </w:t>
                  </w:r>
                </w:p>
              </w:tc>
            </w:tr>
            <w:tr w14:paraId="62415BD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tcPr>
                <w:p w14:paraId="2B75D4F5">
                  <w:pPr>
                    <w:jc w:val="center"/>
                    <w:rPr>
                      <w:b w:val="0"/>
                      <w:bCs w:val="0"/>
                      <w:color w:val="auto"/>
                      <w:highlight w:val="none"/>
                    </w:rPr>
                  </w:pPr>
                </w:p>
              </w:tc>
              <w:tc>
                <w:tcPr>
                  <w:tcW w:w="2265" w:type="dxa"/>
                  <w:tcBorders>
                    <w:tl2br w:val="nil"/>
                    <w:tr2bl w:val="nil"/>
                  </w:tcBorders>
                  <w:vAlign w:val="center"/>
                </w:tcPr>
                <w:p w14:paraId="62777380">
                  <w:pPr>
                    <w:widowControl w:val="0"/>
                    <w:spacing w:line="240" w:lineRule="auto"/>
                    <w:jc w:val="center"/>
                    <w:rPr>
                      <w:b w:val="0"/>
                      <w:bCs w:val="0"/>
                      <w:color w:val="auto"/>
                      <w:szCs w:val="21"/>
                      <w:highlight w:val="none"/>
                    </w:rPr>
                  </w:pPr>
                  <w:r>
                    <w:rPr>
                      <w:b w:val="0"/>
                      <w:bCs w:val="0"/>
                      <w:color w:val="auto"/>
                      <w:szCs w:val="21"/>
                      <w:highlight w:val="none"/>
                    </w:rPr>
                    <w:t>五日生化需氧量</w:t>
                  </w:r>
                </w:p>
              </w:tc>
              <w:tc>
                <w:tcPr>
                  <w:tcW w:w="2265" w:type="dxa"/>
                  <w:vMerge w:val="continue"/>
                  <w:tcBorders>
                    <w:tl2br w:val="nil"/>
                    <w:tr2bl w:val="nil"/>
                  </w:tcBorders>
                </w:tcPr>
                <w:p w14:paraId="1B96CDB1">
                  <w:pPr>
                    <w:jc w:val="center"/>
                    <w:rPr>
                      <w:b w:val="0"/>
                      <w:bCs w:val="0"/>
                      <w:color w:val="auto"/>
                      <w:highlight w:val="none"/>
                    </w:rPr>
                  </w:pPr>
                </w:p>
              </w:tc>
              <w:tc>
                <w:tcPr>
                  <w:tcW w:w="2100" w:type="dxa"/>
                  <w:tcBorders>
                    <w:tl2br w:val="nil"/>
                    <w:tr2bl w:val="nil"/>
                  </w:tcBorders>
                  <w:shd w:val="clear" w:color="auto" w:fill="auto"/>
                  <w:vAlign w:val="center"/>
                </w:tcPr>
                <w:p w14:paraId="035DD120">
                  <w:pPr>
                    <w:keepNext w:val="0"/>
                    <w:keepLines w:val="0"/>
                    <w:widowControl/>
                    <w:suppressLineNumbers w:val="0"/>
                    <w:jc w:val="center"/>
                    <w:textAlignment w:val="center"/>
                    <w:rPr>
                      <w:rFonts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28.26 </w:t>
                  </w:r>
                </w:p>
              </w:tc>
              <w:tc>
                <w:tcPr>
                  <w:tcW w:w="1890" w:type="dxa"/>
                  <w:tcBorders>
                    <w:tl2br w:val="nil"/>
                    <w:tr2bl w:val="nil"/>
                  </w:tcBorders>
                  <w:vAlign w:val="center"/>
                </w:tcPr>
                <w:p w14:paraId="412C7997">
                  <w:pPr>
                    <w:keepNext w:val="0"/>
                    <w:keepLines w:val="0"/>
                    <w:widowControl/>
                    <w:suppressLineNumbers w:val="0"/>
                    <w:jc w:val="center"/>
                    <w:textAlignment w:val="center"/>
                    <w:rPr>
                      <w:rFonts w:hint="eastAsia"/>
                      <w:b w:val="0"/>
                      <w:bCs w:val="0"/>
                      <w:color w:val="auto"/>
                      <w:highlight w:val="none"/>
                    </w:rPr>
                  </w:pPr>
                  <w:r>
                    <w:rPr>
                      <w:rFonts w:hint="default" w:ascii="Times New Roman" w:hAnsi="Times New Roman" w:eastAsia="宋体" w:cs="Times New Roman"/>
                      <w:i w:val="0"/>
                      <w:iCs w:val="0"/>
                      <w:color w:val="auto"/>
                      <w:kern w:val="0"/>
                      <w:sz w:val="21"/>
                      <w:szCs w:val="21"/>
                      <w:u w:val="none"/>
                      <w:lang w:val="en-US" w:eastAsia="zh-CN" w:bidi="ar"/>
                    </w:rPr>
                    <w:t xml:space="preserve">1.0655 </w:t>
                  </w:r>
                </w:p>
              </w:tc>
            </w:tr>
            <w:tr w14:paraId="4F543D4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39" w:type="dxa"/>
                  <w:vMerge w:val="continue"/>
                  <w:tcBorders>
                    <w:tl2br w:val="nil"/>
                    <w:tr2bl w:val="nil"/>
                  </w:tcBorders>
                </w:tcPr>
                <w:p w14:paraId="2DA5B681">
                  <w:pPr>
                    <w:jc w:val="center"/>
                    <w:rPr>
                      <w:b w:val="0"/>
                      <w:bCs w:val="0"/>
                      <w:color w:val="auto"/>
                      <w:highlight w:val="none"/>
                    </w:rPr>
                  </w:pPr>
                </w:p>
              </w:tc>
              <w:tc>
                <w:tcPr>
                  <w:tcW w:w="2265" w:type="dxa"/>
                  <w:tcBorders>
                    <w:tl2br w:val="nil"/>
                    <w:tr2bl w:val="nil"/>
                  </w:tcBorders>
                  <w:vAlign w:val="center"/>
                </w:tcPr>
                <w:p w14:paraId="237C0B05">
                  <w:pPr>
                    <w:widowControl w:val="0"/>
                    <w:spacing w:line="240" w:lineRule="auto"/>
                    <w:jc w:val="center"/>
                    <w:rPr>
                      <w:rFonts w:hint="default" w:eastAsia="宋体"/>
                      <w:b w:val="0"/>
                      <w:bCs w:val="0"/>
                      <w:color w:val="auto"/>
                      <w:szCs w:val="21"/>
                      <w:highlight w:val="none"/>
                      <w:lang w:val="en-US" w:eastAsia="zh-CN"/>
                    </w:rPr>
                  </w:pPr>
                  <w:r>
                    <w:rPr>
                      <w:rFonts w:hint="eastAsia"/>
                      <w:b w:val="0"/>
                      <w:bCs w:val="0"/>
                      <w:color w:val="auto"/>
                      <w:szCs w:val="21"/>
                      <w:highlight w:val="none"/>
                      <w:lang w:val="en-US" w:eastAsia="zh-CN"/>
                    </w:rPr>
                    <w:t>总铝</w:t>
                  </w:r>
                </w:p>
              </w:tc>
              <w:tc>
                <w:tcPr>
                  <w:tcW w:w="2265" w:type="dxa"/>
                  <w:vMerge w:val="continue"/>
                  <w:tcBorders>
                    <w:tl2br w:val="nil"/>
                    <w:tr2bl w:val="nil"/>
                  </w:tcBorders>
                </w:tcPr>
                <w:p w14:paraId="48490B39">
                  <w:pPr>
                    <w:jc w:val="center"/>
                    <w:rPr>
                      <w:b w:val="0"/>
                      <w:bCs w:val="0"/>
                      <w:color w:val="auto"/>
                      <w:highlight w:val="none"/>
                    </w:rPr>
                  </w:pPr>
                </w:p>
              </w:tc>
              <w:tc>
                <w:tcPr>
                  <w:tcW w:w="2100" w:type="dxa"/>
                  <w:tcBorders>
                    <w:tl2br w:val="nil"/>
                    <w:tr2bl w:val="nil"/>
                  </w:tcBorders>
                  <w:shd w:val="clear" w:color="auto" w:fill="auto"/>
                  <w:vAlign w:val="center"/>
                </w:tcPr>
                <w:p w14:paraId="29D3D8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0.00115</w:t>
                  </w:r>
                </w:p>
              </w:tc>
              <w:tc>
                <w:tcPr>
                  <w:tcW w:w="1890" w:type="dxa"/>
                  <w:tcBorders>
                    <w:tl2br w:val="nil"/>
                    <w:tr2bl w:val="nil"/>
                  </w:tcBorders>
                  <w:shd w:val="clear" w:color="auto" w:fill="auto"/>
                  <w:vAlign w:val="center"/>
                </w:tcPr>
                <w:p w14:paraId="23F2D7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0.000028</w:t>
                  </w:r>
                </w:p>
              </w:tc>
            </w:tr>
          </w:tbl>
          <w:p w14:paraId="006D139D">
            <w:pPr>
              <w:spacing w:line="360" w:lineRule="auto"/>
              <w:ind w:firstLine="482" w:firstLineChars="200"/>
              <w:rPr>
                <w:b/>
                <w:color w:val="auto"/>
                <w:sz w:val="24"/>
              </w:rPr>
            </w:pPr>
            <w:r>
              <w:rPr>
                <w:rFonts w:hint="eastAsia"/>
                <w:b/>
                <w:color w:val="auto"/>
                <w:sz w:val="24"/>
              </w:rPr>
              <w:t>3、</w:t>
            </w:r>
            <w:r>
              <w:rPr>
                <w:b/>
                <w:color w:val="auto"/>
                <w:sz w:val="24"/>
              </w:rPr>
              <w:t>噪声</w:t>
            </w:r>
          </w:p>
          <w:p w14:paraId="73960C9A">
            <w:pPr>
              <w:spacing w:line="360" w:lineRule="auto"/>
              <w:ind w:firstLine="480" w:firstLineChars="200"/>
              <w:rPr>
                <w:color w:val="auto"/>
                <w:sz w:val="24"/>
                <w:szCs w:val="24"/>
              </w:rPr>
            </w:pPr>
            <w:r>
              <w:rPr>
                <w:rFonts w:hint="eastAsia"/>
                <w:color w:val="auto"/>
                <w:sz w:val="24"/>
                <w:szCs w:val="24"/>
              </w:rPr>
              <w:t>现有</w:t>
            </w:r>
            <w:r>
              <w:rPr>
                <w:color w:val="auto"/>
                <w:sz w:val="24"/>
                <w:szCs w:val="24"/>
              </w:rPr>
              <w:t>项目的噪声主要来自</w:t>
            </w:r>
            <w:r>
              <w:rPr>
                <w:rFonts w:hint="eastAsia"/>
                <w:snapToGrid w:val="0"/>
                <w:color w:val="auto"/>
                <w:kern w:val="0"/>
                <w:sz w:val="24"/>
                <w:szCs w:val="24"/>
              </w:rPr>
              <w:t>机加工、阳极氧化线</w:t>
            </w:r>
            <w:r>
              <w:rPr>
                <w:color w:val="auto"/>
                <w:sz w:val="24"/>
                <w:szCs w:val="24"/>
              </w:rPr>
              <w:t>等车间生产设备，噪声值为</w:t>
            </w:r>
            <w:r>
              <w:rPr>
                <w:rFonts w:hint="eastAsia"/>
                <w:color w:val="auto"/>
                <w:sz w:val="24"/>
                <w:szCs w:val="24"/>
              </w:rPr>
              <w:t>65</w:t>
            </w:r>
            <w:r>
              <w:rPr>
                <w:color w:val="auto"/>
                <w:sz w:val="24"/>
                <w:szCs w:val="24"/>
              </w:rPr>
              <w:t>~</w:t>
            </w:r>
            <w:r>
              <w:rPr>
                <w:rFonts w:hint="eastAsia"/>
                <w:color w:val="auto"/>
                <w:sz w:val="24"/>
                <w:szCs w:val="24"/>
              </w:rPr>
              <w:t>105</w:t>
            </w:r>
            <w:r>
              <w:rPr>
                <w:color w:val="auto"/>
                <w:sz w:val="24"/>
                <w:szCs w:val="24"/>
              </w:rPr>
              <w:t>dB（A）。为了了解</w:t>
            </w:r>
            <w:r>
              <w:rPr>
                <w:rFonts w:hint="eastAsia"/>
                <w:color w:val="auto"/>
                <w:sz w:val="24"/>
                <w:szCs w:val="24"/>
              </w:rPr>
              <w:t>现有</w:t>
            </w:r>
            <w:r>
              <w:rPr>
                <w:color w:val="auto"/>
                <w:sz w:val="24"/>
                <w:szCs w:val="24"/>
              </w:rPr>
              <w:t>项目噪声排放达标情况，</w:t>
            </w:r>
            <w:r>
              <w:rPr>
                <w:rFonts w:hint="eastAsia"/>
                <w:color w:val="auto"/>
                <w:sz w:val="24"/>
                <w:szCs w:val="24"/>
              </w:rPr>
              <w:t>根据建设单位提供的现有项目委托广东</w:t>
            </w:r>
            <w:r>
              <w:rPr>
                <w:rFonts w:hint="eastAsia"/>
                <w:color w:val="auto"/>
                <w:sz w:val="24"/>
                <w:szCs w:val="24"/>
                <w:lang w:val="en-US" w:eastAsia="zh-CN"/>
              </w:rPr>
              <w:t>绿诚检测技术</w:t>
            </w:r>
            <w:r>
              <w:rPr>
                <w:rFonts w:hint="eastAsia"/>
                <w:color w:val="auto"/>
                <w:sz w:val="24"/>
                <w:szCs w:val="24"/>
              </w:rPr>
              <w:t>有限公司于</w:t>
            </w:r>
            <w:r>
              <w:rPr>
                <w:color w:val="auto"/>
                <w:sz w:val="24"/>
                <w:szCs w:val="24"/>
              </w:rPr>
              <w:t>2026年05月0</w:t>
            </w:r>
            <w:r>
              <w:rPr>
                <w:rFonts w:hint="eastAsia"/>
                <w:color w:val="auto"/>
                <w:sz w:val="24"/>
                <w:szCs w:val="24"/>
              </w:rPr>
              <w:t>6</w:t>
            </w:r>
            <w:r>
              <w:rPr>
                <w:color w:val="auto"/>
                <w:sz w:val="24"/>
                <w:szCs w:val="24"/>
              </w:rPr>
              <w:t>日</w:t>
            </w:r>
            <w:r>
              <w:rPr>
                <w:rFonts w:hint="eastAsia"/>
                <w:color w:val="auto"/>
                <w:sz w:val="24"/>
                <w:szCs w:val="24"/>
              </w:rPr>
              <w:t>的</w:t>
            </w:r>
            <w:r>
              <w:rPr>
                <w:rFonts w:hint="eastAsia"/>
                <w:color w:val="auto"/>
                <w:sz w:val="24"/>
                <w:szCs w:val="24"/>
                <w:lang w:val="en-US" w:eastAsia="zh-CN"/>
              </w:rPr>
              <w:t>噪声</w:t>
            </w:r>
            <w:r>
              <w:rPr>
                <w:rFonts w:hint="eastAsia"/>
                <w:color w:val="auto"/>
                <w:sz w:val="24"/>
                <w:szCs w:val="24"/>
              </w:rPr>
              <w:t>污染物日常检测报告（报告编号：</w:t>
            </w:r>
            <w:r>
              <w:rPr>
                <w:color w:val="auto"/>
                <w:sz w:val="24"/>
                <w:szCs w:val="24"/>
              </w:rPr>
              <w:t>LCHJ202604068</w:t>
            </w:r>
            <w:r>
              <w:rPr>
                <w:rFonts w:hint="eastAsia"/>
                <w:color w:val="auto"/>
                <w:sz w:val="24"/>
                <w:szCs w:val="24"/>
                <w:lang w:val="en-US" w:eastAsia="zh-CN"/>
              </w:rPr>
              <w:t>-04</w:t>
            </w:r>
            <w:r>
              <w:rPr>
                <w:rFonts w:hint="eastAsia"/>
                <w:color w:val="auto"/>
                <w:sz w:val="24"/>
                <w:szCs w:val="24"/>
              </w:rPr>
              <w:t>），见附件9</w:t>
            </w:r>
            <w:r>
              <w:rPr>
                <w:color w:val="auto"/>
                <w:sz w:val="24"/>
                <w:szCs w:val="24"/>
              </w:rPr>
              <w:t>。</w:t>
            </w:r>
          </w:p>
          <w:p w14:paraId="5E6E7458">
            <w:pPr>
              <w:jc w:val="center"/>
              <w:rPr>
                <w:b/>
                <w:bCs/>
                <w:color w:val="auto"/>
              </w:rPr>
            </w:pPr>
            <w:r>
              <w:rPr>
                <w:b/>
                <w:bCs/>
                <w:color w:val="auto"/>
              </w:rPr>
              <w:t>表2-</w:t>
            </w:r>
            <w:r>
              <w:rPr>
                <w:rFonts w:hint="eastAsia"/>
                <w:b/>
                <w:bCs/>
                <w:color w:val="auto"/>
                <w:lang w:val="en-US" w:eastAsia="zh-CN"/>
              </w:rPr>
              <w:t>27</w:t>
            </w:r>
            <w:r>
              <w:rPr>
                <w:rFonts w:hint="eastAsia"/>
                <w:b/>
                <w:bCs/>
                <w:color w:val="auto"/>
              </w:rPr>
              <w:t>现有项目</w:t>
            </w:r>
            <w:r>
              <w:rPr>
                <w:b/>
                <w:bCs/>
                <w:color w:val="auto"/>
              </w:rPr>
              <w:t>厂界噪声监测结果单位：dB（A）</w:t>
            </w:r>
          </w:p>
          <w:tbl>
            <w:tblPr>
              <w:tblStyle w:val="42"/>
              <w:tblW w:w="9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815"/>
              <w:gridCol w:w="1016"/>
              <w:gridCol w:w="1260"/>
              <w:gridCol w:w="2325"/>
              <w:gridCol w:w="2365"/>
            </w:tblGrid>
            <w:tr w14:paraId="0ED55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59" w:type="dxa"/>
                  <w:gridSpan w:val="6"/>
                  <w:vAlign w:val="center"/>
                </w:tcPr>
                <w:p w14:paraId="4E7237D9">
                  <w:pPr>
                    <w:widowControl w:val="0"/>
                    <w:spacing w:line="240" w:lineRule="auto"/>
                    <w:jc w:val="both"/>
                    <w:rPr>
                      <w:color w:val="auto"/>
                      <w:szCs w:val="21"/>
                    </w:rPr>
                  </w:pPr>
                  <w:r>
                    <w:rPr>
                      <w:color w:val="auto"/>
                      <w:szCs w:val="21"/>
                    </w:rPr>
                    <w:t>环境检测条件：2026年05月06日：天气状况：阴；</w:t>
                  </w:r>
                  <w:r>
                    <w:rPr>
                      <w:bCs/>
                      <w:color w:val="auto"/>
                      <w:szCs w:val="21"/>
                    </w:rPr>
                    <w:t>风向：西南；</w:t>
                  </w:r>
                  <w:r>
                    <w:rPr>
                      <w:color w:val="auto"/>
                      <w:szCs w:val="21"/>
                    </w:rPr>
                    <w:t>昼间风速：1.2m/s（无雨、无雷电、风速&lt;5m/s），夜间风速：1.3m/s（无雨、无雷电、风速&lt;5m/s）</w:t>
                  </w:r>
                  <w:r>
                    <w:rPr>
                      <w:bCs/>
                      <w:color w:val="auto"/>
                      <w:szCs w:val="21"/>
                    </w:rPr>
                    <w:t>。</w:t>
                  </w:r>
                </w:p>
              </w:tc>
            </w:tr>
            <w:tr w14:paraId="1F08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vAlign w:val="center"/>
                </w:tcPr>
                <w:p w14:paraId="2A98C4C0">
                  <w:pPr>
                    <w:widowControl w:val="0"/>
                    <w:spacing w:line="240" w:lineRule="auto"/>
                    <w:jc w:val="center"/>
                    <w:rPr>
                      <w:b/>
                      <w:bCs/>
                      <w:color w:val="auto"/>
                      <w:szCs w:val="21"/>
                    </w:rPr>
                  </w:pPr>
                  <w:r>
                    <w:rPr>
                      <w:b/>
                      <w:bCs/>
                      <w:color w:val="auto"/>
                      <w:szCs w:val="21"/>
                    </w:rPr>
                    <w:t>测点编号</w:t>
                  </w:r>
                </w:p>
              </w:tc>
              <w:tc>
                <w:tcPr>
                  <w:tcW w:w="1815" w:type="dxa"/>
                  <w:vAlign w:val="center"/>
                </w:tcPr>
                <w:p w14:paraId="41C0D3D0">
                  <w:pPr>
                    <w:widowControl w:val="0"/>
                    <w:spacing w:line="240" w:lineRule="auto"/>
                    <w:jc w:val="center"/>
                    <w:rPr>
                      <w:b/>
                      <w:bCs/>
                      <w:color w:val="auto"/>
                      <w:szCs w:val="21"/>
                    </w:rPr>
                  </w:pPr>
                  <w:r>
                    <w:rPr>
                      <w:b/>
                      <w:bCs/>
                      <w:color w:val="auto"/>
                      <w:szCs w:val="21"/>
                    </w:rPr>
                    <w:t>检测点位置</w:t>
                  </w:r>
                </w:p>
              </w:tc>
              <w:tc>
                <w:tcPr>
                  <w:tcW w:w="1016" w:type="dxa"/>
                  <w:vAlign w:val="center"/>
                </w:tcPr>
                <w:p w14:paraId="1D8AB924">
                  <w:pPr>
                    <w:widowControl w:val="0"/>
                    <w:spacing w:line="240" w:lineRule="auto"/>
                    <w:jc w:val="center"/>
                    <w:rPr>
                      <w:b/>
                      <w:bCs/>
                      <w:color w:val="auto"/>
                      <w:szCs w:val="21"/>
                    </w:rPr>
                  </w:pPr>
                  <w:r>
                    <w:rPr>
                      <w:b/>
                      <w:bCs/>
                      <w:color w:val="auto"/>
                      <w:szCs w:val="21"/>
                    </w:rPr>
                    <w:t>时段</w:t>
                  </w:r>
                </w:p>
              </w:tc>
              <w:tc>
                <w:tcPr>
                  <w:tcW w:w="1260" w:type="dxa"/>
                  <w:vAlign w:val="center"/>
                </w:tcPr>
                <w:p w14:paraId="6DED671A">
                  <w:pPr>
                    <w:widowControl w:val="0"/>
                    <w:spacing w:line="240" w:lineRule="auto"/>
                    <w:jc w:val="center"/>
                    <w:rPr>
                      <w:b/>
                      <w:bCs/>
                      <w:color w:val="auto"/>
                      <w:szCs w:val="21"/>
                    </w:rPr>
                  </w:pPr>
                  <w:r>
                    <w:rPr>
                      <w:b/>
                      <w:bCs/>
                      <w:color w:val="auto"/>
                      <w:szCs w:val="21"/>
                    </w:rPr>
                    <w:t>主要声源</w:t>
                  </w:r>
                </w:p>
              </w:tc>
              <w:tc>
                <w:tcPr>
                  <w:tcW w:w="2325" w:type="dxa"/>
                  <w:vAlign w:val="center"/>
                </w:tcPr>
                <w:p w14:paraId="47994628">
                  <w:pPr>
                    <w:widowControl w:val="0"/>
                    <w:spacing w:line="240" w:lineRule="auto"/>
                    <w:jc w:val="center"/>
                    <w:rPr>
                      <w:b/>
                      <w:bCs/>
                      <w:color w:val="auto"/>
                      <w:szCs w:val="21"/>
                    </w:rPr>
                  </w:pPr>
                  <w:r>
                    <w:rPr>
                      <w:b/>
                      <w:bCs/>
                      <w:color w:val="auto"/>
                      <w:szCs w:val="21"/>
                    </w:rPr>
                    <w:t>检测结果</w:t>
                  </w:r>
                </w:p>
                <w:p w14:paraId="5E255428">
                  <w:pPr>
                    <w:widowControl w:val="0"/>
                    <w:spacing w:line="240" w:lineRule="auto"/>
                    <w:jc w:val="center"/>
                    <w:rPr>
                      <w:b/>
                      <w:bCs/>
                      <w:color w:val="auto"/>
                      <w:szCs w:val="21"/>
                    </w:rPr>
                  </w:pPr>
                  <w:r>
                    <w:rPr>
                      <w:b/>
                      <w:bCs/>
                      <w:color w:val="auto"/>
                      <w:szCs w:val="21"/>
                    </w:rPr>
                    <w:t>[单位：LeqdB（A）]</w:t>
                  </w:r>
                </w:p>
              </w:tc>
              <w:tc>
                <w:tcPr>
                  <w:tcW w:w="2365" w:type="dxa"/>
                  <w:vAlign w:val="center"/>
                </w:tcPr>
                <w:p w14:paraId="591A6463">
                  <w:pPr>
                    <w:widowControl w:val="0"/>
                    <w:spacing w:line="240" w:lineRule="auto"/>
                    <w:jc w:val="center"/>
                    <w:rPr>
                      <w:b/>
                      <w:bCs/>
                      <w:color w:val="auto"/>
                      <w:szCs w:val="21"/>
                    </w:rPr>
                  </w:pPr>
                  <w:r>
                    <w:rPr>
                      <w:b/>
                      <w:bCs/>
                      <w:color w:val="auto"/>
                      <w:szCs w:val="21"/>
                    </w:rPr>
                    <w:t>标准限值</w:t>
                  </w:r>
                </w:p>
                <w:p w14:paraId="648A0C58">
                  <w:pPr>
                    <w:widowControl w:val="0"/>
                    <w:spacing w:line="240" w:lineRule="auto"/>
                    <w:jc w:val="center"/>
                    <w:rPr>
                      <w:b/>
                      <w:bCs/>
                      <w:color w:val="auto"/>
                      <w:szCs w:val="21"/>
                    </w:rPr>
                  </w:pPr>
                  <w:r>
                    <w:rPr>
                      <w:b/>
                      <w:bCs/>
                      <w:color w:val="auto"/>
                      <w:szCs w:val="21"/>
                    </w:rPr>
                    <w:t>[单位：LeqdB（A）]</w:t>
                  </w:r>
                </w:p>
              </w:tc>
            </w:tr>
            <w:tr w14:paraId="0045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vMerge w:val="restart"/>
                  <w:vAlign w:val="center"/>
                </w:tcPr>
                <w:p w14:paraId="230DC727">
                  <w:pPr>
                    <w:widowControl w:val="0"/>
                    <w:spacing w:line="240" w:lineRule="auto"/>
                    <w:jc w:val="center"/>
                    <w:rPr>
                      <w:color w:val="auto"/>
                      <w:szCs w:val="21"/>
                    </w:rPr>
                  </w:pPr>
                  <w:r>
                    <w:rPr>
                      <w:color w:val="auto"/>
                      <w:szCs w:val="21"/>
                    </w:rPr>
                    <w:t>N1</w:t>
                  </w:r>
                </w:p>
              </w:tc>
              <w:tc>
                <w:tcPr>
                  <w:tcW w:w="1815" w:type="dxa"/>
                  <w:vMerge w:val="restart"/>
                  <w:vAlign w:val="center"/>
                </w:tcPr>
                <w:p w14:paraId="629DF5BD">
                  <w:pPr>
                    <w:jc w:val="center"/>
                    <w:rPr>
                      <w:color w:val="auto"/>
                      <w:szCs w:val="21"/>
                    </w:rPr>
                  </w:pPr>
                  <w:r>
                    <w:rPr>
                      <w:color w:val="auto"/>
                      <w:szCs w:val="21"/>
                    </w:rPr>
                    <w:t>项目地西北面</w:t>
                  </w:r>
                </w:p>
                <w:p w14:paraId="60E933F1">
                  <w:pPr>
                    <w:jc w:val="center"/>
                    <w:rPr>
                      <w:color w:val="auto"/>
                      <w:szCs w:val="21"/>
                    </w:rPr>
                  </w:pPr>
                  <w:r>
                    <w:rPr>
                      <w:color w:val="auto"/>
                      <w:szCs w:val="21"/>
                    </w:rPr>
                    <w:t>厂界外1米</w:t>
                  </w:r>
                </w:p>
              </w:tc>
              <w:tc>
                <w:tcPr>
                  <w:tcW w:w="1016" w:type="dxa"/>
                  <w:vAlign w:val="center"/>
                </w:tcPr>
                <w:p w14:paraId="6D7A8E0C">
                  <w:pPr>
                    <w:widowControl w:val="0"/>
                    <w:spacing w:line="240" w:lineRule="auto"/>
                    <w:jc w:val="center"/>
                    <w:rPr>
                      <w:color w:val="auto"/>
                      <w:szCs w:val="21"/>
                    </w:rPr>
                  </w:pPr>
                  <w:r>
                    <w:rPr>
                      <w:color w:val="auto"/>
                      <w:szCs w:val="21"/>
                    </w:rPr>
                    <w:t>昼间</w:t>
                  </w:r>
                </w:p>
              </w:tc>
              <w:tc>
                <w:tcPr>
                  <w:tcW w:w="1260" w:type="dxa"/>
                  <w:vAlign w:val="center"/>
                </w:tcPr>
                <w:p w14:paraId="11A858F9">
                  <w:pPr>
                    <w:widowControl w:val="0"/>
                    <w:adjustRightInd w:val="0"/>
                    <w:jc w:val="center"/>
                    <w:rPr>
                      <w:color w:val="auto"/>
                      <w:szCs w:val="21"/>
                      <w:lang w:bidi="ar"/>
                    </w:rPr>
                  </w:pPr>
                  <w:r>
                    <w:rPr>
                      <w:color w:val="auto"/>
                      <w:szCs w:val="21"/>
                      <w:lang w:bidi="ar"/>
                    </w:rPr>
                    <w:t>工业噪声</w:t>
                  </w:r>
                </w:p>
              </w:tc>
              <w:tc>
                <w:tcPr>
                  <w:tcW w:w="2325" w:type="dxa"/>
                  <w:vAlign w:val="center"/>
                </w:tcPr>
                <w:p w14:paraId="026A109E">
                  <w:pPr>
                    <w:widowControl w:val="0"/>
                    <w:spacing w:line="240" w:lineRule="auto"/>
                    <w:jc w:val="center"/>
                    <w:rPr>
                      <w:color w:val="auto"/>
                      <w:szCs w:val="21"/>
                    </w:rPr>
                  </w:pPr>
                  <w:r>
                    <w:rPr>
                      <w:color w:val="auto"/>
                      <w:szCs w:val="21"/>
                    </w:rPr>
                    <w:t>56</w:t>
                  </w:r>
                </w:p>
              </w:tc>
              <w:tc>
                <w:tcPr>
                  <w:tcW w:w="2365" w:type="dxa"/>
                  <w:vAlign w:val="center"/>
                </w:tcPr>
                <w:p w14:paraId="3A0C2DCE">
                  <w:pPr>
                    <w:widowControl w:val="0"/>
                    <w:spacing w:line="240" w:lineRule="auto"/>
                    <w:jc w:val="center"/>
                    <w:rPr>
                      <w:color w:val="auto"/>
                      <w:szCs w:val="21"/>
                    </w:rPr>
                  </w:pPr>
                  <w:r>
                    <w:rPr>
                      <w:color w:val="auto"/>
                      <w:szCs w:val="21"/>
                    </w:rPr>
                    <w:t>65</w:t>
                  </w:r>
                </w:p>
              </w:tc>
            </w:tr>
            <w:tr w14:paraId="61A0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vMerge w:val="continue"/>
                  <w:vAlign w:val="center"/>
                </w:tcPr>
                <w:p w14:paraId="17556E3D">
                  <w:pPr>
                    <w:widowControl w:val="0"/>
                    <w:spacing w:line="240" w:lineRule="auto"/>
                    <w:jc w:val="center"/>
                    <w:rPr>
                      <w:color w:val="auto"/>
                      <w:szCs w:val="21"/>
                    </w:rPr>
                  </w:pPr>
                </w:p>
              </w:tc>
              <w:tc>
                <w:tcPr>
                  <w:tcW w:w="1815" w:type="dxa"/>
                  <w:vMerge w:val="continue"/>
                  <w:vAlign w:val="center"/>
                </w:tcPr>
                <w:p w14:paraId="4372CFF6">
                  <w:pPr>
                    <w:jc w:val="center"/>
                    <w:rPr>
                      <w:color w:val="auto"/>
                      <w:szCs w:val="21"/>
                    </w:rPr>
                  </w:pPr>
                </w:p>
              </w:tc>
              <w:tc>
                <w:tcPr>
                  <w:tcW w:w="1016" w:type="dxa"/>
                  <w:vAlign w:val="center"/>
                </w:tcPr>
                <w:p w14:paraId="26A0E23F">
                  <w:pPr>
                    <w:widowControl w:val="0"/>
                    <w:spacing w:line="240" w:lineRule="auto"/>
                    <w:jc w:val="center"/>
                    <w:rPr>
                      <w:color w:val="auto"/>
                      <w:szCs w:val="21"/>
                    </w:rPr>
                  </w:pPr>
                  <w:r>
                    <w:rPr>
                      <w:color w:val="auto"/>
                      <w:szCs w:val="21"/>
                    </w:rPr>
                    <w:t>夜间</w:t>
                  </w:r>
                </w:p>
              </w:tc>
              <w:tc>
                <w:tcPr>
                  <w:tcW w:w="1260" w:type="dxa"/>
                  <w:vAlign w:val="center"/>
                </w:tcPr>
                <w:p w14:paraId="05145AB0">
                  <w:pPr>
                    <w:widowControl w:val="0"/>
                    <w:adjustRightInd w:val="0"/>
                    <w:jc w:val="center"/>
                    <w:rPr>
                      <w:color w:val="auto"/>
                      <w:szCs w:val="21"/>
                      <w:lang w:bidi="ar"/>
                    </w:rPr>
                  </w:pPr>
                  <w:r>
                    <w:rPr>
                      <w:color w:val="auto"/>
                      <w:szCs w:val="21"/>
                      <w:lang w:bidi="ar"/>
                    </w:rPr>
                    <w:t>工业噪声</w:t>
                  </w:r>
                </w:p>
              </w:tc>
              <w:tc>
                <w:tcPr>
                  <w:tcW w:w="2325" w:type="dxa"/>
                  <w:vAlign w:val="center"/>
                </w:tcPr>
                <w:p w14:paraId="78E7D692">
                  <w:pPr>
                    <w:widowControl w:val="0"/>
                    <w:spacing w:line="240" w:lineRule="auto"/>
                    <w:jc w:val="center"/>
                    <w:rPr>
                      <w:color w:val="auto"/>
                      <w:szCs w:val="21"/>
                    </w:rPr>
                  </w:pPr>
                  <w:r>
                    <w:rPr>
                      <w:color w:val="auto"/>
                      <w:szCs w:val="21"/>
                    </w:rPr>
                    <w:t>43</w:t>
                  </w:r>
                </w:p>
              </w:tc>
              <w:tc>
                <w:tcPr>
                  <w:tcW w:w="2365" w:type="dxa"/>
                  <w:vAlign w:val="center"/>
                </w:tcPr>
                <w:p w14:paraId="711F8790">
                  <w:pPr>
                    <w:widowControl w:val="0"/>
                    <w:spacing w:line="240" w:lineRule="auto"/>
                    <w:jc w:val="center"/>
                    <w:rPr>
                      <w:color w:val="auto"/>
                      <w:szCs w:val="21"/>
                    </w:rPr>
                  </w:pPr>
                  <w:r>
                    <w:rPr>
                      <w:color w:val="auto"/>
                      <w:szCs w:val="21"/>
                    </w:rPr>
                    <w:t>55</w:t>
                  </w:r>
                </w:p>
              </w:tc>
            </w:tr>
            <w:tr w14:paraId="53AB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vMerge w:val="restart"/>
                  <w:vAlign w:val="center"/>
                </w:tcPr>
                <w:p w14:paraId="6693850C">
                  <w:pPr>
                    <w:widowControl w:val="0"/>
                    <w:spacing w:line="240" w:lineRule="auto"/>
                    <w:jc w:val="center"/>
                    <w:rPr>
                      <w:color w:val="auto"/>
                      <w:szCs w:val="21"/>
                    </w:rPr>
                  </w:pPr>
                  <w:r>
                    <w:rPr>
                      <w:color w:val="auto"/>
                      <w:szCs w:val="21"/>
                    </w:rPr>
                    <w:t>N2</w:t>
                  </w:r>
                </w:p>
              </w:tc>
              <w:tc>
                <w:tcPr>
                  <w:tcW w:w="1815" w:type="dxa"/>
                  <w:vMerge w:val="restart"/>
                  <w:vAlign w:val="center"/>
                </w:tcPr>
                <w:p w14:paraId="44641180">
                  <w:pPr>
                    <w:jc w:val="center"/>
                    <w:rPr>
                      <w:color w:val="auto"/>
                      <w:szCs w:val="21"/>
                    </w:rPr>
                  </w:pPr>
                  <w:r>
                    <w:rPr>
                      <w:color w:val="auto"/>
                      <w:szCs w:val="21"/>
                    </w:rPr>
                    <w:t>项目地东北面</w:t>
                  </w:r>
                </w:p>
                <w:p w14:paraId="4E0023CE">
                  <w:pPr>
                    <w:jc w:val="center"/>
                    <w:rPr>
                      <w:color w:val="auto"/>
                      <w:szCs w:val="21"/>
                    </w:rPr>
                  </w:pPr>
                  <w:r>
                    <w:rPr>
                      <w:color w:val="auto"/>
                      <w:szCs w:val="21"/>
                    </w:rPr>
                    <w:t>厂界外1米</w:t>
                  </w:r>
                </w:p>
              </w:tc>
              <w:tc>
                <w:tcPr>
                  <w:tcW w:w="1016" w:type="dxa"/>
                  <w:vAlign w:val="center"/>
                </w:tcPr>
                <w:p w14:paraId="766A7A89">
                  <w:pPr>
                    <w:widowControl w:val="0"/>
                    <w:spacing w:line="240" w:lineRule="auto"/>
                    <w:jc w:val="center"/>
                    <w:rPr>
                      <w:color w:val="auto"/>
                      <w:szCs w:val="21"/>
                    </w:rPr>
                  </w:pPr>
                  <w:r>
                    <w:rPr>
                      <w:color w:val="auto"/>
                      <w:szCs w:val="21"/>
                    </w:rPr>
                    <w:t>昼间</w:t>
                  </w:r>
                </w:p>
              </w:tc>
              <w:tc>
                <w:tcPr>
                  <w:tcW w:w="1260" w:type="dxa"/>
                  <w:vAlign w:val="center"/>
                </w:tcPr>
                <w:p w14:paraId="6DEBDEC4">
                  <w:pPr>
                    <w:widowControl w:val="0"/>
                    <w:adjustRightInd w:val="0"/>
                    <w:jc w:val="center"/>
                    <w:rPr>
                      <w:color w:val="auto"/>
                      <w:szCs w:val="21"/>
                    </w:rPr>
                  </w:pPr>
                  <w:r>
                    <w:rPr>
                      <w:color w:val="auto"/>
                      <w:szCs w:val="21"/>
                      <w:lang w:bidi="ar"/>
                    </w:rPr>
                    <w:t>交通噪声</w:t>
                  </w:r>
                </w:p>
              </w:tc>
              <w:tc>
                <w:tcPr>
                  <w:tcW w:w="2325" w:type="dxa"/>
                  <w:vAlign w:val="center"/>
                </w:tcPr>
                <w:p w14:paraId="0CCDEEEE">
                  <w:pPr>
                    <w:widowControl w:val="0"/>
                    <w:spacing w:line="240" w:lineRule="auto"/>
                    <w:jc w:val="center"/>
                    <w:rPr>
                      <w:color w:val="auto"/>
                      <w:szCs w:val="21"/>
                    </w:rPr>
                  </w:pPr>
                  <w:r>
                    <w:rPr>
                      <w:color w:val="auto"/>
                      <w:szCs w:val="21"/>
                    </w:rPr>
                    <w:t>55</w:t>
                  </w:r>
                </w:p>
              </w:tc>
              <w:tc>
                <w:tcPr>
                  <w:tcW w:w="2365" w:type="dxa"/>
                  <w:vAlign w:val="center"/>
                </w:tcPr>
                <w:p w14:paraId="5353DF53">
                  <w:pPr>
                    <w:widowControl w:val="0"/>
                    <w:spacing w:line="240" w:lineRule="auto"/>
                    <w:jc w:val="center"/>
                    <w:rPr>
                      <w:color w:val="auto"/>
                      <w:szCs w:val="21"/>
                    </w:rPr>
                  </w:pPr>
                  <w:r>
                    <w:rPr>
                      <w:color w:val="auto"/>
                      <w:szCs w:val="21"/>
                    </w:rPr>
                    <w:t>65</w:t>
                  </w:r>
                </w:p>
              </w:tc>
            </w:tr>
            <w:tr w14:paraId="462D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vMerge w:val="continue"/>
                  <w:vAlign w:val="center"/>
                </w:tcPr>
                <w:p w14:paraId="6FFD03B1">
                  <w:pPr>
                    <w:widowControl w:val="0"/>
                    <w:spacing w:line="240" w:lineRule="auto"/>
                    <w:jc w:val="center"/>
                    <w:rPr>
                      <w:color w:val="auto"/>
                      <w:szCs w:val="21"/>
                    </w:rPr>
                  </w:pPr>
                </w:p>
              </w:tc>
              <w:tc>
                <w:tcPr>
                  <w:tcW w:w="1815" w:type="dxa"/>
                  <w:vMerge w:val="continue"/>
                  <w:vAlign w:val="center"/>
                </w:tcPr>
                <w:p w14:paraId="58837E1B">
                  <w:pPr>
                    <w:jc w:val="center"/>
                    <w:rPr>
                      <w:color w:val="auto"/>
                      <w:szCs w:val="21"/>
                    </w:rPr>
                  </w:pPr>
                </w:p>
              </w:tc>
              <w:tc>
                <w:tcPr>
                  <w:tcW w:w="1016" w:type="dxa"/>
                  <w:vAlign w:val="center"/>
                </w:tcPr>
                <w:p w14:paraId="4789C5B9">
                  <w:pPr>
                    <w:widowControl w:val="0"/>
                    <w:spacing w:line="240" w:lineRule="auto"/>
                    <w:jc w:val="center"/>
                    <w:rPr>
                      <w:color w:val="auto"/>
                      <w:szCs w:val="21"/>
                    </w:rPr>
                  </w:pPr>
                  <w:r>
                    <w:rPr>
                      <w:color w:val="auto"/>
                      <w:szCs w:val="21"/>
                    </w:rPr>
                    <w:t>夜间</w:t>
                  </w:r>
                </w:p>
              </w:tc>
              <w:tc>
                <w:tcPr>
                  <w:tcW w:w="1260" w:type="dxa"/>
                  <w:vAlign w:val="center"/>
                </w:tcPr>
                <w:p w14:paraId="0B7323FA">
                  <w:pPr>
                    <w:widowControl w:val="0"/>
                    <w:adjustRightInd w:val="0"/>
                    <w:jc w:val="center"/>
                    <w:rPr>
                      <w:color w:val="auto"/>
                      <w:szCs w:val="21"/>
                    </w:rPr>
                  </w:pPr>
                  <w:r>
                    <w:rPr>
                      <w:color w:val="auto"/>
                      <w:szCs w:val="21"/>
                      <w:lang w:bidi="ar"/>
                    </w:rPr>
                    <w:t>交通噪声</w:t>
                  </w:r>
                </w:p>
              </w:tc>
              <w:tc>
                <w:tcPr>
                  <w:tcW w:w="2325" w:type="dxa"/>
                  <w:vAlign w:val="center"/>
                </w:tcPr>
                <w:p w14:paraId="5B37D229">
                  <w:pPr>
                    <w:widowControl w:val="0"/>
                    <w:spacing w:line="240" w:lineRule="auto"/>
                    <w:jc w:val="center"/>
                    <w:rPr>
                      <w:color w:val="auto"/>
                      <w:szCs w:val="21"/>
                    </w:rPr>
                  </w:pPr>
                  <w:r>
                    <w:rPr>
                      <w:color w:val="auto"/>
                      <w:szCs w:val="21"/>
                    </w:rPr>
                    <w:t>43</w:t>
                  </w:r>
                </w:p>
              </w:tc>
              <w:tc>
                <w:tcPr>
                  <w:tcW w:w="2365" w:type="dxa"/>
                  <w:vAlign w:val="center"/>
                </w:tcPr>
                <w:p w14:paraId="07864C69">
                  <w:pPr>
                    <w:widowControl w:val="0"/>
                    <w:spacing w:line="240" w:lineRule="auto"/>
                    <w:jc w:val="center"/>
                    <w:rPr>
                      <w:color w:val="auto"/>
                      <w:szCs w:val="21"/>
                    </w:rPr>
                  </w:pPr>
                  <w:r>
                    <w:rPr>
                      <w:color w:val="auto"/>
                      <w:szCs w:val="21"/>
                    </w:rPr>
                    <w:t>55</w:t>
                  </w:r>
                </w:p>
              </w:tc>
            </w:tr>
            <w:tr w14:paraId="32B2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vMerge w:val="restart"/>
                  <w:vAlign w:val="center"/>
                </w:tcPr>
                <w:p w14:paraId="6DB4B920">
                  <w:pPr>
                    <w:widowControl w:val="0"/>
                    <w:spacing w:line="240" w:lineRule="auto"/>
                    <w:jc w:val="center"/>
                    <w:rPr>
                      <w:color w:val="auto"/>
                      <w:szCs w:val="21"/>
                    </w:rPr>
                  </w:pPr>
                  <w:r>
                    <w:rPr>
                      <w:color w:val="auto"/>
                      <w:szCs w:val="21"/>
                    </w:rPr>
                    <w:t>N3</w:t>
                  </w:r>
                </w:p>
              </w:tc>
              <w:tc>
                <w:tcPr>
                  <w:tcW w:w="1815" w:type="dxa"/>
                  <w:vMerge w:val="restart"/>
                  <w:vAlign w:val="center"/>
                </w:tcPr>
                <w:p w14:paraId="492EE135">
                  <w:pPr>
                    <w:jc w:val="center"/>
                    <w:rPr>
                      <w:color w:val="auto"/>
                      <w:szCs w:val="21"/>
                    </w:rPr>
                  </w:pPr>
                  <w:r>
                    <w:rPr>
                      <w:color w:val="auto"/>
                      <w:szCs w:val="21"/>
                    </w:rPr>
                    <w:t>项目地东南面</w:t>
                  </w:r>
                </w:p>
                <w:p w14:paraId="26828D57">
                  <w:pPr>
                    <w:jc w:val="center"/>
                    <w:rPr>
                      <w:color w:val="auto"/>
                      <w:szCs w:val="21"/>
                    </w:rPr>
                  </w:pPr>
                  <w:r>
                    <w:rPr>
                      <w:color w:val="auto"/>
                      <w:szCs w:val="21"/>
                    </w:rPr>
                    <w:t>厂界外1米</w:t>
                  </w:r>
                </w:p>
              </w:tc>
              <w:tc>
                <w:tcPr>
                  <w:tcW w:w="1016" w:type="dxa"/>
                  <w:vAlign w:val="center"/>
                </w:tcPr>
                <w:p w14:paraId="79750956">
                  <w:pPr>
                    <w:widowControl w:val="0"/>
                    <w:spacing w:line="240" w:lineRule="auto"/>
                    <w:jc w:val="center"/>
                    <w:rPr>
                      <w:color w:val="auto"/>
                      <w:szCs w:val="21"/>
                    </w:rPr>
                  </w:pPr>
                  <w:r>
                    <w:rPr>
                      <w:color w:val="auto"/>
                      <w:szCs w:val="21"/>
                    </w:rPr>
                    <w:t>昼间</w:t>
                  </w:r>
                </w:p>
              </w:tc>
              <w:tc>
                <w:tcPr>
                  <w:tcW w:w="1260" w:type="dxa"/>
                  <w:vAlign w:val="center"/>
                </w:tcPr>
                <w:p w14:paraId="19F41411">
                  <w:pPr>
                    <w:widowControl w:val="0"/>
                    <w:adjustRightInd w:val="0"/>
                    <w:jc w:val="center"/>
                    <w:rPr>
                      <w:color w:val="auto"/>
                      <w:szCs w:val="21"/>
                    </w:rPr>
                  </w:pPr>
                  <w:r>
                    <w:rPr>
                      <w:color w:val="auto"/>
                      <w:szCs w:val="21"/>
                      <w:lang w:bidi="ar"/>
                    </w:rPr>
                    <w:t>工业噪声</w:t>
                  </w:r>
                </w:p>
              </w:tc>
              <w:tc>
                <w:tcPr>
                  <w:tcW w:w="2325" w:type="dxa"/>
                  <w:vAlign w:val="center"/>
                </w:tcPr>
                <w:p w14:paraId="43B29256">
                  <w:pPr>
                    <w:widowControl w:val="0"/>
                    <w:spacing w:line="240" w:lineRule="auto"/>
                    <w:jc w:val="center"/>
                    <w:rPr>
                      <w:color w:val="auto"/>
                      <w:szCs w:val="21"/>
                    </w:rPr>
                  </w:pPr>
                  <w:r>
                    <w:rPr>
                      <w:color w:val="auto"/>
                      <w:szCs w:val="21"/>
                    </w:rPr>
                    <w:t>55</w:t>
                  </w:r>
                </w:p>
              </w:tc>
              <w:tc>
                <w:tcPr>
                  <w:tcW w:w="2365" w:type="dxa"/>
                  <w:vAlign w:val="center"/>
                </w:tcPr>
                <w:p w14:paraId="34A4D5FE">
                  <w:pPr>
                    <w:widowControl w:val="0"/>
                    <w:spacing w:line="240" w:lineRule="auto"/>
                    <w:jc w:val="center"/>
                    <w:rPr>
                      <w:color w:val="auto"/>
                      <w:szCs w:val="21"/>
                    </w:rPr>
                  </w:pPr>
                  <w:r>
                    <w:rPr>
                      <w:color w:val="auto"/>
                      <w:szCs w:val="21"/>
                    </w:rPr>
                    <w:t>65</w:t>
                  </w:r>
                </w:p>
              </w:tc>
            </w:tr>
            <w:tr w14:paraId="2656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vMerge w:val="continue"/>
                  <w:vAlign w:val="center"/>
                </w:tcPr>
                <w:p w14:paraId="7C96AD9A">
                  <w:pPr>
                    <w:widowControl w:val="0"/>
                    <w:spacing w:line="240" w:lineRule="auto"/>
                    <w:jc w:val="center"/>
                    <w:rPr>
                      <w:color w:val="auto"/>
                      <w:szCs w:val="21"/>
                    </w:rPr>
                  </w:pPr>
                </w:p>
              </w:tc>
              <w:tc>
                <w:tcPr>
                  <w:tcW w:w="1815" w:type="dxa"/>
                  <w:vMerge w:val="continue"/>
                  <w:vAlign w:val="center"/>
                </w:tcPr>
                <w:p w14:paraId="3B8EDF5D">
                  <w:pPr>
                    <w:jc w:val="center"/>
                    <w:rPr>
                      <w:color w:val="auto"/>
                      <w:szCs w:val="21"/>
                    </w:rPr>
                  </w:pPr>
                </w:p>
              </w:tc>
              <w:tc>
                <w:tcPr>
                  <w:tcW w:w="1016" w:type="dxa"/>
                  <w:vAlign w:val="center"/>
                </w:tcPr>
                <w:p w14:paraId="731BB458">
                  <w:pPr>
                    <w:widowControl w:val="0"/>
                    <w:spacing w:line="240" w:lineRule="auto"/>
                    <w:jc w:val="center"/>
                    <w:rPr>
                      <w:color w:val="auto"/>
                      <w:szCs w:val="21"/>
                    </w:rPr>
                  </w:pPr>
                  <w:r>
                    <w:rPr>
                      <w:color w:val="auto"/>
                      <w:szCs w:val="21"/>
                    </w:rPr>
                    <w:t>夜间</w:t>
                  </w:r>
                </w:p>
              </w:tc>
              <w:tc>
                <w:tcPr>
                  <w:tcW w:w="1260" w:type="dxa"/>
                  <w:vAlign w:val="center"/>
                </w:tcPr>
                <w:p w14:paraId="08E291B4">
                  <w:pPr>
                    <w:widowControl w:val="0"/>
                    <w:adjustRightInd w:val="0"/>
                    <w:jc w:val="center"/>
                    <w:rPr>
                      <w:color w:val="auto"/>
                      <w:szCs w:val="21"/>
                    </w:rPr>
                  </w:pPr>
                  <w:r>
                    <w:rPr>
                      <w:color w:val="auto"/>
                      <w:szCs w:val="21"/>
                      <w:lang w:bidi="ar"/>
                    </w:rPr>
                    <w:t>工业噪声</w:t>
                  </w:r>
                </w:p>
              </w:tc>
              <w:tc>
                <w:tcPr>
                  <w:tcW w:w="2325" w:type="dxa"/>
                  <w:vAlign w:val="center"/>
                </w:tcPr>
                <w:p w14:paraId="76FC5212">
                  <w:pPr>
                    <w:widowControl w:val="0"/>
                    <w:spacing w:line="240" w:lineRule="auto"/>
                    <w:jc w:val="center"/>
                    <w:rPr>
                      <w:color w:val="auto"/>
                      <w:szCs w:val="21"/>
                    </w:rPr>
                  </w:pPr>
                  <w:r>
                    <w:rPr>
                      <w:color w:val="auto"/>
                      <w:szCs w:val="21"/>
                    </w:rPr>
                    <w:t>42</w:t>
                  </w:r>
                </w:p>
              </w:tc>
              <w:tc>
                <w:tcPr>
                  <w:tcW w:w="2365" w:type="dxa"/>
                  <w:vAlign w:val="center"/>
                </w:tcPr>
                <w:p w14:paraId="48E578C5">
                  <w:pPr>
                    <w:widowControl w:val="0"/>
                    <w:spacing w:line="240" w:lineRule="auto"/>
                    <w:jc w:val="center"/>
                    <w:rPr>
                      <w:color w:val="auto"/>
                      <w:szCs w:val="21"/>
                    </w:rPr>
                  </w:pPr>
                  <w:r>
                    <w:rPr>
                      <w:color w:val="auto"/>
                      <w:szCs w:val="21"/>
                    </w:rPr>
                    <w:t>55</w:t>
                  </w:r>
                </w:p>
              </w:tc>
            </w:tr>
            <w:tr w14:paraId="5429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vMerge w:val="restart"/>
                  <w:vAlign w:val="center"/>
                </w:tcPr>
                <w:p w14:paraId="724F9796">
                  <w:pPr>
                    <w:widowControl w:val="0"/>
                    <w:spacing w:line="240" w:lineRule="auto"/>
                    <w:jc w:val="center"/>
                    <w:rPr>
                      <w:color w:val="auto"/>
                      <w:szCs w:val="21"/>
                    </w:rPr>
                  </w:pPr>
                  <w:r>
                    <w:rPr>
                      <w:color w:val="auto"/>
                      <w:szCs w:val="21"/>
                    </w:rPr>
                    <w:t>N4</w:t>
                  </w:r>
                </w:p>
              </w:tc>
              <w:tc>
                <w:tcPr>
                  <w:tcW w:w="1815" w:type="dxa"/>
                  <w:vMerge w:val="restart"/>
                  <w:vAlign w:val="center"/>
                </w:tcPr>
                <w:p w14:paraId="72775458">
                  <w:pPr>
                    <w:jc w:val="center"/>
                    <w:rPr>
                      <w:color w:val="auto"/>
                      <w:szCs w:val="21"/>
                    </w:rPr>
                  </w:pPr>
                  <w:r>
                    <w:rPr>
                      <w:color w:val="auto"/>
                      <w:szCs w:val="21"/>
                    </w:rPr>
                    <w:t>项目地西南面</w:t>
                  </w:r>
                </w:p>
                <w:p w14:paraId="66EBA1BD">
                  <w:pPr>
                    <w:jc w:val="center"/>
                    <w:rPr>
                      <w:color w:val="auto"/>
                      <w:szCs w:val="21"/>
                    </w:rPr>
                  </w:pPr>
                  <w:r>
                    <w:rPr>
                      <w:color w:val="auto"/>
                      <w:szCs w:val="21"/>
                    </w:rPr>
                    <w:t>厂界外1米</w:t>
                  </w:r>
                </w:p>
              </w:tc>
              <w:tc>
                <w:tcPr>
                  <w:tcW w:w="1016" w:type="dxa"/>
                  <w:vAlign w:val="center"/>
                </w:tcPr>
                <w:p w14:paraId="78A8AD8B">
                  <w:pPr>
                    <w:widowControl w:val="0"/>
                    <w:spacing w:line="240" w:lineRule="auto"/>
                    <w:jc w:val="center"/>
                    <w:rPr>
                      <w:color w:val="auto"/>
                      <w:szCs w:val="21"/>
                    </w:rPr>
                  </w:pPr>
                  <w:r>
                    <w:rPr>
                      <w:color w:val="auto"/>
                      <w:szCs w:val="21"/>
                    </w:rPr>
                    <w:t>昼间</w:t>
                  </w:r>
                </w:p>
              </w:tc>
              <w:tc>
                <w:tcPr>
                  <w:tcW w:w="1260" w:type="dxa"/>
                  <w:vAlign w:val="center"/>
                </w:tcPr>
                <w:p w14:paraId="7A169E2F">
                  <w:pPr>
                    <w:widowControl w:val="0"/>
                    <w:spacing w:line="240" w:lineRule="auto"/>
                    <w:jc w:val="center"/>
                    <w:rPr>
                      <w:color w:val="auto"/>
                      <w:szCs w:val="21"/>
                    </w:rPr>
                  </w:pPr>
                  <w:r>
                    <w:rPr>
                      <w:color w:val="auto"/>
                      <w:szCs w:val="21"/>
                      <w:lang w:bidi="ar"/>
                    </w:rPr>
                    <w:t>生活噪声</w:t>
                  </w:r>
                </w:p>
              </w:tc>
              <w:tc>
                <w:tcPr>
                  <w:tcW w:w="2325" w:type="dxa"/>
                  <w:vAlign w:val="center"/>
                </w:tcPr>
                <w:p w14:paraId="50BF7878">
                  <w:pPr>
                    <w:widowControl w:val="0"/>
                    <w:spacing w:line="240" w:lineRule="auto"/>
                    <w:jc w:val="center"/>
                    <w:rPr>
                      <w:color w:val="auto"/>
                      <w:szCs w:val="21"/>
                    </w:rPr>
                  </w:pPr>
                  <w:r>
                    <w:rPr>
                      <w:color w:val="auto"/>
                      <w:szCs w:val="21"/>
                    </w:rPr>
                    <w:t>54</w:t>
                  </w:r>
                </w:p>
              </w:tc>
              <w:tc>
                <w:tcPr>
                  <w:tcW w:w="2365" w:type="dxa"/>
                  <w:vAlign w:val="center"/>
                </w:tcPr>
                <w:p w14:paraId="5C7D761F">
                  <w:pPr>
                    <w:widowControl w:val="0"/>
                    <w:spacing w:line="240" w:lineRule="auto"/>
                    <w:jc w:val="center"/>
                    <w:rPr>
                      <w:color w:val="auto"/>
                      <w:szCs w:val="21"/>
                    </w:rPr>
                  </w:pPr>
                  <w:r>
                    <w:rPr>
                      <w:color w:val="auto"/>
                      <w:szCs w:val="21"/>
                    </w:rPr>
                    <w:t>65</w:t>
                  </w:r>
                </w:p>
              </w:tc>
            </w:tr>
            <w:tr w14:paraId="73F4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dxa"/>
                  <w:vMerge w:val="continue"/>
                  <w:vAlign w:val="center"/>
                </w:tcPr>
                <w:p w14:paraId="56D36758">
                  <w:pPr>
                    <w:widowControl w:val="0"/>
                    <w:spacing w:line="240" w:lineRule="auto"/>
                    <w:jc w:val="center"/>
                    <w:rPr>
                      <w:color w:val="auto"/>
                      <w:szCs w:val="21"/>
                    </w:rPr>
                  </w:pPr>
                </w:p>
              </w:tc>
              <w:tc>
                <w:tcPr>
                  <w:tcW w:w="1815" w:type="dxa"/>
                  <w:vMerge w:val="continue"/>
                  <w:vAlign w:val="center"/>
                </w:tcPr>
                <w:p w14:paraId="07306E4B">
                  <w:pPr>
                    <w:jc w:val="center"/>
                    <w:rPr>
                      <w:color w:val="auto"/>
                      <w:szCs w:val="21"/>
                    </w:rPr>
                  </w:pPr>
                </w:p>
              </w:tc>
              <w:tc>
                <w:tcPr>
                  <w:tcW w:w="1016" w:type="dxa"/>
                  <w:vAlign w:val="center"/>
                </w:tcPr>
                <w:p w14:paraId="6803E61F">
                  <w:pPr>
                    <w:widowControl w:val="0"/>
                    <w:spacing w:line="240" w:lineRule="auto"/>
                    <w:jc w:val="center"/>
                    <w:rPr>
                      <w:color w:val="auto"/>
                      <w:szCs w:val="21"/>
                    </w:rPr>
                  </w:pPr>
                  <w:r>
                    <w:rPr>
                      <w:color w:val="auto"/>
                      <w:szCs w:val="21"/>
                    </w:rPr>
                    <w:t>夜间</w:t>
                  </w:r>
                </w:p>
              </w:tc>
              <w:tc>
                <w:tcPr>
                  <w:tcW w:w="1260" w:type="dxa"/>
                  <w:vAlign w:val="center"/>
                </w:tcPr>
                <w:p w14:paraId="78A019E9">
                  <w:pPr>
                    <w:widowControl w:val="0"/>
                    <w:spacing w:line="240" w:lineRule="auto"/>
                    <w:jc w:val="center"/>
                    <w:rPr>
                      <w:color w:val="auto"/>
                      <w:szCs w:val="21"/>
                    </w:rPr>
                  </w:pPr>
                  <w:r>
                    <w:rPr>
                      <w:color w:val="auto"/>
                      <w:szCs w:val="21"/>
                      <w:lang w:bidi="ar"/>
                    </w:rPr>
                    <w:t>生活噪声</w:t>
                  </w:r>
                </w:p>
              </w:tc>
              <w:tc>
                <w:tcPr>
                  <w:tcW w:w="2325" w:type="dxa"/>
                  <w:vAlign w:val="center"/>
                </w:tcPr>
                <w:p w14:paraId="310EFA01">
                  <w:pPr>
                    <w:widowControl w:val="0"/>
                    <w:spacing w:line="240" w:lineRule="auto"/>
                    <w:jc w:val="center"/>
                    <w:rPr>
                      <w:color w:val="auto"/>
                      <w:szCs w:val="21"/>
                    </w:rPr>
                  </w:pPr>
                  <w:r>
                    <w:rPr>
                      <w:color w:val="auto"/>
                      <w:szCs w:val="21"/>
                    </w:rPr>
                    <w:t>42</w:t>
                  </w:r>
                </w:p>
              </w:tc>
              <w:tc>
                <w:tcPr>
                  <w:tcW w:w="2365" w:type="dxa"/>
                  <w:vAlign w:val="center"/>
                </w:tcPr>
                <w:p w14:paraId="2699C3AB">
                  <w:pPr>
                    <w:widowControl w:val="0"/>
                    <w:spacing w:line="240" w:lineRule="auto"/>
                    <w:jc w:val="center"/>
                    <w:rPr>
                      <w:color w:val="auto"/>
                      <w:szCs w:val="21"/>
                    </w:rPr>
                  </w:pPr>
                  <w:r>
                    <w:rPr>
                      <w:color w:val="auto"/>
                      <w:szCs w:val="21"/>
                    </w:rPr>
                    <w:t>55</w:t>
                  </w:r>
                </w:p>
              </w:tc>
            </w:tr>
            <w:tr w14:paraId="3444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59" w:type="dxa"/>
                  <w:gridSpan w:val="6"/>
                  <w:vAlign w:val="center"/>
                </w:tcPr>
                <w:p w14:paraId="7C3ABCE9">
                  <w:pPr>
                    <w:widowControl w:val="0"/>
                    <w:spacing w:line="240" w:lineRule="auto"/>
                    <w:rPr>
                      <w:color w:val="auto"/>
                    </w:rPr>
                  </w:pPr>
                  <w:r>
                    <w:rPr>
                      <w:color w:val="auto"/>
                    </w:rPr>
                    <w:t>备注：</w:t>
                  </w:r>
                </w:p>
                <w:p w14:paraId="746E2F5A">
                  <w:pPr>
                    <w:widowControl w:val="0"/>
                    <w:spacing w:line="240" w:lineRule="auto"/>
                    <w:rPr>
                      <w:color w:val="auto"/>
                    </w:rPr>
                  </w:pPr>
                  <w:r>
                    <w:rPr>
                      <w:color w:val="auto"/>
                    </w:rPr>
                    <w:t>1、本报告仅对此次检测结果负责。</w:t>
                  </w:r>
                </w:p>
                <w:p w14:paraId="421B8183">
                  <w:pPr>
                    <w:widowControl w:val="0"/>
                    <w:numPr>
                      <w:ilvl w:val="0"/>
                      <w:numId w:val="3"/>
                    </w:numPr>
                    <w:tabs>
                      <w:tab w:val="left" w:pos="506"/>
                    </w:tabs>
                    <w:spacing w:line="240" w:lineRule="auto"/>
                    <w:rPr>
                      <w:color w:val="auto"/>
                    </w:rPr>
                  </w:pPr>
                  <w:r>
                    <w:rPr>
                      <w:color w:val="auto"/>
                    </w:rPr>
                    <w:t>执行《工业企业厂界环境噪声排放标准》（GB12348-2008）声环境功能3类区标准。</w:t>
                  </w:r>
                </w:p>
              </w:tc>
            </w:tr>
          </w:tbl>
          <w:p w14:paraId="3C82CB53">
            <w:pPr>
              <w:spacing w:line="360" w:lineRule="auto"/>
              <w:ind w:firstLine="480" w:firstLineChars="200"/>
              <w:rPr>
                <w:bCs/>
                <w:color w:val="auto"/>
                <w:sz w:val="24"/>
              </w:rPr>
            </w:pPr>
            <w:r>
              <w:rPr>
                <w:bCs/>
                <w:color w:val="auto"/>
                <w:sz w:val="24"/>
              </w:rPr>
              <w:t>根据以上监测数据显示，</w:t>
            </w:r>
            <w:r>
              <w:rPr>
                <w:rFonts w:hint="eastAsia"/>
                <w:bCs/>
                <w:color w:val="auto"/>
                <w:sz w:val="24"/>
              </w:rPr>
              <w:t>现有</w:t>
            </w:r>
            <w:r>
              <w:rPr>
                <w:bCs/>
                <w:color w:val="auto"/>
                <w:sz w:val="24"/>
              </w:rPr>
              <w:t>项目厂界达到《工业企业厂界环境噪声排放标准》(GB12348-2008)3标准要求</w:t>
            </w:r>
            <w:r>
              <w:rPr>
                <w:rFonts w:hint="eastAsia"/>
                <w:bCs/>
                <w:color w:val="auto"/>
                <w:sz w:val="24"/>
              </w:rPr>
              <w:t>（</w:t>
            </w:r>
            <w:r>
              <w:rPr>
                <w:bCs/>
                <w:color w:val="auto"/>
                <w:sz w:val="24"/>
              </w:rPr>
              <w:t>昼间：≤6</w:t>
            </w:r>
            <w:r>
              <w:rPr>
                <w:rFonts w:hint="eastAsia"/>
                <w:bCs/>
                <w:color w:val="auto"/>
                <w:sz w:val="24"/>
              </w:rPr>
              <w:t>5</w:t>
            </w:r>
            <w:r>
              <w:rPr>
                <w:bCs/>
                <w:color w:val="auto"/>
                <w:sz w:val="24"/>
              </w:rPr>
              <w:t>dB(A)；夜间：≤5</w:t>
            </w:r>
            <w:r>
              <w:rPr>
                <w:rFonts w:hint="eastAsia"/>
                <w:bCs/>
                <w:color w:val="auto"/>
                <w:sz w:val="24"/>
              </w:rPr>
              <w:t>5</w:t>
            </w:r>
            <w:r>
              <w:rPr>
                <w:bCs/>
                <w:color w:val="auto"/>
                <w:sz w:val="24"/>
              </w:rPr>
              <w:t>dB(A)</w:t>
            </w:r>
            <w:r>
              <w:rPr>
                <w:rFonts w:hint="eastAsia"/>
                <w:bCs/>
                <w:color w:val="auto"/>
                <w:sz w:val="24"/>
              </w:rPr>
              <w:t>）</w:t>
            </w:r>
            <w:r>
              <w:rPr>
                <w:bCs/>
                <w:color w:val="auto"/>
                <w:sz w:val="24"/>
              </w:rPr>
              <w:t>。</w:t>
            </w:r>
          </w:p>
          <w:p w14:paraId="00BEFE0E">
            <w:pPr>
              <w:spacing w:line="360" w:lineRule="auto"/>
              <w:ind w:firstLine="482" w:firstLineChars="200"/>
              <w:rPr>
                <w:b/>
                <w:color w:val="auto"/>
                <w:sz w:val="24"/>
              </w:rPr>
            </w:pPr>
            <w:r>
              <w:rPr>
                <w:rFonts w:hint="eastAsia"/>
                <w:b/>
                <w:color w:val="auto"/>
                <w:sz w:val="24"/>
              </w:rPr>
              <w:t>4、</w:t>
            </w:r>
            <w:r>
              <w:rPr>
                <w:b/>
                <w:color w:val="auto"/>
                <w:sz w:val="24"/>
              </w:rPr>
              <w:t>固废</w:t>
            </w:r>
          </w:p>
          <w:p w14:paraId="3A251CD4">
            <w:pPr>
              <w:spacing w:line="360" w:lineRule="auto"/>
              <w:ind w:firstLine="480" w:firstLineChars="200"/>
              <w:rPr>
                <w:rFonts w:hint="eastAsia"/>
                <w:bCs/>
                <w:color w:val="auto"/>
                <w:sz w:val="24"/>
              </w:rPr>
            </w:pPr>
            <w:r>
              <w:rPr>
                <w:bCs/>
                <w:color w:val="auto"/>
                <w:sz w:val="24"/>
              </w:rPr>
              <w:t>根据</w:t>
            </w:r>
            <w:r>
              <w:rPr>
                <w:rFonts w:hint="eastAsia"/>
                <w:bCs/>
                <w:color w:val="auto"/>
                <w:sz w:val="24"/>
              </w:rPr>
              <w:t>现有</w:t>
            </w:r>
            <w:r>
              <w:rPr>
                <w:bCs/>
                <w:color w:val="auto"/>
                <w:sz w:val="24"/>
              </w:rPr>
              <w:t>项目环评</w:t>
            </w:r>
            <w:r>
              <w:rPr>
                <w:rFonts w:hint="eastAsia"/>
                <w:bCs/>
                <w:color w:val="auto"/>
                <w:sz w:val="24"/>
              </w:rPr>
              <w:t>、验收</w:t>
            </w:r>
            <w:r>
              <w:rPr>
                <w:bCs/>
                <w:color w:val="auto"/>
                <w:sz w:val="24"/>
              </w:rPr>
              <w:t>报告，</w:t>
            </w:r>
            <w:r>
              <w:rPr>
                <w:rFonts w:hint="eastAsia"/>
                <w:bCs/>
                <w:color w:val="auto"/>
                <w:sz w:val="24"/>
              </w:rPr>
              <w:t>现有</w:t>
            </w:r>
            <w:r>
              <w:rPr>
                <w:bCs/>
                <w:color w:val="auto"/>
                <w:sz w:val="24"/>
              </w:rPr>
              <w:t>项目</w:t>
            </w:r>
            <w:r>
              <w:rPr>
                <w:color w:val="auto"/>
                <w:sz w:val="24"/>
              </w:rPr>
              <w:t>产生的固体废物主要有一般工业固废、危险废物及生活垃圾</w:t>
            </w:r>
            <w:r>
              <w:rPr>
                <w:bCs/>
                <w:color w:val="auto"/>
                <w:sz w:val="24"/>
              </w:rPr>
              <w:t>。</w:t>
            </w:r>
            <w:r>
              <w:rPr>
                <w:rFonts w:hint="eastAsia"/>
                <w:bCs/>
                <w:color w:val="auto"/>
                <w:sz w:val="24"/>
              </w:rPr>
              <w:t>具体产生量及处理措施见表2-</w:t>
            </w:r>
            <w:r>
              <w:rPr>
                <w:rFonts w:hint="eastAsia"/>
                <w:bCs/>
                <w:color w:val="auto"/>
                <w:sz w:val="24"/>
                <w:lang w:val="en-US" w:eastAsia="zh-CN"/>
              </w:rPr>
              <w:t>28</w:t>
            </w:r>
            <w:r>
              <w:rPr>
                <w:rFonts w:hint="eastAsia"/>
                <w:bCs/>
                <w:color w:val="auto"/>
                <w:sz w:val="24"/>
              </w:rPr>
              <w:t>所示。</w:t>
            </w:r>
          </w:p>
          <w:p w14:paraId="3CCFBE45">
            <w:pPr>
              <w:adjustRightInd w:val="0"/>
              <w:snapToGrid w:val="0"/>
              <w:jc w:val="center"/>
              <w:rPr>
                <w:b/>
                <w:color w:val="auto"/>
              </w:rPr>
            </w:pPr>
            <w:r>
              <w:rPr>
                <w:rFonts w:hAnsi="宋体"/>
                <w:b/>
                <w:color w:val="auto"/>
              </w:rPr>
              <w:t>表</w:t>
            </w:r>
            <w:r>
              <w:rPr>
                <w:rFonts w:hint="eastAsia"/>
                <w:b/>
                <w:color w:val="auto"/>
              </w:rPr>
              <w:t>2-</w:t>
            </w:r>
            <w:r>
              <w:rPr>
                <w:rFonts w:hint="eastAsia"/>
                <w:b/>
                <w:color w:val="auto"/>
                <w:lang w:val="en-US" w:eastAsia="zh-CN"/>
              </w:rPr>
              <w:t>28</w:t>
            </w:r>
            <w:r>
              <w:rPr>
                <w:rFonts w:hint="eastAsia"/>
                <w:b/>
                <w:color w:val="auto"/>
              </w:rPr>
              <w:t>现有项目固废产生及处置情况表</w:t>
            </w:r>
          </w:p>
          <w:tbl>
            <w:tblPr>
              <w:tblStyle w:val="42"/>
              <w:tblW w:w="9496" w:type="dxa"/>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666"/>
              <w:gridCol w:w="4039"/>
              <w:gridCol w:w="840"/>
              <w:gridCol w:w="1830"/>
              <w:gridCol w:w="2121"/>
            </w:tblGrid>
            <w:tr w14:paraId="5836AA5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08C3266D">
                  <w:pPr>
                    <w:pStyle w:val="162"/>
                    <w:ind w:left="-105" w:leftChars="-50" w:right="-105" w:rightChars="-50"/>
                    <w:rPr>
                      <w:rFonts w:ascii="Times New Roman" w:hAnsi="Times New Roman" w:eastAsia="宋体"/>
                      <w:b/>
                      <w:color w:val="auto"/>
                      <w:kern w:val="2"/>
                      <w:sz w:val="21"/>
                      <w:szCs w:val="21"/>
                      <w:highlight w:val="none"/>
                    </w:rPr>
                  </w:pPr>
                  <w:r>
                    <w:rPr>
                      <w:rFonts w:hint="eastAsia" w:ascii="Times New Roman" w:hAnsi="Times New Roman" w:eastAsia="宋体"/>
                      <w:b/>
                      <w:color w:val="auto"/>
                      <w:kern w:val="2"/>
                      <w:sz w:val="21"/>
                      <w:szCs w:val="21"/>
                      <w:highlight w:val="none"/>
                    </w:rPr>
                    <w:t>序号</w:t>
                  </w:r>
                </w:p>
              </w:tc>
              <w:tc>
                <w:tcPr>
                  <w:tcW w:w="4039" w:type="dxa"/>
                  <w:tcBorders>
                    <w:tl2br w:val="nil"/>
                    <w:tr2bl w:val="nil"/>
                  </w:tcBorders>
                  <w:vAlign w:val="center"/>
                </w:tcPr>
                <w:p w14:paraId="41A5D068">
                  <w:pPr>
                    <w:pStyle w:val="162"/>
                    <w:ind w:left="-105" w:leftChars="-50" w:right="-105" w:rightChars="-50"/>
                    <w:rPr>
                      <w:rFonts w:hint="eastAsia" w:ascii="Times New Roman" w:hAnsi="Times New Roman" w:eastAsia="宋体"/>
                      <w:b/>
                      <w:color w:val="auto"/>
                      <w:kern w:val="2"/>
                      <w:sz w:val="21"/>
                      <w:szCs w:val="21"/>
                      <w:highlight w:val="none"/>
                    </w:rPr>
                  </w:pPr>
                  <w:r>
                    <w:rPr>
                      <w:rFonts w:hint="eastAsia" w:ascii="Times New Roman" w:hAnsi="Times New Roman" w:eastAsia="宋体"/>
                      <w:b/>
                      <w:color w:val="auto"/>
                      <w:kern w:val="2"/>
                      <w:sz w:val="21"/>
                      <w:szCs w:val="21"/>
                      <w:highlight w:val="none"/>
                    </w:rPr>
                    <w:t>名称</w:t>
                  </w:r>
                </w:p>
              </w:tc>
              <w:tc>
                <w:tcPr>
                  <w:tcW w:w="840" w:type="dxa"/>
                  <w:tcBorders>
                    <w:tl2br w:val="nil"/>
                    <w:tr2bl w:val="nil"/>
                  </w:tcBorders>
                  <w:vAlign w:val="center"/>
                </w:tcPr>
                <w:p w14:paraId="1138F116">
                  <w:pPr>
                    <w:pStyle w:val="162"/>
                    <w:ind w:left="-105" w:leftChars="-50" w:right="-105" w:rightChars="-50"/>
                    <w:rPr>
                      <w:rFonts w:hint="eastAsia" w:ascii="Times New Roman" w:hAnsi="Times New Roman" w:eastAsia="宋体"/>
                      <w:b/>
                      <w:color w:val="auto"/>
                      <w:kern w:val="2"/>
                      <w:sz w:val="21"/>
                      <w:szCs w:val="21"/>
                      <w:highlight w:val="none"/>
                    </w:rPr>
                  </w:pPr>
                  <w:r>
                    <w:rPr>
                      <w:rFonts w:hint="eastAsia" w:ascii="Times New Roman" w:hAnsi="Times New Roman" w:eastAsia="宋体"/>
                      <w:b/>
                      <w:color w:val="auto"/>
                      <w:kern w:val="2"/>
                      <w:sz w:val="21"/>
                      <w:szCs w:val="21"/>
                      <w:highlight w:val="none"/>
                    </w:rPr>
                    <w:t>类别</w:t>
                  </w:r>
                </w:p>
              </w:tc>
              <w:tc>
                <w:tcPr>
                  <w:tcW w:w="1830" w:type="dxa"/>
                  <w:tcBorders>
                    <w:tl2br w:val="nil"/>
                    <w:tr2bl w:val="nil"/>
                  </w:tcBorders>
                  <w:vAlign w:val="center"/>
                </w:tcPr>
                <w:p w14:paraId="5085A186">
                  <w:pPr>
                    <w:pStyle w:val="162"/>
                    <w:ind w:left="-105" w:leftChars="-50" w:right="-105" w:rightChars="-50"/>
                    <w:rPr>
                      <w:rFonts w:ascii="Times New Roman" w:hAnsi="Times New Roman" w:eastAsia="宋体"/>
                      <w:b/>
                      <w:color w:val="auto"/>
                      <w:kern w:val="2"/>
                      <w:sz w:val="21"/>
                      <w:szCs w:val="21"/>
                      <w:highlight w:val="none"/>
                    </w:rPr>
                  </w:pPr>
                  <w:r>
                    <w:rPr>
                      <w:rFonts w:hint="eastAsia" w:ascii="Times New Roman" w:hAnsi="Times New Roman" w:eastAsia="宋体"/>
                      <w:b/>
                      <w:color w:val="auto"/>
                      <w:kern w:val="2"/>
                      <w:sz w:val="21"/>
                      <w:szCs w:val="21"/>
                      <w:highlight w:val="none"/>
                    </w:rPr>
                    <w:t>产生量（t/a）</w:t>
                  </w:r>
                </w:p>
              </w:tc>
              <w:tc>
                <w:tcPr>
                  <w:tcW w:w="2121" w:type="dxa"/>
                  <w:tcBorders>
                    <w:tl2br w:val="nil"/>
                    <w:tr2bl w:val="nil"/>
                  </w:tcBorders>
                  <w:vAlign w:val="center"/>
                </w:tcPr>
                <w:p w14:paraId="319264ED">
                  <w:pPr>
                    <w:pStyle w:val="162"/>
                    <w:ind w:left="-105" w:leftChars="-50" w:right="-105" w:rightChars="-50"/>
                    <w:rPr>
                      <w:rFonts w:ascii="Times New Roman" w:hAnsi="Times New Roman" w:eastAsia="宋体"/>
                      <w:b/>
                      <w:color w:val="auto"/>
                      <w:kern w:val="2"/>
                      <w:sz w:val="21"/>
                      <w:szCs w:val="21"/>
                      <w:highlight w:val="none"/>
                    </w:rPr>
                  </w:pPr>
                  <w:r>
                    <w:rPr>
                      <w:rFonts w:hint="eastAsia" w:ascii="Times New Roman" w:hAnsi="Times New Roman" w:eastAsia="宋体"/>
                      <w:b/>
                      <w:color w:val="auto"/>
                      <w:kern w:val="2"/>
                      <w:sz w:val="21"/>
                      <w:szCs w:val="21"/>
                      <w:highlight w:val="none"/>
                    </w:rPr>
                    <w:t>处置方式</w:t>
                  </w:r>
                </w:p>
              </w:tc>
            </w:tr>
            <w:tr w14:paraId="5C3D991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4432C2EC">
                  <w:pPr>
                    <w:pStyle w:val="162"/>
                    <w:ind w:left="-105" w:leftChars="-50" w:right="-105" w:rightChars="-50"/>
                    <w:rPr>
                      <w:rFonts w:hint="eastAsia"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1</w:t>
                  </w:r>
                </w:p>
              </w:tc>
              <w:tc>
                <w:tcPr>
                  <w:tcW w:w="4039" w:type="dxa"/>
                  <w:tcBorders>
                    <w:tl2br w:val="nil"/>
                    <w:tr2bl w:val="nil"/>
                  </w:tcBorders>
                  <w:vAlign w:val="center"/>
                </w:tcPr>
                <w:p w14:paraId="6A6CAB5A">
                  <w:pPr>
                    <w:jc w:val="center"/>
                    <w:rPr>
                      <w:color w:val="auto"/>
                      <w:spacing w:val="15"/>
                      <w:kern w:val="0"/>
                      <w:szCs w:val="21"/>
                      <w:highlight w:val="none"/>
                    </w:rPr>
                  </w:pPr>
                  <w:r>
                    <w:rPr>
                      <w:rFonts w:hint="eastAsia"/>
                      <w:color w:val="auto"/>
                      <w:spacing w:val="15"/>
                      <w:kern w:val="0"/>
                      <w:szCs w:val="21"/>
                      <w:highlight w:val="none"/>
                    </w:rPr>
                    <w:t>金属粉尘废渣</w:t>
                  </w:r>
                </w:p>
              </w:tc>
              <w:tc>
                <w:tcPr>
                  <w:tcW w:w="840" w:type="dxa"/>
                  <w:vMerge w:val="restart"/>
                  <w:tcBorders>
                    <w:tl2br w:val="nil"/>
                    <w:tr2bl w:val="nil"/>
                  </w:tcBorders>
                  <w:vAlign w:val="center"/>
                </w:tcPr>
                <w:p w14:paraId="65F690CE">
                  <w:pPr>
                    <w:pStyle w:val="162"/>
                    <w:ind w:left="-105" w:leftChars="-50" w:right="-105" w:rightChars="-50"/>
                    <w:rPr>
                      <w:rFonts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一般工业固废</w:t>
                  </w:r>
                </w:p>
              </w:tc>
              <w:tc>
                <w:tcPr>
                  <w:tcW w:w="1830" w:type="dxa"/>
                  <w:tcBorders>
                    <w:tl2br w:val="nil"/>
                    <w:tr2bl w:val="nil"/>
                  </w:tcBorders>
                  <w:vAlign w:val="center"/>
                </w:tcPr>
                <w:p w14:paraId="3F1E2B5E">
                  <w:pPr>
                    <w:jc w:val="center"/>
                    <w:rPr>
                      <w:color w:val="auto"/>
                      <w:spacing w:val="15"/>
                      <w:kern w:val="0"/>
                      <w:szCs w:val="21"/>
                      <w:highlight w:val="none"/>
                    </w:rPr>
                  </w:pPr>
                  <w:r>
                    <w:rPr>
                      <w:rFonts w:hint="eastAsia"/>
                      <w:color w:val="auto"/>
                      <w:spacing w:val="15"/>
                      <w:kern w:val="0"/>
                      <w:szCs w:val="21"/>
                      <w:highlight w:val="none"/>
                    </w:rPr>
                    <w:t>3.213</w:t>
                  </w:r>
                </w:p>
              </w:tc>
              <w:tc>
                <w:tcPr>
                  <w:tcW w:w="2121" w:type="dxa"/>
                  <w:vMerge w:val="restart"/>
                  <w:tcBorders>
                    <w:tl2br w:val="nil"/>
                    <w:tr2bl w:val="nil"/>
                  </w:tcBorders>
                  <w:vAlign w:val="center"/>
                </w:tcPr>
                <w:p w14:paraId="03728AA5">
                  <w:pPr>
                    <w:pStyle w:val="162"/>
                    <w:ind w:left="-105" w:leftChars="-50" w:right="-105" w:rightChars="-50"/>
                    <w:rPr>
                      <w:rFonts w:ascii="Times New Roman" w:hAnsi="Times New Roman" w:eastAsia="宋体"/>
                      <w:color w:val="auto"/>
                      <w:kern w:val="2"/>
                      <w:sz w:val="21"/>
                      <w:szCs w:val="21"/>
                      <w:highlight w:val="none"/>
                    </w:rPr>
                  </w:pPr>
                  <w:r>
                    <w:rPr>
                      <w:rFonts w:ascii="Times New Roman" w:hAnsi="Times New Roman" w:eastAsia="宋体"/>
                      <w:color w:val="auto"/>
                      <w:kern w:val="2"/>
                      <w:sz w:val="21"/>
                      <w:szCs w:val="21"/>
                      <w:highlight w:val="none"/>
                    </w:rPr>
                    <w:t>收集后由</w:t>
                  </w:r>
                  <w:r>
                    <w:rPr>
                      <w:rFonts w:hint="eastAsia" w:ascii="Times New Roman" w:hAnsi="Times New Roman" w:eastAsia="宋体"/>
                      <w:color w:val="auto"/>
                      <w:kern w:val="2"/>
                      <w:sz w:val="21"/>
                      <w:szCs w:val="21"/>
                      <w:highlight w:val="none"/>
                    </w:rPr>
                    <w:t>相关回收单位</w:t>
                  </w:r>
                  <w:r>
                    <w:rPr>
                      <w:rFonts w:ascii="Times New Roman" w:hAnsi="Times New Roman" w:eastAsia="宋体"/>
                      <w:color w:val="auto"/>
                      <w:kern w:val="2"/>
                      <w:sz w:val="21"/>
                      <w:szCs w:val="21"/>
                      <w:highlight w:val="none"/>
                    </w:rPr>
                    <w:t>收集处置</w:t>
                  </w:r>
                </w:p>
              </w:tc>
            </w:tr>
            <w:tr w14:paraId="7E68CD9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42269CDC">
                  <w:pPr>
                    <w:pStyle w:val="162"/>
                    <w:ind w:left="-105" w:leftChars="-50" w:right="-105" w:rightChars="-50"/>
                    <w:rPr>
                      <w:rFonts w:hint="eastAsia"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2</w:t>
                  </w:r>
                </w:p>
              </w:tc>
              <w:tc>
                <w:tcPr>
                  <w:tcW w:w="4039" w:type="dxa"/>
                  <w:tcBorders>
                    <w:tl2br w:val="nil"/>
                    <w:tr2bl w:val="nil"/>
                  </w:tcBorders>
                  <w:vAlign w:val="center"/>
                </w:tcPr>
                <w:p w14:paraId="5E5C82C8">
                  <w:pPr>
                    <w:jc w:val="center"/>
                    <w:rPr>
                      <w:rFonts w:hint="eastAsia"/>
                      <w:color w:val="auto"/>
                      <w:spacing w:val="15"/>
                      <w:kern w:val="0"/>
                      <w:szCs w:val="21"/>
                      <w:highlight w:val="none"/>
                    </w:rPr>
                  </w:pPr>
                  <w:r>
                    <w:rPr>
                      <w:rFonts w:hint="eastAsia"/>
                      <w:color w:val="auto"/>
                      <w:spacing w:val="15"/>
                      <w:kern w:val="0"/>
                      <w:szCs w:val="21"/>
                      <w:highlight w:val="none"/>
                    </w:rPr>
                    <w:t>金属加工边角料</w:t>
                  </w:r>
                </w:p>
              </w:tc>
              <w:tc>
                <w:tcPr>
                  <w:tcW w:w="840" w:type="dxa"/>
                  <w:vMerge w:val="continue"/>
                  <w:tcBorders>
                    <w:tl2br w:val="nil"/>
                    <w:tr2bl w:val="nil"/>
                  </w:tcBorders>
                  <w:vAlign w:val="center"/>
                </w:tcPr>
                <w:p w14:paraId="1E120AD9">
                  <w:pPr>
                    <w:pStyle w:val="162"/>
                    <w:ind w:left="-105" w:leftChars="-50" w:right="-105" w:rightChars="-50"/>
                    <w:rPr>
                      <w:rFonts w:ascii="Times New Roman" w:hAnsi="Times New Roman" w:eastAsia="宋体"/>
                      <w:color w:val="auto"/>
                      <w:kern w:val="2"/>
                      <w:sz w:val="21"/>
                      <w:szCs w:val="21"/>
                      <w:highlight w:val="none"/>
                    </w:rPr>
                  </w:pPr>
                </w:p>
              </w:tc>
              <w:tc>
                <w:tcPr>
                  <w:tcW w:w="1830" w:type="dxa"/>
                  <w:tcBorders>
                    <w:tl2br w:val="nil"/>
                    <w:tr2bl w:val="nil"/>
                  </w:tcBorders>
                  <w:vAlign w:val="center"/>
                </w:tcPr>
                <w:p w14:paraId="3536F8A8">
                  <w:pPr>
                    <w:jc w:val="center"/>
                    <w:rPr>
                      <w:color w:val="auto"/>
                      <w:spacing w:val="15"/>
                      <w:kern w:val="0"/>
                      <w:szCs w:val="21"/>
                      <w:highlight w:val="none"/>
                    </w:rPr>
                  </w:pPr>
                  <w:r>
                    <w:rPr>
                      <w:rFonts w:hint="eastAsia"/>
                      <w:color w:val="auto"/>
                      <w:spacing w:val="15"/>
                      <w:kern w:val="0"/>
                      <w:szCs w:val="21"/>
                      <w:highlight w:val="none"/>
                    </w:rPr>
                    <w:t>2.64</w:t>
                  </w:r>
                </w:p>
              </w:tc>
              <w:tc>
                <w:tcPr>
                  <w:tcW w:w="2121" w:type="dxa"/>
                  <w:vMerge w:val="continue"/>
                  <w:tcBorders>
                    <w:tl2br w:val="nil"/>
                    <w:tr2bl w:val="nil"/>
                  </w:tcBorders>
                  <w:vAlign w:val="center"/>
                </w:tcPr>
                <w:p w14:paraId="18EE05FF">
                  <w:pPr>
                    <w:pStyle w:val="162"/>
                    <w:ind w:left="-105" w:leftChars="-50" w:right="-105" w:rightChars="-50"/>
                    <w:rPr>
                      <w:rFonts w:ascii="Times New Roman" w:hAnsi="宋体" w:eastAsia="宋体"/>
                      <w:color w:val="auto"/>
                      <w:sz w:val="21"/>
                      <w:szCs w:val="21"/>
                      <w:highlight w:val="none"/>
                    </w:rPr>
                  </w:pPr>
                </w:p>
              </w:tc>
            </w:tr>
            <w:tr w14:paraId="35CC1BC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15A51944">
                  <w:pPr>
                    <w:pStyle w:val="162"/>
                    <w:ind w:left="-105" w:leftChars="-50" w:right="-105" w:rightChars="-50"/>
                    <w:rPr>
                      <w:rFonts w:hint="eastAsia"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3</w:t>
                  </w:r>
                </w:p>
              </w:tc>
              <w:tc>
                <w:tcPr>
                  <w:tcW w:w="4039" w:type="dxa"/>
                  <w:tcBorders>
                    <w:tl2br w:val="nil"/>
                    <w:tr2bl w:val="nil"/>
                  </w:tcBorders>
                  <w:vAlign w:val="center"/>
                </w:tcPr>
                <w:p w14:paraId="79C70AB5">
                  <w:pPr>
                    <w:jc w:val="center"/>
                    <w:rPr>
                      <w:color w:val="auto"/>
                      <w:spacing w:val="15"/>
                      <w:kern w:val="0"/>
                      <w:szCs w:val="21"/>
                      <w:highlight w:val="none"/>
                    </w:rPr>
                  </w:pPr>
                  <w:r>
                    <w:rPr>
                      <w:rFonts w:hint="eastAsia"/>
                      <w:color w:val="auto"/>
                      <w:spacing w:val="15"/>
                      <w:kern w:val="0"/>
                      <w:szCs w:val="21"/>
                      <w:highlight w:val="none"/>
                    </w:rPr>
                    <w:t>塑料制品边角料</w:t>
                  </w:r>
                </w:p>
              </w:tc>
              <w:tc>
                <w:tcPr>
                  <w:tcW w:w="840" w:type="dxa"/>
                  <w:vMerge w:val="continue"/>
                  <w:tcBorders>
                    <w:tl2br w:val="nil"/>
                    <w:tr2bl w:val="nil"/>
                  </w:tcBorders>
                  <w:vAlign w:val="center"/>
                </w:tcPr>
                <w:p w14:paraId="63F2CD1E">
                  <w:pPr>
                    <w:pStyle w:val="162"/>
                    <w:ind w:left="-105" w:leftChars="-50" w:right="-105" w:rightChars="-50"/>
                    <w:rPr>
                      <w:rFonts w:ascii="Times New Roman" w:hAnsi="Times New Roman" w:eastAsia="宋体"/>
                      <w:color w:val="auto"/>
                      <w:kern w:val="2"/>
                      <w:sz w:val="21"/>
                      <w:szCs w:val="21"/>
                      <w:highlight w:val="none"/>
                    </w:rPr>
                  </w:pPr>
                </w:p>
              </w:tc>
              <w:tc>
                <w:tcPr>
                  <w:tcW w:w="1830" w:type="dxa"/>
                  <w:tcBorders>
                    <w:tl2br w:val="nil"/>
                    <w:tr2bl w:val="nil"/>
                  </w:tcBorders>
                  <w:vAlign w:val="center"/>
                </w:tcPr>
                <w:p w14:paraId="74B3F267">
                  <w:pPr>
                    <w:jc w:val="center"/>
                    <w:rPr>
                      <w:color w:val="auto"/>
                      <w:spacing w:val="15"/>
                      <w:kern w:val="0"/>
                      <w:szCs w:val="21"/>
                      <w:highlight w:val="none"/>
                    </w:rPr>
                  </w:pPr>
                  <w:r>
                    <w:rPr>
                      <w:rFonts w:hint="eastAsia"/>
                      <w:color w:val="auto"/>
                      <w:spacing w:val="15"/>
                      <w:kern w:val="0"/>
                      <w:szCs w:val="21"/>
                      <w:highlight w:val="none"/>
                    </w:rPr>
                    <w:t>0.6</w:t>
                  </w:r>
                </w:p>
              </w:tc>
              <w:tc>
                <w:tcPr>
                  <w:tcW w:w="2121" w:type="dxa"/>
                  <w:vMerge w:val="continue"/>
                  <w:tcBorders>
                    <w:tl2br w:val="nil"/>
                    <w:tr2bl w:val="nil"/>
                  </w:tcBorders>
                  <w:vAlign w:val="center"/>
                </w:tcPr>
                <w:p w14:paraId="366758F2">
                  <w:pPr>
                    <w:pStyle w:val="162"/>
                    <w:ind w:left="-105" w:leftChars="-50" w:right="-105" w:rightChars="-50"/>
                    <w:rPr>
                      <w:rFonts w:ascii="Times New Roman" w:hAnsi="宋体" w:eastAsia="宋体"/>
                      <w:color w:val="auto"/>
                      <w:sz w:val="21"/>
                      <w:szCs w:val="21"/>
                      <w:highlight w:val="none"/>
                      <w:lang w:val="de-DE"/>
                    </w:rPr>
                  </w:pPr>
                </w:p>
              </w:tc>
            </w:tr>
            <w:tr w14:paraId="0D6B051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036E4654">
                  <w:pPr>
                    <w:pStyle w:val="162"/>
                    <w:ind w:left="-105" w:leftChars="-50" w:right="-105" w:rightChars="-50"/>
                    <w:rPr>
                      <w:rFonts w:hint="eastAsia" w:ascii="Times New Roman" w:hAnsi="Times New Roman" w:eastAsia="宋体"/>
                      <w:color w:val="auto"/>
                      <w:kern w:val="2"/>
                      <w:sz w:val="21"/>
                      <w:szCs w:val="21"/>
                      <w:highlight w:val="none"/>
                      <w:lang w:eastAsia="zh-CN"/>
                    </w:rPr>
                  </w:pPr>
                  <w:r>
                    <w:rPr>
                      <w:rFonts w:hint="eastAsia" w:ascii="Times New Roman" w:hAnsi="Times New Roman" w:eastAsia="宋体"/>
                      <w:color w:val="auto"/>
                      <w:kern w:val="2"/>
                      <w:sz w:val="21"/>
                      <w:szCs w:val="21"/>
                      <w:highlight w:val="none"/>
                      <w:lang w:val="en-US" w:eastAsia="zh-CN"/>
                    </w:rPr>
                    <w:t>4</w:t>
                  </w:r>
                </w:p>
              </w:tc>
              <w:tc>
                <w:tcPr>
                  <w:tcW w:w="4039" w:type="dxa"/>
                  <w:tcBorders>
                    <w:tl2br w:val="nil"/>
                    <w:tr2bl w:val="nil"/>
                  </w:tcBorders>
                  <w:vAlign w:val="center"/>
                </w:tcPr>
                <w:p w14:paraId="388CC76D">
                  <w:pPr>
                    <w:jc w:val="center"/>
                    <w:rPr>
                      <w:rFonts w:hint="eastAsia"/>
                      <w:color w:val="auto"/>
                      <w:spacing w:val="15"/>
                      <w:kern w:val="0"/>
                      <w:szCs w:val="21"/>
                      <w:highlight w:val="none"/>
                    </w:rPr>
                  </w:pPr>
                  <w:r>
                    <w:rPr>
                      <w:rFonts w:hint="eastAsia"/>
                      <w:color w:val="auto"/>
                      <w:szCs w:val="21"/>
                      <w:highlight w:val="none"/>
                    </w:rPr>
                    <w:t>综合废水处理站处理污水产生的污泥</w:t>
                  </w:r>
                </w:p>
              </w:tc>
              <w:tc>
                <w:tcPr>
                  <w:tcW w:w="840" w:type="dxa"/>
                  <w:vMerge w:val="restart"/>
                  <w:tcBorders>
                    <w:tl2br w:val="nil"/>
                    <w:tr2bl w:val="nil"/>
                  </w:tcBorders>
                  <w:vAlign w:val="center"/>
                </w:tcPr>
                <w:p w14:paraId="0BCB824F">
                  <w:pPr>
                    <w:pStyle w:val="162"/>
                    <w:ind w:left="-105" w:leftChars="-50" w:right="-105" w:rightChars="-50"/>
                    <w:rPr>
                      <w:rFonts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危险固废</w:t>
                  </w:r>
                </w:p>
              </w:tc>
              <w:tc>
                <w:tcPr>
                  <w:tcW w:w="1830" w:type="dxa"/>
                  <w:tcBorders>
                    <w:tl2br w:val="nil"/>
                    <w:tr2bl w:val="nil"/>
                  </w:tcBorders>
                  <w:vAlign w:val="center"/>
                </w:tcPr>
                <w:p w14:paraId="1952BEC8">
                  <w:pPr>
                    <w:jc w:val="center"/>
                    <w:rPr>
                      <w:color w:val="auto"/>
                      <w:spacing w:val="15"/>
                      <w:kern w:val="0"/>
                      <w:szCs w:val="21"/>
                      <w:highlight w:val="none"/>
                    </w:rPr>
                  </w:pPr>
                  <w:r>
                    <w:rPr>
                      <w:rFonts w:hint="eastAsia"/>
                      <w:color w:val="auto"/>
                      <w:spacing w:val="15"/>
                      <w:kern w:val="0"/>
                      <w:szCs w:val="21"/>
                      <w:highlight w:val="none"/>
                    </w:rPr>
                    <w:t>121</w:t>
                  </w:r>
                </w:p>
              </w:tc>
              <w:tc>
                <w:tcPr>
                  <w:tcW w:w="2121" w:type="dxa"/>
                  <w:vMerge w:val="restart"/>
                  <w:tcBorders>
                    <w:tl2br w:val="nil"/>
                    <w:tr2bl w:val="nil"/>
                  </w:tcBorders>
                  <w:vAlign w:val="center"/>
                </w:tcPr>
                <w:p w14:paraId="166DCD55">
                  <w:pPr>
                    <w:pStyle w:val="204"/>
                    <w:spacing w:line="0" w:lineRule="atLeast"/>
                    <w:ind w:right="-105" w:rightChars="-50" w:firstLine="0"/>
                    <w:jc w:val="center"/>
                    <w:rPr>
                      <w:rFonts w:ascii="Times New Roman" w:hAnsi="宋体" w:eastAsia="宋体"/>
                      <w:color w:val="auto"/>
                      <w:sz w:val="21"/>
                      <w:szCs w:val="21"/>
                      <w:highlight w:val="none"/>
                    </w:rPr>
                  </w:pPr>
                  <w:r>
                    <w:rPr>
                      <w:rFonts w:hint="eastAsia" w:ascii="Times New Roman" w:hAnsi="宋体" w:eastAsia="宋体"/>
                      <w:color w:val="auto"/>
                      <w:sz w:val="21"/>
                      <w:szCs w:val="21"/>
                      <w:highlight w:val="none"/>
                    </w:rPr>
                    <w:t>收集后由有危废资质单位收集处置</w:t>
                  </w:r>
                </w:p>
              </w:tc>
            </w:tr>
            <w:tr w14:paraId="7D255B2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5DAEA9E1">
                  <w:pPr>
                    <w:pStyle w:val="162"/>
                    <w:ind w:left="-105" w:leftChars="-50" w:right="-105" w:rightChars="-50"/>
                    <w:rPr>
                      <w:rFonts w:hint="eastAsia" w:ascii="Times New Roman" w:hAnsi="Times New Roman" w:eastAsia="宋体"/>
                      <w:color w:val="auto"/>
                      <w:kern w:val="2"/>
                      <w:sz w:val="21"/>
                      <w:szCs w:val="21"/>
                      <w:highlight w:val="none"/>
                      <w:lang w:eastAsia="zh-CN"/>
                    </w:rPr>
                  </w:pPr>
                  <w:r>
                    <w:rPr>
                      <w:rFonts w:hint="eastAsia" w:ascii="Times New Roman" w:hAnsi="Times New Roman" w:eastAsia="宋体"/>
                      <w:color w:val="auto"/>
                      <w:kern w:val="2"/>
                      <w:sz w:val="21"/>
                      <w:szCs w:val="21"/>
                      <w:highlight w:val="none"/>
                      <w:lang w:val="en-US" w:eastAsia="zh-CN"/>
                    </w:rPr>
                    <w:t>5</w:t>
                  </w:r>
                </w:p>
              </w:tc>
              <w:tc>
                <w:tcPr>
                  <w:tcW w:w="4039" w:type="dxa"/>
                  <w:tcBorders>
                    <w:tl2br w:val="nil"/>
                    <w:tr2bl w:val="nil"/>
                  </w:tcBorders>
                  <w:vAlign w:val="center"/>
                </w:tcPr>
                <w:p w14:paraId="10B7FFDF">
                  <w:pPr>
                    <w:jc w:val="center"/>
                    <w:rPr>
                      <w:color w:val="auto"/>
                      <w:spacing w:val="15"/>
                      <w:kern w:val="0"/>
                      <w:szCs w:val="21"/>
                      <w:highlight w:val="none"/>
                    </w:rPr>
                  </w:pPr>
                  <w:r>
                    <w:rPr>
                      <w:rFonts w:hint="eastAsia"/>
                      <w:color w:val="auto"/>
                      <w:spacing w:val="15"/>
                      <w:kern w:val="0"/>
                      <w:szCs w:val="21"/>
                      <w:highlight w:val="none"/>
                    </w:rPr>
                    <w:t>碱蚀铝制品处理槽含铝废渣</w:t>
                  </w:r>
                </w:p>
              </w:tc>
              <w:tc>
                <w:tcPr>
                  <w:tcW w:w="840" w:type="dxa"/>
                  <w:vMerge w:val="continue"/>
                  <w:tcBorders>
                    <w:tl2br w:val="nil"/>
                    <w:tr2bl w:val="nil"/>
                  </w:tcBorders>
                  <w:vAlign w:val="center"/>
                </w:tcPr>
                <w:p w14:paraId="7DDFCD66">
                  <w:pPr>
                    <w:pStyle w:val="162"/>
                    <w:ind w:left="-105" w:leftChars="-50" w:right="-105" w:rightChars="-50"/>
                    <w:rPr>
                      <w:rFonts w:hint="eastAsia" w:ascii="Times New Roman" w:hAnsi="Times New Roman" w:eastAsia="宋体"/>
                      <w:color w:val="auto"/>
                      <w:kern w:val="2"/>
                      <w:sz w:val="21"/>
                      <w:szCs w:val="21"/>
                      <w:highlight w:val="none"/>
                    </w:rPr>
                  </w:pPr>
                </w:p>
              </w:tc>
              <w:tc>
                <w:tcPr>
                  <w:tcW w:w="1830" w:type="dxa"/>
                  <w:tcBorders>
                    <w:tl2br w:val="nil"/>
                    <w:tr2bl w:val="nil"/>
                  </w:tcBorders>
                  <w:vAlign w:val="center"/>
                </w:tcPr>
                <w:p w14:paraId="0DD7B586">
                  <w:pPr>
                    <w:jc w:val="center"/>
                    <w:rPr>
                      <w:rFonts w:hint="default" w:eastAsia="宋体"/>
                      <w:color w:val="auto"/>
                      <w:spacing w:val="15"/>
                      <w:kern w:val="0"/>
                      <w:szCs w:val="21"/>
                      <w:highlight w:val="none"/>
                      <w:lang w:val="en-US" w:eastAsia="zh-CN"/>
                    </w:rPr>
                  </w:pPr>
                  <w:r>
                    <w:rPr>
                      <w:rFonts w:hint="eastAsia"/>
                      <w:color w:val="auto"/>
                      <w:spacing w:val="15"/>
                      <w:kern w:val="0"/>
                      <w:szCs w:val="21"/>
                      <w:highlight w:val="none"/>
                      <w:lang w:val="en-US" w:eastAsia="zh-CN"/>
                    </w:rPr>
                    <w:t>15</w:t>
                  </w:r>
                </w:p>
              </w:tc>
              <w:tc>
                <w:tcPr>
                  <w:tcW w:w="2121" w:type="dxa"/>
                  <w:vMerge w:val="continue"/>
                  <w:tcBorders>
                    <w:tl2br w:val="nil"/>
                    <w:tr2bl w:val="nil"/>
                  </w:tcBorders>
                  <w:vAlign w:val="center"/>
                </w:tcPr>
                <w:p w14:paraId="275B85B6">
                  <w:pPr>
                    <w:pStyle w:val="204"/>
                    <w:spacing w:line="0" w:lineRule="atLeast"/>
                    <w:ind w:left="-105" w:leftChars="-50" w:right="-105" w:rightChars="-50"/>
                    <w:jc w:val="center"/>
                    <w:rPr>
                      <w:rFonts w:ascii="Times New Roman" w:hAnsi="宋体" w:eastAsia="宋体"/>
                      <w:color w:val="auto"/>
                      <w:sz w:val="21"/>
                      <w:szCs w:val="21"/>
                      <w:highlight w:val="none"/>
                    </w:rPr>
                  </w:pPr>
                </w:p>
              </w:tc>
            </w:tr>
            <w:tr w14:paraId="36225E6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1D26BE50">
                  <w:pPr>
                    <w:pStyle w:val="162"/>
                    <w:ind w:left="-105" w:leftChars="-50" w:right="-105" w:rightChars="-50"/>
                    <w:rPr>
                      <w:rFonts w:hint="eastAsia" w:ascii="Times New Roman" w:hAnsi="Times New Roman" w:eastAsia="宋体"/>
                      <w:color w:val="auto"/>
                      <w:kern w:val="2"/>
                      <w:sz w:val="21"/>
                      <w:szCs w:val="21"/>
                      <w:highlight w:val="none"/>
                      <w:lang w:eastAsia="zh-CN"/>
                    </w:rPr>
                  </w:pPr>
                  <w:r>
                    <w:rPr>
                      <w:rFonts w:hint="eastAsia" w:ascii="Times New Roman" w:hAnsi="Times New Roman" w:eastAsia="宋体"/>
                      <w:color w:val="auto"/>
                      <w:kern w:val="2"/>
                      <w:sz w:val="21"/>
                      <w:szCs w:val="21"/>
                      <w:highlight w:val="none"/>
                      <w:lang w:val="en-US" w:eastAsia="zh-CN"/>
                    </w:rPr>
                    <w:t>6</w:t>
                  </w:r>
                </w:p>
              </w:tc>
              <w:tc>
                <w:tcPr>
                  <w:tcW w:w="4039" w:type="dxa"/>
                  <w:tcBorders>
                    <w:tl2br w:val="nil"/>
                    <w:tr2bl w:val="nil"/>
                  </w:tcBorders>
                  <w:vAlign w:val="center"/>
                </w:tcPr>
                <w:p w14:paraId="725FC020">
                  <w:pPr>
                    <w:jc w:val="center"/>
                    <w:rPr>
                      <w:color w:val="auto"/>
                      <w:spacing w:val="15"/>
                      <w:kern w:val="0"/>
                      <w:szCs w:val="21"/>
                      <w:highlight w:val="none"/>
                    </w:rPr>
                  </w:pPr>
                  <w:r>
                    <w:rPr>
                      <w:rFonts w:hint="eastAsia"/>
                      <w:color w:val="auto"/>
                      <w:spacing w:val="15"/>
                      <w:kern w:val="0"/>
                      <w:szCs w:val="21"/>
                      <w:highlight w:val="none"/>
                    </w:rPr>
                    <w:t>除油、酸蚀、碱蚀、阳极氧化、着色、封孔更换的废槽液</w:t>
                  </w:r>
                </w:p>
              </w:tc>
              <w:tc>
                <w:tcPr>
                  <w:tcW w:w="840" w:type="dxa"/>
                  <w:vMerge w:val="continue"/>
                  <w:tcBorders>
                    <w:tl2br w:val="nil"/>
                    <w:tr2bl w:val="nil"/>
                  </w:tcBorders>
                  <w:vAlign w:val="center"/>
                </w:tcPr>
                <w:p w14:paraId="5E5A8D40">
                  <w:pPr>
                    <w:pStyle w:val="162"/>
                    <w:ind w:left="-105" w:leftChars="-50" w:right="-105" w:rightChars="-50"/>
                    <w:rPr>
                      <w:rFonts w:hint="eastAsia" w:ascii="Times New Roman" w:hAnsi="Times New Roman" w:eastAsia="宋体"/>
                      <w:color w:val="auto"/>
                      <w:kern w:val="2"/>
                      <w:sz w:val="21"/>
                      <w:szCs w:val="21"/>
                      <w:highlight w:val="none"/>
                    </w:rPr>
                  </w:pPr>
                </w:p>
              </w:tc>
              <w:tc>
                <w:tcPr>
                  <w:tcW w:w="1830" w:type="dxa"/>
                  <w:tcBorders>
                    <w:tl2br w:val="nil"/>
                    <w:tr2bl w:val="nil"/>
                  </w:tcBorders>
                  <w:vAlign w:val="center"/>
                </w:tcPr>
                <w:p w14:paraId="52E9B361">
                  <w:pPr>
                    <w:jc w:val="center"/>
                    <w:rPr>
                      <w:color w:val="auto"/>
                      <w:spacing w:val="15"/>
                      <w:kern w:val="0"/>
                      <w:szCs w:val="21"/>
                      <w:highlight w:val="none"/>
                    </w:rPr>
                  </w:pPr>
                  <w:r>
                    <w:rPr>
                      <w:rFonts w:hint="eastAsia"/>
                      <w:color w:val="auto"/>
                      <w:spacing w:val="15"/>
                      <w:kern w:val="0"/>
                      <w:szCs w:val="21"/>
                      <w:highlight w:val="none"/>
                    </w:rPr>
                    <w:t>138.68</w:t>
                  </w:r>
                </w:p>
              </w:tc>
              <w:tc>
                <w:tcPr>
                  <w:tcW w:w="2121" w:type="dxa"/>
                  <w:vMerge w:val="continue"/>
                  <w:tcBorders>
                    <w:tl2br w:val="nil"/>
                    <w:tr2bl w:val="nil"/>
                  </w:tcBorders>
                  <w:vAlign w:val="center"/>
                </w:tcPr>
                <w:p w14:paraId="6A9375FD">
                  <w:pPr>
                    <w:pStyle w:val="204"/>
                    <w:spacing w:line="0" w:lineRule="atLeast"/>
                    <w:ind w:left="-105" w:leftChars="-50" w:right="-105" w:rightChars="-50"/>
                    <w:jc w:val="center"/>
                    <w:rPr>
                      <w:rFonts w:ascii="Times New Roman" w:hAnsi="宋体" w:eastAsia="宋体"/>
                      <w:color w:val="auto"/>
                      <w:sz w:val="21"/>
                      <w:szCs w:val="21"/>
                      <w:highlight w:val="none"/>
                    </w:rPr>
                  </w:pPr>
                </w:p>
              </w:tc>
            </w:tr>
            <w:tr w14:paraId="7438401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5F8B5F31">
                  <w:pPr>
                    <w:pStyle w:val="162"/>
                    <w:ind w:left="-105" w:leftChars="-50" w:right="-105" w:rightChars="-50"/>
                    <w:rPr>
                      <w:rFonts w:hint="eastAsia"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lang w:eastAsia="zh-CN"/>
                    </w:rPr>
                    <w:t>7</w:t>
                  </w:r>
                </w:p>
              </w:tc>
              <w:tc>
                <w:tcPr>
                  <w:tcW w:w="4039" w:type="dxa"/>
                  <w:tcBorders>
                    <w:tl2br w:val="nil"/>
                    <w:tr2bl w:val="nil"/>
                  </w:tcBorders>
                  <w:vAlign w:val="center"/>
                </w:tcPr>
                <w:p w14:paraId="00CFBE3C">
                  <w:pPr>
                    <w:jc w:val="center"/>
                    <w:rPr>
                      <w:rFonts w:hint="eastAsia"/>
                      <w:color w:val="auto"/>
                      <w:spacing w:val="15"/>
                      <w:kern w:val="0"/>
                      <w:szCs w:val="21"/>
                      <w:highlight w:val="none"/>
                    </w:rPr>
                  </w:pPr>
                  <w:r>
                    <w:rPr>
                      <w:rFonts w:hint="eastAsia"/>
                      <w:color w:val="auto"/>
                      <w:spacing w:val="15"/>
                      <w:kern w:val="0"/>
                      <w:szCs w:val="21"/>
                      <w:highlight w:val="none"/>
                      <w:lang w:val="en-US" w:eastAsia="zh-CN"/>
                    </w:rPr>
                    <w:t>浓缩含镍废水</w:t>
                  </w:r>
                </w:p>
              </w:tc>
              <w:tc>
                <w:tcPr>
                  <w:tcW w:w="840" w:type="dxa"/>
                  <w:vMerge w:val="continue"/>
                  <w:tcBorders>
                    <w:tl2br w:val="nil"/>
                    <w:tr2bl w:val="nil"/>
                  </w:tcBorders>
                  <w:vAlign w:val="center"/>
                </w:tcPr>
                <w:p w14:paraId="3CC1B8B2">
                  <w:pPr>
                    <w:pStyle w:val="162"/>
                    <w:ind w:left="-105" w:leftChars="-50" w:right="-105" w:rightChars="-50"/>
                    <w:rPr>
                      <w:rFonts w:hint="eastAsia" w:ascii="Times New Roman" w:hAnsi="Times New Roman" w:eastAsia="宋体"/>
                      <w:color w:val="auto"/>
                      <w:kern w:val="2"/>
                      <w:sz w:val="21"/>
                      <w:szCs w:val="21"/>
                      <w:highlight w:val="none"/>
                    </w:rPr>
                  </w:pPr>
                </w:p>
              </w:tc>
              <w:tc>
                <w:tcPr>
                  <w:tcW w:w="1830" w:type="dxa"/>
                  <w:tcBorders>
                    <w:tl2br w:val="nil"/>
                    <w:tr2bl w:val="nil"/>
                  </w:tcBorders>
                  <w:vAlign w:val="center"/>
                </w:tcPr>
                <w:p w14:paraId="6ED767A5">
                  <w:pPr>
                    <w:jc w:val="center"/>
                    <w:rPr>
                      <w:rFonts w:hint="eastAsia"/>
                      <w:color w:val="auto"/>
                      <w:spacing w:val="15"/>
                      <w:kern w:val="0"/>
                      <w:szCs w:val="21"/>
                      <w:highlight w:val="none"/>
                    </w:rPr>
                  </w:pPr>
                  <w:r>
                    <w:rPr>
                      <w:rFonts w:hint="eastAsia"/>
                      <w:color w:val="auto"/>
                      <w:spacing w:val="15"/>
                      <w:kern w:val="0"/>
                      <w:szCs w:val="21"/>
                      <w:highlight w:val="none"/>
                      <w:lang w:val="en-US" w:eastAsia="zh-CN"/>
                    </w:rPr>
                    <w:t>50</w:t>
                  </w:r>
                </w:p>
              </w:tc>
              <w:tc>
                <w:tcPr>
                  <w:tcW w:w="2121" w:type="dxa"/>
                  <w:vMerge w:val="continue"/>
                  <w:tcBorders>
                    <w:tl2br w:val="nil"/>
                    <w:tr2bl w:val="nil"/>
                  </w:tcBorders>
                  <w:vAlign w:val="center"/>
                </w:tcPr>
                <w:p w14:paraId="58B00838">
                  <w:pPr>
                    <w:pStyle w:val="162"/>
                    <w:ind w:left="-105" w:leftChars="-50" w:right="-105" w:rightChars="-50"/>
                    <w:rPr>
                      <w:rFonts w:ascii="Times New Roman" w:hAnsi="宋体" w:eastAsia="宋体"/>
                      <w:color w:val="auto"/>
                      <w:sz w:val="21"/>
                      <w:szCs w:val="21"/>
                      <w:highlight w:val="none"/>
                    </w:rPr>
                  </w:pPr>
                </w:p>
              </w:tc>
            </w:tr>
            <w:tr w14:paraId="25587C1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2D003E00">
                  <w:pPr>
                    <w:pStyle w:val="162"/>
                    <w:ind w:left="-105" w:leftChars="-50" w:right="-105" w:rightChars="-50"/>
                    <w:rPr>
                      <w:rFonts w:hint="eastAsia" w:ascii="Times New Roman" w:hAnsi="Times New Roman" w:eastAsia="宋体"/>
                      <w:color w:val="auto"/>
                      <w:kern w:val="2"/>
                      <w:sz w:val="21"/>
                      <w:szCs w:val="21"/>
                      <w:highlight w:val="none"/>
                      <w:lang w:eastAsia="zh-CN"/>
                    </w:rPr>
                  </w:pPr>
                  <w:r>
                    <w:rPr>
                      <w:rFonts w:hint="eastAsia" w:ascii="Times New Roman" w:hAnsi="Times New Roman" w:eastAsia="宋体"/>
                      <w:color w:val="auto"/>
                      <w:kern w:val="2"/>
                      <w:sz w:val="21"/>
                      <w:szCs w:val="21"/>
                      <w:highlight w:val="none"/>
                      <w:lang w:val="en-US" w:eastAsia="zh-CN"/>
                    </w:rPr>
                    <w:t>8</w:t>
                  </w:r>
                </w:p>
              </w:tc>
              <w:tc>
                <w:tcPr>
                  <w:tcW w:w="4039" w:type="dxa"/>
                  <w:tcBorders>
                    <w:tl2br w:val="nil"/>
                    <w:tr2bl w:val="nil"/>
                  </w:tcBorders>
                  <w:vAlign w:val="center"/>
                </w:tcPr>
                <w:p w14:paraId="7D5758F1">
                  <w:pPr>
                    <w:jc w:val="center"/>
                    <w:rPr>
                      <w:color w:val="auto"/>
                      <w:spacing w:val="15"/>
                      <w:kern w:val="0"/>
                      <w:szCs w:val="21"/>
                      <w:highlight w:val="none"/>
                    </w:rPr>
                  </w:pPr>
                  <w:r>
                    <w:rPr>
                      <w:rFonts w:hint="eastAsia"/>
                      <w:color w:val="auto"/>
                      <w:spacing w:val="15"/>
                      <w:kern w:val="0"/>
                      <w:szCs w:val="21"/>
                      <w:highlight w:val="none"/>
                    </w:rPr>
                    <w:t>染料的包装废料</w:t>
                  </w:r>
                </w:p>
              </w:tc>
              <w:tc>
                <w:tcPr>
                  <w:tcW w:w="840" w:type="dxa"/>
                  <w:vMerge w:val="continue"/>
                  <w:tcBorders>
                    <w:tl2br w:val="nil"/>
                    <w:tr2bl w:val="nil"/>
                  </w:tcBorders>
                  <w:vAlign w:val="center"/>
                </w:tcPr>
                <w:p w14:paraId="1AFC18AE">
                  <w:pPr>
                    <w:pStyle w:val="162"/>
                    <w:ind w:left="-105" w:leftChars="-50" w:right="-105" w:rightChars="-50"/>
                    <w:rPr>
                      <w:rFonts w:hint="eastAsia" w:ascii="Times New Roman" w:hAnsi="Times New Roman" w:eastAsia="宋体"/>
                      <w:color w:val="auto"/>
                      <w:kern w:val="2"/>
                      <w:sz w:val="21"/>
                      <w:szCs w:val="21"/>
                      <w:highlight w:val="none"/>
                    </w:rPr>
                  </w:pPr>
                </w:p>
              </w:tc>
              <w:tc>
                <w:tcPr>
                  <w:tcW w:w="1830" w:type="dxa"/>
                  <w:tcBorders>
                    <w:tl2br w:val="nil"/>
                    <w:tr2bl w:val="nil"/>
                  </w:tcBorders>
                  <w:vAlign w:val="center"/>
                </w:tcPr>
                <w:p w14:paraId="544B79E4">
                  <w:pPr>
                    <w:jc w:val="center"/>
                    <w:rPr>
                      <w:color w:val="auto"/>
                      <w:spacing w:val="15"/>
                      <w:kern w:val="0"/>
                      <w:szCs w:val="21"/>
                      <w:highlight w:val="none"/>
                    </w:rPr>
                  </w:pPr>
                  <w:r>
                    <w:rPr>
                      <w:rFonts w:hint="eastAsia"/>
                      <w:color w:val="auto"/>
                      <w:spacing w:val="15"/>
                      <w:kern w:val="0"/>
                      <w:szCs w:val="21"/>
                      <w:highlight w:val="none"/>
                    </w:rPr>
                    <w:t>0.022</w:t>
                  </w:r>
                </w:p>
              </w:tc>
              <w:tc>
                <w:tcPr>
                  <w:tcW w:w="2121" w:type="dxa"/>
                  <w:vMerge w:val="restart"/>
                  <w:tcBorders>
                    <w:tl2br w:val="nil"/>
                    <w:tr2bl w:val="nil"/>
                  </w:tcBorders>
                  <w:vAlign w:val="center"/>
                </w:tcPr>
                <w:p w14:paraId="6E8FFFE2">
                  <w:pPr>
                    <w:pStyle w:val="162"/>
                    <w:ind w:left="-105" w:leftChars="-50" w:right="-105" w:rightChars="-50"/>
                    <w:rPr>
                      <w:rFonts w:hint="default" w:ascii="Times New Roman" w:hAnsi="宋体" w:eastAsia="宋体"/>
                      <w:color w:val="auto"/>
                      <w:sz w:val="21"/>
                      <w:szCs w:val="21"/>
                      <w:highlight w:val="none"/>
                      <w:lang w:val="en-US" w:eastAsia="zh-CN"/>
                    </w:rPr>
                  </w:pPr>
                  <w:r>
                    <w:rPr>
                      <w:rFonts w:hint="eastAsia" w:ascii="Times New Roman" w:hAnsi="宋体" w:eastAsia="宋体"/>
                      <w:color w:val="auto"/>
                      <w:sz w:val="21"/>
                      <w:szCs w:val="21"/>
                      <w:highlight w:val="none"/>
                      <w:lang w:val="en-US" w:eastAsia="zh-CN"/>
                    </w:rPr>
                    <w:t>由于无破损，由供应商回收利用</w:t>
                  </w:r>
                </w:p>
              </w:tc>
            </w:tr>
            <w:tr w14:paraId="30CC80B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4E9C2823">
                  <w:pPr>
                    <w:pStyle w:val="162"/>
                    <w:ind w:left="-105" w:leftChars="-50" w:right="-105" w:rightChars="-50"/>
                    <w:rPr>
                      <w:rFonts w:hint="eastAsia" w:ascii="Times New Roman" w:hAnsi="Times New Roman" w:eastAsia="宋体"/>
                      <w:color w:val="auto"/>
                      <w:kern w:val="2"/>
                      <w:sz w:val="21"/>
                      <w:szCs w:val="21"/>
                      <w:highlight w:val="none"/>
                      <w:lang w:eastAsia="zh-CN"/>
                    </w:rPr>
                  </w:pPr>
                  <w:r>
                    <w:rPr>
                      <w:rFonts w:hint="eastAsia" w:ascii="Times New Roman" w:hAnsi="Times New Roman" w:eastAsia="宋体"/>
                      <w:color w:val="auto"/>
                      <w:kern w:val="2"/>
                      <w:sz w:val="21"/>
                      <w:szCs w:val="21"/>
                      <w:highlight w:val="none"/>
                      <w:lang w:val="en-US" w:eastAsia="zh-CN"/>
                    </w:rPr>
                    <w:t>9</w:t>
                  </w:r>
                </w:p>
              </w:tc>
              <w:tc>
                <w:tcPr>
                  <w:tcW w:w="4039" w:type="dxa"/>
                  <w:tcBorders>
                    <w:tl2br w:val="nil"/>
                    <w:tr2bl w:val="nil"/>
                  </w:tcBorders>
                  <w:vAlign w:val="center"/>
                </w:tcPr>
                <w:p w14:paraId="57BC94A4">
                  <w:pPr>
                    <w:jc w:val="center"/>
                    <w:rPr>
                      <w:color w:val="auto"/>
                      <w:spacing w:val="15"/>
                      <w:kern w:val="0"/>
                      <w:szCs w:val="21"/>
                      <w:highlight w:val="none"/>
                    </w:rPr>
                  </w:pPr>
                  <w:r>
                    <w:rPr>
                      <w:rFonts w:hint="eastAsia"/>
                      <w:color w:val="auto"/>
                      <w:spacing w:val="15"/>
                      <w:kern w:val="0"/>
                      <w:szCs w:val="21"/>
                      <w:highlight w:val="none"/>
                    </w:rPr>
                    <w:t>烧碱的包装废料</w:t>
                  </w:r>
                </w:p>
              </w:tc>
              <w:tc>
                <w:tcPr>
                  <w:tcW w:w="840" w:type="dxa"/>
                  <w:vMerge w:val="continue"/>
                  <w:tcBorders>
                    <w:tl2br w:val="nil"/>
                    <w:tr2bl w:val="nil"/>
                  </w:tcBorders>
                  <w:vAlign w:val="center"/>
                </w:tcPr>
                <w:p w14:paraId="789F2DD1">
                  <w:pPr>
                    <w:pStyle w:val="162"/>
                    <w:ind w:left="-105" w:leftChars="-50" w:right="-105" w:rightChars="-50"/>
                    <w:rPr>
                      <w:rFonts w:ascii="Times New Roman" w:hAnsi="Times New Roman" w:eastAsia="宋体"/>
                      <w:color w:val="auto"/>
                      <w:kern w:val="2"/>
                      <w:sz w:val="21"/>
                      <w:szCs w:val="21"/>
                      <w:highlight w:val="none"/>
                    </w:rPr>
                  </w:pPr>
                </w:p>
              </w:tc>
              <w:tc>
                <w:tcPr>
                  <w:tcW w:w="1830" w:type="dxa"/>
                  <w:tcBorders>
                    <w:tl2br w:val="nil"/>
                    <w:tr2bl w:val="nil"/>
                  </w:tcBorders>
                  <w:vAlign w:val="center"/>
                </w:tcPr>
                <w:p w14:paraId="0DADADC1">
                  <w:pPr>
                    <w:jc w:val="center"/>
                    <w:rPr>
                      <w:color w:val="auto"/>
                      <w:spacing w:val="15"/>
                      <w:kern w:val="0"/>
                      <w:szCs w:val="21"/>
                      <w:highlight w:val="none"/>
                    </w:rPr>
                  </w:pPr>
                  <w:r>
                    <w:rPr>
                      <w:rFonts w:hint="eastAsia"/>
                      <w:color w:val="auto"/>
                      <w:spacing w:val="15"/>
                      <w:kern w:val="0"/>
                      <w:szCs w:val="21"/>
                      <w:highlight w:val="none"/>
                    </w:rPr>
                    <w:t>0.066</w:t>
                  </w:r>
                </w:p>
              </w:tc>
              <w:tc>
                <w:tcPr>
                  <w:tcW w:w="2121" w:type="dxa"/>
                  <w:vMerge w:val="continue"/>
                  <w:tcBorders>
                    <w:tl2br w:val="nil"/>
                    <w:tr2bl w:val="nil"/>
                  </w:tcBorders>
                  <w:vAlign w:val="center"/>
                </w:tcPr>
                <w:p w14:paraId="5AEF7E48">
                  <w:pPr>
                    <w:pStyle w:val="162"/>
                    <w:ind w:left="-105" w:leftChars="-50" w:right="-105" w:rightChars="-50"/>
                    <w:rPr>
                      <w:rFonts w:ascii="Times New Roman" w:hAnsi="宋体" w:eastAsia="宋体"/>
                      <w:color w:val="auto"/>
                      <w:sz w:val="21"/>
                      <w:szCs w:val="21"/>
                      <w:highlight w:val="none"/>
                    </w:rPr>
                  </w:pPr>
                </w:p>
              </w:tc>
            </w:tr>
            <w:tr w14:paraId="78F300F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30722620">
                  <w:pPr>
                    <w:pStyle w:val="162"/>
                    <w:ind w:left="-105" w:leftChars="-50" w:right="-105" w:rightChars="-50"/>
                    <w:rPr>
                      <w:rFonts w:hint="default" w:ascii="Times New Roman" w:hAnsi="Times New Roman" w:eastAsia="宋体"/>
                      <w:color w:val="auto"/>
                      <w:kern w:val="2"/>
                      <w:sz w:val="21"/>
                      <w:szCs w:val="21"/>
                      <w:highlight w:val="none"/>
                      <w:lang w:val="en-US" w:eastAsia="zh-CN"/>
                    </w:rPr>
                  </w:pPr>
                  <w:r>
                    <w:rPr>
                      <w:rFonts w:hint="eastAsia" w:ascii="Times New Roman" w:hAnsi="Times New Roman" w:eastAsia="宋体"/>
                      <w:color w:val="auto"/>
                      <w:kern w:val="2"/>
                      <w:sz w:val="21"/>
                      <w:szCs w:val="21"/>
                      <w:highlight w:val="none"/>
                      <w:lang w:val="en-US" w:eastAsia="zh-CN"/>
                    </w:rPr>
                    <w:t>10</w:t>
                  </w:r>
                </w:p>
              </w:tc>
              <w:tc>
                <w:tcPr>
                  <w:tcW w:w="4039" w:type="dxa"/>
                  <w:tcBorders>
                    <w:tl2br w:val="nil"/>
                    <w:tr2bl w:val="nil"/>
                  </w:tcBorders>
                  <w:vAlign w:val="center"/>
                </w:tcPr>
                <w:p w14:paraId="262D5DF6">
                  <w:pPr>
                    <w:jc w:val="center"/>
                    <w:rPr>
                      <w:color w:val="auto"/>
                      <w:spacing w:val="15"/>
                      <w:kern w:val="0"/>
                      <w:szCs w:val="21"/>
                      <w:highlight w:val="none"/>
                    </w:rPr>
                  </w:pPr>
                  <w:r>
                    <w:rPr>
                      <w:rFonts w:hint="eastAsia"/>
                      <w:color w:val="auto"/>
                      <w:spacing w:val="15"/>
                      <w:kern w:val="0"/>
                      <w:szCs w:val="21"/>
                      <w:highlight w:val="none"/>
                    </w:rPr>
                    <w:t>各类酸液的包装废料</w:t>
                  </w:r>
                </w:p>
              </w:tc>
              <w:tc>
                <w:tcPr>
                  <w:tcW w:w="840" w:type="dxa"/>
                  <w:vMerge w:val="continue"/>
                  <w:tcBorders>
                    <w:tl2br w:val="nil"/>
                    <w:tr2bl w:val="nil"/>
                  </w:tcBorders>
                  <w:vAlign w:val="center"/>
                </w:tcPr>
                <w:p w14:paraId="357A7305">
                  <w:pPr>
                    <w:pStyle w:val="162"/>
                    <w:ind w:left="-105" w:leftChars="-50" w:right="-105" w:rightChars="-50"/>
                    <w:rPr>
                      <w:rFonts w:ascii="Times New Roman" w:hAnsi="Times New Roman" w:eastAsia="宋体"/>
                      <w:color w:val="auto"/>
                      <w:kern w:val="2"/>
                      <w:sz w:val="21"/>
                      <w:szCs w:val="21"/>
                      <w:highlight w:val="none"/>
                    </w:rPr>
                  </w:pPr>
                </w:p>
              </w:tc>
              <w:tc>
                <w:tcPr>
                  <w:tcW w:w="1830" w:type="dxa"/>
                  <w:tcBorders>
                    <w:tl2br w:val="nil"/>
                    <w:tr2bl w:val="nil"/>
                  </w:tcBorders>
                  <w:vAlign w:val="center"/>
                </w:tcPr>
                <w:p w14:paraId="359B59B0">
                  <w:pPr>
                    <w:jc w:val="center"/>
                    <w:rPr>
                      <w:color w:val="auto"/>
                      <w:spacing w:val="15"/>
                      <w:kern w:val="0"/>
                      <w:szCs w:val="21"/>
                      <w:highlight w:val="none"/>
                    </w:rPr>
                  </w:pPr>
                  <w:r>
                    <w:rPr>
                      <w:rFonts w:hint="eastAsia"/>
                      <w:color w:val="auto"/>
                      <w:spacing w:val="15"/>
                      <w:kern w:val="0"/>
                      <w:szCs w:val="21"/>
                      <w:highlight w:val="none"/>
                    </w:rPr>
                    <w:t>1.1</w:t>
                  </w:r>
                </w:p>
              </w:tc>
              <w:tc>
                <w:tcPr>
                  <w:tcW w:w="2121" w:type="dxa"/>
                  <w:vMerge w:val="continue"/>
                  <w:tcBorders>
                    <w:tl2br w:val="nil"/>
                    <w:tr2bl w:val="nil"/>
                  </w:tcBorders>
                  <w:vAlign w:val="center"/>
                </w:tcPr>
                <w:p w14:paraId="23CC8ABC">
                  <w:pPr>
                    <w:pStyle w:val="162"/>
                    <w:ind w:left="-105" w:leftChars="-50" w:right="-105" w:rightChars="-50"/>
                    <w:rPr>
                      <w:rFonts w:ascii="Times New Roman" w:hAnsi="宋体" w:eastAsia="宋体"/>
                      <w:color w:val="auto"/>
                      <w:sz w:val="21"/>
                      <w:szCs w:val="21"/>
                      <w:highlight w:val="none"/>
                      <w:lang w:val="de-DE"/>
                    </w:rPr>
                  </w:pPr>
                </w:p>
              </w:tc>
            </w:tr>
            <w:tr w14:paraId="5D99AA4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1D783C07">
                  <w:pPr>
                    <w:pStyle w:val="162"/>
                    <w:ind w:left="-105" w:leftChars="-50" w:right="-105" w:rightChars="-50"/>
                    <w:rPr>
                      <w:rFonts w:hint="default" w:ascii="Times New Roman" w:hAnsi="Times New Roman" w:eastAsia="宋体"/>
                      <w:color w:val="auto"/>
                      <w:kern w:val="2"/>
                      <w:sz w:val="21"/>
                      <w:szCs w:val="21"/>
                      <w:highlight w:val="none"/>
                      <w:lang w:val="en-US" w:eastAsia="zh-CN"/>
                    </w:rPr>
                  </w:pPr>
                  <w:r>
                    <w:rPr>
                      <w:rFonts w:hint="eastAsia" w:ascii="Times New Roman" w:hAnsi="Times New Roman" w:eastAsia="宋体"/>
                      <w:color w:val="auto"/>
                      <w:kern w:val="2"/>
                      <w:sz w:val="21"/>
                      <w:szCs w:val="21"/>
                      <w:highlight w:val="none"/>
                      <w:lang w:val="en-US" w:eastAsia="zh-CN"/>
                    </w:rPr>
                    <w:t>11</w:t>
                  </w:r>
                </w:p>
              </w:tc>
              <w:tc>
                <w:tcPr>
                  <w:tcW w:w="4039" w:type="dxa"/>
                  <w:tcBorders>
                    <w:tl2br w:val="nil"/>
                    <w:tr2bl w:val="nil"/>
                  </w:tcBorders>
                  <w:vAlign w:val="center"/>
                </w:tcPr>
                <w:p w14:paraId="28A3929D">
                  <w:pPr>
                    <w:jc w:val="center"/>
                    <w:rPr>
                      <w:color w:val="auto"/>
                      <w:szCs w:val="21"/>
                      <w:highlight w:val="none"/>
                    </w:rPr>
                  </w:pPr>
                  <w:r>
                    <w:rPr>
                      <w:rFonts w:hint="eastAsia"/>
                      <w:color w:val="auto"/>
                      <w:szCs w:val="21"/>
                      <w:highlight w:val="none"/>
                      <w:lang w:val="en-US" w:eastAsia="zh-CN"/>
                    </w:rPr>
                    <w:t>废乳化液</w:t>
                  </w:r>
                </w:p>
              </w:tc>
              <w:tc>
                <w:tcPr>
                  <w:tcW w:w="840" w:type="dxa"/>
                  <w:vMerge w:val="continue"/>
                  <w:tcBorders>
                    <w:tl2br w:val="nil"/>
                    <w:tr2bl w:val="nil"/>
                  </w:tcBorders>
                  <w:vAlign w:val="center"/>
                </w:tcPr>
                <w:p w14:paraId="263C621C">
                  <w:pPr>
                    <w:pStyle w:val="162"/>
                    <w:ind w:left="-105" w:leftChars="-50" w:right="-105" w:rightChars="-50"/>
                    <w:rPr>
                      <w:rFonts w:ascii="Times New Roman" w:hAnsi="Times New Roman" w:eastAsia="宋体"/>
                      <w:color w:val="auto"/>
                      <w:kern w:val="2"/>
                      <w:sz w:val="21"/>
                      <w:szCs w:val="21"/>
                      <w:highlight w:val="none"/>
                    </w:rPr>
                  </w:pPr>
                </w:p>
              </w:tc>
              <w:tc>
                <w:tcPr>
                  <w:tcW w:w="1830" w:type="dxa"/>
                  <w:tcBorders>
                    <w:tl2br w:val="nil"/>
                    <w:tr2bl w:val="nil"/>
                  </w:tcBorders>
                  <w:vAlign w:val="center"/>
                </w:tcPr>
                <w:p w14:paraId="758C942D">
                  <w:pPr>
                    <w:jc w:val="center"/>
                    <w:rPr>
                      <w:rFonts w:hint="default" w:eastAsia="宋体"/>
                      <w:color w:val="auto"/>
                      <w:szCs w:val="21"/>
                      <w:highlight w:val="none"/>
                      <w:lang w:val="en-US" w:eastAsia="zh-CN"/>
                    </w:rPr>
                  </w:pPr>
                  <w:r>
                    <w:rPr>
                      <w:rFonts w:hint="eastAsia"/>
                      <w:color w:val="auto"/>
                      <w:szCs w:val="21"/>
                      <w:highlight w:val="none"/>
                      <w:lang w:val="en-US" w:eastAsia="zh-CN"/>
                    </w:rPr>
                    <w:t>10</w:t>
                  </w:r>
                </w:p>
              </w:tc>
              <w:tc>
                <w:tcPr>
                  <w:tcW w:w="2121" w:type="dxa"/>
                  <w:vMerge w:val="restart"/>
                  <w:tcBorders>
                    <w:tl2br w:val="nil"/>
                    <w:tr2bl w:val="nil"/>
                  </w:tcBorders>
                  <w:vAlign w:val="center"/>
                </w:tcPr>
                <w:p w14:paraId="2D1D718B">
                  <w:pPr>
                    <w:pStyle w:val="162"/>
                    <w:ind w:left="-105" w:leftChars="-50" w:right="-105" w:rightChars="-50"/>
                    <w:rPr>
                      <w:rFonts w:ascii="Times New Roman" w:hAnsi="宋体" w:eastAsia="宋体"/>
                      <w:color w:val="auto"/>
                      <w:sz w:val="21"/>
                      <w:szCs w:val="21"/>
                      <w:highlight w:val="none"/>
                      <w:lang w:val="de-DE"/>
                    </w:rPr>
                  </w:pPr>
                  <w:r>
                    <w:rPr>
                      <w:rFonts w:hint="eastAsia" w:ascii="Times New Roman" w:hAnsi="宋体" w:eastAsia="宋体"/>
                      <w:color w:val="auto"/>
                      <w:sz w:val="21"/>
                      <w:szCs w:val="21"/>
                      <w:highlight w:val="none"/>
                    </w:rPr>
                    <w:t>收集后由有危废资质单位收集处置</w:t>
                  </w:r>
                </w:p>
              </w:tc>
            </w:tr>
            <w:tr w14:paraId="788B60A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6B254166">
                  <w:pPr>
                    <w:pStyle w:val="162"/>
                    <w:ind w:left="-105" w:leftChars="-50" w:right="-105" w:rightChars="-50"/>
                    <w:rPr>
                      <w:rFonts w:hint="default" w:ascii="Times New Roman" w:hAnsi="Times New Roman" w:eastAsia="宋体"/>
                      <w:color w:val="auto"/>
                      <w:kern w:val="2"/>
                      <w:sz w:val="21"/>
                      <w:szCs w:val="21"/>
                      <w:highlight w:val="none"/>
                      <w:lang w:val="en-US" w:eastAsia="zh-CN"/>
                    </w:rPr>
                  </w:pPr>
                  <w:r>
                    <w:rPr>
                      <w:rFonts w:hint="eastAsia" w:ascii="Times New Roman" w:hAnsi="Times New Roman" w:eastAsia="宋体"/>
                      <w:color w:val="auto"/>
                      <w:kern w:val="2"/>
                      <w:sz w:val="21"/>
                      <w:szCs w:val="21"/>
                      <w:highlight w:val="none"/>
                      <w:lang w:val="en-US" w:eastAsia="zh-CN"/>
                    </w:rPr>
                    <w:t>12</w:t>
                  </w:r>
                </w:p>
              </w:tc>
              <w:tc>
                <w:tcPr>
                  <w:tcW w:w="4039" w:type="dxa"/>
                  <w:tcBorders>
                    <w:tl2br w:val="nil"/>
                    <w:tr2bl w:val="nil"/>
                  </w:tcBorders>
                  <w:vAlign w:val="center"/>
                </w:tcPr>
                <w:p w14:paraId="0F4AD254">
                  <w:pPr>
                    <w:jc w:val="center"/>
                    <w:rPr>
                      <w:color w:val="auto"/>
                      <w:szCs w:val="21"/>
                      <w:highlight w:val="none"/>
                    </w:rPr>
                  </w:pPr>
                  <w:r>
                    <w:rPr>
                      <w:rFonts w:hint="eastAsia"/>
                      <w:color w:val="auto"/>
                      <w:szCs w:val="21"/>
                      <w:highlight w:val="none"/>
                    </w:rPr>
                    <w:t>废活性炭</w:t>
                  </w:r>
                </w:p>
              </w:tc>
              <w:tc>
                <w:tcPr>
                  <w:tcW w:w="840" w:type="dxa"/>
                  <w:vMerge w:val="continue"/>
                  <w:tcBorders>
                    <w:tl2br w:val="nil"/>
                    <w:tr2bl w:val="nil"/>
                  </w:tcBorders>
                  <w:vAlign w:val="center"/>
                </w:tcPr>
                <w:p w14:paraId="4473A620">
                  <w:pPr>
                    <w:pStyle w:val="162"/>
                    <w:ind w:left="-105" w:leftChars="-50" w:right="-105" w:rightChars="-50"/>
                    <w:rPr>
                      <w:rFonts w:ascii="Times New Roman" w:hAnsi="Times New Roman" w:eastAsia="宋体"/>
                      <w:color w:val="auto"/>
                      <w:kern w:val="2"/>
                      <w:sz w:val="21"/>
                      <w:szCs w:val="21"/>
                      <w:highlight w:val="none"/>
                    </w:rPr>
                  </w:pPr>
                </w:p>
              </w:tc>
              <w:tc>
                <w:tcPr>
                  <w:tcW w:w="1830" w:type="dxa"/>
                  <w:tcBorders>
                    <w:tl2br w:val="nil"/>
                    <w:tr2bl w:val="nil"/>
                  </w:tcBorders>
                  <w:vAlign w:val="center"/>
                </w:tcPr>
                <w:p w14:paraId="23B8E9A7">
                  <w:pPr>
                    <w:jc w:val="center"/>
                    <w:rPr>
                      <w:rFonts w:hint="eastAsia" w:eastAsia="宋体"/>
                      <w:color w:val="auto"/>
                      <w:szCs w:val="21"/>
                      <w:highlight w:val="none"/>
                      <w:lang w:eastAsia="zh-CN"/>
                    </w:rPr>
                  </w:pPr>
                  <w:r>
                    <w:rPr>
                      <w:rFonts w:hint="eastAsia"/>
                      <w:color w:val="auto"/>
                      <w:szCs w:val="21"/>
                      <w:highlight w:val="none"/>
                      <w:lang w:val="en-US" w:eastAsia="zh-CN"/>
                    </w:rPr>
                    <w:t>3</w:t>
                  </w:r>
                </w:p>
              </w:tc>
              <w:tc>
                <w:tcPr>
                  <w:tcW w:w="2121" w:type="dxa"/>
                  <w:vMerge w:val="continue"/>
                  <w:tcBorders>
                    <w:tl2br w:val="nil"/>
                    <w:tr2bl w:val="nil"/>
                  </w:tcBorders>
                  <w:vAlign w:val="center"/>
                </w:tcPr>
                <w:p w14:paraId="07E85ED9">
                  <w:pPr>
                    <w:pStyle w:val="162"/>
                    <w:ind w:left="-105" w:leftChars="-50" w:right="-105" w:rightChars="-50"/>
                    <w:rPr>
                      <w:rFonts w:ascii="Times New Roman" w:hAnsi="宋体" w:eastAsia="宋体"/>
                      <w:color w:val="auto"/>
                      <w:sz w:val="21"/>
                      <w:szCs w:val="21"/>
                      <w:highlight w:val="none"/>
                      <w:lang w:val="de-DE"/>
                    </w:rPr>
                  </w:pPr>
                </w:p>
              </w:tc>
            </w:tr>
            <w:tr w14:paraId="0F3E8A1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1606EA5D">
                  <w:pPr>
                    <w:pStyle w:val="162"/>
                    <w:ind w:left="-105" w:leftChars="-50" w:right="-105" w:rightChars="-50"/>
                    <w:rPr>
                      <w:rFonts w:hint="default" w:ascii="Times New Roman" w:hAnsi="Times New Roman" w:eastAsia="宋体"/>
                      <w:color w:val="auto"/>
                      <w:kern w:val="2"/>
                      <w:sz w:val="21"/>
                      <w:szCs w:val="21"/>
                      <w:highlight w:val="none"/>
                      <w:lang w:val="en-US" w:eastAsia="zh-CN"/>
                    </w:rPr>
                  </w:pPr>
                  <w:r>
                    <w:rPr>
                      <w:rFonts w:hint="eastAsia" w:ascii="Times New Roman" w:hAnsi="Times New Roman" w:eastAsia="宋体"/>
                      <w:color w:val="auto"/>
                      <w:kern w:val="2"/>
                      <w:sz w:val="21"/>
                      <w:szCs w:val="21"/>
                      <w:highlight w:val="none"/>
                      <w:lang w:val="en-US" w:eastAsia="zh-CN"/>
                    </w:rPr>
                    <w:t>13</w:t>
                  </w:r>
                </w:p>
              </w:tc>
              <w:tc>
                <w:tcPr>
                  <w:tcW w:w="4039" w:type="dxa"/>
                  <w:tcBorders>
                    <w:tl2br w:val="nil"/>
                    <w:tr2bl w:val="nil"/>
                  </w:tcBorders>
                  <w:vAlign w:val="center"/>
                </w:tcPr>
                <w:p w14:paraId="2259BE97">
                  <w:pPr>
                    <w:jc w:val="center"/>
                    <w:rPr>
                      <w:color w:val="auto"/>
                      <w:szCs w:val="21"/>
                      <w:highlight w:val="none"/>
                    </w:rPr>
                  </w:pPr>
                  <w:r>
                    <w:rPr>
                      <w:rFonts w:hint="eastAsia"/>
                      <w:color w:val="auto"/>
                      <w:szCs w:val="21"/>
                      <w:highlight w:val="none"/>
                    </w:rPr>
                    <w:t>碱液喷淋塔沉渣</w:t>
                  </w:r>
                </w:p>
              </w:tc>
              <w:tc>
                <w:tcPr>
                  <w:tcW w:w="840" w:type="dxa"/>
                  <w:vMerge w:val="continue"/>
                  <w:tcBorders>
                    <w:tl2br w:val="nil"/>
                    <w:tr2bl w:val="nil"/>
                  </w:tcBorders>
                  <w:vAlign w:val="center"/>
                </w:tcPr>
                <w:p w14:paraId="67F1614C">
                  <w:pPr>
                    <w:pStyle w:val="162"/>
                    <w:ind w:left="-105" w:leftChars="-50" w:right="-105" w:rightChars="-50"/>
                    <w:rPr>
                      <w:rFonts w:ascii="Times New Roman" w:hAnsi="Times New Roman" w:eastAsia="宋体"/>
                      <w:color w:val="auto"/>
                      <w:kern w:val="2"/>
                      <w:sz w:val="21"/>
                      <w:szCs w:val="21"/>
                      <w:highlight w:val="none"/>
                    </w:rPr>
                  </w:pPr>
                </w:p>
              </w:tc>
              <w:tc>
                <w:tcPr>
                  <w:tcW w:w="1830" w:type="dxa"/>
                  <w:tcBorders>
                    <w:tl2br w:val="nil"/>
                    <w:tr2bl w:val="nil"/>
                  </w:tcBorders>
                  <w:vAlign w:val="center"/>
                </w:tcPr>
                <w:p w14:paraId="322E9486">
                  <w:pPr>
                    <w:jc w:val="center"/>
                    <w:rPr>
                      <w:color w:val="auto"/>
                      <w:szCs w:val="21"/>
                      <w:highlight w:val="none"/>
                    </w:rPr>
                  </w:pPr>
                  <w:r>
                    <w:rPr>
                      <w:rFonts w:hint="eastAsia"/>
                      <w:color w:val="auto"/>
                      <w:szCs w:val="21"/>
                      <w:highlight w:val="none"/>
                    </w:rPr>
                    <w:t>0.5</w:t>
                  </w:r>
                </w:p>
              </w:tc>
              <w:tc>
                <w:tcPr>
                  <w:tcW w:w="2121" w:type="dxa"/>
                  <w:vMerge w:val="continue"/>
                  <w:tcBorders>
                    <w:tl2br w:val="nil"/>
                    <w:tr2bl w:val="nil"/>
                  </w:tcBorders>
                  <w:vAlign w:val="center"/>
                </w:tcPr>
                <w:p w14:paraId="4004B272">
                  <w:pPr>
                    <w:pStyle w:val="162"/>
                    <w:ind w:left="-105" w:leftChars="-50" w:right="-105" w:rightChars="-50"/>
                    <w:rPr>
                      <w:rFonts w:ascii="Times New Roman" w:hAnsi="宋体" w:eastAsia="宋体"/>
                      <w:color w:val="auto"/>
                      <w:sz w:val="21"/>
                      <w:szCs w:val="21"/>
                      <w:highlight w:val="none"/>
                      <w:lang w:val="de-DE"/>
                    </w:rPr>
                  </w:pPr>
                </w:p>
              </w:tc>
            </w:tr>
            <w:tr w14:paraId="5526809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6D457E68">
                  <w:pPr>
                    <w:pStyle w:val="162"/>
                    <w:ind w:left="-105" w:leftChars="-50" w:right="-105" w:rightChars="-50"/>
                    <w:rPr>
                      <w:rFonts w:hint="default" w:ascii="Times New Roman" w:hAnsi="Times New Roman" w:eastAsia="宋体"/>
                      <w:color w:val="auto"/>
                      <w:kern w:val="2"/>
                      <w:sz w:val="21"/>
                      <w:szCs w:val="21"/>
                      <w:highlight w:val="none"/>
                      <w:lang w:val="en-US" w:eastAsia="zh-CN"/>
                    </w:rPr>
                  </w:pPr>
                  <w:r>
                    <w:rPr>
                      <w:rFonts w:hint="eastAsia" w:ascii="Times New Roman" w:hAnsi="Times New Roman" w:eastAsia="宋体"/>
                      <w:color w:val="auto"/>
                      <w:kern w:val="2"/>
                      <w:sz w:val="21"/>
                      <w:szCs w:val="21"/>
                      <w:highlight w:val="none"/>
                      <w:lang w:val="en-US" w:eastAsia="zh-CN"/>
                    </w:rPr>
                    <w:t>14</w:t>
                  </w:r>
                </w:p>
              </w:tc>
              <w:tc>
                <w:tcPr>
                  <w:tcW w:w="4039" w:type="dxa"/>
                  <w:tcBorders>
                    <w:tl2br w:val="nil"/>
                    <w:tr2bl w:val="nil"/>
                  </w:tcBorders>
                  <w:vAlign w:val="center"/>
                </w:tcPr>
                <w:p w14:paraId="1E0F4FFF">
                  <w:pPr>
                    <w:jc w:val="center"/>
                    <w:rPr>
                      <w:color w:val="auto"/>
                      <w:szCs w:val="21"/>
                      <w:highlight w:val="none"/>
                    </w:rPr>
                  </w:pPr>
                  <w:r>
                    <w:rPr>
                      <w:rFonts w:hint="eastAsia"/>
                      <w:color w:val="auto"/>
                      <w:szCs w:val="21"/>
                      <w:highlight w:val="none"/>
                    </w:rPr>
                    <w:t>废染料</w:t>
                  </w:r>
                </w:p>
              </w:tc>
              <w:tc>
                <w:tcPr>
                  <w:tcW w:w="840" w:type="dxa"/>
                  <w:vMerge w:val="continue"/>
                  <w:tcBorders>
                    <w:tl2br w:val="nil"/>
                    <w:tr2bl w:val="nil"/>
                  </w:tcBorders>
                  <w:vAlign w:val="center"/>
                </w:tcPr>
                <w:p w14:paraId="4C7CB8FC">
                  <w:pPr>
                    <w:pStyle w:val="162"/>
                    <w:ind w:left="-105" w:leftChars="-50" w:right="-105" w:rightChars="-50"/>
                    <w:rPr>
                      <w:rFonts w:ascii="Times New Roman" w:hAnsi="Times New Roman" w:eastAsia="宋体"/>
                      <w:color w:val="auto"/>
                      <w:kern w:val="2"/>
                      <w:sz w:val="21"/>
                      <w:szCs w:val="21"/>
                      <w:highlight w:val="none"/>
                    </w:rPr>
                  </w:pPr>
                </w:p>
              </w:tc>
              <w:tc>
                <w:tcPr>
                  <w:tcW w:w="1830" w:type="dxa"/>
                  <w:tcBorders>
                    <w:tl2br w:val="nil"/>
                    <w:tr2bl w:val="nil"/>
                  </w:tcBorders>
                  <w:vAlign w:val="center"/>
                </w:tcPr>
                <w:p w14:paraId="67D18318">
                  <w:pPr>
                    <w:jc w:val="center"/>
                    <w:rPr>
                      <w:rFonts w:hint="default" w:eastAsia="宋体"/>
                      <w:color w:val="auto"/>
                      <w:szCs w:val="21"/>
                      <w:highlight w:val="none"/>
                      <w:lang w:val="en-US" w:eastAsia="zh-CN"/>
                    </w:rPr>
                  </w:pPr>
                  <w:r>
                    <w:rPr>
                      <w:rFonts w:hint="eastAsia"/>
                      <w:color w:val="auto"/>
                      <w:szCs w:val="21"/>
                      <w:highlight w:val="none"/>
                      <w:lang w:val="en-US" w:eastAsia="zh-CN"/>
                    </w:rPr>
                    <w:t>80</w:t>
                  </w:r>
                </w:p>
              </w:tc>
              <w:tc>
                <w:tcPr>
                  <w:tcW w:w="2121" w:type="dxa"/>
                  <w:vMerge w:val="continue"/>
                  <w:tcBorders>
                    <w:tl2br w:val="nil"/>
                    <w:tr2bl w:val="nil"/>
                  </w:tcBorders>
                  <w:vAlign w:val="center"/>
                </w:tcPr>
                <w:p w14:paraId="6B9F30F8">
                  <w:pPr>
                    <w:pStyle w:val="162"/>
                    <w:ind w:left="-105" w:leftChars="-50" w:right="-105" w:rightChars="-50"/>
                    <w:rPr>
                      <w:rFonts w:ascii="Times New Roman" w:hAnsi="宋体" w:eastAsia="宋体"/>
                      <w:color w:val="auto"/>
                      <w:sz w:val="21"/>
                      <w:szCs w:val="21"/>
                      <w:highlight w:val="none"/>
                      <w:lang w:val="de-DE"/>
                    </w:rPr>
                  </w:pPr>
                </w:p>
              </w:tc>
            </w:tr>
            <w:tr w14:paraId="14CD9BF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5ABED1D2">
                  <w:pPr>
                    <w:pStyle w:val="162"/>
                    <w:ind w:left="-105" w:leftChars="-50" w:right="-105" w:rightChars="-50"/>
                    <w:rPr>
                      <w:rFonts w:hint="default" w:ascii="Times New Roman" w:hAnsi="Times New Roman" w:eastAsia="宋体"/>
                      <w:color w:val="auto"/>
                      <w:kern w:val="2"/>
                      <w:sz w:val="21"/>
                      <w:szCs w:val="21"/>
                      <w:highlight w:val="none"/>
                      <w:lang w:val="en-US" w:eastAsia="zh-CN"/>
                    </w:rPr>
                  </w:pPr>
                  <w:r>
                    <w:rPr>
                      <w:rFonts w:hint="eastAsia" w:ascii="Times New Roman" w:hAnsi="Times New Roman" w:eastAsia="宋体"/>
                      <w:color w:val="auto"/>
                      <w:kern w:val="2"/>
                      <w:sz w:val="21"/>
                      <w:szCs w:val="21"/>
                      <w:highlight w:val="none"/>
                      <w:lang w:val="en-US" w:eastAsia="zh-CN"/>
                    </w:rPr>
                    <w:t>15</w:t>
                  </w:r>
                </w:p>
              </w:tc>
              <w:tc>
                <w:tcPr>
                  <w:tcW w:w="4039" w:type="dxa"/>
                  <w:tcBorders>
                    <w:tl2br w:val="nil"/>
                    <w:tr2bl w:val="nil"/>
                  </w:tcBorders>
                  <w:vAlign w:val="center"/>
                </w:tcPr>
                <w:p w14:paraId="1BF40877">
                  <w:pPr>
                    <w:jc w:val="center"/>
                    <w:rPr>
                      <w:rFonts w:hint="default" w:eastAsia="宋体"/>
                      <w:color w:val="auto"/>
                      <w:szCs w:val="21"/>
                      <w:highlight w:val="none"/>
                      <w:lang w:val="en-US" w:eastAsia="zh-CN"/>
                    </w:rPr>
                  </w:pPr>
                  <w:r>
                    <w:rPr>
                      <w:rFonts w:hint="eastAsia"/>
                      <w:color w:val="auto"/>
                      <w:szCs w:val="21"/>
                      <w:highlight w:val="none"/>
                      <w:lang w:val="en-US" w:eastAsia="zh-CN"/>
                    </w:rPr>
                    <w:t>废脱模剂</w:t>
                  </w:r>
                </w:p>
              </w:tc>
              <w:tc>
                <w:tcPr>
                  <w:tcW w:w="840" w:type="dxa"/>
                  <w:vMerge w:val="continue"/>
                  <w:tcBorders>
                    <w:tl2br w:val="nil"/>
                    <w:tr2bl w:val="nil"/>
                  </w:tcBorders>
                  <w:vAlign w:val="center"/>
                </w:tcPr>
                <w:p w14:paraId="02A22F74">
                  <w:pPr>
                    <w:pStyle w:val="162"/>
                    <w:ind w:left="-105" w:leftChars="-50" w:right="-105" w:rightChars="-50"/>
                    <w:rPr>
                      <w:rFonts w:ascii="Times New Roman" w:hAnsi="Times New Roman" w:eastAsia="宋体"/>
                      <w:color w:val="auto"/>
                      <w:kern w:val="2"/>
                      <w:sz w:val="21"/>
                      <w:szCs w:val="21"/>
                      <w:highlight w:val="none"/>
                    </w:rPr>
                  </w:pPr>
                </w:p>
              </w:tc>
              <w:tc>
                <w:tcPr>
                  <w:tcW w:w="1830" w:type="dxa"/>
                  <w:tcBorders>
                    <w:tl2br w:val="nil"/>
                    <w:tr2bl w:val="nil"/>
                  </w:tcBorders>
                  <w:vAlign w:val="center"/>
                </w:tcPr>
                <w:p w14:paraId="688852C3">
                  <w:pPr>
                    <w:jc w:val="center"/>
                    <w:rPr>
                      <w:rFonts w:hint="eastAsia" w:eastAsia="宋体"/>
                      <w:color w:val="auto"/>
                      <w:szCs w:val="21"/>
                      <w:highlight w:val="none"/>
                      <w:lang w:val="en-US" w:eastAsia="zh-CN"/>
                    </w:rPr>
                  </w:pPr>
                  <w:r>
                    <w:rPr>
                      <w:rFonts w:hint="eastAsia"/>
                      <w:color w:val="auto"/>
                      <w:szCs w:val="21"/>
                      <w:highlight w:val="none"/>
                      <w:lang w:val="en-US" w:eastAsia="zh-CN"/>
                    </w:rPr>
                    <w:t>5</w:t>
                  </w:r>
                </w:p>
              </w:tc>
              <w:tc>
                <w:tcPr>
                  <w:tcW w:w="2121" w:type="dxa"/>
                  <w:vMerge w:val="continue"/>
                  <w:tcBorders>
                    <w:tl2br w:val="nil"/>
                    <w:tr2bl w:val="nil"/>
                  </w:tcBorders>
                  <w:vAlign w:val="center"/>
                </w:tcPr>
                <w:p w14:paraId="7F43C1CF">
                  <w:pPr>
                    <w:pStyle w:val="162"/>
                    <w:ind w:left="-105" w:leftChars="-50" w:right="-105" w:rightChars="-50"/>
                    <w:rPr>
                      <w:rFonts w:ascii="Times New Roman" w:hAnsi="宋体" w:eastAsia="宋体"/>
                      <w:color w:val="auto"/>
                      <w:sz w:val="21"/>
                      <w:szCs w:val="21"/>
                      <w:highlight w:val="none"/>
                      <w:lang w:val="de-DE"/>
                    </w:rPr>
                  </w:pPr>
                </w:p>
              </w:tc>
            </w:tr>
            <w:tr w14:paraId="2AA464B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412033A4">
                  <w:pPr>
                    <w:pStyle w:val="162"/>
                    <w:ind w:left="-105" w:leftChars="-50" w:right="-105" w:rightChars="-50"/>
                    <w:rPr>
                      <w:rFonts w:hint="eastAsia" w:ascii="Times New Roman" w:hAnsi="Times New Roman" w:eastAsia="宋体"/>
                      <w:color w:val="auto"/>
                      <w:kern w:val="2"/>
                      <w:sz w:val="21"/>
                      <w:szCs w:val="21"/>
                      <w:highlight w:val="none"/>
                      <w:lang w:eastAsia="zh-CN"/>
                    </w:rPr>
                  </w:pPr>
                  <w:r>
                    <w:rPr>
                      <w:rFonts w:hint="eastAsia" w:ascii="Times New Roman" w:hAnsi="Times New Roman" w:eastAsia="宋体"/>
                      <w:color w:val="auto"/>
                      <w:kern w:val="2"/>
                      <w:sz w:val="21"/>
                      <w:szCs w:val="21"/>
                      <w:highlight w:val="none"/>
                    </w:rPr>
                    <w:t>1</w:t>
                  </w:r>
                  <w:r>
                    <w:rPr>
                      <w:rFonts w:hint="eastAsia" w:ascii="Times New Roman" w:hAnsi="Times New Roman" w:eastAsia="宋体"/>
                      <w:color w:val="auto"/>
                      <w:kern w:val="2"/>
                      <w:sz w:val="21"/>
                      <w:szCs w:val="21"/>
                      <w:highlight w:val="none"/>
                      <w:lang w:val="en-US" w:eastAsia="zh-CN"/>
                    </w:rPr>
                    <w:t>6</w:t>
                  </w:r>
                </w:p>
              </w:tc>
              <w:tc>
                <w:tcPr>
                  <w:tcW w:w="4039" w:type="dxa"/>
                  <w:tcBorders>
                    <w:tl2br w:val="nil"/>
                    <w:tr2bl w:val="nil"/>
                  </w:tcBorders>
                  <w:vAlign w:val="center"/>
                </w:tcPr>
                <w:p w14:paraId="0B69EE0D">
                  <w:pPr>
                    <w:jc w:val="center"/>
                    <w:rPr>
                      <w:color w:val="auto"/>
                      <w:szCs w:val="21"/>
                      <w:highlight w:val="none"/>
                    </w:rPr>
                  </w:pPr>
                  <w:r>
                    <w:rPr>
                      <w:rFonts w:hint="eastAsia"/>
                      <w:color w:val="auto"/>
                      <w:szCs w:val="21"/>
                      <w:highlight w:val="none"/>
                    </w:rPr>
                    <w:t>废机油</w:t>
                  </w:r>
                </w:p>
              </w:tc>
              <w:tc>
                <w:tcPr>
                  <w:tcW w:w="840" w:type="dxa"/>
                  <w:vMerge w:val="continue"/>
                  <w:tcBorders>
                    <w:tl2br w:val="nil"/>
                    <w:tr2bl w:val="nil"/>
                  </w:tcBorders>
                  <w:vAlign w:val="center"/>
                </w:tcPr>
                <w:p w14:paraId="79DE2988">
                  <w:pPr>
                    <w:pStyle w:val="162"/>
                    <w:ind w:left="-105" w:leftChars="-50" w:right="-105" w:rightChars="-50"/>
                    <w:rPr>
                      <w:rFonts w:ascii="Times New Roman" w:hAnsi="Times New Roman" w:eastAsia="宋体"/>
                      <w:color w:val="auto"/>
                      <w:kern w:val="2"/>
                      <w:sz w:val="21"/>
                      <w:szCs w:val="21"/>
                      <w:highlight w:val="none"/>
                    </w:rPr>
                  </w:pPr>
                </w:p>
              </w:tc>
              <w:tc>
                <w:tcPr>
                  <w:tcW w:w="1830" w:type="dxa"/>
                  <w:tcBorders>
                    <w:tl2br w:val="nil"/>
                    <w:tr2bl w:val="nil"/>
                  </w:tcBorders>
                  <w:vAlign w:val="center"/>
                </w:tcPr>
                <w:p w14:paraId="5AEC4B2E">
                  <w:pPr>
                    <w:jc w:val="center"/>
                    <w:rPr>
                      <w:rFonts w:hint="eastAsia" w:eastAsia="宋体"/>
                      <w:color w:val="auto"/>
                      <w:szCs w:val="21"/>
                      <w:highlight w:val="none"/>
                      <w:lang w:eastAsia="zh-CN"/>
                    </w:rPr>
                  </w:pPr>
                  <w:r>
                    <w:rPr>
                      <w:rFonts w:hint="eastAsia"/>
                      <w:color w:val="auto"/>
                      <w:szCs w:val="21"/>
                      <w:highlight w:val="none"/>
                      <w:lang w:val="en-US" w:eastAsia="zh-CN"/>
                    </w:rPr>
                    <w:t>6</w:t>
                  </w:r>
                </w:p>
              </w:tc>
              <w:tc>
                <w:tcPr>
                  <w:tcW w:w="2121" w:type="dxa"/>
                  <w:vMerge w:val="continue"/>
                  <w:tcBorders>
                    <w:tl2br w:val="nil"/>
                    <w:tr2bl w:val="nil"/>
                  </w:tcBorders>
                  <w:vAlign w:val="center"/>
                </w:tcPr>
                <w:p w14:paraId="360CF875">
                  <w:pPr>
                    <w:pStyle w:val="162"/>
                    <w:ind w:left="-105" w:leftChars="-50" w:right="-105" w:rightChars="-50"/>
                    <w:rPr>
                      <w:rFonts w:ascii="Times New Roman" w:hAnsi="宋体" w:eastAsia="宋体"/>
                      <w:color w:val="auto"/>
                      <w:sz w:val="21"/>
                      <w:szCs w:val="21"/>
                      <w:highlight w:val="none"/>
                      <w:lang w:val="de-DE"/>
                    </w:rPr>
                  </w:pPr>
                </w:p>
              </w:tc>
            </w:tr>
            <w:tr w14:paraId="36958E3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6" w:type="dxa"/>
                  <w:tcBorders>
                    <w:tl2br w:val="nil"/>
                    <w:tr2bl w:val="nil"/>
                  </w:tcBorders>
                  <w:vAlign w:val="center"/>
                </w:tcPr>
                <w:p w14:paraId="7FB79903">
                  <w:pPr>
                    <w:pStyle w:val="162"/>
                    <w:ind w:left="-105" w:leftChars="-50" w:right="-105" w:rightChars="-50"/>
                    <w:rPr>
                      <w:rFonts w:hint="eastAsia" w:ascii="Times New Roman" w:hAnsi="Times New Roman" w:eastAsia="宋体"/>
                      <w:color w:val="auto"/>
                      <w:kern w:val="2"/>
                      <w:sz w:val="21"/>
                      <w:szCs w:val="21"/>
                      <w:highlight w:val="none"/>
                      <w:lang w:eastAsia="zh-CN"/>
                    </w:rPr>
                  </w:pPr>
                  <w:r>
                    <w:rPr>
                      <w:rFonts w:hint="eastAsia" w:ascii="Times New Roman" w:hAnsi="Times New Roman" w:eastAsia="宋体"/>
                      <w:color w:val="auto"/>
                      <w:kern w:val="2"/>
                      <w:sz w:val="21"/>
                      <w:szCs w:val="21"/>
                      <w:highlight w:val="none"/>
                    </w:rPr>
                    <w:t>1</w:t>
                  </w:r>
                  <w:r>
                    <w:rPr>
                      <w:rFonts w:hint="eastAsia" w:ascii="Times New Roman" w:hAnsi="Times New Roman" w:eastAsia="宋体"/>
                      <w:color w:val="auto"/>
                      <w:kern w:val="2"/>
                      <w:sz w:val="21"/>
                      <w:szCs w:val="21"/>
                      <w:highlight w:val="none"/>
                      <w:lang w:val="en-US" w:eastAsia="zh-CN"/>
                    </w:rPr>
                    <w:t>7</w:t>
                  </w:r>
                </w:p>
              </w:tc>
              <w:tc>
                <w:tcPr>
                  <w:tcW w:w="4039" w:type="dxa"/>
                  <w:tcBorders>
                    <w:tl2br w:val="nil"/>
                    <w:tr2bl w:val="nil"/>
                  </w:tcBorders>
                  <w:vAlign w:val="center"/>
                </w:tcPr>
                <w:p w14:paraId="41760991">
                  <w:pPr>
                    <w:topLinePunct/>
                    <w:adjustRightInd w:val="0"/>
                    <w:snapToGrid w:val="0"/>
                    <w:jc w:val="center"/>
                    <w:rPr>
                      <w:color w:val="auto"/>
                      <w:szCs w:val="21"/>
                      <w:highlight w:val="none"/>
                    </w:rPr>
                  </w:pPr>
                  <w:r>
                    <w:rPr>
                      <w:rFonts w:hint="eastAsia"/>
                      <w:color w:val="auto"/>
                      <w:szCs w:val="21"/>
                      <w:highlight w:val="none"/>
                    </w:rPr>
                    <w:t>生活垃圾</w:t>
                  </w:r>
                </w:p>
              </w:tc>
              <w:tc>
                <w:tcPr>
                  <w:tcW w:w="840" w:type="dxa"/>
                  <w:tcBorders>
                    <w:tl2br w:val="nil"/>
                    <w:tr2bl w:val="nil"/>
                  </w:tcBorders>
                  <w:vAlign w:val="center"/>
                </w:tcPr>
                <w:p w14:paraId="6859D4B8">
                  <w:pPr>
                    <w:pStyle w:val="162"/>
                    <w:ind w:left="-105" w:leftChars="-50" w:right="-105" w:rightChars="-50"/>
                    <w:rPr>
                      <w:rFonts w:hint="eastAsia"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w:t>
                  </w:r>
                </w:p>
              </w:tc>
              <w:tc>
                <w:tcPr>
                  <w:tcW w:w="1830" w:type="dxa"/>
                  <w:tcBorders>
                    <w:tl2br w:val="nil"/>
                    <w:tr2bl w:val="nil"/>
                  </w:tcBorders>
                  <w:vAlign w:val="center"/>
                </w:tcPr>
                <w:p w14:paraId="594276E7">
                  <w:pPr>
                    <w:pStyle w:val="162"/>
                    <w:ind w:left="-105" w:leftChars="-50" w:right="-105" w:rightChars="-50"/>
                    <w:rPr>
                      <w:rFonts w:ascii="Times New Roman" w:hAnsi="Times New Roman" w:eastAsia="宋体"/>
                      <w:color w:val="auto"/>
                      <w:kern w:val="2"/>
                      <w:sz w:val="21"/>
                      <w:szCs w:val="21"/>
                      <w:highlight w:val="none"/>
                    </w:rPr>
                  </w:pPr>
                  <w:r>
                    <w:rPr>
                      <w:rFonts w:hint="eastAsia" w:ascii="Times New Roman" w:hAnsi="Times New Roman" w:eastAsia="宋体"/>
                      <w:color w:val="auto"/>
                      <w:kern w:val="2"/>
                      <w:sz w:val="21"/>
                      <w:szCs w:val="21"/>
                      <w:highlight w:val="none"/>
                    </w:rPr>
                    <w:t>288</w:t>
                  </w:r>
                </w:p>
              </w:tc>
              <w:tc>
                <w:tcPr>
                  <w:tcW w:w="2121" w:type="dxa"/>
                  <w:tcBorders>
                    <w:tl2br w:val="nil"/>
                    <w:tr2bl w:val="nil"/>
                  </w:tcBorders>
                  <w:vAlign w:val="center"/>
                </w:tcPr>
                <w:p w14:paraId="65D85083">
                  <w:pPr>
                    <w:pStyle w:val="162"/>
                    <w:ind w:left="-105" w:leftChars="-50" w:right="-105" w:rightChars="-50"/>
                    <w:rPr>
                      <w:rFonts w:ascii="Times New Roman" w:hAnsi="宋体" w:eastAsia="宋体"/>
                      <w:color w:val="auto"/>
                      <w:sz w:val="21"/>
                      <w:szCs w:val="21"/>
                      <w:highlight w:val="none"/>
                    </w:rPr>
                  </w:pPr>
                  <w:r>
                    <w:rPr>
                      <w:rFonts w:hint="eastAsia" w:ascii="Times New Roman" w:hAnsi="宋体" w:eastAsia="宋体"/>
                      <w:color w:val="auto"/>
                      <w:sz w:val="21"/>
                      <w:szCs w:val="21"/>
                      <w:highlight w:val="none"/>
                    </w:rPr>
                    <w:t>由环卫部门收集处理</w:t>
                  </w:r>
                </w:p>
              </w:tc>
            </w:tr>
          </w:tbl>
          <w:p w14:paraId="227D27DA">
            <w:pPr>
              <w:spacing w:line="360" w:lineRule="auto"/>
              <w:ind w:firstLine="482" w:firstLineChars="200"/>
              <w:rPr>
                <w:b/>
                <w:color w:val="auto"/>
                <w:sz w:val="24"/>
              </w:rPr>
            </w:pPr>
            <w:r>
              <w:rPr>
                <w:rFonts w:hint="eastAsia"/>
                <w:b/>
                <w:color w:val="auto"/>
                <w:sz w:val="24"/>
              </w:rPr>
              <w:t>5、现有</w:t>
            </w:r>
            <w:r>
              <w:rPr>
                <w:b/>
                <w:color w:val="auto"/>
                <w:sz w:val="24"/>
              </w:rPr>
              <w:t>项目污染源排放总量</w:t>
            </w:r>
          </w:p>
          <w:p w14:paraId="366E8A32">
            <w:pPr>
              <w:spacing w:line="360" w:lineRule="auto"/>
              <w:ind w:firstLine="480" w:firstLineChars="200"/>
              <w:rPr>
                <w:color w:val="auto"/>
                <w:sz w:val="24"/>
              </w:rPr>
            </w:pPr>
            <w:r>
              <w:rPr>
                <w:rFonts w:hint="eastAsia"/>
                <w:color w:val="auto"/>
                <w:sz w:val="24"/>
                <w:lang w:val="en-US" w:eastAsia="zh-CN"/>
              </w:rPr>
              <w:t>由于现有项目排污许可证无需许可总量，因此现有项目实际排放量与现有项目已审批的环评排放量进行分析，</w:t>
            </w:r>
            <w:r>
              <w:rPr>
                <w:rFonts w:hint="eastAsia"/>
                <w:color w:val="auto"/>
                <w:sz w:val="24"/>
              </w:rPr>
              <w:t>现有</w:t>
            </w:r>
            <w:r>
              <w:rPr>
                <w:color w:val="auto"/>
                <w:sz w:val="24"/>
              </w:rPr>
              <w:t>项目的污染源汇总见下表2-</w:t>
            </w:r>
            <w:r>
              <w:rPr>
                <w:rFonts w:hint="eastAsia"/>
                <w:color w:val="auto"/>
                <w:sz w:val="24"/>
                <w:lang w:val="en-US" w:eastAsia="zh-CN"/>
              </w:rPr>
              <w:t>29</w:t>
            </w:r>
            <w:r>
              <w:rPr>
                <w:color w:val="auto"/>
                <w:sz w:val="24"/>
              </w:rPr>
              <w:t>所示。</w:t>
            </w:r>
          </w:p>
          <w:p w14:paraId="7FF4A372">
            <w:pPr>
              <w:adjustRightInd w:val="0"/>
              <w:snapToGrid w:val="0"/>
              <w:ind w:firstLine="422" w:firstLineChars="200"/>
              <w:jc w:val="center"/>
              <w:rPr>
                <w:b/>
                <w:bCs/>
                <w:color w:val="auto"/>
                <w:kern w:val="0"/>
              </w:rPr>
            </w:pPr>
          </w:p>
          <w:p w14:paraId="6623424B">
            <w:pPr>
              <w:adjustRightInd w:val="0"/>
              <w:snapToGrid w:val="0"/>
              <w:ind w:firstLine="422" w:firstLineChars="200"/>
              <w:jc w:val="center"/>
              <w:rPr>
                <w:b/>
                <w:bCs/>
                <w:color w:val="auto"/>
                <w:kern w:val="0"/>
              </w:rPr>
            </w:pPr>
          </w:p>
          <w:p w14:paraId="1E1C34D5">
            <w:pPr>
              <w:adjustRightInd w:val="0"/>
              <w:snapToGrid w:val="0"/>
              <w:ind w:firstLine="422" w:firstLineChars="200"/>
              <w:jc w:val="center"/>
              <w:rPr>
                <w:b/>
                <w:bCs/>
                <w:color w:val="auto"/>
                <w:kern w:val="0"/>
              </w:rPr>
            </w:pPr>
          </w:p>
          <w:p w14:paraId="189221C3">
            <w:pPr>
              <w:adjustRightInd w:val="0"/>
              <w:snapToGrid w:val="0"/>
              <w:ind w:firstLine="422" w:firstLineChars="200"/>
              <w:jc w:val="center"/>
              <w:rPr>
                <w:b/>
                <w:bCs/>
                <w:color w:val="auto"/>
                <w:kern w:val="0"/>
              </w:rPr>
            </w:pPr>
          </w:p>
          <w:p w14:paraId="7DD598CA">
            <w:pPr>
              <w:adjustRightInd w:val="0"/>
              <w:snapToGrid w:val="0"/>
              <w:ind w:firstLine="422" w:firstLineChars="200"/>
              <w:jc w:val="center"/>
              <w:rPr>
                <w:b/>
                <w:bCs/>
                <w:color w:val="auto"/>
                <w:kern w:val="0"/>
              </w:rPr>
            </w:pPr>
          </w:p>
          <w:p w14:paraId="49B87C40">
            <w:pPr>
              <w:adjustRightInd w:val="0"/>
              <w:snapToGrid w:val="0"/>
              <w:ind w:firstLine="422" w:firstLineChars="200"/>
              <w:jc w:val="center"/>
              <w:rPr>
                <w:b/>
                <w:bCs/>
                <w:color w:val="auto"/>
                <w:kern w:val="0"/>
              </w:rPr>
            </w:pPr>
            <w:r>
              <w:rPr>
                <w:b/>
                <w:bCs/>
                <w:color w:val="auto"/>
                <w:kern w:val="0"/>
              </w:rPr>
              <w:t>表2-</w:t>
            </w:r>
            <w:r>
              <w:rPr>
                <w:rFonts w:hint="eastAsia"/>
                <w:b/>
                <w:bCs/>
                <w:color w:val="auto"/>
                <w:kern w:val="0"/>
                <w:lang w:val="en-US" w:eastAsia="zh-CN"/>
              </w:rPr>
              <w:t>29</w:t>
            </w:r>
            <w:r>
              <w:rPr>
                <w:rFonts w:hint="eastAsia"/>
                <w:b/>
                <w:bCs/>
                <w:color w:val="auto"/>
                <w:kern w:val="0"/>
              </w:rPr>
              <w:t>现有</w:t>
            </w:r>
            <w:r>
              <w:rPr>
                <w:b/>
                <w:bCs/>
                <w:color w:val="auto"/>
                <w:kern w:val="0"/>
              </w:rPr>
              <w:t>项目污染源源强汇总一览表</w:t>
            </w:r>
          </w:p>
          <w:tbl>
            <w:tblPr>
              <w:tblStyle w:val="42"/>
              <w:tblW w:w="957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425"/>
              <w:gridCol w:w="1155"/>
              <w:gridCol w:w="555"/>
              <w:gridCol w:w="2105"/>
              <w:gridCol w:w="1322"/>
              <w:gridCol w:w="1100"/>
              <w:gridCol w:w="1187"/>
            </w:tblGrid>
            <w:tr w14:paraId="563C44F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tcBorders>
                    <w:tl2br w:val="nil"/>
                    <w:tr2bl w:val="nil"/>
                  </w:tcBorders>
                  <w:vAlign w:val="center"/>
                </w:tcPr>
                <w:p w14:paraId="45838628">
                  <w:pPr>
                    <w:adjustRightInd w:val="0"/>
                    <w:snapToGrid w:val="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类型</w:t>
                  </w:r>
                </w:p>
              </w:tc>
              <w:tc>
                <w:tcPr>
                  <w:tcW w:w="1425" w:type="dxa"/>
                  <w:tcBorders>
                    <w:tl2br w:val="nil"/>
                    <w:tr2bl w:val="nil"/>
                  </w:tcBorders>
                  <w:vAlign w:val="center"/>
                </w:tcPr>
                <w:p w14:paraId="61BE7D61">
                  <w:pPr>
                    <w:adjustRightInd w:val="0"/>
                    <w:snapToGrid w:val="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排放源</w:t>
                  </w:r>
                </w:p>
              </w:tc>
              <w:tc>
                <w:tcPr>
                  <w:tcW w:w="1155" w:type="dxa"/>
                  <w:tcBorders>
                    <w:tl2br w:val="nil"/>
                    <w:tr2bl w:val="nil"/>
                  </w:tcBorders>
                  <w:vAlign w:val="center"/>
                </w:tcPr>
                <w:p w14:paraId="63DCCBB3">
                  <w:pPr>
                    <w:adjustRightInd w:val="0"/>
                    <w:snapToGrid w:val="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排放方式</w:t>
                  </w:r>
                </w:p>
              </w:tc>
              <w:tc>
                <w:tcPr>
                  <w:tcW w:w="2660" w:type="dxa"/>
                  <w:gridSpan w:val="2"/>
                  <w:tcBorders>
                    <w:tl2br w:val="nil"/>
                    <w:tr2bl w:val="nil"/>
                  </w:tcBorders>
                  <w:vAlign w:val="center"/>
                </w:tcPr>
                <w:p w14:paraId="287F8D96">
                  <w:pPr>
                    <w:adjustRightInd w:val="0"/>
                    <w:snapToGrid w:val="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污染物</w:t>
                  </w:r>
                </w:p>
              </w:tc>
              <w:tc>
                <w:tcPr>
                  <w:tcW w:w="1322" w:type="dxa"/>
                  <w:tcBorders>
                    <w:tl2br w:val="nil"/>
                    <w:tr2bl w:val="nil"/>
                  </w:tcBorders>
                  <w:vAlign w:val="center"/>
                </w:tcPr>
                <w:p w14:paraId="5CEB46FA">
                  <w:pPr>
                    <w:autoSpaceDE w:val="0"/>
                    <w:autoSpaceDN w:val="0"/>
                    <w:adjustRightInd w:val="0"/>
                    <w:snapToGrid w:val="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val="zh-CN"/>
                    </w:rPr>
                    <w:t>现有项目实际排放</w:t>
                  </w:r>
                  <w:r>
                    <w:rPr>
                      <w:rFonts w:hint="eastAsia" w:cs="Times New Roman"/>
                      <w:b/>
                      <w:color w:val="auto"/>
                      <w:kern w:val="0"/>
                      <w:sz w:val="21"/>
                      <w:szCs w:val="21"/>
                      <w:highlight w:val="none"/>
                      <w:lang w:val="en-US" w:eastAsia="zh-CN"/>
                    </w:rPr>
                    <w:t>总</w:t>
                  </w:r>
                  <w:r>
                    <w:rPr>
                      <w:rFonts w:hint="default" w:ascii="Times New Roman" w:hAnsi="Times New Roman" w:eastAsia="宋体" w:cs="Times New Roman"/>
                      <w:b/>
                      <w:color w:val="auto"/>
                      <w:kern w:val="0"/>
                      <w:sz w:val="21"/>
                      <w:szCs w:val="21"/>
                      <w:highlight w:val="none"/>
                      <w:lang w:val="zh-CN"/>
                    </w:rPr>
                    <w:t>量</w:t>
                  </w:r>
                  <w:r>
                    <w:rPr>
                      <w:rFonts w:hint="default" w:ascii="Times New Roman" w:hAnsi="Times New Roman" w:eastAsia="宋体" w:cs="Times New Roman"/>
                      <w:b/>
                      <w:color w:val="auto"/>
                      <w:kern w:val="0"/>
                      <w:sz w:val="21"/>
                      <w:szCs w:val="21"/>
                      <w:highlight w:val="none"/>
                    </w:rPr>
                    <w:t>t/a</w:t>
                  </w:r>
                </w:p>
              </w:tc>
              <w:tc>
                <w:tcPr>
                  <w:tcW w:w="1100" w:type="dxa"/>
                  <w:tcBorders>
                    <w:tl2br w:val="nil"/>
                    <w:tr2bl w:val="nil"/>
                  </w:tcBorders>
                  <w:vAlign w:val="center"/>
                </w:tcPr>
                <w:p w14:paraId="53C0772E">
                  <w:pPr>
                    <w:autoSpaceDE w:val="0"/>
                    <w:autoSpaceDN w:val="0"/>
                    <w:adjustRightInd w:val="0"/>
                    <w:snapToGrid w:val="0"/>
                    <w:jc w:val="center"/>
                    <w:rPr>
                      <w:rFonts w:hint="default" w:ascii="Times New Roman" w:hAnsi="Times New Roman" w:eastAsia="宋体" w:cs="Times New Roman"/>
                      <w:b/>
                      <w:color w:val="auto"/>
                      <w:kern w:val="0"/>
                      <w:sz w:val="21"/>
                      <w:szCs w:val="21"/>
                      <w:highlight w:val="none"/>
                      <w:lang w:val="en-US" w:eastAsia="zh-CN"/>
                    </w:rPr>
                  </w:pPr>
                  <w:r>
                    <w:rPr>
                      <w:rFonts w:hint="eastAsia" w:cs="Times New Roman"/>
                      <w:b/>
                      <w:color w:val="auto"/>
                      <w:kern w:val="0"/>
                      <w:sz w:val="21"/>
                      <w:szCs w:val="21"/>
                      <w:highlight w:val="none"/>
                      <w:lang w:val="en-US" w:eastAsia="zh-CN"/>
                    </w:rPr>
                    <w:t>环评审批总量t/a</w:t>
                  </w:r>
                </w:p>
              </w:tc>
              <w:tc>
                <w:tcPr>
                  <w:tcW w:w="1187" w:type="dxa"/>
                  <w:tcBorders>
                    <w:tl2br w:val="nil"/>
                    <w:tr2bl w:val="nil"/>
                  </w:tcBorders>
                  <w:vAlign w:val="center"/>
                </w:tcPr>
                <w:p w14:paraId="490EC22E">
                  <w:pPr>
                    <w:adjustRightInd w:val="0"/>
                    <w:snapToGrid w:val="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排污</w:t>
                  </w:r>
                  <w:r>
                    <w:rPr>
                      <w:rFonts w:hint="eastAsia" w:cs="Times New Roman"/>
                      <w:b/>
                      <w:color w:val="auto"/>
                      <w:sz w:val="21"/>
                      <w:szCs w:val="21"/>
                      <w:highlight w:val="none"/>
                      <w:lang w:val="en-US" w:eastAsia="zh-CN"/>
                    </w:rPr>
                    <w:t>证</w:t>
                  </w:r>
                  <w:r>
                    <w:rPr>
                      <w:rFonts w:hint="default" w:ascii="Times New Roman" w:hAnsi="Times New Roman" w:eastAsia="宋体" w:cs="Times New Roman"/>
                      <w:b/>
                      <w:color w:val="auto"/>
                      <w:sz w:val="21"/>
                      <w:szCs w:val="21"/>
                      <w:highlight w:val="none"/>
                    </w:rPr>
                    <w:t>许可总量t/a</w:t>
                  </w:r>
                </w:p>
              </w:tc>
            </w:tr>
            <w:tr w14:paraId="12714E8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restart"/>
                  <w:tcBorders>
                    <w:tl2br w:val="nil"/>
                    <w:tr2bl w:val="nil"/>
                  </w:tcBorders>
                  <w:vAlign w:val="center"/>
                </w:tcPr>
                <w:p w14:paraId="612F756D">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大气污染物</w:t>
                  </w:r>
                </w:p>
              </w:tc>
              <w:tc>
                <w:tcPr>
                  <w:tcW w:w="1425" w:type="dxa"/>
                  <w:tcBorders>
                    <w:tl2br w:val="nil"/>
                    <w:tr2bl w:val="nil"/>
                  </w:tcBorders>
                  <w:vAlign w:val="center"/>
                </w:tcPr>
                <w:p w14:paraId="74B8B66E">
                  <w:pPr>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切割、抛光</w:t>
                  </w:r>
                </w:p>
              </w:tc>
              <w:tc>
                <w:tcPr>
                  <w:tcW w:w="1155" w:type="dxa"/>
                  <w:tcBorders>
                    <w:tl2br w:val="nil"/>
                    <w:tr2bl w:val="nil"/>
                  </w:tcBorders>
                  <w:vAlign w:val="center"/>
                </w:tcPr>
                <w:p w14:paraId="6D3B8003">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有组织</w:t>
                  </w:r>
                </w:p>
              </w:tc>
              <w:tc>
                <w:tcPr>
                  <w:tcW w:w="2660" w:type="dxa"/>
                  <w:gridSpan w:val="2"/>
                  <w:tcBorders>
                    <w:tl2br w:val="nil"/>
                    <w:tr2bl w:val="nil"/>
                  </w:tcBorders>
                  <w:vAlign w:val="center"/>
                </w:tcPr>
                <w:p w14:paraId="1EAADC37">
                  <w:pPr>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颗粒物</w:t>
                  </w:r>
                </w:p>
              </w:tc>
              <w:tc>
                <w:tcPr>
                  <w:tcW w:w="1322" w:type="dxa"/>
                  <w:tcBorders>
                    <w:tl2br w:val="nil"/>
                    <w:tr2bl w:val="nil"/>
                  </w:tcBorders>
                  <w:shd w:val="clear" w:color="auto" w:fill="auto"/>
                  <w:vAlign w:val="center"/>
                </w:tcPr>
                <w:p w14:paraId="6EEC6B4E">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0.1144 </w:t>
                  </w:r>
                </w:p>
              </w:tc>
              <w:tc>
                <w:tcPr>
                  <w:tcW w:w="1100" w:type="dxa"/>
                  <w:tcBorders>
                    <w:tl2br w:val="nil"/>
                    <w:tr2bl w:val="nil"/>
                  </w:tcBorders>
                  <w:vAlign w:val="center"/>
                </w:tcPr>
                <w:p w14:paraId="4BEBD4C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2.457</w:t>
                  </w:r>
                </w:p>
              </w:tc>
              <w:tc>
                <w:tcPr>
                  <w:tcW w:w="1187" w:type="dxa"/>
                  <w:tcBorders>
                    <w:tl2br w:val="nil"/>
                    <w:tr2bl w:val="nil"/>
                  </w:tcBorders>
                  <w:vAlign w:val="center"/>
                </w:tcPr>
                <w:p w14:paraId="7EDD7F80">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23A5000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1FDF7D92">
                  <w:pPr>
                    <w:adjustRightInd w:val="0"/>
                    <w:snapToGrid w:val="0"/>
                    <w:jc w:val="center"/>
                    <w:rPr>
                      <w:rFonts w:hint="default" w:ascii="Times New Roman" w:hAnsi="Times New Roman" w:eastAsia="宋体" w:cs="Times New Roman"/>
                      <w:color w:val="auto"/>
                      <w:sz w:val="21"/>
                      <w:szCs w:val="21"/>
                    </w:rPr>
                  </w:pPr>
                </w:p>
              </w:tc>
              <w:tc>
                <w:tcPr>
                  <w:tcW w:w="1425" w:type="dxa"/>
                  <w:tcBorders>
                    <w:tl2br w:val="nil"/>
                    <w:tr2bl w:val="nil"/>
                  </w:tcBorders>
                  <w:vAlign w:val="center"/>
                </w:tcPr>
                <w:p w14:paraId="5BE117AA">
                  <w:pPr>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碱蚀</w:t>
                  </w:r>
                </w:p>
              </w:tc>
              <w:tc>
                <w:tcPr>
                  <w:tcW w:w="1155" w:type="dxa"/>
                  <w:tcBorders>
                    <w:tl2br w:val="nil"/>
                    <w:tr2bl w:val="nil"/>
                  </w:tcBorders>
                  <w:vAlign w:val="center"/>
                </w:tcPr>
                <w:p w14:paraId="6555B57D">
                  <w:pPr>
                    <w:adjustRightInd w:val="0"/>
                    <w:snapToGrid w:val="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有组织</w:t>
                  </w:r>
                </w:p>
              </w:tc>
              <w:tc>
                <w:tcPr>
                  <w:tcW w:w="2660" w:type="dxa"/>
                  <w:gridSpan w:val="2"/>
                  <w:tcBorders>
                    <w:tl2br w:val="nil"/>
                    <w:tr2bl w:val="nil"/>
                  </w:tcBorders>
                  <w:vAlign w:val="center"/>
                </w:tcPr>
                <w:p w14:paraId="2420695C">
                  <w:pPr>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碱雾</w:t>
                  </w:r>
                </w:p>
              </w:tc>
              <w:tc>
                <w:tcPr>
                  <w:tcW w:w="1322" w:type="dxa"/>
                  <w:tcBorders>
                    <w:tl2br w:val="nil"/>
                    <w:tr2bl w:val="nil"/>
                  </w:tcBorders>
                  <w:shd w:val="clear" w:color="auto" w:fill="auto"/>
                  <w:vAlign w:val="center"/>
                </w:tcPr>
                <w:p w14:paraId="04C8FF3F">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0.1028 </w:t>
                  </w:r>
                </w:p>
              </w:tc>
              <w:tc>
                <w:tcPr>
                  <w:tcW w:w="1100" w:type="dxa"/>
                  <w:tcBorders>
                    <w:tl2br w:val="nil"/>
                    <w:tr2bl w:val="nil"/>
                  </w:tcBorders>
                  <w:vAlign w:val="center"/>
                </w:tcPr>
                <w:p w14:paraId="10FAEF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1187" w:type="dxa"/>
                  <w:tcBorders>
                    <w:tl2br w:val="nil"/>
                    <w:tr2bl w:val="nil"/>
                  </w:tcBorders>
                  <w:vAlign w:val="center"/>
                </w:tcPr>
                <w:p w14:paraId="2DF4CE8F">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280D9D0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0BFF7367">
                  <w:pPr>
                    <w:adjustRightInd w:val="0"/>
                    <w:snapToGrid w:val="0"/>
                    <w:jc w:val="center"/>
                    <w:rPr>
                      <w:rFonts w:hint="default" w:ascii="Times New Roman" w:hAnsi="Times New Roman" w:eastAsia="宋体" w:cs="Times New Roman"/>
                      <w:color w:val="auto"/>
                      <w:sz w:val="21"/>
                      <w:szCs w:val="21"/>
                    </w:rPr>
                  </w:pPr>
                </w:p>
              </w:tc>
              <w:tc>
                <w:tcPr>
                  <w:tcW w:w="1425" w:type="dxa"/>
                  <w:vMerge w:val="restart"/>
                  <w:tcBorders>
                    <w:tl2br w:val="nil"/>
                    <w:tr2bl w:val="nil"/>
                  </w:tcBorders>
                  <w:vAlign w:val="center"/>
                </w:tcPr>
                <w:p w14:paraId="61FADBE1">
                  <w:pPr>
                    <w:adjustRightInd w:val="0"/>
                    <w:snapToGrid w:val="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rPr>
                    <w:t>酸蚀、化学抛光和阳极氧化</w:t>
                  </w:r>
                </w:p>
              </w:tc>
              <w:tc>
                <w:tcPr>
                  <w:tcW w:w="1155" w:type="dxa"/>
                  <w:tcBorders>
                    <w:tl2br w:val="nil"/>
                    <w:tr2bl w:val="nil"/>
                  </w:tcBorders>
                  <w:vAlign w:val="center"/>
                </w:tcPr>
                <w:p w14:paraId="6FD2400B">
                  <w:pPr>
                    <w:adjustRightInd w:val="0"/>
                    <w:snapToGrid w:val="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有组织</w:t>
                  </w:r>
                </w:p>
              </w:tc>
              <w:tc>
                <w:tcPr>
                  <w:tcW w:w="2660" w:type="dxa"/>
                  <w:gridSpan w:val="2"/>
                  <w:tcBorders>
                    <w:tl2br w:val="nil"/>
                    <w:tr2bl w:val="nil"/>
                  </w:tcBorders>
                  <w:vAlign w:val="center"/>
                </w:tcPr>
                <w:p w14:paraId="6FEFE91E">
                  <w:pPr>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硫酸雾</w:t>
                  </w:r>
                </w:p>
              </w:tc>
              <w:tc>
                <w:tcPr>
                  <w:tcW w:w="1322" w:type="dxa"/>
                  <w:tcBorders>
                    <w:tl2br w:val="nil"/>
                    <w:tr2bl w:val="nil"/>
                  </w:tcBorders>
                  <w:shd w:val="clear" w:color="auto" w:fill="auto"/>
                  <w:vAlign w:val="center"/>
                </w:tcPr>
                <w:p w14:paraId="61F0D378">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0.0067 </w:t>
                  </w:r>
                </w:p>
              </w:tc>
              <w:tc>
                <w:tcPr>
                  <w:tcW w:w="1100" w:type="dxa"/>
                  <w:tcBorders>
                    <w:tl2br w:val="nil"/>
                    <w:tr2bl w:val="nil"/>
                  </w:tcBorders>
                  <w:vAlign w:val="center"/>
                </w:tcPr>
                <w:p w14:paraId="30A7B67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18.316</w:t>
                  </w:r>
                </w:p>
              </w:tc>
              <w:tc>
                <w:tcPr>
                  <w:tcW w:w="1187" w:type="dxa"/>
                  <w:tcBorders>
                    <w:tl2br w:val="nil"/>
                    <w:tr2bl w:val="nil"/>
                  </w:tcBorders>
                  <w:vAlign w:val="center"/>
                </w:tcPr>
                <w:p w14:paraId="6EED7E2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4762AB2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2D4DB696">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1962764E">
                  <w:pPr>
                    <w:adjustRightInd w:val="0"/>
                    <w:snapToGrid w:val="0"/>
                    <w:jc w:val="center"/>
                    <w:rPr>
                      <w:rFonts w:hint="default" w:ascii="Times New Roman" w:hAnsi="Times New Roman" w:eastAsia="宋体" w:cs="Times New Roman"/>
                      <w:bCs/>
                      <w:color w:val="auto"/>
                      <w:sz w:val="21"/>
                      <w:szCs w:val="21"/>
                    </w:rPr>
                  </w:pPr>
                </w:p>
              </w:tc>
              <w:tc>
                <w:tcPr>
                  <w:tcW w:w="1155" w:type="dxa"/>
                  <w:tcBorders>
                    <w:tl2br w:val="nil"/>
                    <w:tr2bl w:val="nil"/>
                  </w:tcBorders>
                  <w:vAlign w:val="center"/>
                </w:tcPr>
                <w:p w14:paraId="716151B2">
                  <w:pPr>
                    <w:adjustRightInd w:val="0"/>
                    <w:snapToGrid w:val="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有组织</w:t>
                  </w:r>
                </w:p>
              </w:tc>
              <w:tc>
                <w:tcPr>
                  <w:tcW w:w="2660" w:type="dxa"/>
                  <w:gridSpan w:val="2"/>
                  <w:tcBorders>
                    <w:tl2br w:val="nil"/>
                    <w:tr2bl w:val="nil"/>
                  </w:tcBorders>
                  <w:vAlign w:val="center"/>
                </w:tcPr>
                <w:p w14:paraId="3D87FED1">
                  <w:pPr>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硝酸雾</w:t>
                  </w:r>
                </w:p>
              </w:tc>
              <w:tc>
                <w:tcPr>
                  <w:tcW w:w="1322" w:type="dxa"/>
                  <w:tcBorders>
                    <w:tl2br w:val="nil"/>
                    <w:tr2bl w:val="nil"/>
                  </w:tcBorders>
                  <w:shd w:val="clear" w:color="auto" w:fill="auto"/>
                  <w:vAlign w:val="center"/>
                </w:tcPr>
                <w:p w14:paraId="42262F64">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0.0017 </w:t>
                  </w:r>
                </w:p>
              </w:tc>
              <w:tc>
                <w:tcPr>
                  <w:tcW w:w="1100" w:type="dxa"/>
                  <w:tcBorders>
                    <w:tl2br w:val="nil"/>
                    <w:tr2bl w:val="nil"/>
                  </w:tcBorders>
                  <w:vAlign w:val="center"/>
                </w:tcPr>
                <w:p w14:paraId="59CAEDB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1187" w:type="dxa"/>
                  <w:tcBorders>
                    <w:tl2br w:val="nil"/>
                    <w:tr2bl w:val="nil"/>
                  </w:tcBorders>
                  <w:vAlign w:val="center"/>
                </w:tcPr>
                <w:p w14:paraId="4DF4E785">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2598F4C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2F4C450B">
                  <w:pPr>
                    <w:adjustRightInd w:val="0"/>
                    <w:snapToGrid w:val="0"/>
                    <w:jc w:val="center"/>
                    <w:rPr>
                      <w:rFonts w:hint="default" w:ascii="Times New Roman" w:hAnsi="Times New Roman" w:eastAsia="宋体" w:cs="Times New Roman"/>
                      <w:color w:val="auto"/>
                      <w:sz w:val="21"/>
                      <w:szCs w:val="21"/>
                    </w:rPr>
                  </w:pPr>
                </w:p>
              </w:tc>
              <w:tc>
                <w:tcPr>
                  <w:tcW w:w="1425" w:type="dxa"/>
                  <w:tcBorders>
                    <w:tl2br w:val="nil"/>
                    <w:tr2bl w:val="nil"/>
                  </w:tcBorders>
                  <w:vAlign w:val="center"/>
                </w:tcPr>
                <w:p w14:paraId="1C017CFB">
                  <w:pPr>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注塑、着色、烘干</w:t>
                  </w:r>
                </w:p>
              </w:tc>
              <w:tc>
                <w:tcPr>
                  <w:tcW w:w="1155" w:type="dxa"/>
                  <w:tcBorders>
                    <w:tl2br w:val="nil"/>
                    <w:tr2bl w:val="nil"/>
                  </w:tcBorders>
                  <w:vAlign w:val="center"/>
                </w:tcPr>
                <w:p w14:paraId="002475B1">
                  <w:pPr>
                    <w:adjustRightInd w:val="0"/>
                    <w:snapToGrid w:val="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有组织</w:t>
                  </w:r>
                </w:p>
              </w:tc>
              <w:tc>
                <w:tcPr>
                  <w:tcW w:w="2660" w:type="dxa"/>
                  <w:gridSpan w:val="2"/>
                  <w:tcBorders>
                    <w:tl2br w:val="nil"/>
                    <w:tr2bl w:val="nil"/>
                  </w:tcBorders>
                  <w:vAlign w:val="center"/>
                </w:tcPr>
                <w:p w14:paraId="11C3A5E0">
                  <w:pPr>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非甲烷总烃</w:t>
                  </w:r>
                </w:p>
              </w:tc>
              <w:tc>
                <w:tcPr>
                  <w:tcW w:w="1322" w:type="dxa"/>
                  <w:tcBorders>
                    <w:tl2br w:val="nil"/>
                    <w:tr2bl w:val="nil"/>
                  </w:tcBorders>
                  <w:shd w:val="clear" w:color="auto" w:fill="auto"/>
                  <w:vAlign w:val="center"/>
                </w:tcPr>
                <w:p w14:paraId="5822C4FE">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0.0727</w:t>
                  </w:r>
                </w:p>
              </w:tc>
              <w:tc>
                <w:tcPr>
                  <w:tcW w:w="1100" w:type="dxa"/>
                  <w:tcBorders>
                    <w:tl2br w:val="nil"/>
                    <w:tr2bl w:val="nil"/>
                  </w:tcBorders>
                  <w:vAlign w:val="center"/>
                </w:tcPr>
                <w:p w14:paraId="154B7E17">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0.0758</w:t>
                  </w:r>
                </w:p>
              </w:tc>
              <w:tc>
                <w:tcPr>
                  <w:tcW w:w="1187" w:type="dxa"/>
                  <w:tcBorders>
                    <w:tl2br w:val="nil"/>
                    <w:tr2bl w:val="nil"/>
                  </w:tcBorders>
                  <w:vAlign w:val="center"/>
                </w:tcPr>
                <w:p w14:paraId="48EC201E">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7698181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restart"/>
                  <w:tcBorders>
                    <w:tl2br w:val="nil"/>
                    <w:tr2bl w:val="nil"/>
                  </w:tcBorders>
                  <w:vAlign w:val="center"/>
                </w:tcPr>
                <w:p w14:paraId="77F2E32F">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水污染物</w:t>
                  </w:r>
                </w:p>
              </w:tc>
              <w:tc>
                <w:tcPr>
                  <w:tcW w:w="1425" w:type="dxa"/>
                  <w:vMerge w:val="restart"/>
                  <w:tcBorders>
                    <w:tl2br w:val="nil"/>
                    <w:tr2bl w:val="nil"/>
                  </w:tcBorders>
                  <w:vAlign w:val="center"/>
                </w:tcPr>
                <w:p w14:paraId="3C027610">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生产废水</w:t>
                  </w:r>
                </w:p>
              </w:tc>
              <w:tc>
                <w:tcPr>
                  <w:tcW w:w="1155" w:type="dxa"/>
                  <w:vMerge w:val="restart"/>
                  <w:tcBorders>
                    <w:tl2br w:val="nil"/>
                    <w:tr2bl w:val="nil"/>
                  </w:tcBorders>
                  <w:vAlign w:val="center"/>
                </w:tcPr>
                <w:p w14:paraId="4578248B">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通过市政污水管网进入广东阳东经济开发区污水处理厂作后续处理</w:t>
                  </w:r>
                </w:p>
              </w:tc>
              <w:tc>
                <w:tcPr>
                  <w:tcW w:w="2660" w:type="dxa"/>
                  <w:gridSpan w:val="2"/>
                  <w:tcBorders>
                    <w:tl2br w:val="nil"/>
                    <w:tr2bl w:val="nil"/>
                  </w:tcBorders>
                  <w:vAlign w:val="center"/>
                </w:tcPr>
                <w:p w14:paraId="2D1ED57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废水量</w:t>
                  </w:r>
                </w:p>
              </w:tc>
              <w:tc>
                <w:tcPr>
                  <w:tcW w:w="1322" w:type="dxa"/>
                  <w:tcBorders>
                    <w:tl2br w:val="nil"/>
                    <w:tr2bl w:val="nil"/>
                  </w:tcBorders>
                  <w:vAlign w:val="center"/>
                </w:tcPr>
                <w:p w14:paraId="7CC21A83">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24750</w:t>
                  </w:r>
                </w:p>
              </w:tc>
              <w:tc>
                <w:tcPr>
                  <w:tcW w:w="1100" w:type="dxa"/>
                  <w:tcBorders>
                    <w:tl2br w:val="nil"/>
                    <w:tr2bl w:val="nil"/>
                  </w:tcBorders>
                  <w:vAlign w:val="center"/>
                </w:tcPr>
                <w:p w14:paraId="2F1D68F1">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24750</w:t>
                  </w:r>
                </w:p>
              </w:tc>
              <w:tc>
                <w:tcPr>
                  <w:tcW w:w="1187" w:type="dxa"/>
                  <w:tcBorders>
                    <w:tl2br w:val="nil"/>
                    <w:tr2bl w:val="nil"/>
                  </w:tcBorders>
                  <w:vAlign w:val="center"/>
                </w:tcPr>
                <w:p w14:paraId="3D801AFC">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w:t>
                  </w:r>
                </w:p>
              </w:tc>
            </w:tr>
            <w:tr w14:paraId="27549A8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43E08BA3">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1859B413">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445DF7CC">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63F81E1B">
                  <w:pPr>
                    <w:keepNext w:val="0"/>
                    <w:keepLines w:val="0"/>
                    <w:widowControl/>
                    <w:suppressLineNumbers w:val="0"/>
                    <w:jc w:val="center"/>
                    <w:textAlignment w:val="center"/>
                    <w:rPr>
                      <w:rFonts w:hint="default" w:ascii="Times New Roman" w:hAnsi="Times New Roman" w:eastAsia="宋体" w:cs="Times New Roman"/>
                      <w:bCs/>
                      <w:color w:val="auto"/>
                      <w:sz w:val="21"/>
                      <w:szCs w:val="21"/>
                    </w:rPr>
                  </w:pPr>
                  <w:r>
                    <w:rPr>
                      <w:rFonts w:hint="eastAsia" w:ascii="宋体" w:hAnsi="宋体" w:eastAsia="宋体" w:cs="宋体"/>
                      <w:i w:val="0"/>
                      <w:iCs w:val="0"/>
                      <w:color w:val="auto"/>
                      <w:kern w:val="0"/>
                      <w:sz w:val="21"/>
                      <w:szCs w:val="21"/>
                      <w:u w:val="none"/>
                      <w:lang w:val="en-US" w:eastAsia="zh-CN" w:bidi="ar"/>
                    </w:rPr>
                    <w:t>化学需氧量</w:t>
                  </w:r>
                </w:p>
              </w:tc>
              <w:tc>
                <w:tcPr>
                  <w:tcW w:w="1322" w:type="dxa"/>
                  <w:tcBorders>
                    <w:tl2br w:val="nil"/>
                    <w:tr2bl w:val="nil"/>
                  </w:tcBorders>
                  <w:vAlign w:val="center"/>
                </w:tcPr>
                <w:p w14:paraId="0244B993">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1.1385 </w:t>
                  </w:r>
                </w:p>
              </w:tc>
              <w:tc>
                <w:tcPr>
                  <w:tcW w:w="1100" w:type="dxa"/>
                  <w:tcBorders>
                    <w:tl2br w:val="nil"/>
                    <w:tr2bl w:val="nil"/>
                  </w:tcBorders>
                  <w:vAlign w:val="center"/>
                </w:tcPr>
                <w:p w14:paraId="34A33306">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1.98</w:t>
                  </w:r>
                </w:p>
              </w:tc>
              <w:tc>
                <w:tcPr>
                  <w:tcW w:w="1187" w:type="dxa"/>
                  <w:tcBorders>
                    <w:tl2br w:val="nil"/>
                    <w:tr2bl w:val="nil"/>
                  </w:tcBorders>
                  <w:vAlign w:val="center"/>
                </w:tcPr>
                <w:p w14:paraId="218FDE6C">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49CAD7F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73B9B802">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36D52C0C">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2B07A400">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5F2B4D1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eastAsia="zh-CN" w:bidi="ar"/>
                    </w:rPr>
                  </w:pPr>
                  <w:r>
                    <w:rPr>
                      <w:rFonts w:hint="eastAsia" w:ascii="宋体" w:hAnsi="宋体" w:eastAsia="宋体" w:cs="宋体"/>
                      <w:i w:val="0"/>
                      <w:iCs w:val="0"/>
                      <w:color w:val="auto"/>
                      <w:kern w:val="0"/>
                      <w:sz w:val="21"/>
                      <w:szCs w:val="21"/>
                      <w:u w:val="none"/>
                      <w:lang w:val="en-US" w:eastAsia="zh-CN" w:bidi="ar"/>
                    </w:rPr>
                    <w:t>悬浮物</w:t>
                  </w:r>
                </w:p>
              </w:tc>
              <w:tc>
                <w:tcPr>
                  <w:tcW w:w="1322" w:type="dxa"/>
                  <w:tcBorders>
                    <w:tl2br w:val="nil"/>
                    <w:tr2bl w:val="nil"/>
                  </w:tcBorders>
                  <w:vAlign w:val="center"/>
                </w:tcPr>
                <w:p w14:paraId="073BC377">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0.8168 </w:t>
                  </w:r>
                </w:p>
              </w:tc>
              <w:tc>
                <w:tcPr>
                  <w:tcW w:w="1100" w:type="dxa"/>
                  <w:tcBorders>
                    <w:tl2br w:val="nil"/>
                    <w:tr2bl w:val="nil"/>
                  </w:tcBorders>
                  <w:vAlign w:val="center"/>
                </w:tcPr>
                <w:p w14:paraId="704B0645">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1AC67031">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0C3940A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05CC52F0">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0A966EBF">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482359A5">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0F32FAFE">
                  <w:pPr>
                    <w:keepNext w:val="0"/>
                    <w:keepLines w:val="0"/>
                    <w:widowControl/>
                    <w:suppressLineNumbers w:val="0"/>
                    <w:jc w:val="center"/>
                    <w:textAlignment w:val="center"/>
                    <w:rPr>
                      <w:rFonts w:hint="default" w:ascii="Times New Roman" w:hAnsi="Times New Roman" w:eastAsia="宋体" w:cs="Times New Roman"/>
                      <w:bCs/>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氨氮</w:t>
                  </w:r>
                </w:p>
              </w:tc>
              <w:tc>
                <w:tcPr>
                  <w:tcW w:w="1322" w:type="dxa"/>
                  <w:tcBorders>
                    <w:tl2br w:val="nil"/>
                    <w:tr2bl w:val="nil"/>
                  </w:tcBorders>
                  <w:vAlign w:val="center"/>
                </w:tcPr>
                <w:p w14:paraId="1CB77D57">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0.0204 </w:t>
                  </w:r>
                </w:p>
              </w:tc>
              <w:tc>
                <w:tcPr>
                  <w:tcW w:w="1100" w:type="dxa"/>
                  <w:tcBorders>
                    <w:tl2br w:val="nil"/>
                    <w:tr2bl w:val="nil"/>
                  </w:tcBorders>
                  <w:vAlign w:val="center"/>
                </w:tcPr>
                <w:p w14:paraId="162B9B22">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465028C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34C6250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02142F2E">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4C615755">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72B788D7">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5FF4DBF6">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总磷</w:t>
                  </w:r>
                </w:p>
              </w:tc>
              <w:tc>
                <w:tcPr>
                  <w:tcW w:w="1322" w:type="dxa"/>
                  <w:tcBorders>
                    <w:tl2br w:val="nil"/>
                    <w:tr2bl w:val="nil"/>
                  </w:tcBorders>
                  <w:vAlign w:val="center"/>
                </w:tcPr>
                <w:p w14:paraId="62B33520">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0.0064 </w:t>
                  </w:r>
                </w:p>
              </w:tc>
              <w:tc>
                <w:tcPr>
                  <w:tcW w:w="1100" w:type="dxa"/>
                  <w:tcBorders>
                    <w:tl2br w:val="nil"/>
                    <w:tr2bl w:val="nil"/>
                  </w:tcBorders>
                  <w:vAlign w:val="center"/>
                </w:tcPr>
                <w:p w14:paraId="05565C0F">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4C3DA079">
                  <w:pPr>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4CEF990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25CD3F93">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55ECBFE5">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755D3A61">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293900AB">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总氮</w:t>
                  </w:r>
                </w:p>
              </w:tc>
              <w:tc>
                <w:tcPr>
                  <w:tcW w:w="1322" w:type="dxa"/>
                  <w:tcBorders>
                    <w:tl2br w:val="nil"/>
                    <w:tr2bl w:val="nil"/>
                  </w:tcBorders>
                  <w:vAlign w:val="center"/>
                </w:tcPr>
                <w:p w14:paraId="520DFEA8">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0.1833 </w:t>
                  </w:r>
                </w:p>
              </w:tc>
              <w:tc>
                <w:tcPr>
                  <w:tcW w:w="1100" w:type="dxa"/>
                  <w:tcBorders>
                    <w:tl2br w:val="nil"/>
                    <w:tr2bl w:val="nil"/>
                  </w:tcBorders>
                  <w:vAlign w:val="center"/>
                </w:tcPr>
                <w:p w14:paraId="7D20609B">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3BD2D233">
                  <w:pPr>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23650CF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1E69D4AB">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3A54903C">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7DF38741">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16CBC4FC">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五日生化需氧量</w:t>
                  </w:r>
                </w:p>
              </w:tc>
              <w:tc>
                <w:tcPr>
                  <w:tcW w:w="1322" w:type="dxa"/>
                  <w:tcBorders>
                    <w:tl2br w:val="nil"/>
                    <w:tr2bl w:val="nil"/>
                  </w:tcBorders>
                  <w:vAlign w:val="center"/>
                </w:tcPr>
                <w:p w14:paraId="4394E6D0">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0.2834 </w:t>
                  </w:r>
                </w:p>
              </w:tc>
              <w:tc>
                <w:tcPr>
                  <w:tcW w:w="1100" w:type="dxa"/>
                  <w:tcBorders>
                    <w:tl2br w:val="nil"/>
                    <w:tr2bl w:val="nil"/>
                  </w:tcBorders>
                  <w:vAlign w:val="center"/>
                </w:tcPr>
                <w:p w14:paraId="67695F90">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6378E0CC">
                  <w:pPr>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39F536B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73A5D8ED">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65660932">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42A1AE07">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14771B1B">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总铝</w:t>
                  </w:r>
                </w:p>
              </w:tc>
              <w:tc>
                <w:tcPr>
                  <w:tcW w:w="1322" w:type="dxa"/>
                  <w:tcBorders>
                    <w:tl2br w:val="nil"/>
                    <w:tr2bl w:val="nil"/>
                  </w:tcBorders>
                  <w:vAlign w:val="center"/>
                </w:tcPr>
                <w:p w14:paraId="3AE48D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0.000028</w:t>
                  </w:r>
                </w:p>
              </w:tc>
              <w:tc>
                <w:tcPr>
                  <w:tcW w:w="1100" w:type="dxa"/>
                  <w:tcBorders>
                    <w:tl2br w:val="nil"/>
                    <w:tr2bl w:val="nil"/>
                  </w:tcBorders>
                  <w:vAlign w:val="center"/>
                </w:tcPr>
                <w:p w14:paraId="7D5CF3DC">
                  <w:pPr>
                    <w:jc w:val="center"/>
                    <w:rPr>
                      <w:rFonts w:hint="default"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09C1F5EB">
                  <w:pPr>
                    <w:jc w:val="center"/>
                    <w:rPr>
                      <w:rFonts w:hint="default" w:cs="Times New Roman"/>
                      <w:color w:val="auto"/>
                      <w:sz w:val="21"/>
                      <w:szCs w:val="21"/>
                      <w:lang w:val="en-US" w:eastAsia="zh-CN"/>
                    </w:rPr>
                  </w:pPr>
                  <w:r>
                    <w:rPr>
                      <w:rFonts w:hint="eastAsia" w:cs="Times New Roman"/>
                      <w:color w:val="auto"/>
                      <w:sz w:val="21"/>
                      <w:szCs w:val="21"/>
                      <w:lang w:val="en-US" w:eastAsia="zh-CN"/>
                    </w:rPr>
                    <w:t>/</w:t>
                  </w:r>
                </w:p>
              </w:tc>
            </w:tr>
            <w:tr w14:paraId="0B0B863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47971B95">
                  <w:pPr>
                    <w:adjustRightInd w:val="0"/>
                    <w:snapToGrid w:val="0"/>
                    <w:jc w:val="center"/>
                    <w:rPr>
                      <w:rFonts w:hint="default" w:ascii="Times New Roman" w:hAnsi="Times New Roman" w:eastAsia="宋体" w:cs="Times New Roman"/>
                      <w:color w:val="auto"/>
                      <w:sz w:val="21"/>
                      <w:szCs w:val="21"/>
                    </w:rPr>
                  </w:pPr>
                </w:p>
              </w:tc>
              <w:tc>
                <w:tcPr>
                  <w:tcW w:w="1425" w:type="dxa"/>
                  <w:vMerge w:val="restart"/>
                  <w:tcBorders>
                    <w:tl2br w:val="nil"/>
                    <w:tr2bl w:val="nil"/>
                  </w:tcBorders>
                  <w:vAlign w:val="center"/>
                </w:tcPr>
                <w:p w14:paraId="2988A950">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生活污水</w:t>
                  </w:r>
                </w:p>
              </w:tc>
              <w:tc>
                <w:tcPr>
                  <w:tcW w:w="1155" w:type="dxa"/>
                  <w:vMerge w:val="continue"/>
                  <w:tcBorders>
                    <w:tl2br w:val="nil"/>
                    <w:tr2bl w:val="nil"/>
                  </w:tcBorders>
                  <w:vAlign w:val="center"/>
                </w:tcPr>
                <w:p w14:paraId="7AD4221F">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372E0B14">
                  <w:pPr>
                    <w:jc w:val="center"/>
                    <w:textAlignment w:val="center"/>
                    <w:rPr>
                      <w:rFonts w:hint="default" w:ascii="Times New Roman" w:hAnsi="Times New Roman" w:eastAsia="宋体" w:cs="Times New Roman"/>
                      <w:bCs/>
                      <w:color w:val="auto"/>
                      <w:kern w:val="0"/>
                      <w:sz w:val="21"/>
                      <w:szCs w:val="21"/>
                    </w:rPr>
                  </w:pPr>
                  <w:r>
                    <w:rPr>
                      <w:rFonts w:hint="default" w:ascii="Times New Roman" w:hAnsi="Times New Roman" w:eastAsia="宋体" w:cs="Times New Roman"/>
                      <w:color w:val="auto"/>
                      <w:kern w:val="0"/>
                      <w:sz w:val="21"/>
                      <w:szCs w:val="21"/>
                      <w:lang w:bidi="ar"/>
                    </w:rPr>
                    <w:t>废水量</w:t>
                  </w:r>
                </w:p>
              </w:tc>
              <w:tc>
                <w:tcPr>
                  <w:tcW w:w="1322" w:type="dxa"/>
                  <w:tcBorders>
                    <w:tl2br w:val="nil"/>
                    <w:tr2bl w:val="nil"/>
                  </w:tcBorders>
                  <w:vAlign w:val="center"/>
                </w:tcPr>
                <w:p w14:paraId="4FFDD91A">
                  <w:pPr>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12960</w:t>
                  </w:r>
                </w:p>
              </w:tc>
              <w:tc>
                <w:tcPr>
                  <w:tcW w:w="1100" w:type="dxa"/>
                  <w:tcBorders>
                    <w:tl2br w:val="nil"/>
                    <w:tr2bl w:val="nil"/>
                  </w:tcBorders>
                  <w:vAlign w:val="center"/>
                </w:tcPr>
                <w:p w14:paraId="14237461">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587E9448">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62DB145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5427DF30">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18AA2907">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52F4BD4B">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120ED89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化学需氧量</w:t>
                  </w:r>
                </w:p>
              </w:tc>
              <w:tc>
                <w:tcPr>
                  <w:tcW w:w="1322" w:type="dxa"/>
                  <w:tcBorders>
                    <w:tl2br w:val="nil"/>
                    <w:tr2bl w:val="nil"/>
                  </w:tcBorders>
                  <w:vAlign w:val="center"/>
                </w:tcPr>
                <w:p w14:paraId="0194DE66">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1.7366 </w:t>
                  </w:r>
                </w:p>
              </w:tc>
              <w:tc>
                <w:tcPr>
                  <w:tcW w:w="1100" w:type="dxa"/>
                  <w:tcBorders>
                    <w:tl2br w:val="nil"/>
                    <w:tr2bl w:val="nil"/>
                  </w:tcBorders>
                  <w:vAlign w:val="center"/>
                </w:tcPr>
                <w:p w14:paraId="1B7BCECD">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47249E56">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5C3A4DB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6275F473">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34280244">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1AB41AAB">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7B32CEC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动植物油</w:t>
                  </w:r>
                </w:p>
              </w:tc>
              <w:tc>
                <w:tcPr>
                  <w:tcW w:w="1322" w:type="dxa"/>
                  <w:tcBorders>
                    <w:tl2br w:val="nil"/>
                    <w:tr2bl w:val="nil"/>
                  </w:tcBorders>
                  <w:vAlign w:val="center"/>
                </w:tcPr>
                <w:p w14:paraId="48DBB2CE">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0.0150 </w:t>
                  </w:r>
                </w:p>
              </w:tc>
              <w:tc>
                <w:tcPr>
                  <w:tcW w:w="1100" w:type="dxa"/>
                  <w:tcBorders>
                    <w:tl2br w:val="nil"/>
                    <w:tr2bl w:val="nil"/>
                  </w:tcBorders>
                  <w:vAlign w:val="center"/>
                </w:tcPr>
                <w:p w14:paraId="5F76D9BF">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45FC9FFB">
                  <w:pPr>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5491D68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7778D88B">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6AF4A69B">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610C4C4F">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vAlign w:val="center"/>
                </w:tcPr>
                <w:p w14:paraId="08968F9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bidi="ar"/>
                    </w:rPr>
                  </w:pPr>
                  <w:r>
                    <w:rPr>
                      <w:rFonts w:hint="eastAsia" w:ascii="宋体" w:hAnsi="宋体" w:eastAsia="宋体" w:cs="宋体"/>
                      <w:i w:val="0"/>
                      <w:iCs w:val="0"/>
                      <w:color w:val="auto"/>
                      <w:kern w:val="0"/>
                      <w:sz w:val="21"/>
                      <w:szCs w:val="21"/>
                      <w:u w:val="none"/>
                      <w:lang w:val="en-US" w:eastAsia="zh-CN" w:bidi="ar"/>
                    </w:rPr>
                    <w:t>悬浮物</w:t>
                  </w:r>
                </w:p>
              </w:tc>
              <w:tc>
                <w:tcPr>
                  <w:tcW w:w="1322" w:type="dxa"/>
                  <w:tcBorders>
                    <w:tl2br w:val="nil"/>
                    <w:tr2bl w:val="nil"/>
                  </w:tcBorders>
                  <w:vAlign w:val="center"/>
                </w:tcPr>
                <w:p w14:paraId="03332949">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1.1470 </w:t>
                  </w:r>
                </w:p>
              </w:tc>
              <w:tc>
                <w:tcPr>
                  <w:tcW w:w="1100" w:type="dxa"/>
                  <w:tcBorders>
                    <w:tl2br w:val="nil"/>
                    <w:tr2bl w:val="nil"/>
                  </w:tcBorders>
                  <w:vAlign w:val="center"/>
                </w:tcPr>
                <w:p w14:paraId="373C8FB1">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19E5A6F2">
                  <w:pPr>
                    <w:jc w:val="center"/>
                    <w:rPr>
                      <w:rFonts w:hint="default" w:ascii="Times New Roman" w:hAnsi="Times New Roman" w:eastAsia="宋体" w:cs="Times New Roman"/>
                      <w:color w:val="auto"/>
                      <w:sz w:val="21"/>
                      <w:szCs w:val="21"/>
                    </w:rPr>
                  </w:pPr>
                </w:p>
              </w:tc>
            </w:tr>
            <w:tr w14:paraId="59A40FB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356F040F">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77FCE91D">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3C87E456">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shd w:val="clear" w:color="auto" w:fill="auto"/>
                  <w:vAlign w:val="center"/>
                </w:tcPr>
                <w:p w14:paraId="444F992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宋体" w:hAnsi="宋体" w:eastAsia="宋体" w:cs="宋体"/>
                      <w:i w:val="0"/>
                      <w:iCs w:val="0"/>
                      <w:color w:val="auto"/>
                      <w:kern w:val="0"/>
                      <w:sz w:val="21"/>
                      <w:szCs w:val="21"/>
                      <w:u w:val="none"/>
                      <w:lang w:val="en-US" w:eastAsia="zh-CN" w:bidi="ar"/>
                    </w:rPr>
                    <w:t>氨氮</w:t>
                  </w:r>
                </w:p>
              </w:tc>
              <w:tc>
                <w:tcPr>
                  <w:tcW w:w="1322" w:type="dxa"/>
                  <w:tcBorders>
                    <w:tl2br w:val="nil"/>
                    <w:tr2bl w:val="nil"/>
                  </w:tcBorders>
                  <w:vAlign w:val="center"/>
                </w:tcPr>
                <w:p w14:paraId="63C9A38D">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0.0262 </w:t>
                  </w:r>
                </w:p>
              </w:tc>
              <w:tc>
                <w:tcPr>
                  <w:tcW w:w="1100" w:type="dxa"/>
                  <w:tcBorders>
                    <w:tl2br w:val="nil"/>
                    <w:tr2bl w:val="nil"/>
                  </w:tcBorders>
                  <w:vAlign w:val="center"/>
                </w:tcPr>
                <w:p w14:paraId="30E771F3">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49944EE9">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352E92B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3B18FDF1">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062CF96D">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0C7D5872">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shd w:val="clear" w:color="auto" w:fill="auto"/>
                  <w:vAlign w:val="center"/>
                </w:tcPr>
                <w:p w14:paraId="6D72BA3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宋体" w:hAnsi="宋体" w:eastAsia="宋体" w:cs="宋体"/>
                      <w:i w:val="0"/>
                      <w:iCs w:val="0"/>
                      <w:color w:val="auto"/>
                      <w:kern w:val="0"/>
                      <w:sz w:val="21"/>
                      <w:szCs w:val="21"/>
                      <w:u w:val="none"/>
                      <w:lang w:val="en-US" w:eastAsia="zh-CN" w:bidi="ar"/>
                    </w:rPr>
                    <w:t>总磷</w:t>
                  </w:r>
                </w:p>
              </w:tc>
              <w:tc>
                <w:tcPr>
                  <w:tcW w:w="1322" w:type="dxa"/>
                  <w:tcBorders>
                    <w:tl2br w:val="nil"/>
                    <w:tr2bl w:val="nil"/>
                  </w:tcBorders>
                  <w:vAlign w:val="center"/>
                </w:tcPr>
                <w:p w14:paraId="092F6025">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0.0262 </w:t>
                  </w:r>
                </w:p>
              </w:tc>
              <w:tc>
                <w:tcPr>
                  <w:tcW w:w="1100" w:type="dxa"/>
                  <w:tcBorders>
                    <w:tl2br w:val="nil"/>
                    <w:tr2bl w:val="nil"/>
                  </w:tcBorders>
                  <w:vAlign w:val="center"/>
                </w:tcPr>
                <w:p w14:paraId="1F653482">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482B0883">
                  <w:pPr>
                    <w:jc w:val="center"/>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4972C98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2220A395">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062353FB">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145982D4">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shd w:val="clear" w:color="auto" w:fill="auto"/>
                  <w:vAlign w:val="center"/>
                </w:tcPr>
                <w:p w14:paraId="48FCACCC">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lang w:val="en-US" w:eastAsia="zh-CN" w:bidi="ar-SA"/>
                    </w:rPr>
                  </w:pPr>
                  <w:r>
                    <w:rPr>
                      <w:rFonts w:hint="eastAsia" w:ascii="宋体" w:hAnsi="宋体" w:eastAsia="宋体" w:cs="宋体"/>
                      <w:i w:val="0"/>
                      <w:iCs w:val="0"/>
                      <w:color w:val="auto"/>
                      <w:kern w:val="0"/>
                      <w:sz w:val="21"/>
                      <w:szCs w:val="21"/>
                      <w:u w:val="none"/>
                      <w:lang w:val="en-US" w:eastAsia="zh-CN" w:bidi="ar"/>
                    </w:rPr>
                    <w:t>总氮</w:t>
                  </w:r>
                </w:p>
              </w:tc>
              <w:tc>
                <w:tcPr>
                  <w:tcW w:w="1322" w:type="dxa"/>
                  <w:tcBorders>
                    <w:tl2br w:val="nil"/>
                    <w:tr2bl w:val="nil"/>
                  </w:tcBorders>
                  <w:vAlign w:val="center"/>
                </w:tcPr>
                <w:p w14:paraId="191E481E">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0.2743 </w:t>
                  </w:r>
                </w:p>
              </w:tc>
              <w:tc>
                <w:tcPr>
                  <w:tcW w:w="1100" w:type="dxa"/>
                  <w:tcBorders>
                    <w:tl2br w:val="nil"/>
                    <w:tr2bl w:val="nil"/>
                  </w:tcBorders>
                  <w:vAlign w:val="center"/>
                </w:tcPr>
                <w:p w14:paraId="6314F97F">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39C158A7">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2B1A3A1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5D8ED03D">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7F8C34D6">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20202AE2">
                  <w:pPr>
                    <w:adjustRightInd w:val="0"/>
                    <w:snapToGrid w:val="0"/>
                    <w:jc w:val="center"/>
                    <w:rPr>
                      <w:rFonts w:hint="default" w:ascii="Times New Roman" w:hAnsi="Times New Roman" w:eastAsia="宋体" w:cs="Times New Roman"/>
                      <w:color w:val="auto"/>
                      <w:sz w:val="21"/>
                      <w:szCs w:val="21"/>
                    </w:rPr>
                  </w:pPr>
                </w:p>
              </w:tc>
              <w:tc>
                <w:tcPr>
                  <w:tcW w:w="2660" w:type="dxa"/>
                  <w:gridSpan w:val="2"/>
                  <w:tcBorders>
                    <w:tl2br w:val="nil"/>
                    <w:tr2bl w:val="nil"/>
                  </w:tcBorders>
                  <w:shd w:val="clear" w:color="auto" w:fill="auto"/>
                  <w:vAlign w:val="center"/>
                </w:tcPr>
                <w:p w14:paraId="0F20B7AF">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五日生化需氧量</w:t>
                  </w:r>
                </w:p>
              </w:tc>
              <w:tc>
                <w:tcPr>
                  <w:tcW w:w="1322" w:type="dxa"/>
                  <w:tcBorders>
                    <w:tl2br w:val="nil"/>
                    <w:tr2bl w:val="nil"/>
                  </w:tcBorders>
                  <w:vAlign w:val="center"/>
                </w:tcPr>
                <w:p w14:paraId="2E7504DA">
                  <w:pPr>
                    <w:keepNext w:val="0"/>
                    <w:keepLines w:val="0"/>
                    <w:widowControl/>
                    <w:suppressLineNumbers w:val="0"/>
                    <w:jc w:val="center"/>
                    <w:textAlignment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0.7821 </w:t>
                  </w:r>
                </w:p>
              </w:tc>
              <w:tc>
                <w:tcPr>
                  <w:tcW w:w="1100" w:type="dxa"/>
                  <w:tcBorders>
                    <w:tl2br w:val="nil"/>
                    <w:tr2bl w:val="nil"/>
                  </w:tcBorders>
                  <w:vAlign w:val="center"/>
                </w:tcPr>
                <w:p w14:paraId="0E584B9A">
                  <w:pPr>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c>
                <w:tcPr>
                  <w:tcW w:w="1187" w:type="dxa"/>
                  <w:tcBorders>
                    <w:tl2br w:val="nil"/>
                    <w:tr2bl w:val="nil"/>
                  </w:tcBorders>
                  <w:vAlign w:val="center"/>
                </w:tcPr>
                <w:p w14:paraId="12F2953E">
                  <w:pPr>
                    <w:jc w:val="center"/>
                    <w:rPr>
                      <w:rFonts w:hint="default" w:ascii="Times New Roman" w:hAnsi="Times New Roman" w:eastAsia="宋体" w:cs="Times New Roman"/>
                      <w:color w:val="auto"/>
                      <w:sz w:val="21"/>
                      <w:szCs w:val="21"/>
                    </w:rPr>
                  </w:pPr>
                </w:p>
              </w:tc>
            </w:tr>
            <w:tr w14:paraId="57BE08B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restart"/>
                  <w:tcBorders>
                    <w:tl2br w:val="nil"/>
                    <w:tr2bl w:val="nil"/>
                  </w:tcBorders>
                  <w:vAlign w:val="center"/>
                </w:tcPr>
                <w:p w14:paraId="5FBE5470">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固体废物</w:t>
                  </w:r>
                </w:p>
              </w:tc>
              <w:tc>
                <w:tcPr>
                  <w:tcW w:w="1425" w:type="dxa"/>
                  <w:vMerge w:val="restart"/>
                  <w:tcBorders>
                    <w:tl2br w:val="nil"/>
                    <w:tr2bl w:val="nil"/>
                  </w:tcBorders>
                  <w:vAlign w:val="center"/>
                </w:tcPr>
                <w:p w14:paraId="23BA37D6">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生产过程</w:t>
                  </w:r>
                </w:p>
              </w:tc>
              <w:tc>
                <w:tcPr>
                  <w:tcW w:w="1155" w:type="dxa"/>
                  <w:vMerge w:val="restart"/>
                  <w:tcBorders>
                    <w:tl2br w:val="nil"/>
                    <w:tr2bl w:val="nil"/>
                  </w:tcBorders>
                  <w:vAlign w:val="center"/>
                </w:tcPr>
                <w:p w14:paraId="39FCDCD7">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收集后由废品回收公司收集处置</w:t>
                  </w:r>
                </w:p>
              </w:tc>
              <w:tc>
                <w:tcPr>
                  <w:tcW w:w="555" w:type="dxa"/>
                  <w:vMerge w:val="restart"/>
                  <w:tcBorders>
                    <w:tl2br w:val="nil"/>
                    <w:tr2bl w:val="nil"/>
                  </w:tcBorders>
                  <w:vAlign w:val="center"/>
                </w:tcPr>
                <w:p w14:paraId="34B1049D">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一般固废</w:t>
                  </w:r>
                </w:p>
              </w:tc>
              <w:tc>
                <w:tcPr>
                  <w:tcW w:w="2105" w:type="dxa"/>
                  <w:tcBorders>
                    <w:tl2br w:val="nil"/>
                    <w:tr2bl w:val="nil"/>
                  </w:tcBorders>
                  <w:vAlign w:val="center"/>
                </w:tcPr>
                <w:p w14:paraId="060AD314">
                  <w:pPr>
                    <w:jc w:val="center"/>
                    <w:rPr>
                      <w:rFonts w:hint="default" w:ascii="Times New Roman" w:hAnsi="Times New Roman" w:eastAsia="宋体" w:cs="Times New Roman"/>
                      <w:color w:val="auto"/>
                      <w:spacing w:val="15"/>
                      <w:kern w:val="0"/>
                      <w:sz w:val="21"/>
                      <w:szCs w:val="21"/>
                    </w:rPr>
                  </w:pPr>
                  <w:r>
                    <w:rPr>
                      <w:rFonts w:hint="default" w:ascii="Times New Roman" w:hAnsi="Times New Roman" w:eastAsia="宋体" w:cs="Times New Roman"/>
                      <w:color w:val="auto"/>
                      <w:spacing w:val="15"/>
                      <w:kern w:val="0"/>
                      <w:sz w:val="21"/>
                      <w:szCs w:val="21"/>
                    </w:rPr>
                    <w:t>金属粉尘废渣</w:t>
                  </w:r>
                </w:p>
              </w:tc>
              <w:tc>
                <w:tcPr>
                  <w:tcW w:w="1322" w:type="dxa"/>
                  <w:tcBorders>
                    <w:tl2br w:val="nil"/>
                    <w:tr2bl w:val="nil"/>
                  </w:tcBorders>
                  <w:vAlign w:val="center"/>
                </w:tcPr>
                <w:p w14:paraId="7005235F">
                  <w:pPr>
                    <w:jc w:val="center"/>
                    <w:rPr>
                      <w:rFonts w:hint="default" w:ascii="Times New Roman" w:hAnsi="Times New Roman" w:eastAsia="宋体" w:cs="Times New Roman"/>
                      <w:color w:val="auto"/>
                      <w:spacing w:val="15"/>
                      <w:kern w:val="0"/>
                      <w:sz w:val="21"/>
                      <w:szCs w:val="21"/>
                    </w:rPr>
                  </w:pPr>
                  <w:r>
                    <w:rPr>
                      <w:rFonts w:hint="default" w:ascii="Times New Roman" w:hAnsi="Times New Roman" w:eastAsia="宋体" w:cs="Times New Roman"/>
                      <w:color w:val="auto"/>
                      <w:spacing w:val="15"/>
                      <w:kern w:val="0"/>
                      <w:sz w:val="21"/>
                      <w:szCs w:val="21"/>
                    </w:rPr>
                    <w:t>3.213</w:t>
                  </w:r>
                </w:p>
              </w:tc>
              <w:tc>
                <w:tcPr>
                  <w:tcW w:w="1100" w:type="dxa"/>
                  <w:tcBorders>
                    <w:tl2br w:val="nil"/>
                    <w:tr2bl w:val="nil"/>
                  </w:tcBorders>
                  <w:vAlign w:val="center"/>
                </w:tcPr>
                <w:p w14:paraId="21568BCC">
                  <w:pPr>
                    <w:jc w:val="center"/>
                    <w:rPr>
                      <w:rFonts w:hint="eastAsia" w:ascii="Times New Roman" w:hAnsi="Times New Roman" w:eastAsia="宋体" w:cs="Times New Roman"/>
                      <w:color w:val="auto"/>
                      <w:spacing w:val="15"/>
                      <w:kern w:val="0"/>
                      <w:sz w:val="21"/>
                      <w:szCs w:val="21"/>
                      <w:lang w:val="en-US" w:eastAsia="zh-CN"/>
                    </w:rPr>
                  </w:pPr>
                  <w:r>
                    <w:rPr>
                      <w:rFonts w:hint="eastAsia" w:cs="Times New Roman"/>
                      <w:color w:val="auto"/>
                      <w:spacing w:val="15"/>
                      <w:kern w:val="0"/>
                      <w:sz w:val="21"/>
                      <w:szCs w:val="21"/>
                      <w:lang w:val="en-US" w:eastAsia="zh-CN"/>
                    </w:rPr>
                    <w:t>/</w:t>
                  </w:r>
                </w:p>
              </w:tc>
              <w:tc>
                <w:tcPr>
                  <w:tcW w:w="1187" w:type="dxa"/>
                  <w:tcBorders>
                    <w:tl2br w:val="nil"/>
                    <w:tr2bl w:val="nil"/>
                  </w:tcBorders>
                  <w:vAlign w:val="center"/>
                </w:tcPr>
                <w:p w14:paraId="102ADF1D">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kern w:val="24"/>
                      <w:sz w:val="21"/>
                      <w:szCs w:val="21"/>
                    </w:rPr>
                    <w:t>/</w:t>
                  </w:r>
                </w:p>
              </w:tc>
            </w:tr>
            <w:tr w14:paraId="33BB108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306142A0">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1E45CE6A">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770C8DA0">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37A21A27">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vAlign w:val="center"/>
                </w:tcPr>
                <w:p w14:paraId="60D21AB7">
                  <w:pPr>
                    <w:jc w:val="center"/>
                    <w:rPr>
                      <w:rFonts w:hint="default" w:ascii="Times New Roman" w:hAnsi="Times New Roman" w:eastAsia="宋体" w:cs="Times New Roman"/>
                      <w:color w:val="auto"/>
                      <w:spacing w:val="15"/>
                      <w:kern w:val="0"/>
                      <w:sz w:val="21"/>
                      <w:szCs w:val="21"/>
                    </w:rPr>
                  </w:pPr>
                  <w:r>
                    <w:rPr>
                      <w:rFonts w:hint="default" w:ascii="Times New Roman" w:hAnsi="Times New Roman" w:eastAsia="宋体" w:cs="Times New Roman"/>
                      <w:color w:val="auto"/>
                      <w:spacing w:val="15"/>
                      <w:kern w:val="0"/>
                      <w:sz w:val="21"/>
                      <w:szCs w:val="21"/>
                    </w:rPr>
                    <w:t>金属加工边角料</w:t>
                  </w:r>
                </w:p>
              </w:tc>
              <w:tc>
                <w:tcPr>
                  <w:tcW w:w="1322" w:type="dxa"/>
                  <w:tcBorders>
                    <w:tl2br w:val="nil"/>
                    <w:tr2bl w:val="nil"/>
                  </w:tcBorders>
                  <w:vAlign w:val="center"/>
                </w:tcPr>
                <w:p w14:paraId="7CCB0200">
                  <w:pPr>
                    <w:jc w:val="center"/>
                    <w:rPr>
                      <w:rFonts w:hint="default" w:ascii="Times New Roman" w:hAnsi="Times New Roman" w:eastAsia="宋体" w:cs="Times New Roman"/>
                      <w:color w:val="auto"/>
                      <w:spacing w:val="15"/>
                      <w:kern w:val="0"/>
                      <w:sz w:val="21"/>
                      <w:szCs w:val="21"/>
                    </w:rPr>
                  </w:pPr>
                  <w:r>
                    <w:rPr>
                      <w:rFonts w:hint="default" w:ascii="Times New Roman" w:hAnsi="Times New Roman" w:eastAsia="宋体" w:cs="Times New Roman"/>
                      <w:color w:val="auto"/>
                      <w:spacing w:val="15"/>
                      <w:kern w:val="0"/>
                      <w:sz w:val="21"/>
                      <w:szCs w:val="21"/>
                    </w:rPr>
                    <w:t>2.64</w:t>
                  </w:r>
                </w:p>
              </w:tc>
              <w:tc>
                <w:tcPr>
                  <w:tcW w:w="1100" w:type="dxa"/>
                  <w:tcBorders>
                    <w:tl2br w:val="nil"/>
                    <w:tr2bl w:val="nil"/>
                  </w:tcBorders>
                  <w:vAlign w:val="center"/>
                </w:tcPr>
                <w:p w14:paraId="7CD774B7">
                  <w:pPr>
                    <w:jc w:val="center"/>
                    <w:rPr>
                      <w:rFonts w:hint="eastAsia" w:ascii="Times New Roman" w:hAnsi="Times New Roman" w:eastAsia="宋体" w:cs="Times New Roman"/>
                      <w:color w:val="auto"/>
                      <w:spacing w:val="15"/>
                      <w:kern w:val="0"/>
                      <w:sz w:val="21"/>
                      <w:szCs w:val="21"/>
                      <w:lang w:val="en-US" w:eastAsia="zh-CN"/>
                    </w:rPr>
                  </w:pPr>
                  <w:r>
                    <w:rPr>
                      <w:rFonts w:hint="eastAsia" w:cs="Times New Roman"/>
                      <w:color w:val="auto"/>
                      <w:spacing w:val="15"/>
                      <w:kern w:val="0"/>
                      <w:sz w:val="21"/>
                      <w:szCs w:val="21"/>
                      <w:lang w:val="en-US" w:eastAsia="zh-CN"/>
                    </w:rPr>
                    <w:t>/</w:t>
                  </w:r>
                </w:p>
              </w:tc>
              <w:tc>
                <w:tcPr>
                  <w:tcW w:w="1187" w:type="dxa"/>
                  <w:tcBorders>
                    <w:tl2br w:val="nil"/>
                    <w:tr2bl w:val="nil"/>
                  </w:tcBorders>
                  <w:vAlign w:val="center"/>
                </w:tcPr>
                <w:p w14:paraId="1318A693">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kern w:val="24"/>
                      <w:sz w:val="21"/>
                      <w:szCs w:val="21"/>
                    </w:rPr>
                    <w:t>/</w:t>
                  </w:r>
                </w:p>
              </w:tc>
            </w:tr>
            <w:tr w14:paraId="7B824EB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2A75A438">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7E29D361">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259F24AE">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654EE52D">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vAlign w:val="center"/>
                </w:tcPr>
                <w:p w14:paraId="1EBAD182">
                  <w:pPr>
                    <w:jc w:val="center"/>
                    <w:rPr>
                      <w:rFonts w:hint="default" w:ascii="Times New Roman" w:hAnsi="Times New Roman" w:eastAsia="宋体" w:cs="Times New Roman"/>
                      <w:color w:val="auto"/>
                      <w:spacing w:val="15"/>
                      <w:kern w:val="0"/>
                      <w:sz w:val="21"/>
                      <w:szCs w:val="21"/>
                    </w:rPr>
                  </w:pPr>
                  <w:r>
                    <w:rPr>
                      <w:rFonts w:hint="default" w:ascii="Times New Roman" w:hAnsi="Times New Roman" w:eastAsia="宋体" w:cs="Times New Roman"/>
                      <w:color w:val="auto"/>
                      <w:spacing w:val="15"/>
                      <w:kern w:val="0"/>
                      <w:sz w:val="21"/>
                      <w:szCs w:val="21"/>
                    </w:rPr>
                    <w:t>塑料制品边角料</w:t>
                  </w:r>
                </w:p>
              </w:tc>
              <w:tc>
                <w:tcPr>
                  <w:tcW w:w="1322" w:type="dxa"/>
                  <w:tcBorders>
                    <w:tl2br w:val="nil"/>
                    <w:tr2bl w:val="nil"/>
                  </w:tcBorders>
                  <w:vAlign w:val="center"/>
                </w:tcPr>
                <w:p w14:paraId="385CDD6D">
                  <w:pPr>
                    <w:jc w:val="center"/>
                    <w:rPr>
                      <w:rFonts w:hint="default" w:ascii="Times New Roman" w:hAnsi="Times New Roman" w:eastAsia="宋体" w:cs="Times New Roman"/>
                      <w:color w:val="auto"/>
                      <w:spacing w:val="15"/>
                      <w:kern w:val="0"/>
                      <w:sz w:val="21"/>
                      <w:szCs w:val="21"/>
                    </w:rPr>
                  </w:pPr>
                  <w:r>
                    <w:rPr>
                      <w:rFonts w:hint="default" w:ascii="Times New Roman" w:hAnsi="Times New Roman" w:eastAsia="宋体" w:cs="Times New Roman"/>
                      <w:color w:val="auto"/>
                      <w:spacing w:val="15"/>
                      <w:kern w:val="0"/>
                      <w:sz w:val="21"/>
                      <w:szCs w:val="21"/>
                    </w:rPr>
                    <w:t>0.6</w:t>
                  </w:r>
                </w:p>
              </w:tc>
              <w:tc>
                <w:tcPr>
                  <w:tcW w:w="1100" w:type="dxa"/>
                  <w:tcBorders>
                    <w:tl2br w:val="nil"/>
                    <w:tr2bl w:val="nil"/>
                  </w:tcBorders>
                  <w:vAlign w:val="center"/>
                </w:tcPr>
                <w:p w14:paraId="13978948">
                  <w:pPr>
                    <w:jc w:val="center"/>
                    <w:rPr>
                      <w:rFonts w:hint="eastAsia" w:ascii="Times New Roman" w:hAnsi="Times New Roman" w:eastAsia="宋体" w:cs="Times New Roman"/>
                      <w:color w:val="auto"/>
                      <w:spacing w:val="15"/>
                      <w:kern w:val="0"/>
                      <w:sz w:val="21"/>
                      <w:szCs w:val="21"/>
                      <w:lang w:val="en-US" w:eastAsia="zh-CN"/>
                    </w:rPr>
                  </w:pPr>
                  <w:r>
                    <w:rPr>
                      <w:rFonts w:hint="eastAsia" w:cs="Times New Roman"/>
                      <w:color w:val="auto"/>
                      <w:spacing w:val="15"/>
                      <w:kern w:val="0"/>
                      <w:sz w:val="21"/>
                      <w:szCs w:val="21"/>
                      <w:lang w:val="en-US" w:eastAsia="zh-CN"/>
                    </w:rPr>
                    <w:t>/</w:t>
                  </w:r>
                </w:p>
              </w:tc>
              <w:tc>
                <w:tcPr>
                  <w:tcW w:w="1187" w:type="dxa"/>
                  <w:tcBorders>
                    <w:tl2br w:val="nil"/>
                    <w:tr2bl w:val="nil"/>
                  </w:tcBorders>
                  <w:vAlign w:val="center"/>
                </w:tcPr>
                <w:p w14:paraId="58B74DFA">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p>
              </w:tc>
            </w:tr>
            <w:tr w14:paraId="4201370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40DE15BC">
                  <w:pPr>
                    <w:adjustRightInd w:val="0"/>
                    <w:snapToGrid w:val="0"/>
                    <w:jc w:val="center"/>
                    <w:rPr>
                      <w:rFonts w:hint="default" w:ascii="Times New Roman" w:hAnsi="Times New Roman" w:eastAsia="宋体" w:cs="Times New Roman"/>
                      <w:color w:val="auto"/>
                      <w:sz w:val="21"/>
                      <w:szCs w:val="21"/>
                    </w:rPr>
                  </w:pPr>
                </w:p>
              </w:tc>
              <w:tc>
                <w:tcPr>
                  <w:tcW w:w="1425" w:type="dxa"/>
                  <w:vMerge w:val="restart"/>
                  <w:tcBorders>
                    <w:tl2br w:val="nil"/>
                    <w:tr2bl w:val="nil"/>
                  </w:tcBorders>
                  <w:vAlign w:val="center"/>
                </w:tcPr>
                <w:p w14:paraId="22F4B6F3">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生产过程</w:t>
                  </w:r>
                </w:p>
              </w:tc>
              <w:tc>
                <w:tcPr>
                  <w:tcW w:w="1155" w:type="dxa"/>
                  <w:vMerge w:val="restart"/>
                  <w:tcBorders>
                    <w:tl2br w:val="nil"/>
                    <w:tr2bl w:val="nil"/>
                  </w:tcBorders>
                  <w:vAlign w:val="center"/>
                </w:tcPr>
                <w:p w14:paraId="211B401A">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由有危废资质单位收集处置</w:t>
                  </w:r>
                </w:p>
              </w:tc>
              <w:tc>
                <w:tcPr>
                  <w:tcW w:w="555" w:type="dxa"/>
                  <w:vMerge w:val="restart"/>
                  <w:tcBorders>
                    <w:tl2br w:val="nil"/>
                    <w:tr2bl w:val="nil"/>
                  </w:tcBorders>
                  <w:vAlign w:val="center"/>
                </w:tcPr>
                <w:p w14:paraId="2D76E549">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危险固废</w:t>
                  </w:r>
                </w:p>
              </w:tc>
              <w:tc>
                <w:tcPr>
                  <w:tcW w:w="2105" w:type="dxa"/>
                  <w:tcBorders>
                    <w:tl2br w:val="nil"/>
                    <w:tr2bl w:val="nil"/>
                  </w:tcBorders>
                  <w:shd w:val="clear" w:color="auto" w:fill="auto"/>
                  <w:vAlign w:val="center"/>
                </w:tcPr>
                <w:p w14:paraId="4546F211">
                  <w:pPr>
                    <w:jc w:val="center"/>
                    <w:rPr>
                      <w:rFonts w:hint="default" w:ascii="Times New Roman" w:hAnsi="Times New Roman" w:eastAsia="宋体" w:cs="Times New Roman"/>
                      <w:color w:val="auto"/>
                      <w:spacing w:val="15"/>
                      <w:kern w:val="0"/>
                      <w:sz w:val="21"/>
                      <w:szCs w:val="21"/>
                      <w:lang w:val="en-US" w:eastAsia="zh-CN" w:bidi="ar-SA"/>
                    </w:rPr>
                  </w:pPr>
                  <w:r>
                    <w:rPr>
                      <w:rFonts w:hint="default" w:ascii="Times New Roman" w:hAnsi="Times New Roman" w:eastAsia="宋体" w:cs="Times New Roman"/>
                      <w:color w:val="auto"/>
                      <w:sz w:val="21"/>
                      <w:szCs w:val="21"/>
                    </w:rPr>
                    <w:t>综合废水处理站处理污水产生的污泥</w:t>
                  </w:r>
                </w:p>
              </w:tc>
              <w:tc>
                <w:tcPr>
                  <w:tcW w:w="1322" w:type="dxa"/>
                  <w:tcBorders>
                    <w:tl2br w:val="nil"/>
                    <w:tr2bl w:val="nil"/>
                  </w:tcBorders>
                  <w:shd w:val="clear" w:color="auto" w:fill="auto"/>
                  <w:vAlign w:val="center"/>
                </w:tcPr>
                <w:p w14:paraId="0DAB89AB">
                  <w:pPr>
                    <w:jc w:val="center"/>
                    <w:rPr>
                      <w:rFonts w:hint="default" w:ascii="Times New Roman" w:hAnsi="Times New Roman" w:eastAsia="宋体" w:cs="Times New Roman"/>
                      <w:color w:val="auto"/>
                      <w:spacing w:val="15"/>
                      <w:kern w:val="0"/>
                      <w:sz w:val="21"/>
                      <w:szCs w:val="21"/>
                      <w:lang w:val="en-US" w:eastAsia="zh-CN" w:bidi="ar-SA"/>
                    </w:rPr>
                  </w:pPr>
                  <w:r>
                    <w:rPr>
                      <w:rFonts w:hint="default" w:ascii="Times New Roman" w:hAnsi="Times New Roman" w:eastAsia="宋体" w:cs="Times New Roman"/>
                      <w:color w:val="auto"/>
                      <w:spacing w:val="15"/>
                      <w:kern w:val="0"/>
                      <w:sz w:val="21"/>
                      <w:szCs w:val="21"/>
                    </w:rPr>
                    <w:t>121</w:t>
                  </w:r>
                </w:p>
              </w:tc>
              <w:tc>
                <w:tcPr>
                  <w:tcW w:w="1100" w:type="dxa"/>
                  <w:tcBorders>
                    <w:tl2br w:val="nil"/>
                    <w:tr2bl w:val="nil"/>
                  </w:tcBorders>
                  <w:shd w:val="clear" w:color="auto" w:fill="auto"/>
                  <w:vAlign w:val="center"/>
                </w:tcPr>
                <w:p w14:paraId="67DF5CC6">
                  <w:pPr>
                    <w:jc w:val="center"/>
                    <w:rPr>
                      <w:rFonts w:hint="eastAsia" w:ascii="Times New Roman" w:hAnsi="Times New Roman" w:eastAsia="宋体" w:cs="Times New Roman"/>
                      <w:color w:val="auto"/>
                      <w:spacing w:val="15"/>
                      <w:kern w:val="0"/>
                      <w:sz w:val="21"/>
                      <w:szCs w:val="21"/>
                      <w:lang w:val="en-US" w:eastAsia="zh-CN"/>
                    </w:rPr>
                  </w:pPr>
                  <w:r>
                    <w:rPr>
                      <w:rFonts w:hint="eastAsia" w:cs="Times New Roman"/>
                      <w:color w:val="auto"/>
                      <w:spacing w:val="15"/>
                      <w:kern w:val="0"/>
                      <w:sz w:val="21"/>
                      <w:szCs w:val="21"/>
                      <w:lang w:val="en-US" w:eastAsia="zh-CN"/>
                    </w:rPr>
                    <w:t>/</w:t>
                  </w:r>
                </w:p>
              </w:tc>
              <w:tc>
                <w:tcPr>
                  <w:tcW w:w="1187" w:type="dxa"/>
                  <w:tcBorders>
                    <w:tl2br w:val="nil"/>
                    <w:tr2bl w:val="nil"/>
                  </w:tcBorders>
                  <w:vAlign w:val="center"/>
                </w:tcPr>
                <w:p w14:paraId="08CD2B42">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kern w:val="24"/>
                      <w:sz w:val="21"/>
                      <w:szCs w:val="21"/>
                    </w:rPr>
                    <w:t>/</w:t>
                  </w:r>
                </w:p>
              </w:tc>
            </w:tr>
            <w:tr w14:paraId="4886067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43A9D0C7">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64BB4113">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7EBC6D7C">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1DC12A5B">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1682A5B9">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碱蚀铝制品处理槽含铝废渣</w:t>
                  </w:r>
                </w:p>
              </w:tc>
              <w:tc>
                <w:tcPr>
                  <w:tcW w:w="1322" w:type="dxa"/>
                  <w:tcBorders>
                    <w:tl2br w:val="nil"/>
                    <w:tr2bl w:val="nil"/>
                  </w:tcBorders>
                  <w:shd w:val="clear" w:color="auto" w:fill="auto"/>
                  <w:vAlign w:val="center"/>
                </w:tcPr>
                <w:p w14:paraId="389B4233">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lang w:val="en-US" w:eastAsia="zh-CN"/>
                    </w:rPr>
                    <w:t>1</w:t>
                  </w:r>
                </w:p>
              </w:tc>
              <w:tc>
                <w:tcPr>
                  <w:tcW w:w="1100" w:type="dxa"/>
                  <w:tcBorders>
                    <w:tl2br w:val="nil"/>
                    <w:tr2bl w:val="nil"/>
                  </w:tcBorders>
                  <w:shd w:val="clear" w:color="auto" w:fill="auto"/>
                  <w:vAlign w:val="center"/>
                </w:tcPr>
                <w:p w14:paraId="1A97A10A">
                  <w:pPr>
                    <w:jc w:val="center"/>
                    <w:rPr>
                      <w:rFonts w:hint="default" w:ascii="Times New Roman" w:hAnsi="Times New Roman" w:eastAsia="宋体" w:cs="Times New Roman"/>
                      <w:color w:val="auto"/>
                      <w:spacing w:val="15"/>
                      <w:kern w:val="0"/>
                      <w:sz w:val="21"/>
                      <w:szCs w:val="21"/>
                      <w:highlight w:val="none"/>
                      <w:lang w:val="en-US" w:eastAsia="zh-CN"/>
                    </w:rPr>
                  </w:pPr>
                  <w:r>
                    <w:rPr>
                      <w:rFonts w:hint="eastAsia" w:cs="Times New Roman"/>
                      <w:color w:val="auto"/>
                      <w:spacing w:val="15"/>
                      <w:kern w:val="0"/>
                      <w:sz w:val="21"/>
                      <w:szCs w:val="21"/>
                      <w:highlight w:val="none"/>
                      <w:lang w:val="en-US" w:eastAsia="zh-CN"/>
                    </w:rPr>
                    <w:t>/</w:t>
                  </w:r>
                </w:p>
              </w:tc>
              <w:tc>
                <w:tcPr>
                  <w:tcW w:w="1187" w:type="dxa"/>
                  <w:tcBorders>
                    <w:tl2br w:val="nil"/>
                    <w:tr2bl w:val="nil"/>
                  </w:tcBorders>
                  <w:vAlign w:val="center"/>
                </w:tcPr>
                <w:p w14:paraId="374761F7">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kern w:val="24"/>
                      <w:sz w:val="21"/>
                      <w:szCs w:val="21"/>
                    </w:rPr>
                    <w:t>/</w:t>
                  </w:r>
                </w:p>
              </w:tc>
            </w:tr>
            <w:tr w14:paraId="410C058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58B3C75E">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03F458D0">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4FFFDA1C">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255F4701">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5333BB3E">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除油、酸蚀、碱蚀、阳极氧化、着色、封孔更换的废槽液</w:t>
                  </w:r>
                </w:p>
              </w:tc>
              <w:tc>
                <w:tcPr>
                  <w:tcW w:w="1322" w:type="dxa"/>
                  <w:tcBorders>
                    <w:tl2br w:val="nil"/>
                    <w:tr2bl w:val="nil"/>
                  </w:tcBorders>
                  <w:shd w:val="clear" w:color="auto" w:fill="auto"/>
                  <w:vAlign w:val="center"/>
                </w:tcPr>
                <w:p w14:paraId="45BA61FE">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138.68</w:t>
                  </w:r>
                </w:p>
              </w:tc>
              <w:tc>
                <w:tcPr>
                  <w:tcW w:w="1100" w:type="dxa"/>
                  <w:tcBorders>
                    <w:tl2br w:val="nil"/>
                    <w:tr2bl w:val="nil"/>
                  </w:tcBorders>
                  <w:shd w:val="clear" w:color="auto" w:fill="auto"/>
                  <w:vAlign w:val="center"/>
                </w:tcPr>
                <w:p w14:paraId="52AD6F63">
                  <w:pPr>
                    <w:jc w:val="center"/>
                    <w:rPr>
                      <w:rFonts w:hint="eastAsia" w:ascii="Times New Roman" w:hAnsi="Times New Roman" w:eastAsia="宋体" w:cs="Times New Roman"/>
                      <w:color w:val="auto"/>
                      <w:spacing w:val="15"/>
                      <w:kern w:val="0"/>
                      <w:sz w:val="21"/>
                      <w:szCs w:val="21"/>
                      <w:highlight w:val="none"/>
                      <w:lang w:val="en-US" w:eastAsia="zh-CN"/>
                    </w:rPr>
                  </w:pPr>
                  <w:r>
                    <w:rPr>
                      <w:rFonts w:hint="eastAsia" w:cs="Times New Roman"/>
                      <w:color w:val="auto"/>
                      <w:spacing w:val="15"/>
                      <w:kern w:val="0"/>
                      <w:sz w:val="21"/>
                      <w:szCs w:val="21"/>
                      <w:highlight w:val="none"/>
                      <w:lang w:val="en-US" w:eastAsia="zh-CN"/>
                    </w:rPr>
                    <w:t>/</w:t>
                  </w:r>
                </w:p>
              </w:tc>
              <w:tc>
                <w:tcPr>
                  <w:tcW w:w="1187" w:type="dxa"/>
                  <w:tcBorders>
                    <w:tl2br w:val="nil"/>
                    <w:tr2bl w:val="nil"/>
                  </w:tcBorders>
                  <w:vAlign w:val="center"/>
                </w:tcPr>
                <w:p w14:paraId="1A4E186E">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kern w:val="24"/>
                      <w:sz w:val="21"/>
                      <w:szCs w:val="21"/>
                    </w:rPr>
                    <w:t>/</w:t>
                  </w:r>
                </w:p>
              </w:tc>
            </w:tr>
            <w:tr w14:paraId="4755AD3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053E1160">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392D3BDC">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175E324D">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13BC8379">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420C8815">
                  <w:pPr>
                    <w:jc w:val="center"/>
                    <w:rPr>
                      <w:rFonts w:hint="default" w:ascii="Times New Roman" w:hAnsi="Times New Roman" w:eastAsia="宋体" w:cs="Times New Roman"/>
                      <w:color w:val="auto"/>
                      <w:spacing w:val="15"/>
                      <w:kern w:val="0"/>
                      <w:sz w:val="21"/>
                      <w:szCs w:val="21"/>
                      <w:lang w:val="en-US" w:eastAsia="zh-CN" w:bidi="ar-SA"/>
                    </w:rPr>
                  </w:pPr>
                  <w:r>
                    <w:rPr>
                      <w:rFonts w:hint="default" w:ascii="Times New Roman" w:hAnsi="Times New Roman" w:eastAsia="宋体" w:cs="Times New Roman"/>
                      <w:color w:val="auto"/>
                      <w:spacing w:val="15"/>
                      <w:kern w:val="0"/>
                      <w:sz w:val="21"/>
                      <w:szCs w:val="21"/>
                      <w:lang w:val="en-US" w:eastAsia="zh-CN"/>
                    </w:rPr>
                    <w:t>浓缩含镍废水</w:t>
                  </w:r>
                </w:p>
              </w:tc>
              <w:tc>
                <w:tcPr>
                  <w:tcW w:w="1322" w:type="dxa"/>
                  <w:tcBorders>
                    <w:tl2br w:val="nil"/>
                    <w:tr2bl w:val="nil"/>
                  </w:tcBorders>
                  <w:shd w:val="clear" w:color="auto" w:fill="auto"/>
                  <w:vAlign w:val="center"/>
                </w:tcPr>
                <w:p w14:paraId="62F344AE">
                  <w:pPr>
                    <w:jc w:val="center"/>
                    <w:rPr>
                      <w:rFonts w:hint="default" w:ascii="Times New Roman" w:hAnsi="Times New Roman" w:eastAsia="宋体" w:cs="Times New Roman"/>
                      <w:color w:val="auto"/>
                      <w:spacing w:val="15"/>
                      <w:kern w:val="0"/>
                      <w:sz w:val="21"/>
                      <w:szCs w:val="21"/>
                      <w:lang w:val="en-US" w:eastAsia="zh-CN" w:bidi="ar-SA"/>
                    </w:rPr>
                  </w:pPr>
                  <w:r>
                    <w:rPr>
                      <w:rFonts w:hint="default" w:ascii="Times New Roman" w:hAnsi="Times New Roman" w:eastAsia="宋体" w:cs="Times New Roman"/>
                      <w:color w:val="auto"/>
                      <w:spacing w:val="15"/>
                      <w:kern w:val="0"/>
                      <w:sz w:val="21"/>
                      <w:szCs w:val="21"/>
                      <w:lang w:val="en-US" w:eastAsia="zh-CN"/>
                    </w:rPr>
                    <w:t>50</w:t>
                  </w:r>
                </w:p>
              </w:tc>
              <w:tc>
                <w:tcPr>
                  <w:tcW w:w="1100" w:type="dxa"/>
                  <w:tcBorders>
                    <w:tl2br w:val="nil"/>
                    <w:tr2bl w:val="nil"/>
                  </w:tcBorders>
                  <w:shd w:val="clear" w:color="auto" w:fill="auto"/>
                  <w:vAlign w:val="center"/>
                </w:tcPr>
                <w:p w14:paraId="11F4E4CB">
                  <w:pPr>
                    <w:jc w:val="center"/>
                    <w:rPr>
                      <w:rFonts w:hint="default" w:ascii="Times New Roman" w:hAnsi="Times New Roman" w:eastAsia="宋体" w:cs="Times New Roman"/>
                      <w:color w:val="auto"/>
                      <w:spacing w:val="15"/>
                      <w:kern w:val="0"/>
                      <w:sz w:val="21"/>
                      <w:szCs w:val="21"/>
                      <w:lang w:val="en-US" w:eastAsia="zh-CN"/>
                    </w:rPr>
                  </w:pPr>
                  <w:r>
                    <w:rPr>
                      <w:rFonts w:hint="eastAsia" w:cs="Times New Roman"/>
                      <w:color w:val="auto"/>
                      <w:spacing w:val="15"/>
                      <w:kern w:val="0"/>
                      <w:sz w:val="21"/>
                      <w:szCs w:val="21"/>
                      <w:lang w:val="en-US" w:eastAsia="zh-CN"/>
                    </w:rPr>
                    <w:t>/</w:t>
                  </w:r>
                </w:p>
              </w:tc>
              <w:tc>
                <w:tcPr>
                  <w:tcW w:w="1187" w:type="dxa"/>
                  <w:tcBorders>
                    <w:tl2br w:val="nil"/>
                    <w:tr2bl w:val="nil"/>
                  </w:tcBorders>
                  <w:vAlign w:val="center"/>
                </w:tcPr>
                <w:p w14:paraId="299EACBE">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kern w:val="24"/>
                      <w:sz w:val="21"/>
                      <w:szCs w:val="21"/>
                    </w:rPr>
                    <w:t>/</w:t>
                  </w:r>
                </w:p>
              </w:tc>
            </w:tr>
            <w:tr w14:paraId="17FB300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3CE32006">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7050687C">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57C542E0">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45A35F85">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27944A7C">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染料的包装废料</w:t>
                  </w:r>
                </w:p>
              </w:tc>
              <w:tc>
                <w:tcPr>
                  <w:tcW w:w="1322" w:type="dxa"/>
                  <w:tcBorders>
                    <w:tl2br w:val="nil"/>
                    <w:tr2bl w:val="nil"/>
                  </w:tcBorders>
                  <w:shd w:val="clear" w:color="auto" w:fill="auto"/>
                  <w:vAlign w:val="center"/>
                </w:tcPr>
                <w:p w14:paraId="5F1E5E43">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0.022</w:t>
                  </w:r>
                </w:p>
              </w:tc>
              <w:tc>
                <w:tcPr>
                  <w:tcW w:w="1100" w:type="dxa"/>
                  <w:tcBorders>
                    <w:tl2br w:val="nil"/>
                    <w:tr2bl w:val="nil"/>
                  </w:tcBorders>
                  <w:shd w:val="clear" w:color="auto" w:fill="auto"/>
                  <w:vAlign w:val="center"/>
                </w:tcPr>
                <w:p w14:paraId="683CCBDD">
                  <w:pPr>
                    <w:jc w:val="center"/>
                    <w:rPr>
                      <w:rFonts w:hint="eastAsia" w:ascii="Times New Roman" w:hAnsi="Times New Roman" w:eastAsia="宋体" w:cs="Times New Roman"/>
                      <w:color w:val="auto"/>
                      <w:spacing w:val="15"/>
                      <w:kern w:val="0"/>
                      <w:sz w:val="21"/>
                      <w:szCs w:val="21"/>
                      <w:highlight w:val="none"/>
                      <w:lang w:val="en-US" w:eastAsia="zh-CN"/>
                    </w:rPr>
                  </w:pPr>
                  <w:r>
                    <w:rPr>
                      <w:rFonts w:hint="eastAsia" w:cs="Times New Roman"/>
                      <w:color w:val="auto"/>
                      <w:spacing w:val="15"/>
                      <w:kern w:val="0"/>
                      <w:sz w:val="21"/>
                      <w:szCs w:val="21"/>
                      <w:highlight w:val="none"/>
                      <w:lang w:val="en-US" w:eastAsia="zh-CN"/>
                    </w:rPr>
                    <w:t>/</w:t>
                  </w:r>
                </w:p>
              </w:tc>
              <w:tc>
                <w:tcPr>
                  <w:tcW w:w="1187" w:type="dxa"/>
                  <w:tcBorders>
                    <w:tl2br w:val="nil"/>
                    <w:tr2bl w:val="nil"/>
                  </w:tcBorders>
                  <w:vAlign w:val="center"/>
                </w:tcPr>
                <w:p w14:paraId="2B13218F">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kern w:val="24"/>
                      <w:sz w:val="21"/>
                      <w:szCs w:val="21"/>
                    </w:rPr>
                    <w:t>/</w:t>
                  </w:r>
                </w:p>
              </w:tc>
            </w:tr>
            <w:tr w14:paraId="4E009B9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1A6E8EE1">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1E6C1DC4">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34BE9B61">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0F5BB467">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4C2496EE">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烧碱的包装废料</w:t>
                  </w:r>
                </w:p>
              </w:tc>
              <w:tc>
                <w:tcPr>
                  <w:tcW w:w="1322" w:type="dxa"/>
                  <w:tcBorders>
                    <w:tl2br w:val="nil"/>
                    <w:tr2bl w:val="nil"/>
                  </w:tcBorders>
                  <w:shd w:val="clear" w:color="auto" w:fill="auto"/>
                  <w:vAlign w:val="center"/>
                </w:tcPr>
                <w:p w14:paraId="62D10C46">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0.066</w:t>
                  </w:r>
                </w:p>
              </w:tc>
              <w:tc>
                <w:tcPr>
                  <w:tcW w:w="1100" w:type="dxa"/>
                  <w:tcBorders>
                    <w:tl2br w:val="nil"/>
                    <w:tr2bl w:val="nil"/>
                  </w:tcBorders>
                  <w:shd w:val="clear" w:color="auto" w:fill="auto"/>
                  <w:vAlign w:val="center"/>
                </w:tcPr>
                <w:p w14:paraId="1FEE70E0">
                  <w:pPr>
                    <w:jc w:val="center"/>
                    <w:rPr>
                      <w:rFonts w:hint="eastAsia" w:ascii="Times New Roman" w:hAnsi="Times New Roman" w:eastAsia="宋体" w:cs="Times New Roman"/>
                      <w:color w:val="auto"/>
                      <w:spacing w:val="15"/>
                      <w:kern w:val="0"/>
                      <w:sz w:val="21"/>
                      <w:szCs w:val="21"/>
                      <w:highlight w:val="none"/>
                      <w:lang w:val="en-US" w:eastAsia="zh-CN"/>
                    </w:rPr>
                  </w:pPr>
                  <w:r>
                    <w:rPr>
                      <w:rFonts w:hint="eastAsia" w:cs="Times New Roman"/>
                      <w:color w:val="auto"/>
                      <w:spacing w:val="15"/>
                      <w:kern w:val="0"/>
                      <w:sz w:val="21"/>
                      <w:szCs w:val="21"/>
                      <w:highlight w:val="none"/>
                      <w:lang w:val="en-US" w:eastAsia="zh-CN"/>
                    </w:rPr>
                    <w:t>/</w:t>
                  </w:r>
                </w:p>
              </w:tc>
              <w:tc>
                <w:tcPr>
                  <w:tcW w:w="1187" w:type="dxa"/>
                  <w:tcBorders>
                    <w:tl2br w:val="nil"/>
                    <w:tr2bl w:val="nil"/>
                  </w:tcBorders>
                  <w:vAlign w:val="center"/>
                </w:tcPr>
                <w:p w14:paraId="08D0D178">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kern w:val="24"/>
                      <w:sz w:val="21"/>
                      <w:szCs w:val="21"/>
                    </w:rPr>
                    <w:t>/</w:t>
                  </w:r>
                </w:p>
              </w:tc>
            </w:tr>
            <w:tr w14:paraId="7C7AD88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085EF0FE">
                  <w:pPr>
                    <w:adjustRightInd w:val="0"/>
                    <w:snapToGrid w:val="0"/>
                    <w:jc w:val="center"/>
                    <w:rPr>
                      <w:rFonts w:hint="default" w:ascii="Times New Roman" w:hAnsi="Times New Roman" w:eastAsia="宋体" w:cs="Times New Roman"/>
                      <w:color w:val="auto"/>
                      <w:sz w:val="21"/>
                      <w:szCs w:val="21"/>
                    </w:rPr>
                  </w:pPr>
                </w:p>
              </w:tc>
              <w:tc>
                <w:tcPr>
                  <w:tcW w:w="1425" w:type="dxa"/>
                  <w:vMerge w:val="restart"/>
                  <w:tcBorders>
                    <w:tl2br w:val="nil"/>
                    <w:tr2bl w:val="nil"/>
                  </w:tcBorders>
                  <w:vAlign w:val="center"/>
                </w:tcPr>
                <w:p w14:paraId="3D4FE5AA">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废气治理</w:t>
                  </w:r>
                </w:p>
              </w:tc>
              <w:tc>
                <w:tcPr>
                  <w:tcW w:w="1155" w:type="dxa"/>
                  <w:vMerge w:val="continue"/>
                  <w:tcBorders>
                    <w:tl2br w:val="nil"/>
                    <w:tr2bl w:val="nil"/>
                  </w:tcBorders>
                  <w:vAlign w:val="center"/>
                </w:tcPr>
                <w:p w14:paraId="3D2A76BC">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2119EB2E">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7A60183A">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各类酸液的包装废料</w:t>
                  </w:r>
                </w:p>
              </w:tc>
              <w:tc>
                <w:tcPr>
                  <w:tcW w:w="1322" w:type="dxa"/>
                  <w:tcBorders>
                    <w:tl2br w:val="nil"/>
                    <w:tr2bl w:val="nil"/>
                  </w:tcBorders>
                  <w:shd w:val="clear" w:color="auto" w:fill="auto"/>
                  <w:vAlign w:val="center"/>
                </w:tcPr>
                <w:p w14:paraId="18C87B6C">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1.1</w:t>
                  </w:r>
                </w:p>
              </w:tc>
              <w:tc>
                <w:tcPr>
                  <w:tcW w:w="1100" w:type="dxa"/>
                  <w:tcBorders>
                    <w:tl2br w:val="nil"/>
                    <w:tr2bl w:val="nil"/>
                  </w:tcBorders>
                  <w:shd w:val="clear" w:color="auto" w:fill="auto"/>
                  <w:vAlign w:val="center"/>
                </w:tcPr>
                <w:p w14:paraId="019C69D8">
                  <w:pPr>
                    <w:jc w:val="center"/>
                    <w:rPr>
                      <w:rFonts w:hint="eastAsia" w:ascii="Times New Roman" w:hAnsi="Times New Roman" w:eastAsia="宋体" w:cs="Times New Roman"/>
                      <w:color w:val="auto"/>
                      <w:spacing w:val="15"/>
                      <w:kern w:val="0"/>
                      <w:sz w:val="21"/>
                      <w:szCs w:val="21"/>
                      <w:highlight w:val="none"/>
                      <w:lang w:val="en-US" w:eastAsia="zh-CN"/>
                    </w:rPr>
                  </w:pPr>
                  <w:r>
                    <w:rPr>
                      <w:rFonts w:hint="eastAsia" w:cs="Times New Roman"/>
                      <w:color w:val="auto"/>
                      <w:spacing w:val="15"/>
                      <w:kern w:val="0"/>
                      <w:sz w:val="21"/>
                      <w:szCs w:val="21"/>
                      <w:highlight w:val="none"/>
                      <w:lang w:val="en-US" w:eastAsia="zh-CN"/>
                    </w:rPr>
                    <w:t>/</w:t>
                  </w:r>
                </w:p>
              </w:tc>
              <w:tc>
                <w:tcPr>
                  <w:tcW w:w="1187" w:type="dxa"/>
                  <w:tcBorders>
                    <w:tl2br w:val="nil"/>
                    <w:tr2bl w:val="nil"/>
                  </w:tcBorders>
                  <w:vAlign w:val="center"/>
                </w:tcPr>
                <w:p w14:paraId="5E3398D4">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kern w:val="24"/>
                      <w:sz w:val="21"/>
                      <w:szCs w:val="21"/>
                    </w:rPr>
                    <w:t>/</w:t>
                  </w:r>
                </w:p>
              </w:tc>
            </w:tr>
            <w:tr w14:paraId="1D37D82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0FD09E63">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5159076B">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5F7E6A56">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0FC2569D">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2D8171B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废乳化液</w:t>
                  </w:r>
                </w:p>
              </w:tc>
              <w:tc>
                <w:tcPr>
                  <w:tcW w:w="1322" w:type="dxa"/>
                  <w:tcBorders>
                    <w:tl2br w:val="nil"/>
                    <w:tr2bl w:val="nil"/>
                  </w:tcBorders>
                  <w:shd w:val="clear" w:color="auto" w:fill="auto"/>
                  <w:vAlign w:val="center"/>
                </w:tcPr>
                <w:p w14:paraId="6C2A3EA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100" w:type="dxa"/>
                  <w:tcBorders>
                    <w:tl2br w:val="nil"/>
                    <w:tr2bl w:val="nil"/>
                  </w:tcBorders>
                  <w:shd w:val="clear" w:color="auto" w:fill="auto"/>
                  <w:vAlign w:val="center"/>
                </w:tcPr>
                <w:p w14:paraId="02901705">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187" w:type="dxa"/>
                  <w:tcBorders>
                    <w:tl2br w:val="nil"/>
                    <w:tr2bl w:val="nil"/>
                  </w:tcBorders>
                  <w:vAlign w:val="center"/>
                </w:tcPr>
                <w:p w14:paraId="2BB36BB5">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sz w:val="21"/>
                      <w:szCs w:val="21"/>
                    </w:rPr>
                    <w:t>/</w:t>
                  </w:r>
                </w:p>
              </w:tc>
            </w:tr>
            <w:tr w14:paraId="77670B3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026BD1AC">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7D5758DF">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1AF9555B">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6A4C55A7">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0D7EE07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废活性炭</w:t>
                  </w:r>
                </w:p>
              </w:tc>
              <w:tc>
                <w:tcPr>
                  <w:tcW w:w="1322" w:type="dxa"/>
                  <w:tcBorders>
                    <w:tl2br w:val="nil"/>
                    <w:tr2bl w:val="nil"/>
                  </w:tcBorders>
                  <w:shd w:val="clear" w:color="auto" w:fill="auto"/>
                  <w:vAlign w:val="center"/>
                </w:tcPr>
                <w:p w14:paraId="54CE4AC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p>
              </w:tc>
              <w:tc>
                <w:tcPr>
                  <w:tcW w:w="1100" w:type="dxa"/>
                  <w:tcBorders>
                    <w:tl2br w:val="nil"/>
                    <w:tr2bl w:val="nil"/>
                  </w:tcBorders>
                  <w:shd w:val="clear" w:color="auto" w:fill="auto"/>
                  <w:vAlign w:val="center"/>
                </w:tcPr>
                <w:p w14:paraId="3FA8CF61">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187" w:type="dxa"/>
                  <w:tcBorders>
                    <w:tl2br w:val="nil"/>
                    <w:tr2bl w:val="nil"/>
                  </w:tcBorders>
                  <w:vAlign w:val="center"/>
                </w:tcPr>
                <w:p w14:paraId="0917F6E3">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sz w:val="21"/>
                      <w:szCs w:val="21"/>
                    </w:rPr>
                    <w:t>/</w:t>
                  </w:r>
                </w:p>
              </w:tc>
            </w:tr>
            <w:tr w14:paraId="02DE984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472682B7">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2B718DCF">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3E5A042F">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1E5F4B94">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48E331B3">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碱液喷淋塔沉渣</w:t>
                  </w:r>
                </w:p>
              </w:tc>
              <w:tc>
                <w:tcPr>
                  <w:tcW w:w="1322" w:type="dxa"/>
                  <w:tcBorders>
                    <w:tl2br w:val="nil"/>
                    <w:tr2bl w:val="nil"/>
                  </w:tcBorders>
                  <w:shd w:val="clear" w:color="auto" w:fill="auto"/>
                  <w:vAlign w:val="center"/>
                </w:tcPr>
                <w:p w14:paraId="614F041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0.5</w:t>
                  </w:r>
                </w:p>
              </w:tc>
              <w:tc>
                <w:tcPr>
                  <w:tcW w:w="1100" w:type="dxa"/>
                  <w:tcBorders>
                    <w:tl2br w:val="nil"/>
                    <w:tr2bl w:val="nil"/>
                  </w:tcBorders>
                  <w:shd w:val="clear" w:color="auto" w:fill="auto"/>
                  <w:vAlign w:val="center"/>
                </w:tcPr>
                <w:p w14:paraId="40E69499">
                  <w:pPr>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187" w:type="dxa"/>
                  <w:tcBorders>
                    <w:tl2br w:val="nil"/>
                    <w:tr2bl w:val="nil"/>
                  </w:tcBorders>
                  <w:vAlign w:val="center"/>
                </w:tcPr>
                <w:p w14:paraId="2F5C4C0F">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sz w:val="21"/>
                      <w:szCs w:val="21"/>
                    </w:rPr>
                    <w:t>/</w:t>
                  </w:r>
                </w:p>
              </w:tc>
            </w:tr>
            <w:tr w14:paraId="63B0436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30853B9B">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024C724C">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49C96E94">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4FA3FA9C">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60D2112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废染料</w:t>
                  </w:r>
                </w:p>
              </w:tc>
              <w:tc>
                <w:tcPr>
                  <w:tcW w:w="1322" w:type="dxa"/>
                  <w:tcBorders>
                    <w:tl2br w:val="nil"/>
                    <w:tr2bl w:val="nil"/>
                  </w:tcBorders>
                  <w:shd w:val="clear" w:color="auto" w:fill="auto"/>
                  <w:vAlign w:val="center"/>
                </w:tcPr>
                <w:p w14:paraId="07C7BBF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80</w:t>
                  </w:r>
                </w:p>
              </w:tc>
              <w:tc>
                <w:tcPr>
                  <w:tcW w:w="1100" w:type="dxa"/>
                  <w:tcBorders>
                    <w:tl2br w:val="nil"/>
                    <w:tr2bl w:val="nil"/>
                  </w:tcBorders>
                  <w:shd w:val="clear" w:color="auto" w:fill="auto"/>
                  <w:vAlign w:val="center"/>
                </w:tcPr>
                <w:p w14:paraId="5B888E45">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187" w:type="dxa"/>
                  <w:tcBorders>
                    <w:tl2br w:val="nil"/>
                    <w:tr2bl w:val="nil"/>
                  </w:tcBorders>
                  <w:vAlign w:val="center"/>
                </w:tcPr>
                <w:p w14:paraId="14823ECF">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sz w:val="21"/>
                      <w:szCs w:val="21"/>
                    </w:rPr>
                    <w:t>/</w:t>
                  </w:r>
                </w:p>
              </w:tc>
            </w:tr>
            <w:tr w14:paraId="3853FE7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7C165C5E">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00E28AD2">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0DF459C2">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7224152E">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6D4D89C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废脱模剂</w:t>
                  </w:r>
                </w:p>
              </w:tc>
              <w:tc>
                <w:tcPr>
                  <w:tcW w:w="1322" w:type="dxa"/>
                  <w:tcBorders>
                    <w:tl2br w:val="nil"/>
                    <w:tr2bl w:val="nil"/>
                  </w:tcBorders>
                  <w:shd w:val="clear" w:color="auto" w:fill="auto"/>
                  <w:vAlign w:val="center"/>
                </w:tcPr>
                <w:p w14:paraId="0E5510DB">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w:t>
                  </w:r>
                </w:p>
              </w:tc>
              <w:tc>
                <w:tcPr>
                  <w:tcW w:w="1100" w:type="dxa"/>
                  <w:tcBorders>
                    <w:tl2br w:val="nil"/>
                    <w:tr2bl w:val="nil"/>
                  </w:tcBorders>
                  <w:shd w:val="clear" w:color="auto" w:fill="auto"/>
                  <w:vAlign w:val="center"/>
                </w:tcPr>
                <w:p w14:paraId="4428670A">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187" w:type="dxa"/>
                  <w:tcBorders>
                    <w:tl2br w:val="nil"/>
                    <w:tr2bl w:val="nil"/>
                  </w:tcBorders>
                  <w:vAlign w:val="center"/>
                </w:tcPr>
                <w:p w14:paraId="70744A51">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sz w:val="21"/>
                      <w:szCs w:val="21"/>
                    </w:rPr>
                    <w:t>/</w:t>
                  </w:r>
                </w:p>
              </w:tc>
            </w:tr>
            <w:tr w14:paraId="0031F34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386A3B74">
                  <w:pPr>
                    <w:adjustRightInd w:val="0"/>
                    <w:snapToGrid w:val="0"/>
                    <w:jc w:val="center"/>
                    <w:rPr>
                      <w:rFonts w:hint="default" w:ascii="Times New Roman" w:hAnsi="Times New Roman" w:eastAsia="宋体" w:cs="Times New Roman"/>
                      <w:color w:val="auto"/>
                      <w:sz w:val="21"/>
                      <w:szCs w:val="21"/>
                    </w:rPr>
                  </w:pPr>
                </w:p>
              </w:tc>
              <w:tc>
                <w:tcPr>
                  <w:tcW w:w="1425" w:type="dxa"/>
                  <w:vMerge w:val="continue"/>
                  <w:tcBorders>
                    <w:tl2br w:val="nil"/>
                    <w:tr2bl w:val="nil"/>
                  </w:tcBorders>
                  <w:vAlign w:val="center"/>
                </w:tcPr>
                <w:p w14:paraId="7538200F">
                  <w:pPr>
                    <w:adjustRightInd w:val="0"/>
                    <w:snapToGrid w:val="0"/>
                    <w:jc w:val="center"/>
                    <w:rPr>
                      <w:rFonts w:hint="default" w:ascii="Times New Roman" w:hAnsi="Times New Roman" w:eastAsia="宋体" w:cs="Times New Roman"/>
                      <w:color w:val="auto"/>
                      <w:sz w:val="21"/>
                      <w:szCs w:val="21"/>
                    </w:rPr>
                  </w:pPr>
                </w:p>
              </w:tc>
              <w:tc>
                <w:tcPr>
                  <w:tcW w:w="1155" w:type="dxa"/>
                  <w:vMerge w:val="continue"/>
                  <w:tcBorders>
                    <w:tl2br w:val="nil"/>
                    <w:tr2bl w:val="nil"/>
                  </w:tcBorders>
                  <w:vAlign w:val="center"/>
                </w:tcPr>
                <w:p w14:paraId="1CECC8FF">
                  <w:pPr>
                    <w:adjustRightInd w:val="0"/>
                    <w:snapToGrid w:val="0"/>
                    <w:jc w:val="center"/>
                    <w:rPr>
                      <w:rFonts w:hint="default" w:ascii="Times New Roman" w:hAnsi="Times New Roman" w:eastAsia="宋体" w:cs="Times New Roman"/>
                      <w:color w:val="auto"/>
                      <w:sz w:val="21"/>
                      <w:szCs w:val="21"/>
                    </w:rPr>
                  </w:pPr>
                </w:p>
              </w:tc>
              <w:tc>
                <w:tcPr>
                  <w:tcW w:w="555" w:type="dxa"/>
                  <w:vMerge w:val="continue"/>
                  <w:tcBorders>
                    <w:tl2br w:val="nil"/>
                    <w:tr2bl w:val="nil"/>
                  </w:tcBorders>
                  <w:vAlign w:val="center"/>
                </w:tcPr>
                <w:p w14:paraId="0BD59567">
                  <w:pPr>
                    <w:adjustRightInd w:val="0"/>
                    <w:snapToGrid w:val="0"/>
                    <w:jc w:val="center"/>
                    <w:rPr>
                      <w:rFonts w:hint="default" w:ascii="Times New Roman" w:hAnsi="Times New Roman" w:eastAsia="宋体" w:cs="Times New Roman"/>
                      <w:color w:val="auto"/>
                      <w:sz w:val="21"/>
                      <w:szCs w:val="21"/>
                    </w:rPr>
                  </w:pPr>
                </w:p>
              </w:tc>
              <w:tc>
                <w:tcPr>
                  <w:tcW w:w="2105" w:type="dxa"/>
                  <w:tcBorders>
                    <w:tl2br w:val="nil"/>
                    <w:tr2bl w:val="nil"/>
                  </w:tcBorders>
                  <w:shd w:val="clear" w:color="auto" w:fill="auto"/>
                  <w:vAlign w:val="center"/>
                </w:tcPr>
                <w:p w14:paraId="1C55BBB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废机油</w:t>
                  </w:r>
                </w:p>
              </w:tc>
              <w:tc>
                <w:tcPr>
                  <w:tcW w:w="1322" w:type="dxa"/>
                  <w:tcBorders>
                    <w:tl2br w:val="nil"/>
                    <w:tr2bl w:val="nil"/>
                  </w:tcBorders>
                  <w:shd w:val="clear" w:color="auto" w:fill="auto"/>
                  <w:vAlign w:val="center"/>
                </w:tcPr>
                <w:p w14:paraId="2710A8F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w:t>
                  </w:r>
                </w:p>
              </w:tc>
              <w:tc>
                <w:tcPr>
                  <w:tcW w:w="1100" w:type="dxa"/>
                  <w:tcBorders>
                    <w:tl2br w:val="nil"/>
                    <w:tr2bl w:val="nil"/>
                  </w:tcBorders>
                  <w:shd w:val="clear" w:color="auto" w:fill="auto"/>
                  <w:vAlign w:val="center"/>
                </w:tcPr>
                <w:p w14:paraId="4BC48860">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187" w:type="dxa"/>
                  <w:tcBorders>
                    <w:tl2br w:val="nil"/>
                    <w:tr2bl w:val="nil"/>
                  </w:tcBorders>
                  <w:vAlign w:val="center"/>
                </w:tcPr>
                <w:p w14:paraId="69498266">
                  <w:pPr>
                    <w:topLinePunct/>
                    <w:autoSpaceDE w:val="0"/>
                    <w:autoSpaceDN w:val="0"/>
                    <w:adjustRightInd w:val="0"/>
                    <w:snapToGrid w:val="0"/>
                    <w:jc w:val="center"/>
                    <w:textAlignment w:val="baseline"/>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r>
            <w:tr w14:paraId="5BD4A70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bottom w:val="single" w:color="000000" w:sz="6" w:space="0"/>
                    <w:tl2br w:val="nil"/>
                    <w:tr2bl w:val="nil"/>
                  </w:tcBorders>
                  <w:vAlign w:val="center"/>
                </w:tcPr>
                <w:p w14:paraId="64549C7B">
                  <w:pPr>
                    <w:adjustRightInd w:val="0"/>
                    <w:snapToGrid w:val="0"/>
                    <w:jc w:val="center"/>
                    <w:rPr>
                      <w:rFonts w:hint="default" w:ascii="Times New Roman" w:hAnsi="Times New Roman" w:eastAsia="宋体" w:cs="Times New Roman"/>
                      <w:color w:val="auto"/>
                      <w:sz w:val="21"/>
                      <w:szCs w:val="21"/>
                    </w:rPr>
                  </w:pPr>
                </w:p>
              </w:tc>
              <w:tc>
                <w:tcPr>
                  <w:tcW w:w="1425" w:type="dxa"/>
                  <w:tcBorders>
                    <w:bottom w:val="single" w:color="000000" w:sz="6" w:space="0"/>
                    <w:tl2br w:val="nil"/>
                    <w:tr2bl w:val="nil"/>
                  </w:tcBorders>
                  <w:vAlign w:val="center"/>
                </w:tcPr>
                <w:p w14:paraId="15AEFFA7">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员工生活</w:t>
                  </w:r>
                </w:p>
              </w:tc>
              <w:tc>
                <w:tcPr>
                  <w:tcW w:w="1155" w:type="dxa"/>
                  <w:tcBorders>
                    <w:bottom w:val="single" w:color="000000" w:sz="6" w:space="0"/>
                    <w:tl2br w:val="nil"/>
                    <w:tr2bl w:val="nil"/>
                  </w:tcBorders>
                  <w:vAlign w:val="center"/>
                </w:tcPr>
                <w:p w14:paraId="7592762B">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660" w:type="dxa"/>
                  <w:gridSpan w:val="2"/>
                  <w:tcBorders>
                    <w:bottom w:val="single" w:color="000000" w:sz="6" w:space="0"/>
                    <w:tl2br w:val="nil"/>
                    <w:tr2bl w:val="nil"/>
                  </w:tcBorders>
                  <w:vAlign w:val="center"/>
                </w:tcPr>
                <w:p w14:paraId="0ECC3AEC">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生活垃圾</w:t>
                  </w:r>
                </w:p>
              </w:tc>
              <w:tc>
                <w:tcPr>
                  <w:tcW w:w="1322" w:type="dxa"/>
                  <w:tcBorders>
                    <w:bottom w:val="single" w:color="000000" w:sz="6" w:space="0"/>
                    <w:tl2br w:val="nil"/>
                    <w:tr2bl w:val="nil"/>
                  </w:tcBorders>
                  <w:vAlign w:val="center"/>
                </w:tcPr>
                <w:p w14:paraId="49DD990C">
                  <w:pPr>
                    <w:topLinePunct/>
                    <w:autoSpaceDE w:val="0"/>
                    <w:autoSpaceDN w:val="0"/>
                    <w:adjustRightInd w:val="0"/>
                    <w:snapToGrid w:val="0"/>
                    <w:jc w:val="center"/>
                    <w:textAlignment w:val="baseline"/>
                    <w:rPr>
                      <w:rFonts w:hint="default" w:ascii="Times New Roman" w:hAnsi="Times New Roman" w:eastAsia="宋体" w:cs="Times New Roman"/>
                      <w:color w:val="auto"/>
                      <w:kern w:val="24"/>
                      <w:sz w:val="21"/>
                      <w:szCs w:val="21"/>
                    </w:rPr>
                  </w:pPr>
                  <w:r>
                    <w:rPr>
                      <w:rFonts w:hint="default" w:ascii="Times New Roman" w:hAnsi="Times New Roman" w:eastAsia="宋体" w:cs="Times New Roman"/>
                      <w:color w:val="auto"/>
                      <w:kern w:val="24"/>
                      <w:sz w:val="21"/>
                      <w:szCs w:val="21"/>
                    </w:rPr>
                    <w:t>288</w:t>
                  </w:r>
                </w:p>
              </w:tc>
              <w:tc>
                <w:tcPr>
                  <w:tcW w:w="1100" w:type="dxa"/>
                  <w:tcBorders>
                    <w:bottom w:val="single" w:color="000000" w:sz="6" w:space="0"/>
                    <w:tl2br w:val="nil"/>
                    <w:tr2bl w:val="nil"/>
                  </w:tcBorders>
                  <w:vAlign w:val="center"/>
                </w:tcPr>
                <w:p w14:paraId="0342B654">
                  <w:pPr>
                    <w:topLinePunct/>
                    <w:autoSpaceDE w:val="0"/>
                    <w:autoSpaceDN w:val="0"/>
                    <w:adjustRightInd w:val="0"/>
                    <w:snapToGrid w:val="0"/>
                    <w:jc w:val="center"/>
                    <w:textAlignment w:val="baseline"/>
                    <w:rPr>
                      <w:rFonts w:hint="eastAsia" w:ascii="Times New Roman" w:hAnsi="Times New Roman" w:eastAsia="宋体" w:cs="Times New Roman"/>
                      <w:color w:val="auto"/>
                      <w:kern w:val="24"/>
                      <w:sz w:val="21"/>
                      <w:szCs w:val="21"/>
                      <w:lang w:val="en-US" w:eastAsia="zh-CN"/>
                    </w:rPr>
                  </w:pPr>
                  <w:r>
                    <w:rPr>
                      <w:rFonts w:hint="eastAsia" w:cs="Times New Roman"/>
                      <w:color w:val="auto"/>
                      <w:kern w:val="24"/>
                      <w:sz w:val="21"/>
                      <w:szCs w:val="21"/>
                      <w:lang w:val="en-US" w:eastAsia="zh-CN"/>
                    </w:rPr>
                    <w:t>/</w:t>
                  </w:r>
                </w:p>
              </w:tc>
              <w:tc>
                <w:tcPr>
                  <w:tcW w:w="1187" w:type="dxa"/>
                  <w:tcBorders>
                    <w:bottom w:val="single" w:color="000000" w:sz="6" w:space="0"/>
                    <w:tl2br w:val="nil"/>
                    <w:tr2bl w:val="nil"/>
                  </w:tcBorders>
                  <w:vAlign w:val="center"/>
                </w:tcPr>
                <w:p w14:paraId="55453A26">
                  <w:pPr>
                    <w:pStyle w:val="162"/>
                    <w:ind w:left="-105" w:leftChars="-50" w:right="-105" w:rightChars="-50"/>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rPr>
                    <w:t>/</w:t>
                  </w:r>
                </w:p>
              </w:tc>
            </w:tr>
            <w:tr w14:paraId="580CDFF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75" w:type="dxa"/>
                  <w:gridSpan w:val="8"/>
                  <w:tcBorders>
                    <w:top w:val="single" w:color="000000" w:sz="6" w:space="0"/>
                    <w:tl2br w:val="nil"/>
                    <w:tr2bl w:val="nil"/>
                  </w:tcBorders>
                  <w:vAlign w:val="center"/>
                </w:tcPr>
                <w:p w14:paraId="0E82DECA">
                  <w:pPr>
                    <w:pStyle w:val="162"/>
                    <w:ind w:left="-105" w:leftChars="-50" w:right="-105" w:rightChars="-50"/>
                    <w:jc w:val="left"/>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备注：</w:t>
                  </w:r>
                  <w:r>
                    <w:rPr>
                      <w:rFonts w:hint="default" w:ascii="Times New Roman" w:hAnsi="Times New Roman" w:eastAsia="宋体" w:cs="Times New Roman"/>
                      <w:bCs/>
                      <w:color w:val="auto"/>
                      <w:sz w:val="21"/>
                      <w:szCs w:val="21"/>
                    </w:rPr>
                    <w:t>固体废物为产生量。</w:t>
                  </w:r>
                </w:p>
              </w:tc>
            </w:tr>
          </w:tbl>
          <w:p w14:paraId="03BF612C">
            <w:pPr>
              <w:spacing w:line="360" w:lineRule="auto"/>
              <w:ind w:firstLine="482" w:firstLineChars="200"/>
              <w:rPr>
                <w:b/>
                <w:bCs/>
                <w:color w:val="auto"/>
                <w:sz w:val="24"/>
              </w:rPr>
            </w:pPr>
            <w:r>
              <w:rPr>
                <w:rFonts w:hint="eastAsia"/>
                <w:b/>
                <w:bCs/>
                <w:color w:val="auto"/>
                <w:sz w:val="24"/>
              </w:rPr>
              <w:t>（四）现有</w:t>
            </w:r>
            <w:r>
              <w:rPr>
                <w:b/>
                <w:bCs/>
                <w:color w:val="auto"/>
                <w:sz w:val="24"/>
              </w:rPr>
              <w:t>项目环保措施运行情况</w:t>
            </w:r>
          </w:p>
          <w:p w14:paraId="5FFF8E87">
            <w:pPr>
              <w:spacing w:line="360" w:lineRule="auto"/>
              <w:ind w:firstLine="480" w:firstLineChars="200"/>
              <w:rPr>
                <w:color w:val="auto"/>
                <w:spacing w:val="-2"/>
                <w:sz w:val="24"/>
              </w:rPr>
            </w:pPr>
            <w:r>
              <w:rPr>
                <w:rFonts w:hAnsi="宋体"/>
                <w:bCs/>
                <w:color w:val="auto"/>
                <w:sz w:val="24"/>
              </w:rPr>
              <w:t>根据</w:t>
            </w:r>
            <w:r>
              <w:rPr>
                <w:rFonts w:hint="eastAsia" w:hAnsi="宋体"/>
                <w:bCs/>
                <w:color w:val="auto"/>
                <w:sz w:val="24"/>
              </w:rPr>
              <w:t>现有</w:t>
            </w:r>
            <w:r>
              <w:rPr>
                <w:rFonts w:hAnsi="宋体"/>
                <w:bCs/>
                <w:color w:val="auto"/>
                <w:sz w:val="24"/>
              </w:rPr>
              <w:t>环评报告</w:t>
            </w:r>
            <w:r>
              <w:rPr>
                <w:rFonts w:hint="eastAsia" w:hAnsi="宋体"/>
                <w:bCs/>
                <w:color w:val="auto"/>
                <w:sz w:val="24"/>
              </w:rPr>
              <w:t>及</w:t>
            </w:r>
            <w:r>
              <w:rPr>
                <w:rFonts w:hAnsi="宋体"/>
                <w:bCs/>
                <w:color w:val="auto"/>
                <w:sz w:val="24"/>
              </w:rPr>
              <w:t>环评批复的内容，</w:t>
            </w:r>
            <w:r>
              <w:rPr>
                <w:rFonts w:hint="eastAsia" w:hAnsi="宋体"/>
                <w:bCs/>
                <w:color w:val="auto"/>
                <w:sz w:val="24"/>
              </w:rPr>
              <w:t>现有</w:t>
            </w:r>
            <w:r>
              <w:rPr>
                <w:rFonts w:hAnsi="宋体"/>
                <w:bCs/>
                <w:color w:val="auto"/>
                <w:sz w:val="24"/>
              </w:rPr>
              <w:t>项目产品产量、原辅材料用量均与环评报告及环评批复相符</w:t>
            </w:r>
            <w:r>
              <w:rPr>
                <w:rFonts w:hint="eastAsia" w:hAnsi="宋体"/>
                <w:bCs/>
                <w:color w:val="auto"/>
                <w:sz w:val="24"/>
              </w:rPr>
              <w:t>。</w:t>
            </w:r>
            <w:r>
              <w:rPr>
                <w:rFonts w:hint="eastAsia"/>
                <w:color w:val="auto"/>
                <w:sz w:val="24"/>
              </w:rPr>
              <w:t>现有</w:t>
            </w:r>
            <w:r>
              <w:rPr>
                <w:bCs/>
                <w:color w:val="auto"/>
                <w:sz w:val="24"/>
              </w:rPr>
              <w:t>项目严格执行环境影响评价“三同时”制度，</w:t>
            </w:r>
            <w:r>
              <w:rPr>
                <w:color w:val="auto"/>
                <w:spacing w:val="-2"/>
                <w:sz w:val="24"/>
              </w:rPr>
              <w:t>项目按照原</w:t>
            </w:r>
            <w:r>
              <w:rPr>
                <w:rFonts w:hint="eastAsia"/>
                <w:color w:val="auto"/>
                <w:spacing w:val="-2"/>
                <w:sz w:val="24"/>
              </w:rPr>
              <w:t>审批</w:t>
            </w:r>
            <w:r>
              <w:rPr>
                <w:color w:val="auto"/>
                <w:spacing w:val="-2"/>
                <w:sz w:val="24"/>
              </w:rPr>
              <w:t>的环保要求落实生产规模及环保措施，</w:t>
            </w:r>
            <w:r>
              <w:rPr>
                <w:rFonts w:hint="eastAsia"/>
                <w:bCs/>
                <w:color w:val="auto"/>
                <w:sz w:val="24"/>
              </w:rPr>
              <w:t>现有</w:t>
            </w:r>
            <w:r>
              <w:rPr>
                <w:color w:val="auto"/>
                <w:sz w:val="24"/>
              </w:rPr>
              <w:t>项目</w:t>
            </w:r>
            <w:r>
              <w:rPr>
                <w:rFonts w:hint="eastAsia"/>
                <w:color w:val="auto"/>
                <w:sz w:val="24"/>
              </w:rPr>
              <w:t>现正常运行中</w:t>
            </w:r>
            <w:r>
              <w:rPr>
                <w:color w:val="auto"/>
                <w:sz w:val="24"/>
              </w:rPr>
              <w:t>。</w:t>
            </w:r>
          </w:p>
          <w:p w14:paraId="6A0BBE10">
            <w:pPr>
              <w:spacing w:line="360" w:lineRule="auto"/>
              <w:ind w:firstLine="474" w:firstLineChars="200"/>
              <w:rPr>
                <w:b/>
                <w:color w:val="auto"/>
                <w:spacing w:val="-2"/>
                <w:sz w:val="24"/>
              </w:rPr>
            </w:pPr>
            <w:r>
              <w:rPr>
                <w:rFonts w:hint="eastAsia"/>
                <w:b/>
                <w:color w:val="auto"/>
                <w:spacing w:val="-2"/>
                <w:sz w:val="24"/>
              </w:rPr>
              <w:t>（五）</w:t>
            </w:r>
            <w:r>
              <w:rPr>
                <w:b/>
                <w:color w:val="auto"/>
                <w:spacing w:val="-2"/>
                <w:sz w:val="24"/>
              </w:rPr>
              <w:t>总量控制情况</w:t>
            </w:r>
          </w:p>
          <w:p w14:paraId="5F8750AA">
            <w:pPr>
              <w:pStyle w:val="156"/>
              <w:ind w:firstLine="476"/>
              <w:rPr>
                <w:rFonts w:hint="eastAsia"/>
                <w:b/>
                <w:color w:val="auto"/>
                <w:szCs w:val="24"/>
              </w:rPr>
            </w:pPr>
            <w:r>
              <w:rPr>
                <w:rFonts w:hint="eastAsia"/>
                <w:color w:val="auto"/>
                <w:spacing w:val="-2"/>
                <w:szCs w:val="24"/>
              </w:rPr>
              <w:t>现有</w:t>
            </w:r>
            <w:r>
              <w:rPr>
                <w:color w:val="auto"/>
                <w:spacing w:val="-2"/>
                <w:szCs w:val="24"/>
              </w:rPr>
              <w:t>项目</w:t>
            </w:r>
            <w:r>
              <w:rPr>
                <w:rFonts w:hint="eastAsia"/>
                <w:color w:val="auto"/>
                <w:spacing w:val="-2"/>
                <w:szCs w:val="24"/>
                <w:lang w:val="en-US" w:eastAsia="zh-CN"/>
              </w:rPr>
              <w:t>排污许可证无需进行总量控制指标，根据现有项目的污染物检测报告均可达标排放。</w:t>
            </w:r>
            <w:r>
              <w:rPr>
                <w:rFonts w:hint="eastAsia"/>
                <w:color w:val="auto"/>
                <w:spacing w:val="-2"/>
                <w:szCs w:val="24"/>
              </w:rPr>
              <w:t>因此现有项目实际运行过程的废气、废水排放总量符合环评审批要求。</w:t>
            </w:r>
          </w:p>
          <w:p w14:paraId="652E7654">
            <w:pPr>
              <w:pStyle w:val="156"/>
              <w:ind w:firstLine="478"/>
              <w:rPr>
                <w:rFonts w:hint="eastAsia"/>
                <w:b/>
                <w:color w:val="auto"/>
                <w:spacing w:val="-2"/>
                <w:szCs w:val="24"/>
              </w:rPr>
            </w:pPr>
            <w:r>
              <w:rPr>
                <w:rFonts w:hint="eastAsia"/>
                <w:b/>
                <w:color w:val="auto"/>
                <w:spacing w:val="-2"/>
                <w:szCs w:val="24"/>
              </w:rPr>
              <w:t>（六）现有</w:t>
            </w:r>
            <w:r>
              <w:rPr>
                <w:b/>
                <w:color w:val="auto"/>
                <w:spacing w:val="-2"/>
                <w:szCs w:val="24"/>
              </w:rPr>
              <w:t>项目存在问题</w:t>
            </w:r>
            <w:r>
              <w:rPr>
                <w:rFonts w:hint="eastAsia"/>
                <w:b/>
                <w:color w:val="auto"/>
                <w:spacing w:val="-2"/>
                <w:szCs w:val="24"/>
              </w:rPr>
              <w:t>及改进措施</w:t>
            </w:r>
          </w:p>
          <w:p w14:paraId="427E55EC">
            <w:pPr>
              <w:pStyle w:val="156"/>
              <w:ind w:firstLine="476"/>
              <w:rPr>
                <w:rFonts w:hint="eastAsia" w:hAnsi="宋体"/>
                <w:color w:val="auto"/>
                <w:spacing w:val="-2"/>
                <w:szCs w:val="24"/>
              </w:rPr>
            </w:pPr>
            <w:r>
              <w:rPr>
                <w:rFonts w:hint="eastAsia" w:hAnsi="宋体"/>
                <w:color w:val="auto"/>
                <w:spacing w:val="-2"/>
                <w:szCs w:val="24"/>
              </w:rPr>
              <w:t>现有项目按照环评批复、验收意见落实和维持三废治理，运营过程中所产生的废气、废水、噪声、固废等经处理后均能达到相应的标准要求，目前无需进行整改。</w:t>
            </w:r>
          </w:p>
          <w:p w14:paraId="3C21FAB3">
            <w:pPr>
              <w:pStyle w:val="156"/>
              <w:ind w:firstLine="476"/>
              <w:rPr>
                <w:color w:val="auto"/>
                <w:spacing w:val="-2"/>
                <w:szCs w:val="24"/>
              </w:rPr>
            </w:pPr>
            <w:r>
              <w:rPr>
                <w:rFonts w:hint="eastAsia" w:hAnsi="宋体"/>
                <w:color w:val="auto"/>
                <w:spacing w:val="-2"/>
                <w:szCs w:val="24"/>
              </w:rPr>
              <w:t>现有项目自运营以来，生态环境部门未收到关于项目环境问题扰民的投诉，未受过当地生态环境部门行政处罚。故现有项目不存在原有环境问题</w:t>
            </w:r>
            <w:r>
              <w:rPr>
                <w:color w:val="auto"/>
                <w:spacing w:val="-2"/>
                <w:szCs w:val="24"/>
              </w:rPr>
              <w:t>。</w:t>
            </w:r>
          </w:p>
          <w:p w14:paraId="0791D3E7">
            <w:pPr>
              <w:pStyle w:val="156"/>
              <w:ind w:firstLine="476"/>
              <w:rPr>
                <w:color w:val="auto"/>
                <w:spacing w:val="-2"/>
                <w:szCs w:val="24"/>
              </w:rPr>
            </w:pPr>
          </w:p>
          <w:p w14:paraId="3525D14F">
            <w:pPr>
              <w:pStyle w:val="156"/>
              <w:ind w:firstLine="476"/>
              <w:rPr>
                <w:color w:val="auto"/>
                <w:spacing w:val="-2"/>
                <w:szCs w:val="24"/>
              </w:rPr>
            </w:pPr>
          </w:p>
          <w:p w14:paraId="13956E95">
            <w:pPr>
              <w:pStyle w:val="156"/>
              <w:ind w:firstLine="476"/>
              <w:rPr>
                <w:color w:val="auto"/>
                <w:spacing w:val="-2"/>
                <w:szCs w:val="24"/>
              </w:rPr>
            </w:pPr>
          </w:p>
          <w:p w14:paraId="45B49078">
            <w:pPr>
              <w:pStyle w:val="156"/>
              <w:ind w:firstLine="476"/>
              <w:rPr>
                <w:color w:val="auto"/>
                <w:spacing w:val="-2"/>
                <w:szCs w:val="24"/>
              </w:rPr>
            </w:pPr>
          </w:p>
          <w:p w14:paraId="37E80AFC">
            <w:pPr>
              <w:pStyle w:val="156"/>
              <w:ind w:firstLine="476"/>
              <w:rPr>
                <w:color w:val="auto"/>
                <w:spacing w:val="-2"/>
                <w:szCs w:val="24"/>
              </w:rPr>
            </w:pPr>
          </w:p>
          <w:p w14:paraId="58430B7D">
            <w:pPr>
              <w:pStyle w:val="156"/>
              <w:ind w:firstLine="476"/>
              <w:rPr>
                <w:color w:val="auto"/>
                <w:spacing w:val="-2"/>
                <w:szCs w:val="24"/>
              </w:rPr>
            </w:pPr>
          </w:p>
          <w:p w14:paraId="21D0C7E7">
            <w:pPr>
              <w:pStyle w:val="156"/>
              <w:ind w:firstLine="476"/>
              <w:rPr>
                <w:color w:val="auto"/>
                <w:spacing w:val="-2"/>
                <w:szCs w:val="24"/>
              </w:rPr>
            </w:pPr>
          </w:p>
          <w:p w14:paraId="5917DD10">
            <w:pPr>
              <w:pStyle w:val="156"/>
              <w:ind w:firstLine="476"/>
              <w:rPr>
                <w:color w:val="auto"/>
                <w:spacing w:val="-2"/>
                <w:szCs w:val="24"/>
              </w:rPr>
            </w:pPr>
          </w:p>
          <w:p w14:paraId="0D73D4C3">
            <w:pPr>
              <w:pStyle w:val="156"/>
              <w:ind w:firstLine="476"/>
              <w:rPr>
                <w:color w:val="auto"/>
                <w:spacing w:val="-2"/>
                <w:szCs w:val="24"/>
              </w:rPr>
            </w:pPr>
          </w:p>
          <w:p w14:paraId="25F897A4">
            <w:pPr>
              <w:pStyle w:val="156"/>
              <w:ind w:firstLine="476"/>
              <w:rPr>
                <w:color w:val="auto"/>
                <w:spacing w:val="-2"/>
                <w:szCs w:val="24"/>
              </w:rPr>
            </w:pPr>
          </w:p>
        </w:tc>
      </w:tr>
    </w:tbl>
    <w:p w14:paraId="6EC2CBB4">
      <w:pPr>
        <w:pStyle w:val="36"/>
        <w:jc w:val="center"/>
        <w:rPr>
          <w:rFonts w:ascii="Times New Roman" w:hAnsi="Times New Roman" w:eastAsia="黑体"/>
          <w:snapToGrid w:val="0"/>
          <w:color w:val="auto"/>
          <w:sz w:val="36"/>
          <w:szCs w:val="36"/>
        </w:rPr>
        <w:sectPr>
          <w:pgSz w:w="11906" w:h="16838"/>
          <w:pgMar w:top="1418" w:right="1417" w:bottom="1418" w:left="1417" w:header="851" w:footer="851" w:gutter="0"/>
          <w:pgBorders>
            <w:top w:val="none" w:sz="0" w:space="0"/>
            <w:left w:val="none" w:sz="0" w:space="0"/>
            <w:bottom w:val="none" w:sz="0" w:space="0"/>
            <w:right w:val="none" w:sz="0" w:space="0"/>
          </w:pgBorders>
          <w:cols w:space="720" w:num="1"/>
          <w:docGrid w:linePitch="312" w:charSpace="0"/>
        </w:sectPr>
      </w:pPr>
    </w:p>
    <w:p w14:paraId="420DB61F">
      <w:pPr>
        <w:pStyle w:val="36"/>
        <w:adjustRightInd w:val="0"/>
        <w:snapToGrid w:val="0"/>
        <w:spacing w:before="0" w:beforeAutospacing="0" w:after="0" w:afterAutospacing="0" w:line="14" w:lineRule="auto"/>
        <w:jc w:val="center"/>
        <w:outlineLvl w:val="0"/>
        <w:rPr>
          <w:rFonts w:ascii="Times New Roman" w:hAnsi="Times New Roman" w:eastAsia="黑体"/>
          <w:snapToGrid w:val="0"/>
          <w:color w:val="auto"/>
          <w:sz w:val="30"/>
          <w:szCs w:val="30"/>
        </w:rPr>
      </w:pPr>
    </w:p>
    <w:p w14:paraId="2310954F">
      <w:pPr>
        <w:pStyle w:val="36"/>
        <w:jc w:val="center"/>
        <w:outlineLvl w:val="0"/>
        <w:rPr>
          <w:rFonts w:ascii="Times New Roman" w:hAnsi="Times New Roman" w:eastAsia="黑体"/>
          <w:snapToGrid w:val="0"/>
          <w:color w:val="auto"/>
          <w:sz w:val="30"/>
          <w:szCs w:val="30"/>
        </w:rPr>
      </w:pPr>
      <w:bookmarkStart w:id="271" w:name="_Toc20249"/>
      <w:bookmarkStart w:id="272" w:name="_Toc1438"/>
      <w:r>
        <w:rPr>
          <w:rFonts w:ascii="Times New Roman" w:hAnsi="Times New Roman" w:eastAsia="黑体"/>
          <w:snapToGrid w:val="0"/>
          <w:color w:val="auto"/>
          <w:sz w:val="30"/>
          <w:szCs w:val="30"/>
        </w:rPr>
        <w:t>三、区域环境质量现状、环境保护目标及评价标准</w:t>
      </w:r>
      <w:bookmarkEnd w:id="271"/>
      <w:bookmarkEnd w:id="272"/>
    </w:p>
    <w:tbl>
      <w:tblPr>
        <w:tblStyle w:val="42"/>
        <w:tblW w:w="1015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7"/>
        <w:gridCol w:w="9376"/>
      </w:tblGrid>
      <w:tr w14:paraId="34ADDF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7" w:type="dxa"/>
            <w:vAlign w:val="center"/>
          </w:tcPr>
          <w:p w14:paraId="4E3CCD91">
            <w:pPr>
              <w:adjustRightInd w:val="0"/>
              <w:snapToGrid w:val="0"/>
              <w:jc w:val="center"/>
              <w:rPr>
                <w:color w:val="auto"/>
                <w:kern w:val="0"/>
                <w:szCs w:val="21"/>
              </w:rPr>
            </w:pPr>
            <w:r>
              <w:rPr>
                <w:color w:val="auto"/>
                <w:kern w:val="0"/>
                <w:sz w:val="24"/>
              </w:rPr>
              <w:t>区域环境质量现状</w:t>
            </w:r>
          </w:p>
        </w:tc>
        <w:tc>
          <w:tcPr>
            <w:tcW w:w="9376" w:type="dxa"/>
            <w:vAlign w:val="center"/>
          </w:tcPr>
          <w:p w14:paraId="0DA713AA">
            <w:pPr>
              <w:spacing w:line="360" w:lineRule="auto"/>
              <w:ind w:firstLine="482" w:firstLineChars="200"/>
              <w:rPr>
                <w:b/>
                <w:bCs/>
                <w:color w:val="auto"/>
                <w:sz w:val="24"/>
              </w:rPr>
            </w:pPr>
            <w:r>
              <w:rPr>
                <w:rFonts w:hint="eastAsia"/>
                <w:b/>
                <w:bCs/>
                <w:color w:val="auto"/>
                <w:sz w:val="24"/>
              </w:rPr>
              <w:t>1、</w:t>
            </w:r>
            <w:r>
              <w:rPr>
                <w:b/>
                <w:color w:val="auto"/>
                <w:sz w:val="24"/>
              </w:rPr>
              <w:t>大气环境质量现状</w:t>
            </w:r>
          </w:p>
          <w:p w14:paraId="5DAA0805">
            <w:pPr>
              <w:spacing w:line="360" w:lineRule="auto"/>
              <w:ind w:firstLine="480" w:firstLineChars="200"/>
              <w:rPr>
                <w:color w:val="auto"/>
                <w:sz w:val="24"/>
              </w:rPr>
            </w:pPr>
            <w:r>
              <w:rPr>
                <w:color w:val="auto"/>
                <w:sz w:val="24"/>
              </w:rPr>
              <w:t>本项目位于阳江市阳东区东城镇</w:t>
            </w:r>
            <w:r>
              <w:rPr>
                <w:rFonts w:hint="eastAsia"/>
                <w:color w:val="auto"/>
                <w:sz w:val="24"/>
              </w:rPr>
              <w:t>工业园裕园一路21号</w:t>
            </w:r>
            <w:r>
              <w:rPr>
                <w:color w:val="auto"/>
                <w:sz w:val="24"/>
              </w:rPr>
              <w:t>。根据阳江市大气环境功能分区图</w:t>
            </w:r>
            <w:r>
              <w:rPr>
                <w:rFonts w:hint="eastAsia"/>
                <w:color w:val="auto"/>
                <w:sz w:val="24"/>
              </w:rPr>
              <w:t>，见附图</w:t>
            </w:r>
            <w:r>
              <w:rPr>
                <w:rFonts w:hint="eastAsia"/>
                <w:color w:val="auto"/>
                <w:sz w:val="24"/>
                <w:lang w:val="en-US" w:eastAsia="zh-CN"/>
              </w:rPr>
              <w:t>10</w:t>
            </w:r>
            <w:r>
              <w:rPr>
                <w:color w:val="auto"/>
                <w:sz w:val="24"/>
              </w:rPr>
              <w:t>，本项目所在区域属于二类大气环境质量功能区，</w:t>
            </w:r>
            <w:r>
              <w:rPr>
                <w:rFonts w:hint="eastAsia"/>
                <w:color w:val="auto"/>
                <w:sz w:val="24"/>
              </w:rPr>
              <w:t>因此</w:t>
            </w:r>
            <w:r>
              <w:rPr>
                <w:color w:val="auto"/>
                <w:sz w:val="24"/>
              </w:rPr>
              <w:t>环境空气质量应执行《环境空气质量标准》（GB3095-20</w:t>
            </w:r>
            <w:r>
              <w:rPr>
                <w:rFonts w:hint="eastAsia"/>
                <w:color w:val="auto"/>
                <w:sz w:val="24"/>
              </w:rPr>
              <w:t>26</w:t>
            </w:r>
            <w:r>
              <w:rPr>
                <w:color w:val="auto"/>
                <w:sz w:val="24"/>
              </w:rPr>
              <w:t>）</w:t>
            </w:r>
            <w:r>
              <w:rPr>
                <w:rFonts w:hint="eastAsia"/>
                <w:color w:val="auto"/>
                <w:sz w:val="24"/>
              </w:rPr>
              <w:t>中过渡阶段的</w:t>
            </w:r>
            <w:r>
              <w:rPr>
                <w:color w:val="auto"/>
                <w:sz w:val="24"/>
              </w:rPr>
              <w:t>二级标准要求。</w:t>
            </w:r>
          </w:p>
          <w:p w14:paraId="5F02888C">
            <w:pPr>
              <w:spacing w:line="360" w:lineRule="auto"/>
              <w:ind w:firstLine="482" w:firstLineChars="200"/>
              <w:rPr>
                <w:b/>
                <w:bCs/>
                <w:color w:val="auto"/>
                <w:sz w:val="24"/>
              </w:rPr>
            </w:pPr>
            <w:r>
              <w:rPr>
                <w:rFonts w:hint="eastAsia"/>
                <w:b/>
                <w:bCs/>
                <w:color w:val="auto"/>
                <w:sz w:val="24"/>
              </w:rPr>
              <w:t>（1）</w:t>
            </w:r>
            <w:r>
              <w:rPr>
                <w:b/>
                <w:bCs/>
                <w:color w:val="auto"/>
                <w:sz w:val="24"/>
              </w:rPr>
              <w:t>基本污染物环境质量现状评价</w:t>
            </w:r>
          </w:p>
          <w:p w14:paraId="7F3D4FCD">
            <w:pPr>
              <w:spacing w:line="360" w:lineRule="auto"/>
              <w:ind w:firstLine="480" w:firstLineChars="200"/>
              <w:rPr>
                <w:color w:val="auto"/>
                <w:sz w:val="24"/>
              </w:rPr>
            </w:pPr>
            <w:r>
              <w:rPr>
                <w:color w:val="auto"/>
                <w:sz w:val="24"/>
              </w:rPr>
              <w:t>根据《建设项目环境影响报告表编制技术指南（污染影响类）（试行）》中的“</w:t>
            </w:r>
            <w:r>
              <w:rPr>
                <w:rFonts w:hint="eastAsia"/>
                <w:color w:val="auto"/>
                <w:sz w:val="24"/>
              </w:rPr>
              <w:t>大气环境。</w:t>
            </w:r>
            <w:r>
              <w:rPr>
                <w:color w:val="auto"/>
                <w:sz w:val="24"/>
              </w:rPr>
              <w:t>常规污染物引用与建设项目距离近的有效数据，</w:t>
            </w:r>
            <w:r>
              <w:rPr>
                <w:rFonts w:hint="eastAsia"/>
                <w:color w:val="auto"/>
                <w:sz w:val="24"/>
              </w:rPr>
              <w:t>包括近3年的规划环境影响评价的监测数据，国家、地方环境空气质量监测网数据或生态环境主管部门公开发布的质量数据等</w:t>
            </w:r>
            <w:r>
              <w:rPr>
                <w:color w:val="auto"/>
                <w:sz w:val="24"/>
              </w:rPr>
              <w:t>”</w:t>
            </w:r>
            <w:r>
              <w:rPr>
                <w:rFonts w:hint="eastAsia"/>
                <w:color w:val="auto"/>
                <w:sz w:val="24"/>
              </w:rPr>
              <w:t>。</w:t>
            </w:r>
            <w:r>
              <w:rPr>
                <w:color w:val="auto"/>
                <w:sz w:val="24"/>
              </w:rPr>
              <w:t>因此本项目大气环境质量现状达标判定，采用</w:t>
            </w:r>
            <w:r>
              <w:rPr>
                <w:rFonts w:hint="eastAsia"/>
                <w:color w:val="auto"/>
                <w:sz w:val="24"/>
              </w:rPr>
              <w:t>阳江市生态环境局网站2025年09月25公布的《2024年阳江市生态环境质量状况公报》（</w:t>
            </w:r>
            <w:r>
              <w:rPr>
                <w:color w:val="auto"/>
                <w:sz w:val="24"/>
              </w:rPr>
              <w:t>http://www.yangjiang.gov.cn/zwgk/ztzl/ggqsydw/hjbh/content/post_877011.html</w:t>
            </w:r>
            <w:r>
              <w:rPr>
                <w:rFonts w:hint="eastAsia"/>
                <w:color w:val="auto"/>
                <w:sz w:val="24"/>
              </w:rPr>
              <w:t>）的数据，阳东区区域空气质量现状具体情况</w:t>
            </w:r>
            <w:r>
              <w:rPr>
                <w:color w:val="auto"/>
                <w:sz w:val="24"/>
              </w:rPr>
              <w:t>见表3-1所示，</w:t>
            </w:r>
            <w:r>
              <w:rPr>
                <w:rFonts w:hint="eastAsia"/>
                <w:color w:val="auto"/>
                <w:sz w:val="24"/>
              </w:rPr>
              <w:t>因此本项目引用的数据符合相关环保规定</w:t>
            </w:r>
            <w:r>
              <w:rPr>
                <w:color w:val="auto"/>
                <w:sz w:val="24"/>
              </w:rPr>
              <w:t>。</w:t>
            </w:r>
          </w:p>
          <w:p w14:paraId="6E2B6FB8">
            <w:pPr>
              <w:keepLines/>
              <w:topLinePunct/>
              <w:spacing w:line="240" w:lineRule="auto"/>
              <w:ind w:firstLine="422" w:firstLineChars="200"/>
              <w:jc w:val="center"/>
              <w:rPr>
                <w:b/>
                <w:bCs/>
                <w:color w:val="auto"/>
                <w:szCs w:val="21"/>
              </w:rPr>
            </w:pPr>
            <w:r>
              <w:rPr>
                <w:b/>
                <w:bCs/>
                <w:color w:val="auto"/>
                <w:szCs w:val="21"/>
              </w:rPr>
              <w:t>表3-1  2024年阳江市</w:t>
            </w:r>
            <w:r>
              <w:rPr>
                <w:rFonts w:hint="eastAsia"/>
                <w:b/>
                <w:bCs/>
                <w:color w:val="auto"/>
                <w:szCs w:val="21"/>
              </w:rPr>
              <w:t>阳东区</w:t>
            </w:r>
            <w:r>
              <w:rPr>
                <w:b/>
                <w:bCs/>
                <w:color w:val="auto"/>
                <w:szCs w:val="21"/>
              </w:rPr>
              <w:t>大气环境基本项目浓度</w:t>
            </w:r>
          </w:p>
          <w:tbl>
            <w:tblPr>
              <w:tblStyle w:val="43"/>
              <w:tblW w:w="91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4143"/>
              <w:gridCol w:w="1325"/>
              <w:gridCol w:w="1515"/>
              <w:gridCol w:w="1410"/>
            </w:tblGrid>
            <w:tr w14:paraId="47D5B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vAlign w:val="center"/>
                </w:tcPr>
                <w:p w14:paraId="1369D69D">
                  <w:pPr>
                    <w:widowControl w:val="0"/>
                    <w:spacing w:line="240" w:lineRule="auto"/>
                    <w:jc w:val="center"/>
                    <w:rPr>
                      <w:b/>
                      <w:bCs/>
                      <w:color w:val="auto"/>
                    </w:rPr>
                  </w:pPr>
                  <w:r>
                    <w:rPr>
                      <w:b/>
                      <w:bCs/>
                      <w:color w:val="auto"/>
                      <w:szCs w:val="21"/>
                    </w:rPr>
                    <w:t>序号</w:t>
                  </w:r>
                </w:p>
              </w:tc>
              <w:tc>
                <w:tcPr>
                  <w:tcW w:w="4143" w:type="dxa"/>
                  <w:vAlign w:val="center"/>
                </w:tcPr>
                <w:p w14:paraId="5E5B06BF">
                  <w:pPr>
                    <w:widowControl w:val="0"/>
                    <w:spacing w:line="240" w:lineRule="auto"/>
                    <w:jc w:val="center"/>
                    <w:rPr>
                      <w:b/>
                      <w:bCs/>
                      <w:color w:val="auto"/>
                    </w:rPr>
                  </w:pPr>
                  <w:r>
                    <w:rPr>
                      <w:b/>
                      <w:bCs/>
                      <w:color w:val="auto"/>
                      <w:szCs w:val="21"/>
                    </w:rPr>
                    <w:t>污染物项目</w:t>
                  </w:r>
                </w:p>
              </w:tc>
              <w:tc>
                <w:tcPr>
                  <w:tcW w:w="1325" w:type="dxa"/>
                  <w:vAlign w:val="center"/>
                </w:tcPr>
                <w:p w14:paraId="651EB2B0">
                  <w:pPr>
                    <w:widowControl w:val="0"/>
                    <w:spacing w:line="240" w:lineRule="auto"/>
                    <w:jc w:val="center"/>
                    <w:rPr>
                      <w:b/>
                      <w:bCs/>
                      <w:color w:val="auto"/>
                    </w:rPr>
                  </w:pPr>
                  <w:r>
                    <w:rPr>
                      <w:b/>
                      <w:bCs/>
                      <w:color w:val="auto"/>
                      <w:szCs w:val="21"/>
                    </w:rPr>
                    <w:t>均值</w:t>
                  </w:r>
                </w:p>
              </w:tc>
              <w:tc>
                <w:tcPr>
                  <w:tcW w:w="1515" w:type="dxa"/>
                  <w:vAlign w:val="center"/>
                </w:tcPr>
                <w:p w14:paraId="65B9F9F4">
                  <w:pPr>
                    <w:widowControl w:val="0"/>
                    <w:spacing w:line="240" w:lineRule="auto"/>
                    <w:jc w:val="center"/>
                    <w:rPr>
                      <w:b/>
                      <w:bCs/>
                      <w:color w:val="auto"/>
                    </w:rPr>
                  </w:pPr>
                  <w:r>
                    <w:rPr>
                      <w:b/>
                      <w:bCs/>
                      <w:color w:val="auto"/>
                      <w:szCs w:val="21"/>
                    </w:rPr>
                    <w:t>执行标准值</w:t>
                  </w:r>
                </w:p>
              </w:tc>
              <w:tc>
                <w:tcPr>
                  <w:tcW w:w="1410" w:type="dxa"/>
                  <w:vAlign w:val="center"/>
                </w:tcPr>
                <w:p w14:paraId="2AB6F4B0">
                  <w:pPr>
                    <w:widowControl w:val="0"/>
                    <w:spacing w:line="240" w:lineRule="auto"/>
                    <w:jc w:val="center"/>
                    <w:rPr>
                      <w:b/>
                      <w:bCs/>
                      <w:color w:val="auto"/>
                      <w:szCs w:val="21"/>
                    </w:rPr>
                  </w:pPr>
                  <w:r>
                    <w:rPr>
                      <w:b/>
                      <w:bCs/>
                      <w:color w:val="auto"/>
                      <w:szCs w:val="21"/>
                    </w:rPr>
                    <w:t>占标率</w:t>
                  </w:r>
                </w:p>
              </w:tc>
            </w:tr>
            <w:tr w14:paraId="3807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vAlign w:val="center"/>
                </w:tcPr>
                <w:p w14:paraId="6E03E281">
                  <w:pPr>
                    <w:widowControl w:val="0"/>
                    <w:spacing w:line="240" w:lineRule="auto"/>
                    <w:jc w:val="center"/>
                    <w:rPr>
                      <w:b/>
                      <w:color w:val="auto"/>
                    </w:rPr>
                  </w:pPr>
                  <w:r>
                    <w:rPr>
                      <w:color w:val="auto"/>
                      <w:szCs w:val="21"/>
                    </w:rPr>
                    <w:t>1</w:t>
                  </w:r>
                </w:p>
              </w:tc>
              <w:tc>
                <w:tcPr>
                  <w:tcW w:w="4143" w:type="dxa"/>
                  <w:vAlign w:val="center"/>
                </w:tcPr>
                <w:p w14:paraId="26155A63">
                  <w:pPr>
                    <w:widowControl w:val="0"/>
                    <w:spacing w:line="240" w:lineRule="auto"/>
                    <w:jc w:val="center"/>
                    <w:rPr>
                      <w:b/>
                      <w:color w:val="auto"/>
                    </w:rPr>
                  </w:pPr>
                  <w:r>
                    <w:rPr>
                      <w:color w:val="auto"/>
                      <w:szCs w:val="21"/>
                    </w:rPr>
                    <w:t>二氧化硫（年平均浓度）</w:t>
                  </w:r>
                </w:p>
              </w:tc>
              <w:tc>
                <w:tcPr>
                  <w:tcW w:w="1325" w:type="dxa"/>
                  <w:vAlign w:val="center"/>
                </w:tcPr>
                <w:p w14:paraId="1C39549E">
                  <w:pPr>
                    <w:widowControl w:val="0"/>
                    <w:spacing w:line="240" w:lineRule="auto"/>
                    <w:jc w:val="center"/>
                    <w:rPr>
                      <w:b/>
                      <w:color w:val="auto"/>
                    </w:rPr>
                  </w:pPr>
                  <w:r>
                    <w:rPr>
                      <w:color w:val="auto"/>
                      <w:szCs w:val="21"/>
                    </w:rPr>
                    <w:t>7μg/m</w:t>
                  </w:r>
                  <w:r>
                    <w:rPr>
                      <w:color w:val="auto"/>
                      <w:szCs w:val="21"/>
                      <w:vertAlign w:val="superscript"/>
                    </w:rPr>
                    <w:t>3</w:t>
                  </w:r>
                </w:p>
              </w:tc>
              <w:tc>
                <w:tcPr>
                  <w:tcW w:w="1515" w:type="dxa"/>
                  <w:vAlign w:val="center"/>
                </w:tcPr>
                <w:p w14:paraId="5E700445">
                  <w:pPr>
                    <w:widowControl w:val="0"/>
                    <w:spacing w:line="240" w:lineRule="auto"/>
                    <w:jc w:val="center"/>
                    <w:rPr>
                      <w:b/>
                      <w:color w:val="auto"/>
                    </w:rPr>
                  </w:pPr>
                  <w:r>
                    <w:rPr>
                      <w:color w:val="auto"/>
                      <w:szCs w:val="21"/>
                    </w:rPr>
                    <w:t>60μg/m</w:t>
                  </w:r>
                  <w:r>
                    <w:rPr>
                      <w:color w:val="auto"/>
                      <w:szCs w:val="21"/>
                      <w:vertAlign w:val="superscript"/>
                    </w:rPr>
                    <w:t>3</w:t>
                  </w:r>
                </w:p>
              </w:tc>
              <w:tc>
                <w:tcPr>
                  <w:tcW w:w="1410" w:type="dxa"/>
                  <w:vAlign w:val="center"/>
                </w:tcPr>
                <w:p w14:paraId="0A60A0DD">
                  <w:pPr>
                    <w:widowControl w:val="0"/>
                    <w:spacing w:line="240" w:lineRule="auto"/>
                    <w:jc w:val="center"/>
                    <w:rPr>
                      <w:color w:val="auto"/>
                      <w:szCs w:val="21"/>
                    </w:rPr>
                  </w:pPr>
                  <w:r>
                    <w:rPr>
                      <w:color w:val="auto"/>
                      <w:szCs w:val="21"/>
                    </w:rPr>
                    <w:t>11.7%</w:t>
                  </w:r>
                </w:p>
              </w:tc>
            </w:tr>
            <w:tr w14:paraId="4D72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vAlign w:val="center"/>
                </w:tcPr>
                <w:p w14:paraId="23B2F8F0">
                  <w:pPr>
                    <w:widowControl w:val="0"/>
                    <w:spacing w:line="240" w:lineRule="auto"/>
                    <w:jc w:val="center"/>
                    <w:rPr>
                      <w:b/>
                      <w:color w:val="auto"/>
                    </w:rPr>
                  </w:pPr>
                  <w:r>
                    <w:rPr>
                      <w:color w:val="auto"/>
                      <w:szCs w:val="21"/>
                    </w:rPr>
                    <w:t>2</w:t>
                  </w:r>
                </w:p>
              </w:tc>
              <w:tc>
                <w:tcPr>
                  <w:tcW w:w="4143" w:type="dxa"/>
                  <w:vAlign w:val="center"/>
                </w:tcPr>
                <w:p w14:paraId="2404C92F">
                  <w:pPr>
                    <w:widowControl w:val="0"/>
                    <w:spacing w:line="240" w:lineRule="auto"/>
                    <w:jc w:val="center"/>
                    <w:rPr>
                      <w:b/>
                      <w:color w:val="auto"/>
                    </w:rPr>
                  </w:pPr>
                  <w:r>
                    <w:rPr>
                      <w:color w:val="auto"/>
                      <w:szCs w:val="21"/>
                    </w:rPr>
                    <w:t>二氧化氮（年平均浓度）</w:t>
                  </w:r>
                </w:p>
              </w:tc>
              <w:tc>
                <w:tcPr>
                  <w:tcW w:w="1325" w:type="dxa"/>
                  <w:vAlign w:val="center"/>
                </w:tcPr>
                <w:p w14:paraId="66A6DA2D">
                  <w:pPr>
                    <w:widowControl w:val="0"/>
                    <w:spacing w:line="240" w:lineRule="auto"/>
                    <w:jc w:val="center"/>
                    <w:rPr>
                      <w:b/>
                      <w:color w:val="auto"/>
                    </w:rPr>
                  </w:pPr>
                  <w:r>
                    <w:rPr>
                      <w:rFonts w:hint="eastAsia"/>
                      <w:color w:val="auto"/>
                      <w:szCs w:val="21"/>
                    </w:rPr>
                    <w:t>14</w:t>
                  </w:r>
                  <w:r>
                    <w:rPr>
                      <w:color w:val="auto"/>
                      <w:szCs w:val="21"/>
                    </w:rPr>
                    <w:t>μg/m</w:t>
                  </w:r>
                  <w:r>
                    <w:rPr>
                      <w:color w:val="auto"/>
                      <w:szCs w:val="21"/>
                      <w:vertAlign w:val="superscript"/>
                    </w:rPr>
                    <w:t>3</w:t>
                  </w:r>
                </w:p>
              </w:tc>
              <w:tc>
                <w:tcPr>
                  <w:tcW w:w="1515" w:type="dxa"/>
                  <w:vAlign w:val="center"/>
                </w:tcPr>
                <w:p w14:paraId="2A0CE2D7">
                  <w:pPr>
                    <w:widowControl w:val="0"/>
                    <w:spacing w:line="240" w:lineRule="auto"/>
                    <w:jc w:val="center"/>
                    <w:rPr>
                      <w:b/>
                      <w:color w:val="auto"/>
                    </w:rPr>
                  </w:pPr>
                  <w:r>
                    <w:rPr>
                      <w:color w:val="auto"/>
                      <w:szCs w:val="21"/>
                    </w:rPr>
                    <w:t>40μg/m</w:t>
                  </w:r>
                  <w:r>
                    <w:rPr>
                      <w:color w:val="auto"/>
                      <w:szCs w:val="21"/>
                      <w:vertAlign w:val="superscript"/>
                    </w:rPr>
                    <w:t>3</w:t>
                  </w:r>
                </w:p>
              </w:tc>
              <w:tc>
                <w:tcPr>
                  <w:tcW w:w="1410" w:type="dxa"/>
                  <w:vAlign w:val="center"/>
                </w:tcPr>
                <w:p w14:paraId="4B671A90">
                  <w:pPr>
                    <w:widowControl w:val="0"/>
                    <w:spacing w:line="240" w:lineRule="auto"/>
                    <w:jc w:val="center"/>
                    <w:rPr>
                      <w:color w:val="auto"/>
                      <w:szCs w:val="21"/>
                    </w:rPr>
                  </w:pPr>
                  <w:r>
                    <w:rPr>
                      <w:rFonts w:hint="eastAsia"/>
                      <w:color w:val="auto"/>
                      <w:szCs w:val="21"/>
                    </w:rPr>
                    <w:t>35.0</w:t>
                  </w:r>
                  <w:r>
                    <w:rPr>
                      <w:color w:val="auto"/>
                      <w:szCs w:val="21"/>
                    </w:rPr>
                    <w:t>%</w:t>
                  </w:r>
                </w:p>
              </w:tc>
            </w:tr>
            <w:tr w14:paraId="0308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vAlign w:val="center"/>
                </w:tcPr>
                <w:p w14:paraId="4905C13F">
                  <w:pPr>
                    <w:widowControl w:val="0"/>
                    <w:spacing w:line="240" w:lineRule="auto"/>
                    <w:jc w:val="center"/>
                    <w:rPr>
                      <w:b/>
                      <w:color w:val="auto"/>
                    </w:rPr>
                  </w:pPr>
                  <w:r>
                    <w:rPr>
                      <w:color w:val="auto"/>
                      <w:szCs w:val="21"/>
                    </w:rPr>
                    <w:t>3</w:t>
                  </w:r>
                </w:p>
              </w:tc>
              <w:tc>
                <w:tcPr>
                  <w:tcW w:w="4143" w:type="dxa"/>
                  <w:vAlign w:val="center"/>
                </w:tcPr>
                <w:p w14:paraId="7CD37848">
                  <w:pPr>
                    <w:widowControl w:val="0"/>
                    <w:spacing w:line="240" w:lineRule="auto"/>
                    <w:jc w:val="center"/>
                    <w:rPr>
                      <w:b/>
                      <w:color w:val="auto"/>
                    </w:rPr>
                  </w:pPr>
                  <w:r>
                    <w:rPr>
                      <w:color w:val="auto"/>
                      <w:szCs w:val="21"/>
                    </w:rPr>
                    <w:t>一氧化碳（第95百分位数浓度）</w:t>
                  </w:r>
                </w:p>
              </w:tc>
              <w:tc>
                <w:tcPr>
                  <w:tcW w:w="1325" w:type="dxa"/>
                  <w:vAlign w:val="center"/>
                </w:tcPr>
                <w:p w14:paraId="57BA5FA9">
                  <w:pPr>
                    <w:widowControl w:val="0"/>
                    <w:spacing w:line="240" w:lineRule="auto"/>
                    <w:jc w:val="center"/>
                    <w:rPr>
                      <w:b/>
                      <w:color w:val="auto"/>
                    </w:rPr>
                  </w:pPr>
                  <w:r>
                    <w:rPr>
                      <w:color w:val="auto"/>
                      <w:szCs w:val="21"/>
                    </w:rPr>
                    <w:t>0.</w:t>
                  </w:r>
                  <w:r>
                    <w:rPr>
                      <w:rFonts w:hint="eastAsia"/>
                      <w:color w:val="auto"/>
                      <w:szCs w:val="21"/>
                    </w:rPr>
                    <w:t>8</w:t>
                  </w:r>
                  <w:r>
                    <w:rPr>
                      <w:color w:val="auto"/>
                      <w:szCs w:val="21"/>
                    </w:rPr>
                    <w:t>mg/m</w:t>
                  </w:r>
                  <w:r>
                    <w:rPr>
                      <w:color w:val="auto"/>
                      <w:szCs w:val="21"/>
                      <w:vertAlign w:val="superscript"/>
                    </w:rPr>
                    <w:t>3</w:t>
                  </w:r>
                </w:p>
              </w:tc>
              <w:tc>
                <w:tcPr>
                  <w:tcW w:w="1515" w:type="dxa"/>
                  <w:vAlign w:val="center"/>
                </w:tcPr>
                <w:p w14:paraId="23F4B9D4">
                  <w:pPr>
                    <w:widowControl w:val="0"/>
                    <w:spacing w:line="240" w:lineRule="auto"/>
                    <w:jc w:val="center"/>
                    <w:rPr>
                      <w:b/>
                      <w:color w:val="auto"/>
                    </w:rPr>
                  </w:pPr>
                  <w:r>
                    <w:rPr>
                      <w:color w:val="auto"/>
                      <w:szCs w:val="21"/>
                    </w:rPr>
                    <w:t>4mg/m</w:t>
                  </w:r>
                  <w:r>
                    <w:rPr>
                      <w:color w:val="auto"/>
                      <w:szCs w:val="21"/>
                      <w:vertAlign w:val="superscript"/>
                    </w:rPr>
                    <w:t>3</w:t>
                  </w:r>
                </w:p>
              </w:tc>
              <w:tc>
                <w:tcPr>
                  <w:tcW w:w="1410" w:type="dxa"/>
                  <w:vAlign w:val="center"/>
                </w:tcPr>
                <w:p w14:paraId="7E89AEE9">
                  <w:pPr>
                    <w:widowControl w:val="0"/>
                    <w:spacing w:line="240" w:lineRule="auto"/>
                    <w:jc w:val="center"/>
                    <w:rPr>
                      <w:color w:val="auto"/>
                      <w:szCs w:val="21"/>
                    </w:rPr>
                  </w:pPr>
                  <w:r>
                    <w:rPr>
                      <w:rFonts w:hint="eastAsia"/>
                      <w:color w:val="auto"/>
                      <w:szCs w:val="21"/>
                    </w:rPr>
                    <w:t>20.0</w:t>
                  </w:r>
                  <w:r>
                    <w:rPr>
                      <w:color w:val="auto"/>
                      <w:szCs w:val="21"/>
                    </w:rPr>
                    <w:t>%</w:t>
                  </w:r>
                </w:p>
              </w:tc>
            </w:tr>
            <w:tr w14:paraId="772B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vAlign w:val="center"/>
                </w:tcPr>
                <w:p w14:paraId="6B3FA6CC">
                  <w:pPr>
                    <w:widowControl w:val="0"/>
                    <w:spacing w:line="240" w:lineRule="auto"/>
                    <w:jc w:val="center"/>
                    <w:rPr>
                      <w:b/>
                      <w:color w:val="auto"/>
                    </w:rPr>
                  </w:pPr>
                  <w:r>
                    <w:rPr>
                      <w:color w:val="auto"/>
                      <w:szCs w:val="21"/>
                    </w:rPr>
                    <w:t>4</w:t>
                  </w:r>
                </w:p>
              </w:tc>
              <w:tc>
                <w:tcPr>
                  <w:tcW w:w="4143" w:type="dxa"/>
                  <w:vAlign w:val="center"/>
                </w:tcPr>
                <w:p w14:paraId="03EEE2CA">
                  <w:pPr>
                    <w:widowControl w:val="0"/>
                    <w:spacing w:line="240" w:lineRule="auto"/>
                    <w:jc w:val="center"/>
                    <w:rPr>
                      <w:b/>
                      <w:color w:val="auto"/>
                    </w:rPr>
                  </w:pPr>
                  <w:r>
                    <w:rPr>
                      <w:color w:val="auto"/>
                      <w:szCs w:val="21"/>
                    </w:rPr>
                    <w:t>臭氧（8小时均值第90百分位数浓度）</w:t>
                  </w:r>
                </w:p>
              </w:tc>
              <w:tc>
                <w:tcPr>
                  <w:tcW w:w="1325" w:type="dxa"/>
                  <w:vAlign w:val="center"/>
                </w:tcPr>
                <w:p w14:paraId="7E7F218A">
                  <w:pPr>
                    <w:widowControl w:val="0"/>
                    <w:spacing w:line="240" w:lineRule="auto"/>
                    <w:jc w:val="center"/>
                    <w:rPr>
                      <w:b/>
                      <w:color w:val="auto"/>
                    </w:rPr>
                  </w:pPr>
                  <w:r>
                    <w:rPr>
                      <w:rFonts w:hint="eastAsia"/>
                      <w:color w:val="auto"/>
                      <w:szCs w:val="21"/>
                    </w:rPr>
                    <w:t>133</w:t>
                  </w:r>
                  <w:r>
                    <w:rPr>
                      <w:color w:val="auto"/>
                      <w:szCs w:val="21"/>
                    </w:rPr>
                    <w:t>μg/m</w:t>
                  </w:r>
                  <w:r>
                    <w:rPr>
                      <w:color w:val="auto"/>
                      <w:szCs w:val="21"/>
                      <w:vertAlign w:val="superscript"/>
                    </w:rPr>
                    <w:t>3</w:t>
                  </w:r>
                </w:p>
              </w:tc>
              <w:tc>
                <w:tcPr>
                  <w:tcW w:w="1515" w:type="dxa"/>
                  <w:vAlign w:val="center"/>
                </w:tcPr>
                <w:p w14:paraId="6E36BA3E">
                  <w:pPr>
                    <w:widowControl w:val="0"/>
                    <w:spacing w:line="240" w:lineRule="auto"/>
                    <w:jc w:val="center"/>
                    <w:rPr>
                      <w:b/>
                      <w:color w:val="auto"/>
                    </w:rPr>
                  </w:pPr>
                  <w:r>
                    <w:rPr>
                      <w:color w:val="auto"/>
                      <w:szCs w:val="21"/>
                    </w:rPr>
                    <w:t>160μg/m</w:t>
                  </w:r>
                  <w:r>
                    <w:rPr>
                      <w:color w:val="auto"/>
                      <w:szCs w:val="21"/>
                      <w:vertAlign w:val="superscript"/>
                    </w:rPr>
                    <w:t>3</w:t>
                  </w:r>
                </w:p>
              </w:tc>
              <w:tc>
                <w:tcPr>
                  <w:tcW w:w="1410" w:type="dxa"/>
                  <w:vAlign w:val="center"/>
                </w:tcPr>
                <w:p w14:paraId="4493DA54">
                  <w:pPr>
                    <w:widowControl w:val="0"/>
                    <w:spacing w:line="240" w:lineRule="auto"/>
                    <w:jc w:val="center"/>
                    <w:rPr>
                      <w:color w:val="auto"/>
                      <w:szCs w:val="21"/>
                    </w:rPr>
                  </w:pPr>
                  <w:r>
                    <w:rPr>
                      <w:rFonts w:hint="eastAsia"/>
                      <w:color w:val="auto"/>
                      <w:szCs w:val="21"/>
                    </w:rPr>
                    <w:t>83.1</w:t>
                  </w:r>
                  <w:r>
                    <w:rPr>
                      <w:color w:val="auto"/>
                      <w:szCs w:val="21"/>
                    </w:rPr>
                    <w:t>%</w:t>
                  </w:r>
                </w:p>
              </w:tc>
            </w:tr>
            <w:tr w14:paraId="688F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vAlign w:val="center"/>
                </w:tcPr>
                <w:p w14:paraId="5FDDD048">
                  <w:pPr>
                    <w:widowControl w:val="0"/>
                    <w:spacing w:line="240" w:lineRule="auto"/>
                    <w:jc w:val="center"/>
                    <w:rPr>
                      <w:b/>
                      <w:color w:val="auto"/>
                    </w:rPr>
                  </w:pPr>
                  <w:r>
                    <w:rPr>
                      <w:color w:val="auto"/>
                      <w:szCs w:val="21"/>
                    </w:rPr>
                    <w:t>5</w:t>
                  </w:r>
                </w:p>
              </w:tc>
              <w:tc>
                <w:tcPr>
                  <w:tcW w:w="4143" w:type="dxa"/>
                  <w:vAlign w:val="center"/>
                </w:tcPr>
                <w:p w14:paraId="5B8C3EC9">
                  <w:pPr>
                    <w:widowControl w:val="0"/>
                    <w:spacing w:line="240" w:lineRule="auto"/>
                    <w:jc w:val="center"/>
                    <w:rPr>
                      <w:b/>
                      <w:color w:val="auto"/>
                    </w:rPr>
                  </w:pPr>
                  <w:r>
                    <w:rPr>
                      <w:color w:val="auto"/>
                      <w:szCs w:val="21"/>
                    </w:rPr>
                    <w:t>PM</w:t>
                  </w:r>
                  <w:r>
                    <w:rPr>
                      <w:color w:val="auto"/>
                      <w:szCs w:val="21"/>
                      <w:vertAlign w:val="subscript"/>
                    </w:rPr>
                    <w:t>10</w:t>
                  </w:r>
                  <w:r>
                    <w:rPr>
                      <w:color w:val="auto"/>
                      <w:szCs w:val="21"/>
                    </w:rPr>
                    <w:t>（年平均浓度）</w:t>
                  </w:r>
                </w:p>
              </w:tc>
              <w:tc>
                <w:tcPr>
                  <w:tcW w:w="1325" w:type="dxa"/>
                  <w:vAlign w:val="center"/>
                </w:tcPr>
                <w:p w14:paraId="2E517CB0">
                  <w:pPr>
                    <w:widowControl w:val="0"/>
                    <w:spacing w:line="240" w:lineRule="auto"/>
                    <w:jc w:val="center"/>
                    <w:rPr>
                      <w:b/>
                      <w:color w:val="auto"/>
                    </w:rPr>
                  </w:pPr>
                  <w:r>
                    <w:rPr>
                      <w:rFonts w:hint="eastAsia"/>
                      <w:color w:val="auto"/>
                      <w:szCs w:val="21"/>
                    </w:rPr>
                    <w:t>34</w:t>
                  </w:r>
                  <w:r>
                    <w:rPr>
                      <w:color w:val="auto"/>
                      <w:szCs w:val="21"/>
                    </w:rPr>
                    <w:t>μg/m</w:t>
                  </w:r>
                  <w:r>
                    <w:rPr>
                      <w:color w:val="auto"/>
                      <w:szCs w:val="21"/>
                      <w:vertAlign w:val="superscript"/>
                    </w:rPr>
                    <w:t>3</w:t>
                  </w:r>
                </w:p>
              </w:tc>
              <w:tc>
                <w:tcPr>
                  <w:tcW w:w="1515" w:type="dxa"/>
                  <w:vAlign w:val="center"/>
                </w:tcPr>
                <w:p w14:paraId="07293359">
                  <w:pPr>
                    <w:widowControl w:val="0"/>
                    <w:spacing w:line="240" w:lineRule="auto"/>
                    <w:jc w:val="center"/>
                    <w:rPr>
                      <w:b/>
                      <w:color w:val="auto"/>
                    </w:rPr>
                  </w:pPr>
                  <w:r>
                    <w:rPr>
                      <w:rFonts w:hint="eastAsia"/>
                      <w:color w:val="auto"/>
                      <w:szCs w:val="21"/>
                    </w:rPr>
                    <w:t>6</w:t>
                  </w:r>
                  <w:r>
                    <w:rPr>
                      <w:color w:val="auto"/>
                      <w:szCs w:val="21"/>
                    </w:rPr>
                    <w:t>0μg/m</w:t>
                  </w:r>
                  <w:r>
                    <w:rPr>
                      <w:color w:val="auto"/>
                      <w:szCs w:val="21"/>
                      <w:vertAlign w:val="superscript"/>
                    </w:rPr>
                    <w:t>3</w:t>
                  </w:r>
                </w:p>
              </w:tc>
              <w:tc>
                <w:tcPr>
                  <w:tcW w:w="1410" w:type="dxa"/>
                  <w:vAlign w:val="center"/>
                </w:tcPr>
                <w:p w14:paraId="52A394C7">
                  <w:pPr>
                    <w:widowControl w:val="0"/>
                    <w:spacing w:line="240" w:lineRule="auto"/>
                    <w:jc w:val="center"/>
                    <w:rPr>
                      <w:color w:val="auto"/>
                      <w:szCs w:val="21"/>
                    </w:rPr>
                  </w:pPr>
                  <w:r>
                    <w:rPr>
                      <w:rFonts w:hint="eastAsia"/>
                      <w:color w:val="auto"/>
                      <w:szCs w:val="21"/>
                    </w:rPr>
                    <w:t>56.7</w:t>
                  </w:r>
                  <w:r>
                    <w:rPr>
                      <w:color w:val="auto"/>
                      <w:szCs w:val="21"/>
                    </w:rPr>
                    <w:t>%</w:t>
                  </w:r>
                </w:p>
              </w:tc>
            </w:tr>
            <w:tr w14:paraId="33C9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9" w:type="dxa"/>
                  <w:vAlign w:val="center"/>
                </w:tcPr>
                <w:p w14:paraId="642EFE9B">
                  <w:pPr>
                    <w:widowControl w:val="0"/>
                    <w:spacing w:line="240" w:lineRule="auto"/>
                    <w:jc w:val="center"/>
                    <w:rPr>
                      <w:b/>
                      <w:color w:val="auto"/>
                    </w:rPr>
                  </w:pPr>
                  <w:r>
                    <w:rPr>
                      <w:color w:val="auto"/>
                      <w:szCs w:val="21"/>
                    </w:rPr>
                    <w:t>6</w:t>
                  </w:r>
                </w:p>
              </w:tc>
              <w:tc>
                <w:tcPr>
                  <w:tcW w:w="4143" w:type="dxa"/>
                  <w:vAlign w:val="center"/>
                </w:tcPr>
                <w:p w14:paraId="79EA6263">
                  <w:pPr>
                    <w:widowControl w:val="0"/>
                    <w:spacing w:line="240" w:lineRule="auto"/>
                    <w:jc w:val="center"/>
                    <w:rPr>
                      <w:b/>
                      <w:color w:val="auto"/>
                    </w:rPr>
                  </w:pPr>
                  <w:r>
                    <w:rPr>
                      <w:color w:val="auto"/>
                      <w:szCs w:val="21"/>
                    </w:rPr>
                    <w:t>PM</w:t>
                  </w:r>
                  <w:r>
                    <w:rPr>
                      <w:color w:val="auto"/>
                      <w:szCs w:val="21"/>
                      <w:vertAlign w:val="subscript"/>
                    </w:rPr>
                    <w:t>2.5</w:t>
                  </w:r>
                  <w:r>
                    <w:rPr>
                      <w:color w:val="auto"/>
                      <w:szCs w:val="21"/>
                    </w:rPr>
                    <w:t>（年平均浓度）</w:t>
                  </w:r>
                </w:p>
              </w:tc>
              <w:tc>
                <w:tcPr>
                  <w:tcW w:w="1325" w:type="dxa"/>
                  <w:vAlign w:val="center"/>
                </w:tcPr>
                <w:p w14:paraId="2FCD6741">
                  <w:pPr>
                    <w:widowControl w:val="0"/>
                    <w:spacing w:line="240" w:lineRule="auto"/>
                    <w:jc w:val="center"/>
                    <w:rPr>
                      <w:b/>
                      <w:color w:val="auto"/>
                    </w:rPr>
                  </w:pPr>
                  <w:r>
                    <w:rPr>
                      <w:color w:val="auto"/>
                      <w:szCs w:val="21"/>
                    </w:rPr>
                    <w:t>21μg/m</w:t>
                  </w:r>
                  <w:r>
                    <w:rPr>
                      <w:color w:val="auto"/>
                      <w:szCs w:val="21"/>
                      <w:vertAlign w:val="superscript"/>
                    </w:rPr>
                    <w:t>3</w:t>
                  </w:r>
                </w:p>
              </w:tc>
              <w:tc>
                <w:tcPr>
                  <w:tcW w:w="1515" w:type="dxa"/>
                  <w:vAlign w:val="center"/>
                </w:tcPr>
                <w:p w14:paraId="75FEE2AE">
                  <w:pPr>
                    <w:widowControl w:val="0"/>
                    <w:spacing w:line="240" w:lineRule="auto"/>
                    <w:jc w:val="center"/>
                    <w:rPr>
                      <w:b/>
                      <w:color w:val="auto"/>
                    </w:rPr>
                  </w:pPr>
                  <w:r>
                    <w:rPr>
                      <w:color w:val="auto"/>
                      <w:szCs w:val="21"/>
                    </w:rPr>
                    <w:t>3</w:t>
                  </w:r>
                  <w:r>
                    <w:rPr>
                      <w:rFonts w:hint="eastAsia"/>
                      <w:color w:val="auto"/>
                      <w:szCs w:val="21"/>
                    </w:rPr>
                    <w:t>0</w:t>
                  </w:r>
                  <w:r>
                    <w:rPr>
                      <w:color w:val="auto"/>
                      <w:szCs w:val="21"/>
                    </w:rPr>
                    <w:t>μg/m</w:t>
                  </w:r>
                  <w:r>
                    <w:rPr>
                      <w:color w:val="auto"/>
                      <w:szCs w:val="21"/>
                      <w:vertAlign w:val="superscript"/>
                    </w:rPr>
                    <w:t>3</w:t>
                  </w:r>
                </w:p>
              </w:tc>
              <w:tc>
                <w:tcPr>
                  <w:tcW w:w="1410" w:type="dxa"/>
                  <w:vAlign w:val="center"/>
                </w:tcPr>
                <w:p w14:paraId="4E4B24A5">
                  <w:pPr>
                    <w:widowControl w:val="0"/>
                    <w:spacing w:line="240" w:lineRule="auto"/>
                    <w:jc w:val="center"/>
                    <w:rPr>
                      <w:color w:val="auto"/>
                      <w:szCs w:val="21"/>
                    </w:rPr>
                  </w:pPr>
                  <w:r>
                    <w:rPr>
                      <w:rFonts w:hint="eastAsia"/>
                      <w:color w:val="auto"/>
                      <w:szCs w:val="21"/>
                    </w:rPr>
                    <w:t>7</w:t>
                  </w:r>
                  <w:r>
                    <w:rPr>
                      <w:color w:val="auto"/>
                      <w:szCs w:val="21"/>
                    </w:rPr>
                    <w:t>0.0%</w:t>
                  </w:r>
                </w:p>
              </w:tc>
            </w:tr>
          </w:tbl>
          <w:p w14:paraId="5D4FD1A2">
            <w:pPr>
              <w:autoSpaceDE w:val="0"/>
              <w:autoSpaceDN w:val="0"/>
              <w:adjustRightInd w:val="0"/>
              <w:snapToGrid w:val="0"/>
              <w:spacing w:before="120" w:beforeLines="50" w:line="360" w:lineRule="auto"/>
              <w:ind w:firstLine="480" w:firstLineChars="200"/>
              <w:rPr>
                <w:color w:val="auto"/>
                <w:kern w:val="0"/>
                <w:sz w:val="24"/>
              </w:rPr>
            </w:pPr>
            <w:r>
              <w:rPr>
                <w:color w:val="auto"/>
                <w:sz w:val="24"/>
              </w:rPr>
              <w:t>由上表可得，二氧化硫、二氧化氮、可吸入颗粒物（PM</w:t>
            </w:r>
            <w:r>
              <w:rPr>
                <w:color w:val="auto"/>
                <w:sz w:val="24"/>
                <w:vertAlign w:val="subscript"/>
              </w:rPr>
              <w:t>10</w:t>
            </w:r>
            <w:r>
              <w:rPr>
                <w:color w:val="auto"/>
                <w:sz w:val="24"/>
              </w:rPr>
              <w:t>）、一氧化碳、臭氧、细颗粒物（PM</w:t>
            </w:r>
            <w:r>
              <w:rPr>
                <w:color w:val="auto"/>
                <w:sz w:val="24"/>
                <w:vertAlign w:val="subscript"/>
              </w:rPr>
              <w:t>2.5</w:t>
            </w:r>
            <w:r>
              <w:rPr>
                <w:color w:val="auto"/>
                <w:sz w:val="24"/>
              </w:rPr>
              <w:t>）6个基本污染物浓度均满足《环境空气质量标准》（GB3095-20</w:t>
            </w:r>
            <w:r>
              <w:rPr>
                <w:rFonts w:hint="eastAsia"/>
                <w:color w:val="auto"/>
                <w:sz w:val="24"/>
              </w:rPr>
              <w:t>26</w:t>
            </w:r>
            <w:r>
              <w:rPr>
                <w:color w:val="auto"/>
                <w:sz w:val="24"/>
              </w:rPr>
              <w:t>）</w:t>
            </w:r>
            <w:r>
              <w:rPr>
                <w:rFonts w:hint="eastAsia"/>
                <w:color w:val="auto"/>
                <w:sz w:val="24"/>
              </w:rPr>
              <w:t>表1环境空气污染物基本项目过渡阶段二级标准浓度限值</w:t>
            </w:r>
            <w:r>
              <w:rPr>
                <w:color w:val="auto"/>
                <w:sz w:val="24"/>
              </w:rPr>
              <w:t>。</w:t>
            </w:r>
            <w:r>
              <w:rPr>
                <w:rFonts w:hint="eastAsia"/>
                <w:color w:val="auto"/>
                <w:sz w:val="24"/>
              </w:rPr>
              <w:t>本</w:t>
            </w:r>
            <w:r>
              <w:rPr>
                <w:color w:val="auto"/>
                <w:sz w:val="24"/>
              </w:rPr>
              <w:t>项目所在区域环境空气质量现状良好，为达标区</w:t>
            </w:r>
            <w:r>
              <w:rPr>
                <w:color w:val="auto"/>
                <w:kern w:val="0"/>
                <w:sz w:val="24"/>
              </w:rPr>
              <w:t>。</w:t>
            </w:r>
          </w:p>
          <w:p w14:paraId="5A2A1ABA">
            <w:pPr>
              <w:spacing w:line="360" w:lineRule="auto"/>
              <w:ind w:firstLine="482" w:firstLineChars="200"/>
              <w:rPr>
                <w:b/>
                <w:bCs/>
                <w:color w:val="auto"/>
                <w:sz w:val="24"/>
              </w:rPr>
            </w:pPr>
            <w:r>
              <w:rPr>
                <w:b/>
                <w:bCs/>
                <w:color w:val="auto"/>
                <w:sz w:val="24"/>
              </w:rPr>
              <w:t>（2）其他污染物环境质量现状</w:t>
            </w:r>
          </w:p>
          <w:p w14:paraId="1C503A79">
            <w:pPr>
              <w:widowControl w:val="0"/>
              <w:autoSpaceDE w:val="0"/>
              <w:autoSpaceDN w:val="0"/>
              <w:adjustRightInd w:val="0"/>
              <w:spacing w:line="360" w:lineRule="auto"/>
              <w:ind w:firstLine="480" w:firstLineChars="200"/>
              <w:rPr>
                <w:color w:val="auto"/>
                <w:sz w:val="24"/>
              </w:rPr>
            </w:pPr>
            <w:r>
              <w:rPr>
                <w:color w:val="auto"/>
                <w:sz w:val="24"/>
              </w:rPr>
              <w:t>根据《建设项目环境影响报告表编制技术指南（污染影响类）（试行）》中的“排放国家、地方环境空气质量标准中有标准限值要求的特征污染物时，引用建设项目周边5千米范围内近3年的现有监测数据，无相关数据的选择当季主导风向下风向1个点位补充不少于3天的监测数据”。</w:t>
            </w:r>
          </w:p>
          <w:p w14:paraId="4CDFF2D2">
            <w:pPr>
              <w:autoSpaceDE w:val="0"/>
              <w:autoSpaceDN w:val="0"/>
              <w:adjustRightInd w:val="0"/>
              <w:spacing w:line="360" w:lineRule="auto"/>
              <w:ind w:firstLine="480" w:firstLineChars="200"/>
              <w:rPr>
                <w:color w:val="auto"/>
                <w:sz w:val="24"/>
              </w:rPr>
            </w:pPr>
            <w:r>
              <w:rPr>
                <w:color w:val="auto"/>
                <w:sz w:val="24"/>
              </w:rPr>
              <w:t>为评价项目所在区域TSP的环境空气质量现状，本评价引用深圳市鸿瑞检测技术有限公司对阳江市四兴工贸有限公司的环境空气现状监测数据（监测报告编号为20240102E01-15号）进行评价</w:t>
            </w:r>
            <w:r>
              <w:rPr>
                <w:rFonts w:hint="eastAsia"/>
                <w:color w:val="auto"/>
                <w:sz w:val="24"/>
              </w:rPr>
              <w:t>，见附件9所示</w:t>
            </w:r>
            <w:r>
              <w:rPr>
                <w:color w:val="auto"/>
                <w:sz w:val="24"/>
              </w:rPr>
              <w:t>，监测时间为2024年1月2日</w:t>
            </w:r>
            <w:r>
              <w:rPr>
                <w:rFonts w:hint="eastAsia"/>
                <w:color w:val="auto"/>
                <w:sz w:val="24"/>
              </w:rPr>
              <w:t>-2024年</w:t>
            </w:r>
            <w:r>
              <w:rPr>
                <w:color w:val="auto"/>
                <w:sz w:val="24"/>
              </w:rPr>
              <w:t>1月4日，监测布点为“G1阳江市四兴工贸有限公司”，该监测布点位于本项目</w:t>
            </w:r>
            <w:r>
              <w:rPr>
                <w:rFonts w:hint="eastAsia"/>
                <w:color w:val="auto"/>
                <w:sz w:val="24"/>
              </w:rPr>
              <w:t>南</w:t>
            </w:r>
            <w:r>
              <w:rPr>
                <w:color w:val="auto"/>
                <w:sz w:val="24"/>
              </w:rPr>
              <w:t>面，距离为</w:t>
            </w:r>
            <w:r>
              <w:rPr>
                <w:rFonts w:hint="eastAsia"/>
                <w:color w:val="auto"/>
                <w:sz w:val="24"/>
              </w:rPr>
              <w:t>1950</w:t>
            </w:r>
            <w:r>
              <w:rPr>
                <w:color w:val="auto"/>
                <w:sz w:val="24"/>
              </w:rPr>
              <w:t>m。监测点位于项目5km范围内，而且是近三年监测数据，符合《建设项目环境影响报告表编制技术指南（污染影响类）（试行）》的要求，因此数据有效。环境空气监测点位基本信息见表3-2，监测结果见3-3</w:t>
            </w:r>
            <w:r>
              <w:rPr>
                <w:color w:val="auto"/>
                <w:kern w:val="0"/>
                <w:sz w:val="24"/>
              </w:rPr>
              <w:t>。</w:t>
            </w:r>
          </w:p>
          <w:p w14:paraId="46734B57">
            <w:pPr>
              <w:adjustRightInd w:val="0"/>
              <w:snapToGrid w:val="0"/>
              <w:ind w:firstLine="422"/>
              <w:jc w:val="center"/>
              <w:rPr>
                <w:b/>
                <w:bCs/>
                <w:color w:val="auto"/>
              </w:rPr>
            </w:pPr>
            <w:r>
              <w:rPr>
                <w:b/>
                <w:bCs/>
                <w:color w:val="auto"/>
              </w:rPr>
              <w:t>表3-2  其他污染物补充监测点位信息表</w:t>
            </w:r>
          </w:p>
          <w:tbl>
            <w:tblPr>
              <w:tblStyle w:val="42"/>
              <w:tblW w:w="920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61"/>
              <w:gridCol w:w="1406"/>
              <w:gridCol w:w="1354"/>
              <w:gridCol w:w="968"/>
              <w:gridCol w:w="1554"/>
              <w:gridCol w:w="960"/>
              <w:gridCol w:w="1200"/>
            </w:tblGrid>
            <w:tr w14:paraId="6C701E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1" w:type="dxa"/>
                  <w:vMerge w:val="restart"/>
                  <w:tcBorders>
                    <w:top w:val="single" w:color="auto" w:sz="6" w:space="0"/>
                    <w:left w:val="single" w:color="auto" w:sz="0" w:space="0"/>
                  </w:tcBorders>
                  <w:vAlign w:val="center"/>
                </w:tcPr>
                <w:p w14:paraId="501E1568">
                  <w:pPr>
                    <w:jc w:val="center"/>
                    <w:rPr>
                      <w:b/>
                      <w:bCs/>
                      <w:color w:val="auto"/>
                      <w:szCs w:val="21"/>
                    </w:rPr>
                  </w:pPr>
                  <w:r>
                    <w:rPr>
                      <w:b/>
                      <w:bCs/>
                      <w:color w:val="auto"/>
                      <w:szCs w:val="21"/>
                    </w:rPr>
                    <w:t>监测点名称</w:t>
                  </w:r>
                </w:p>
              </w:tc>
              <w:tc>
                <w:tcPr>
                  <w:tcW w:w="2760" w:type="dxa"/>
                  <w:gridSpan w:val="2"/>
                  <w:tcBorders>
                    <w:top w:val="single" w:color="auto" w:sz="6" w:space="0"/>
                  </w:tcBorders>
                  <w:vAlign w:val="center"/>
                </w:tcPr>
                <w:p w14:paraId="2D281797">
                  <w:pPr>
                    <w:jc w:val="center"/>
                    <w:rPr>
                      <w:b/>
                      <w:bCs/>
                      <w:color w:val="auto"/>
                      <w:szCs w:val="21"/>
                    </w:rPr>
                  </w:pPr>
                  <w:r>
                    <w:rPr>
                      <w:b/>
                      <w:bCs/>
                      <w:color w:val="auto"/>
                      <w:szCs w:val="21"/>
                    </w:rPr>
                    <w:t>监测点坐标</w:t>
                  </w:r>
                </w:p>
              </w:tc>
              <w:tc>
                <w:tcPr>
                  <w:tcW w:w="968" w:type="dxa"/>
                  <w:vMerge w:val="restart"/>
                  <w:tcBorders>
                    <w:top w:val="single" w:color="auto" w:sz="6" w:space="0"/>
                  </w:tcBorders>
                  <w:vAlign w:val="center"/>
                </w:tcPr>
                <w:p w14:paraId="761DC967">
                  <w:pPr>
                    <w:jc w:val="center"/>
                    <w:rPr>
                      <w:b/>
                      <w:bCs/>
                      <w:color w:val="auto"/>
                      <w:szCs w:val="21"/>
                    </w:rPr>
                  </w:pPr>
                  <w:r>
                    <w:rPr>
                      <w:b/>
                      <w:bCs/>
                      <w:color w:val="auto"/>
                      <w:szCs w:val="21"/>
                    </w:rPr>
                    <w:t>监测因子</w:t>
                  </w:r>
                </w:p>
              </w:tc>
              <w:tc>
                <w:tcPr>
                  <w:tcW w:w="1554" w:type="dxa"/>
                  <w:vMerge w:val="restart"/>
                  <w:tcBorders>
                    <w:top w:val="single" w:color="auto" w:sz="6" w:space="0"/>
                  </w:tcBorders>
                  <w:vAlign w:val="center"/>
                </w:tcPr>
                <w:p w14:paraId="6FC4748B">
                  <w:pPr>
                    <w:jc w:val="center"/>
                    <w:rPr>
                      <w:b/>
                      <w:bCs/>
                      <w:color w:val="auto"/>
                      <w:szCs w:val="21"/>
                    </w:rPr>
                  </w:pPr>
                  <w:r>
                    <w:rPr>
                      <w:b/>
                      <w:bCs/>
                      <w:color w:val="auto"/>
                      <w:szCs w:val="21"/>
                    </w:rPr>
                    <w:t>监测时段</w:t>
                  </w:r>
                </w:p>
              </w:tc>
              <w:tc>
                <w:tcPr>
                  <w:tcW w:w="960" w:type="dxa"/>
                  <w:vMerge w:val="restart"/>
                  <w:tcBorders>
                    <w:top w:val="single" w:color="auto" w:sz="6" w:space="0"/>
                  </w:tcBorders>
                  <w:vAlign w:val="center"/>
                </w:tcPr>
                <w:p w14:paraId="5EB7E9B6">
                  <w:pPr>
                    <w:jc w:val="center"/>
                    <w:rPr>
                      <w:b/>
                      <w:bCs/>
                      <w:color w:val="auto"/>
                      <w:szCs w:val="21"/>
                    </w:rPr>
                  </w:pPr>
                  <w:r>
                    <w:rPr>
                      <w:b/>
                      <w:bCs/>
                      <w:color w:val="auto"/>
                      <w:szCs w:val="21"/>
                    </w:rPr>
                    <w:t>相对厂址方位</w:t>
                  </w:r>
                </w:p>
              </w:tc>
              <w:tc>
                <w:tcPr>
                  <w:tcW w:w="1200" w:type="dxa"/>
                  <w:vMerge w:val="restart"/>
                  <w:tcBorders>
                    <w:top w:val="single" w:color="auto" w:sz="6" w:space="0"/>
                    <w:right w:val="single" w:color="auto" w:sz="6" w:space="0"/>
                  </w:tcBorders>
                  <w:vAlign w:val="center"/>
                </w:tcPr>
                <w:p w14:paraId="508DD6A3">
                  <w:pPr>
                    <w:jc w:val="center"/>
                    <w:rPr>
                      <w:b/>
                      <w:bCs/>
                      <w:color w:val="auto"/>
                      <w:szCs w:val="21"/>
                    </w:rPr>
                  </w:pPr>
                  <w:r>
                    <w:rPr>
                      <w:b/>
                      <w:bCs/>
                      <w:color w:val="auto"/>
                      <w:szCs w:val="21"/>
                    </w:rPr>
                    <w:t>相对厂界距离</w:t>
                  </w:r>
                </w:p>
              </w:tc>
            </w:tr>
            <w:tr w14:paraId="754538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1" w:type="dxa"/>
                  <w:vMerge w:val="continue"/>
                  <w:tcBorders>
                    <w:left w:val="single" w:color="auto" w:sz="4" w:space="0"/>
                  </w:tcBorders>
                  <w:vAlign w:val="center"/>
                </w:tcPr>
                <w:p w14:paraId="2441B070">
                  <w:pPr>
                    <w:jc w:val="center"/>
                    <w:rPr>
                      <w:color w:val="auto"/>
                      <w:szCs w:val="21"/>
                    </w:rPr>
                  </w:pPr>
                </w:p>
              </w:tc>
              <w:tc>
                <w:tcPr>
                  <w:tcW w:w="1406" w:type="dxa"/>
                  <w:vAlign w:val="center"/>
                </w:tcPr>
                <w:p w14:paraId="071A6C51">
                  <w:pPr>
                    <w:jc w:val="center"/>
                    <w:rPr>
                      <w:color w:val="auto"/>
                      <w:szCs w:val="21"/>
                    </w:rPr>
                  </w:pPr>
                  <w:r>
                    <w:rPr>
                      <w:color w:val="auto"/>
                      <w:szCs w:val="21"/>
                    </w:rPr>
                    <w:t>经度</w:t>
                  </w:r>
                </w:p>
              </w:tc>
              <w:tc>
                <w:tcPr>
                  <w:tcW w:w="1354" w:type="dxa"/>
                  <w:vAlign w:val="center"/>
                </w:tcPr>
                <w:p w14:paraId="1BBA18AC">
                  <w:pPr>
                    <w:jc w:val="center"/>
                    <w:rPr>
                      <w:color w:val="auto"/>
                      <w:szCs w:val="21"/>
                    </w:rPr>
                  </w:pPr>
                  <w:r>
                    <w:rPr>
                      <w:color w:val="auto"/>
                      <w:szCs w:val="21"/>
                    </w:rPr>
                    <w:t>纬度</w:t>
                  </w:r>
                </w:p>
              </w:tc>
              <w:tc>
                <w:tcPr>
                  <w:tcW w:w="968" w:type="dxa"/>
                  <w:vMerge w:val="continue"/>
                  <w:vAlign w:val="center"/>
                </w:tcPr>
                <w:p w14:paraId="4D514FA2">
                  <w:pPr>
                    <w:jc w:val="center"/>
                    <w:rPr>
                      <w:color w:val="auto"/>
                      <w:szCs w:val="21"/>
                    </w:rPr>
                  </w:pPr>
                </w:p>
              </w:tc>
              <w:tc>
                <w:tcPr>
                  <w:tcW w:w="1554" w:type="dxa"/>
                  <w:vMerge w:val="continue"/>
                  <w:vAlign w:val="center"/>
                </w:tcPr>
                <w:p w14:paraId="4368C8D3">
                  <w:pPr>
                    <w:jc w:val="center"/>
                    <w:rPr>
                      <w:color w:val="auto"/>
                      <w:szCs w:val="21"/>
                    </w:rPr>
                  </w:pPr>
                </w:p>
              </w:tc>
              <w:tc>
                <w:tcPr>
                  <w:tcW w:w="960" w:type="dxa"/>
                  <w:vMerge w:val="continue"/>
                  <w:vAlign w:val="center"/>
                </w:tcPr>
                <w:p w14:paraId="25ED31BA">
                  <w:pPr>
                    <w:jc w:val="center"/>
                    <w:rPr>
                      <w:color w:val="auto"/>
                      <w:szCs w:val="21"/>
                    </w:rPr>
                  </w:pPr>
                </w:p>
              </w:tc>
              <w:tc>
                <w:tcPr>
                  <w:tcW w:w="1200" w:type="dxa"/>
                  <w:vMerge w:val="continue"/>
                  <w:tcBorders>
                    <w:right w:val="single" w:color="auto" w:sz="6" w:space="0"/>
                  </w:tcBorders>
                  <w:vAlign w:val="center"/>
                </w:tcPr>
                <w:p w14:paraId="179975B4">
                  <w:pPr>
                    <w:jc w:val="center"/>
                    <w:rPr>
                      <w:color w:val="auto"/>
                      <w:szCs w:val="21"/>
                    </w:rPr>
                  </w:pPr>
                </w:p>
              </w:tc>
            </w:tr>
            <w:tr w14:paraId="543EF3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61" w:type="dxa"/>
                  <w:tcBorders>
                    <w:left w:val="single" w:color="auto" w:sz="4" w:space="0"/>
                    <w:bottom w:val="single" w:color="auto" w:sz="6" w:space="0"/>
                  </w:tcBorders>
                  <w:vAlign w:val="center"/>
                </w:tcPr>
                <w:p w14:paraId="7B9B5CB2">
                  <w:pPr>
                    <w:jc w:val="center"/>
                    <w:rPr>
                      <w:color w:val="auto"/>
                      <w:szCs w:val="21"/>
                    </w:rPr>
                  </w:pPr>
                  <w:r>
                    <w:rPr>
                      <w:color w:val="auto"/>
                      <w:kern w:val="0"/>
                      <w:szCs w:val="21"/>
                      <w:lang w:bidi="ar"/>
                    </w:rPr>
                    <w:t>阳江市四兴工贸有限公司</w:t>
                  </w:r>
                </w:p>
              </w:tc>
              <w:tc>
                <w:tcPr>
                  <w:tcW w:w="1406" w:type="dxa"/>
                  <w:tcBorders>
                    <w:bottom w:val="single" w:color="auto" w:sz="6" w:space="0"/>
                  </w:tcBorders>
                  <w:vAlign w:val="center"/>
                </w:tcPr>
                <w:p w14:paraId="12400696">
                  <w:pPr>
                    <w:jc w:val="center"/>
                    <w:rPr>
                      <w:color w:val="auto"/>
                      <w:szCs w:val="21"/>
                    </w:rPr>
                  </w:pPr>
                  <w:r>
                    <w:rPr>
                      <w:color w:val="auto"/>
                      <w:szCs w:val="21"/>
                    </w:rPr>
                    <w:t>112.021457°</w:t>
                  </w:r>
                </w:p>
              </w:tc>
              <w:tc>
                <w:tcPr>
                  <w:tcW w:w="1354" w:type="dxa"/>
                  <w:tcBorders>
                    <w:bottom w:val="single" w:color="auto" w:sz="6" w:space="0"/>
                  </w:tcBorders>
                  <w:vAlign w:val="center"/>
                </w:tcPr>
                <w:p w14:paraId="3D496DF4">
                  <w:pPr>
                    <w:jc w:val="center"/>
                    <w:rPr>
                      <w:color w:val="auto"/>
                      <w:szCs w:val="21"/>
                    </w:rPr>
                  </w:pPr>
                  <w:r>
                    <w:rPr>
                      <w:color w:val="auto"/>
                      <w:szCs w:val="21"/>
                    </w:rPr>
                    <w:t>21.887496°</w:t>
                  </w:r>
                </w:p>
              </w:tc>
              <w:tc>
                <w:tcPr>
                  <w:tcW w:w="968" w:type="dxa"/>
                  <w:tcBorders>
                    <w:bottom w:val="single" w:color="auto" w:sz="6" w:space="0"/>
                  </w:tcBorders>
                  <w:vAlign w:val="center"/>
                </w:tcPr>
                <w:p w14:paraId="450BEBBA">
                  <w:pPr>
                    <w:jc w:val="center"/>
                    <w:rPr>
                      <w:color w:val="auto"/>
                      <w:szCs w:val="21"/>
                    </w:rPr>
                  </w:pPr>
                  <w:r>
                    <w:rPr>
                      <w:color w:val="auto"/>
                      <w:szCs w:val="21"/>
                    </w:rPr>
                    <w:t>TSP</w:t>
                  </w:r>
                </w:p>
              </w:tc>
              <w:tc>
                <w:tcPr>
                  <w:tcW w:w="1554" w:type="dxa"/>
                  <w:tcBorders>
                    <w:bottom w:val="single" w:color="auto" w:sz="6" w:space="0"/>
                  </w:tcBorders>
                  <w:vAlign w:val="center"/>
                </w:tcPr>
                <w:p w14:paraId="755F2059">
                  <w:pPr>
                    <w:jc w:val="center"/>
                    <w:rPr>
                      <w:color w:val="auto"/>
                      <w:szCs w:val="21"/>
                    </w:rPr>
                  </w:pPr>
                  <w:r>
                    <w:rPr>
                      <w:color w:val="auto"/>
                      <w:szCs w:val="21"/>
                    </w:rPr>
                    <w:t>2024年1月2日~1月4日</w:t>
                  </w:r>
                </w:p>
              </w:tc>
              <w:tc>
                <w:tcPr>
                  <w:tcW w:w="960" w:type="dxa"/>
                  <w:tcBorders>
                    <w:bottom w:val="single" w:color="auto" w:sz="6" w:space="0"/>
                  </w:tcBorders>
                  <w:vAlign w:val="center"/>
                </w:tcPr>
                <w:p w14:paraId="5D68F81B">
                  <w:pPr>
                    <w:jc w:val="center"/>
                    <w:rPr>
                      <w:color w:val="auto"/>
                      <w:szCs w:val="21"/>
                    </w:rPr>
                  </w:pPr>
                  <w:r>
                    <w:rPr>
                      <w:rFonts w:hint="eastAsia"/>
                      <w:color w:val="auto"/>
                      <w:szCs w:val="21"/>
                    </w:rPr>
                    <w:t>南</w:t>
                  </w:r>
                  <w:r>
                    <w:rPr>
                      <w:color w:val="auto"/>
                      <w:szCs w:val="21"/>
                    </w:rPr>
                    <w:t>侧</w:t>
                  </w:r>
                </w:p>
              </w:tc>
              <w:tc>
                <w:tcPr>
                  <w:tcW w:w="1200" w:type="dxa"/>
                  <w:tcBorders>
                    <w:bottom w:val="single" w:color="auto" w:sz="6" w:space="0"/>
                    <w:right w:val="single" w:color="auto" w:sz="6" w:space="0"/>
                  </w:tcBorders>
                  <w:vAlign w:val="center"/>
                </w:tcPr>
                <w:p w14:paraId="1F0314BA">
                  <w:pPr>
                    <w:jc w:val="center"/>
                    <w:rPr>
                      <w:color w:val="auto"/>
                      <w:szCs w:val="21"/>
                    </w:rPr>
                  </w:pPr>
                  <w:r>
                    <w:rPr>
                      <w:rFonts w:hint="eastAsia"/>
                      <w:color w:val="auto"/>
                      <w:szCs w:val="21"/>
                    </w:rPr>
                    <w:t>1950</w:t>
                  </w:r>
                  <w:r>
                    <w:rPr>
                      <w:color w:val="auto"/>
                      <w:szCs w:val="21"/>
                    </w:rPr>
                    <w:t>米</w:t>
                  </w:r>
                </w:p>
              </w:tc>
            </w:tr>
          </w:tbl>
          <w:p w14:paraId="0E02A88A">
            <w:pPr>
              <w:adjustRightInd w:val="0"/>
              <w:snapToGrid w:val="0"/>
              <w:ind w:firstLine="422"/>
              <w:jc w:val="center"/>
              <w:rPr>
                <w:b/>
                <w:bCs/>
                <w:color w:val="auto"/>
              </w:rPr>
            </w:pPr>
            <w:r>
              <w:rPr>
                <w:b/>
                <w:bCs/>
                <w:color w:val="auto"/>
              </w:rPr>
              <w:t>表3-3  其他污染物环境质量现状（监测结果）表</w:t>
            </w:r>
          </w:p>
          <w:tbl>
            <w:tblPr>
              <w:tblStyle w:val="42"/>
              <w:tblW w:w="9176" w:type="dxa"/>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496"/>
              <w:gridCol w:w="825"/>
              <w:gridCol w:w="750"/>
              <w:gridCol w:w="675"/>
              <w:gridCol w:w="705"/>
              <w:gridCol w:w="1005"/>
              <w:gridCol w:w="1200"/>
              <w:gridCol w:w="1125"/>
              <w:gridCol w:w="645"/>
              <w:gridCol w:w="750"/>
            </w:tblGrid>
            <w:tr w14:paraId="08632CF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96" w:type="dxa"/>
                  <w:vMerge w:val="restart"/>
                  <w:vAlign w:val="center"/>
                </w:tcPr>
                <w:p w14:paraId="17085E4C">
                  <w:pPr>
                    <w:jc w:val="center"/>
                    <w:rPr>
                      <w:b/>
                      <w:bCs/>
                      <w:color w:val="auto"/>
                      <w:szCs w:val="21"/>
                    </w:rPr>
                  </w:pPr>
                  <w:r>
                    <w:rPr>
                      <w:b/>
                      <w:bCs/>
                      <w:color w:val="auto"/>
                      <w:szCs w:val="21"/>
                    </w:rPr>
                    <w:t>监测点位</w:t>
                  </w:r>
                </w:p>
              </w:tc>
              <w:tc>
                <w:tcPr>
                  <w:tcW w:w="1575" w:type="dxa"/>
                  <w:gridSpan w:val="2"/>
                  <w:vAlign w:val="center"/>
                </w:tcPr>
                <w:p w14:paraId="37164ADF">
                  <w:pPr>
                    <w:jc w:val="center"/>
                    <w:rPr>
                      <w:b/>
                      <w:bCs/>
                      <w:color w:val="auto"/>
                      <w:szCs w:val="21"/>
                    </w:rPr>
                  </w:pPr>
                  <w:r>
                    <w:rPr>
                      <w:b/>
                      <w:bCs/>
                      <w:color w:val="auto"/>
                      <w:szCs w:val="21"/>
                    </w:rPr>
                    <w:t>监测点坐标</w:t>
                  </w:r>
                </w:p>
              </w:tc>
              <w:tc>
                <w:tcPr>
                  <w:tcW w:w="675" w:type="dxa"/>
                  <w:vMerge w:val="restart"/>
                  <w:vAlign w:val="center"/>
                </w:tcPr>
                <w:p w14:paraId="6D432EDE">
                  <w:pPr>
                    <w:jc w:val="center"/>
                    <w:rPr>
                      <w:b/>
                      <w:bCs/>
                      <w:color w:val="auto"/>
                      <w:szCs w:val="21"/>
                    </w:rPr>
                  </w:pPr>
                  <w:r>
                    <w:rPr>
                      <w:b/>
                      <w:bCs/>
                      <w:color w:val="auto"/>
                      <w:szCs w:val="21"/>
                    </w:rPr>
                    <w:t>污染物</w:t>
                  </w:r>
                </w:p>
              </w:tc>
              <w:tc>
                <w:tcPr>
                  <w:tcW w:w="705" w:type="dxa"/>
                  <w:vMerge w:val="restart"/>
                  <w:vAlign w:val="center"/>
                </w:tcPr>
                <w:p w14:paraId="4569DD07">
                  <w:pPr>
                    <w:jc w:val="center"/>
                    <w:rPr>
                      <w:b/>
                      <w:bCs/>
                      <w:color w:val="auto"/>
                      <w:szCs w:val="21"/>
                    </w:rPr>
                  </w:pPr>
                  <w:r>
                    <w:rPr>
                      <w:b/>
                      <w:bCs/>
                      <w:color w:val="auto"/>
                      <w:szCs w:val="21"/>
                    </w:rPr>
                    <w:t>平均时间</w:t>
                  </w:r>
                </w:p>
              </w:tc>
              <w:tc>
                <w:tcPr>
                  <w:tcW w:w="1005" w:type="dxa"/>
                  <w:vMerge w:val="restart"/>
                  <w:vAlign w:val="center"/>
                </w:tcPr>
                <w:p w14:paraId="0951426B">
                  <w:pPr>
                    <w:jc w:val="center"/>
                    <w:rPr>
                      <w:b/>
                      <w:bCs/>
                      <w:color w:val="auto"/>
                      <w:szCs w:val="21"/>
                    </w:rPr>
                  </w:pPr>
                  <w:r>
                    <w:rPr>
                      <w:b/>
                      <w:bCs/>
                      <w:color w:val="auto"/>
                      <w:szCs w:val="21"/>
                    </w:rPr>
                    <w:t>评价标准µg/m³</w:t>
                  </w:r>
                </w:p>
              </w:tc>
              <w:tc>
                <w:tcPr>
                  <w:tcW w:w="1200" w:type="dxa"/>
                  <w:vMerge w:val="restart"/>
                  <w:vAlign w:val="center"/>
                </w:tcPr>
                <w:p w14:paraId="0D6DB36E">
                  <w:pPr>
                    <w:jc w:val="center"/>
                    <w:rPr>
                      <w:b/>
                      <w:bCs/>
                      <w:color w:val="auto"/>
                      <w:szCs w:val="21"/>
                    </w:rPr>
                  </w:pPr>
                  <w:r>
                    <w:rPr>
                      <w:b/>
                      <w:bCs/>
                      <w:color w:val="auto"/>
                      <w:szCs w:val="21"/>
                    </w:rPr>
                    <w:t>监测浓度范围µg/m³</w:t>
                  </w:r>
                </w:p>
              </w:tc>
              <w:tc>
                <w:tcPr>
                  <w:tcW w:w="1125" w:type="dxa"/>
                  <w:vMerge w:val="restart"/>
                  <w:vAlign w:val="center"/>
                </w:tcPr>
                <w:p w14:paraId="44892B0C">
                  <w:pPr>
                    <w:jc w:val="center"/>
                    <w:rPr>
                      <w:b/>
                      <w:bCs/>
                      <w:color w:val="auto"/>
                      <w:szCs w:val="21"/>
                    </w:rPr>
                  </w:pPr>
                  <w:r>
                    <w:rPr>
                      <w:b/>
                      <w:bCs/>
                      <w:color w:val="auto"/>
                      <w:szCs w:val="21"/>
                    </w:rPr>
                    <w:t>最大浓度占标率%</w:t>
                  </w:r>
                </w:p>
              </w:tc>
              <w:tc>
                <w:tcPr>
                  <w:tcW w:w="645" w:type="dxa"/>
                  <w:vMerge w:val="restart"/>
                  <w:vAlign w:val="center"/>
                </w:tcPr>
                <w:p w14:paraId="5D454C04">
                  <w:pPr>
                    <w:jc w:val="center"/>
                    <w:rPr>
                      <w:b/>
                      <w:bCs/>
                      <w:color w:val="auto"/>
                      <w:szCs w:val="21"/>
                    </w:rPr>
                  </w:pPr>
                  <w:r>
                    <w:rPr>
                      <w:b/>
                      <w:bCs/>
                      <w:color w:val="auto"/>
                      <w:szCs w:val="21"/>
                    </w:rPr>
                    <w:t>超标率%</w:t>
                  </w:r>
                </w:p>
              </w:tc>
              <w:tc>
                <w:tcPr>
                  <w:tcW w:w="750" w:type="dxa"/>
                  <w:vMerge w:val="restart"/>
                  <w:vAlign w:val="center"/>
                </w:tcPr>
                <w:p w14:paraId="46821B6E">
                  <w:pPr>
                    <w:jc w:val="center"/>
                    <w:rPr>
                      <w:b/>
                      <w:bCs/>
                      <w:color w:val="auto"/>
                      <w:szCs w:val="21"/>
                    </w:rPr>
                  </w:pPr>
                  <w:r>
                    <w:rPr>
                      <w:b/>
                      <w:bCs/>
                      <w:color w:val="auto"/>
                      <w:szCs w:val="21"/>
                    </w:rPr>
                    <w:t>达标情况</w:t>
                  </w:r>
                </w:p>
              </w:tc>
            </w:tr>
            <w:tr w14:paraId="316ABBC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96" w:type="dxa"/>
                  <w:vMerge w:val="continue"/>
                  <w:vAlign w:val="center"/>
                </w:tcPr>
                <w:p w14:paraId="5FC0F00C">
                  <w:pPr>
                    <w:jc w:val="center"/>
                    <w:rPr>
                      <w:color w:val="auto"/>
                      <w:szCs w:val="21"/>
                    </w:rPr>
                  </w:pPr>
                </w:p>
              </w:tc>
              <w:tc>
                <w:tcPr>
                  <w:tcW w:w="825" w:type="dxa"/>
                  <w:vAlign w:val="center"/>
                </w:tcPr>
                <w:p w14:paraId="07C5E0EB">
                  <w:pPr>
                    <w:jc w:val="center"/>
                    <w:rPr>
                      <w:color w:val="auto"/>
                      <w:szCs w:val="21"/>
                    </w:rPr>
                  </w:pPr>
                  <w:r>
                    <w:rPr>
                      <w:color w:val="auto"/>
                      <w:szCs w:val="21"/>
                    </w:rPr>
                    <w:t>经度</w:t>
                  </w:r>
                </w:p>
              </w:tc>
              <w:tc>
                <w:tcPr>
                  <w:tcW w:w="750" w:type="dxa"/>
                  <w:vAlign w:val="center"/>
                </w:tcPr>
                <w:p w14:paraId="4D5241B5">
                  <w:pPr>
                    <w:jc w:val="center"/>
                    <w:rPr>
                      <w:color w:val="auto"/>
                      <w:szCs w:val="21"/>
                    </w:rPr>
                  </w:pPr>
                  <w:r>
                    <w:rPr>
                      <w:color w:val="auto"/>
                      <w:szCs w:val="21"/>
                    </w:rPr>
                    <w:t>纬度</w:t>
                  </w:r>
                </w:p>
              </w:tc>
              <w:tc>
                <w:tcPr>
                  <w:tcW w:w="675" w:type="dxa"/>
                  <w:vMerge w:val="continue"/>
                  <w:vAlign w:val="center"/>
                </w:tcPr>
                <w:p w14:paraId="67AF8848">
                  <w:pPr>
                    <w:jc w:val="center"/>
                    <w:rPr>
                      <w:color w:val="auto"/>
                      <w:szCs w:val="21"/>
                    </w:rPr>
                  </w:pPr>
                </w:p>
              </w:tc>
              <w:tc>
                <w:tcPr>
                  <w:tcW w:w="705" w:type="dxa"/>
                  <w:vMerge w:val="continue"/>
                  <w:vAlign w:val="center"/>
                </w:tcPr>
                <w:p w14:paraId="540C0F97">
                  <w:pPr>
                    <w:jc w:val="center"/>
                    <w:rPr>
                      <w:color w:val="auto"/>
                      <w:szCs w:val="21"/>
                    </w:rPr>
                  </w:pPr>
                </w:p>
              </w:tc>
              <w:tc>
                <w:tcPr>
                  <w:tcW w:w="1005" w:type="dxa"/>
                  <w:vMerge w:val="continue"/>
                  <w:vAlign w:val="center"/>
                </w:tcPr>
                <w:p w14:paraId="6DBF0119">
                  <w:pPr>
                    <w:jc w:val="center"/>
                    <w:rPr>
                      <w:color w:val="auto"/>
                      <w:szCs w:val="21"/>
                    </w:rPr>
                  </w:pPr>
                </w:p>
              </w:tc>
              <w:tc>
                <w:tcPr>
                  <w:tcW w:w="1200" w:type="dxa"/>
                  <w:vMerge w:val="continue"/>
                  <w:vAlign w:val="center"/>
                </w:tcPr>
                <w:p w14:paraId="539A15D7">
                  <w:pPr>
                    <w:jc w:val="center"/>
                    <w:rPr>
                      <w:color w:val="auto"/>
                      <w:szCs w:val="21"/>
                    </w:rPr>
                  </w:pPr>
                </w:p>
              </w:tc>
              <w:tc>
                <w:tcPr>
                  <w:tcW w:w="1125" w:type="dxa"/>
                  <w:vMerge w:val="continue"/>
                  <w:vAlign w:val="center"/>
                </w:tcPr>
                <w:p w14:paraId="5944B963">
                  <w:pPr>
                    <w:jc w:val="center"/>
                    <w:rPr>
                      <w:color w:val="auto"/>
                      <w:szCs w:val="21"/>
                    </w:rPr>
                  </w:pPr>
                </w:p>
              </w:tc>
              <w:tc>
                <w:tcPr>
                  <w:tcW w:w="645" w:type="dxa"/>
                  <w:vMerge w:val="continue"/>
                  <w:vAlign w:val="center"/>
                </w:tcPr>
                <w:p w14:paraId="3C88F477">
                  <w:pPr>
                    <w:jc w:val="center"/>
                    <w:rPr>
                      <w:color w:val="auto"/>
                      <w:szCs w:val="21"/>
                    </w:rPr>
                  </w:pPr>
                </w:p>
              </w:tc>
              <w:tc>
                <w:tcPr>
                  <w:tcW w:w="750" w:type="dxa"/>
                  <w:vMerge w:val="continue"/>
                  <w:vAlign w:val="center"/>
                </w:tcPr>
                <w:p w14:paraId="6D17497A">
                  <w:pPr>
                    <w:jc w:val="center"/>
                    <w:rPr>
                      <w:color w:val="auto"/>
                      <w:szCs w:val="21"/>
                    </w:rPr>
                  </w:pPr>
                </w:p>
              </w:tc>
            </w:tr>
            <w:tr w14:paraId="081293B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96" w:type="dxa"/>
                  <w:vAlign w:val="center"/>
                </w:tcPr>
                <w:p w14:paraId="66B21E26">
                  <w:pPr>
                    <w:jc w:val="center"/>
                    <w:rPr>
                      <w:color w:val="auto"/>
                      <w:szCs w:val="21"/>
                    </w:rPr>
                  </w:pPr>
                  <w:r>
                    <w:rPr>
                      <w:color w:val="auto"/>
                      <w:kern w:val="0"/>
                      <w:szCs w:val="21"/>
                      <w:lang w:bidi="ar"/>
                    </w:rPr>
                    <w:t>阳江市四兴工贸有限公司</w:t>
                  </w:r>
                </w:p>
              </w:tc>
              <w:tc>
                <w:tcPr>
                  <w:tcW w:w="825" w:type="dxa"/>
                  <w:vAlign w:val="center"/>
                </w:tcPr>
                <w:p w14:paraId="5A3B90BD">
                  <w:pPr>
                    <w:jc w:val="center"/>
                    <w:rPr>
                      <w:color w:val="auto"/>
                      <w:szCs w:val="21"/>
                    </w:rPr>
                  </w:pPr>
                  <w:r>
                    <w:rPr>
                      <w:color w:val="auto"/>
                      <w:szCs w:val="21"/>
                    </w:rPr>
                    <w:t>112.021457°</w:t>
                  </w:r>
                </w:p>
              </w:tc>
              <w:tc>
                <w:tcPr>
                  <w:tcW w:w="750" w:type="dxa"/>
                  <w:vAlign w:val="center"/>
                </w:tcPr>
                <w:p w14:paraId="3A2C82F2">
                  <w:pPr>
                    <w:jc w:val="center"/>
                    <w:rPr>
                      <w:color w:val="auto"/>
                      <w:szCs w:val="21"/>
                    </w:rPr>
                  </w:pPr>
                  <w:r>
                    <w:rPr>
                      <w:color w:val="auto"/>
                      <w:szCs w:val="21"/>
                    </w:rPr>
                    <w:t>21.887496°</w:t>
                  </w:r>
                </w:p>
              </w:tc>
              <w:tc>
                <w:tcPr>
                  <w:tcW w:w="675" w:type="dxa"/>
                  <w:vAlign w:val="center"/>
                </w:tcPr>
                <w:p w14:paraId="58A8410C">
                  <w:pPr>
                    <w:jc w:val="center"/>
                    <w:rPr>
                      <w:color w:val="auto"/>
                      <w:szCs w:val="21"/>
                    </w:rPr>
                  </w:pPr>
                  <w:r>
                    <w:rPr>
                      <w:color w:val="auto"/>
                      <w:szCs w:val="21"/>
                    </w:rPr>
                    <w:t>TSP</w:t>
                  </w:r>
                </w:p>
              </w:tc>
              <w:tc>
                <w:tcPr>
                  <w:tcW w:w="705" w:type="dxa"/>
                  <w:vAlign w:val="center"/>
                </w:tcPr>
                <w:p w14:paraId="49D45FF8">
                  <w:pPr>
                    <w:jc w:val="center"/>
                    <w:rPr>
                      <w:color w:val="auto"/>
                      <w:szCs w:val="21"/>
                    </w:rPr>
                  </w:pPr>
                  <w:r>
                    <w:rPr>
                      <w:color w:val="auto"/>
                      <w:szCs w:val="21"/>
                    </w:rPr>
                    <w:t>24小时</w:t>
                  </w:r>
                </w:p>
              </w:tc>
              <w:tc>
                <w:tcPr>
                  <w:tcW w:w="1005" w:type="dxa"/>
                  <w:vAlign w:val="center"/>
                </w:tcPr>
                <w:p w14:paraId="73729B89">
                  <w:pPr>
                    <w:jc w:val="center"/>
                    <w:rPr>
                      <w:color w:val="auto"/>
                      <w:szCs w:val="21"/>
                    </w:rPr>
                  </w:pPr>
                  <w:r>
                    <w:rPr>
                      <w:color w:val="auto"/>
                      <w:szCs w:val="21"/>
                    </w:rPr>
                    <w:t>300</w:t>
                  </w:r>
                </w:p>
              </w:tc>
              <w:tc>
                <w:tcPr>
                  <w:tcW w:w="1200" w:type="dxa"/>
                  <w:vAlign w:val="center"/>
                </w:tcPr>
                <w:p w14:paraId="0EC5CCEF">
                  <w:pPr>
                    <w:jc w:val="center"/>
                    <w:rPr>
                      <w:color w:val="auto"/>
                      <w:szCs w:val="21"/>
                    </w:rPr>
                  </w:pPr>
                  <w:r>
                    <w:rPr>
                      <w:color w:val="auto"/>
                      <w:szCs w:val="21"/>
                    </w:rPr>
                    <w:t>185~197</w:t>
                  </w:r>
                </w:p>
              </w:tc>
              <w:tc>
                <w:tcPr>
                  <w:tcW w:w="1125" w:type="dxa"/>
                  <w:vAlign w:val="center"/>
                </w:tcPr>
                <w:p w14:paraId="5553B188">
                  <w:pPr>
                    <w:jc w:val="center"/>
                    <w:rPr>
                      <w:color w:val="auto"/>
                      <w:szCs w:val="21"/>
                    </w:rPr>
                  </w:pPr>
                  <w:r>
                    <w:rPr>
                      <w:color w:val="auto"/>
                      <w:szCs w:val="21"/>
                    </w:rPr>
                    <w:t>65.7</w:t>
                  </w:r>
                </w:p>
              </w:tc>
              <w:tc>
                <w:tcPr>
                  <w:tcW w:w="645" w:type="dxa"/>
                  <w:vAlign w:val="center"/>
                </w:tcPr>
                <w:p w14:paraId="06CE9DE7">
                  <w:pPr>
                    <w:jc w:val="center"/>
                    <w:rPr>
                      <w:color w:val="auto"/>
                      <w:szCs w:val="21"/>
                    </w:rPr>
                  </w:pPr>
                  <w:r>
                    <w:rPr>
                      <w:color w:val="auto"/>
                      <w:szCs w:val="21"/>
                    </w:rPr>
                    <w:t>0</w:t>
                  </w:r>
                </w:p>
              </w:tc>
              <w:tc>
                <w:tcPr>
                  <w:tcW w:w="750" w:type="dxa"/>
                  <w:vAlign w:val="center"/>
                </w:tcPr>
                <w:p w14:paraId="3F8C652F">
                  <w:pPr>
                    <w:jc w:val="center"/>
                    <w:rPr>
                      <w:color w:val="auto"/>
                      <w:szCs w:val="21"/>
                    </w:rPr>
                  </w:pPr>
                  <w:r>
                    <w:rPr>
                      <w:color w:val="auto"/>
                      <w:szCs w:val="21"/>
                    </w:rPr>
                    <w:t>达标</w:t>
                  </w:r>
                </w:p>
              </w:tc>
            </w:tr>
          </w:tbl>
          <w:p w14:paraId="4BBAA76E">
            <w:pPr>
              <w:spacing w:line="360" w:lineRule="auto"/>
              <w:ind w:firstLine="480" w:firstLineChars="200"/>
              <w:rPr>
                <w:bCs/>
                <w:color w:val="auto"/>
                <w:sz w:val="24"/>
              </w:rPr>
            </w:pPr>
            <w:r>
              <w:rPr>
                <w:bCs/>
                <w:color w:val="auto"/>
                <w:sz w:val="24"/>
              </w:rPr>
              <w:t>从监测数据可知，TSP的24</w:t>
            </w:r>
            <w:r>
              <w:rPr>
                <w:color w:val="auto"/>
                <w:kern w:val="0"/>
                <w:sz w:val="24"/>
                <w:lang w:bidi="ar"/>
              </w:rPr>
              <w:t>小时平均浓度值符合</w:t>
            </w:r>
            <w:r>
              <w:rPr>
                <w:color w:val="auto"/>
                <w:sz w:val="24"/>
              </w:rPr>
              <w:t>《环境空气质量标准》（GB3095-20</w:t>
            </w:r>
            <w:r>
              <w:rPr>
                <w:rFonts w:hint="eastAsia"/>
                <w:color w:val="auto"/>
                <w:sz w:val="24"/>
              </w:rPr>
              <w:t>26</w:t>
            </w:r>
            <w:r>
              <w:rPr>
                <w:color w:val="auto"/>
                <w:sz w:val="24"/>
              </w:rPr>
              <w:t>）</w:t>
            </w:r>
            <w:r>
              <w:rPr>
                <w:rFonts w:hint="eastAsia"/>
                <w:color w:val="auto"/>
                <w:sz w:val="24"/>
              </w:rPr>
              <w:t>表2环境空气污染物其他项目二级标准浓度限值</w:t>
            </w:r>
            <w:r>
              <w:rPr>
                <w:color w:val="auto"/>
                <w:kern w:val="0"/>
                <w:sz w:val="24"/>
                <w:lang w:bidi="ar"/>
              </w:rPr>
              <w:t>要求</w:t>
            </w:r>
            <w:r>
              <w:rPr>
                <w:color w:val="auto"/>
                <w:sz w:val="24"/>
              </w:rPr>
              <w:t>，说明评价区域大气环境质量现状良好</w:t>
            </w:r>
            <w:r>
              <w:rPr>
                <w:bCs/>
                <w:color w:val="auto"/>
                <w:sz w:val="24"/>
              </w:rPr>
              <w:t>。</w:t>
            </w:r>
          </w:p>
          <w:p w14:paraId="52B604C5">
            <w:pPr>
              <w:spacing w:line="360" w:lineRule="auto"/>
              <w:ind w:firstLine="482" w:firstLineChars="200"/>
              <w:rPr>
                <w:bCs/>
                <w:color w:val="auto"/>
                <w:sz w:val="24"/>
              </w:rPr>
            </w:pPr>
            <w:r>
              <w:rPr>
                <w:b/>
                <w:bCs/>
                <w:color w:val="auto"/>
                <w:sz w:val="24"/>
              </w:rPr>
              <w:t>2、地表水环境质量现状</w:t>
            </w:r>
          </w:p>
          <w:p w14:paraId="2BE1E34B">
            <w:pPr>
              <w:widowControl w:val="0"/>
              <w:spacing w:line="360" w:lineRule="auto"/>
              <w:ind w:firstLine="480" w:firstLineChars="200"/>
              <w:rPr>
                <w:bCs/>
                <w:color w:val="auto"/>
                <w:sz w:val="24"/>
              </w:rPr>
            </w:pPr>
            <w:r>
              <w:rPr>
                <w:bCs/>
                <w:color w:val="auto"/>
                <w:sz w:val="24"/>
              </w:rPr>
              <w:t>本项目所在地地表水体主要为那龙河，根据《广东省地表水环境功能区划》（粤环〔2011〕14号），那龙河（阳东北惯东莺至阳东北津港段）执行《地表水环境质量标准》（GB3838-2002）Ⅲ类标准。</w:t>
            </w:r>
          </w:p>
          <w:p w14:paraId="13D9730A">
            <w:pPr>
              <w:widowControl w:val="0"/>
              <w:spacing w:line="360" w:lineRule="auto"/>
              <w:ind w:firstLine="480" w:firstLineChars="200"/>
              <w:rPr>
                <w:bCs/>
                <w:color w:val="auto"/>
                <w:sz w:val="24"/>
              </w:rPr>
            </w:pPr>
            <w:r>
              <w:rPr>
                <w:rFonts w:hint="eastAsia"/>
                <w:bCs/>
                <w:color w:val="auto"/>
                <w:sz w:val="24"/>
              </w:rPr>
              <w:t>根据</w:t>
            </w:r>
            <w:r>
              <w:rPr>
                <w:color w:val="auto"/>
                <w:sz w:val="24"/>
              </w:rPr>
              <w:t>《建设项目环境影响报告表编制技术指南（污染影响类）（试行）》中的“</w:t>
            </w:r>
            <w:r>
              <w:rPr>
                <w:rFonts w:hint="eastAsia"/>
                <w:color w:val="auto"/>
                <w:sz w:val="24"/>
              </w:rPr>
              <w:t>地表水环境。</w:t>
            </w:r>
            <w:r>
              <w:rPr>
                <w:bCs/>
                <w:color w:val="auto"/>
                <w:sz w:val="24"/>
              </w:rPr>
              <w:t>引用与建设项目距离近的有效数据，包括近</w:t>
            </w:r>
            <w:r>
              <w:rPr>
                <w:rFonts w:hint="eastAsia"/>
                <w:bCs/>
                <w:color w:val="auto"/>
                <w:sz w:val="24"/>
              </w:rPr>
              <w:t>3年的规划环境影响评价的监测数据，所在流域控制单元内国家、地方控制断面监测数据，生态环境主管部门发布的水环境质量数据或地表水达标情况的结论</w:t>
            </w:r>
            <w:r>
              <w:rPr>
                <w:color w:val="auto"/>
                <w:sz w:val="24"/>
              </w:rPr>
              <w:t>”。</w:t>
            </w:r>
          </w:p>
          <w:p w14:paraId="181F025A">
            <w:pPr>
              <w:widowControl w:val="0"/>
              <w:spacing w:line="360" w:lineRule="auto"/>
              <w:ind w:firstLine="480" w:firstLineChars="200"/>
              <w:rPr>
                <w:bCs/>
                <w:color w:val="auto"/>
                <w:sz w:val="24"/>
              </w:rPr>
            </w:pPr>
            <w:r>
              <w:rPr>
                <w:bCs/>
                <w:color w:val="auto"/>
                <w:sz w:val="24"/>
              </w:rPr>
              <w:t>根据阳江市生态环境局网站公布的《2024年阳江市生态环境质量状况公报》（http://www.yangjiang.gov.cn/zwgk/ztzl/ggqsydw/hjbh/content/post_877011.html）中的内容，2024年，江城、埠场、尖山、寿长、大泉、中朗、河口镇、三甲电站等8个国考断面水质为地表水Ⅱ～Ⅲ类，水质优良率为100%，与上年相比持平。</w:t>
            </w:r>
          </w:p>
          <w:p w14:paraId="78AA079D">
            <w:pPr>
              <w:widowControl w:val="0"/>
              <w:spacing w:line="360" w:lineRule="auto"/>
              <w:ind w:firstLine="482" w:firstLineChars="200"/>
              <w:rPr>
                <w:color w:val="auto"/>
                <w:sz w:val="24"/>
              </w:rPr>
            </w:pPr>
            <w:r>
              <w:rPr>
                <w:b/>
                <w:color w:val="auto"/>
                <w:sz w:val="24"/>
              </w:rPr>
              <w:t>3、声环境质量现状</w:t>
            </w:r>
          </w:p>
          <w:p w14:paraId="2DF318D5">
            <w:pPr>
              <w:tabs>
                <w:tab w:val="left" w:pos="1770"/>
              </w:tabs>
              <w:adjustRightInd w:val="0"/>
              <w:snapToGrid w:val="0"/>
              <w:spacing w:line="360" w:lineRule="auto"/>
              <w:ind w:firstLine="480" w:firstLineChars="200"/>
              <w:rPr>
                <w:color w:val="auto"/>
                <w:kern w:val="0"/>
                <w:sz w:val="24"/>
              </w:rPr>
            </w:pPr>
            <w:r>
              <w:rPr>
                <w:color w:val="auto"/>
                <w:kern w:val="0"/>
                <w:sz w:val="24"/>
              </w:rPr>
              <w:t>根据《声环境质量标准》（GB3096-2008）和《声环境功能区划分技术规范》（GB/T15190-2014）以及阳江市生态环境局关于印发《阳江市市区声环境功能区区划》的通知（阳环规〔2020〕1号），项目所在地属于声环境3类区，执行《声环境质量标准》（GB3096-2008）3类标准（昼间≤65dB、夜间≤55dB）。</w:t>
            </w:r>
          </w:p>
          <w:p w14:paraId="620C7486">
            <w:pPr>
              <w:tabs>
                <w:tab w:val="left" w:pos="1770"/>
              </w:tabs>
              <w:adjustRightInd w:val="0"/>
              <w:snapToGrid w:val="0"/>
              <w:spacing w:line="360" w:lineRule="auto"/>
              <w:ind w:firstLine="480" w:firstLineChars="200"/>
              <w:rPr>
                <w:color w:val="auto"/>
                <w:sz w:val="24"/>
              </w:rPr>
            </w:pPr>
            <w:r>
              <w:rPr>
                <w:rFonts w:hint="eastAsia"/>
                <w:color w:val="auto"/>
                <w:sz w:val="24"/>
              </w:rPr>
              <w:t>本项目为</w:t>
            </w:r>
            <w:r>
              <w:rPr>
                <w:rFonts w:hint="eastAsia"/>
                <w:color w:val="auto"/>
                <w:sz w:val="24"/>
                <w:lang w:eastAsia="zh-CN"/>
              </w:rPr>
              <w:t>改建</w:t>
            </w:r>
            <w:r>
              <w:rPr>
                <w:rFonts w:hint="eastAsia"/>
                <w:color w:val="auto"/>
                <w:sz w:val="24"/>
              </w:rPr>
              <w:t>项目</w:t>
            </w:r>
            <w:r>
              <w:rPr>
                <w:color w:val="auto"/>
                <w:sz w:val="24"/>
              </w:rPr>
              <w:t>，由于本项目厂界</w:t>
            </w:r>
            <w:r>
              <w:rPr>
                <w:rFonts w:hint="eastAsia"/>
                <w:color w:val="auto"/>
                <w:sz w:val="24"/>
              </w:rPr>
              <w:t>外</w:t>
            </w:r>
            <w:r>
              <w:rPr>
                <w:color w:val="auto"/>
                <w:sz w:val="24"/>
              </w:rPr>
              <w:t>50米范围内</w:t>
            </w:r>
            <w:r>
              <w:rPr>
                <w:rFonts w:hint="eastAsia"/>
                <w:color w:val="auto"/>
                <w:sz w:val="24"/>
              </w:rPr>
              <w:t>存在</w:t>
            </w:r>
            <w:r>
              <w:rPr>
                <w:color w:val="auto"/>
                <w:sz w:val="24"/>
              </w:rPr>
              <w:t>声环境保护目标，因此本</w:t>
            </w:r>
            <w:r>
              <w:rPr>
                <w:rFonts w:hint="eastAsia"/>
                <w:color w:val="auto"/>
                <w:sz w:val="24"/>
                <w:lang w:eastAsia="zh-CN"/>
              </w:rPr>
              <w:t>改建</w:t>
            </w:r>
            <w:r>
              <w:rPr>
                <w:color w:val="auto"/>
                <w:sz w:val="24"/>
              </w:rPr>
              <w:t>项目需对本项目</w:t>
            </w:r>
            <w:r>
              <w:rPr>
                <w:rFonts w:hint="eastAsia"/>
                <w:color w:val="auto"/>
                <w:sz w:val="24"/>
              </w:rPr>
              <w:t>厂界外</w:t>
            </w:r>
            <w:r>
              <w:rPr>
                <w:color w:val="auto"/>
                <w:sz w:val="24"/>
              </w:rPr>
              <w:t>50米范围的声环境保护目标进行噪声监测。</w:t>
            </w:r>
          </w:p>
          <w:p w14:paraId="12DF2E05">
            <w:pPr>
              <w:tabs>
                <w:tab w:val="left" w:pos="1770"/>
              </w:tabs>
              <w:adjustRightInd w:val="0"/>
              <w:snapToGrid w:val="0"/>
              <w:spacing w:line="360" w:lineRule="auto"/>
              <w:ind w:firstLine="480" w:firstLineChars="200"/>
              <w:rPr>
                <w:color w:val="auto"/>
                <w:sz w:val="24"/>
              </w:rPr>
            </w:pPr>
            <w:r>
              <w:rPr>
                <w:color w:val="auto"/>
                <w:sz w:val="24"/>
              </w:rPr>
              <w:t>为调查项目厂界外50米范围内声环境保护目标的声环境</w:t>
            </w:r>
            <w:r>
              <w:rPr>
                <w:color w:val="auto"/>
                <w:sz w:val="24"/>
                <w:highlight w:val="none"/>
              </w:rPr>
              <w:t>质量，本评价</w:t>
            </w:r>
            <w:r>
              <w:rPr>
                <w:rFonts w:hint="eastAsia"/>
                <w:color w:val="auto"/>
                <w:sz w:val="24"/>
                <w:highlight w:val="none"/>
              </w:rPr>
              <w:t>委托</w:t>
            </w:r>
            <w:r>
              <w:rPr>
                <w:rFonts w:ascii="Times New Roman" w:hAnsi="Times New Roman" w:cs="Times New Roman"/>
                <w:color w:val="auto"/>
                <w:sz w:val="24"/>
                <w:highlight w:val="none"/>
              </w:rPr>
              <w:t>广东三正检测技术有限公司</w:t>
            </w:r>
            <w:r>
              <w:rPr>
                <w:rFonts w:hint="eastAsia"/>
                <w:color w:val="auto"/>
                <w:sz w:val="24"/>
                <w:highlight w:val="none"/>
              </w:rPr>
              <w:t>于2026年06月</w:t>
            </w:r>
            <w:r>
              <w:rPr>
                <w:rFonts w:hint="eastAsia"/>
                <w:color w:val="auto"/>
                <w:sz w:val="24"/>
                <w:highlight w:val="none"/>
                <w:lang w:val="en-US" w:eastAsia="zh-CN"/>
              </w:rPr>
              <w:t>24</w:t>
            </w:r>
            <w:r>
              <w:rPr>
                <w:rFonts w:hint="eastAsia"/>
                <w:color w:val="auto"/>
                <w:sz w:val="24"/>
                <w:highlight w:val="none"/>
              </w:rPr>
              <w:t>日</w:t>
            </w:r>
            <w:r>
              <w:rPr>
                <w:color w:val="auto"/>
                <w:sz w:val="24"/>
                <w:highlight w:val="none"/>
              </w:rPr>
              <w:t>对</w:t>
            </w:r>
            <w:r>
              <w:rPr>
                <w:rFonts w:hint="eastAsia"/>
                <w:color w:val="auto"/>
                <w:sz w:val="24"/>
                <w:highlight w:val="none"/>
              </w:rPr>
              <w:t>厂界及厂界外50米范围内的阳东区龙源实验学校、阳光天地住宅区、商住楼</w:t>
            </w:r>
            <w:r>
              <w:rPr>
                <w:color w:val="auto"/>
                <w:sz w:val="24"/>
                <w:highlight w:val="none"/>
              </w:rPr>
              <w:t>进行监测，监测频次为</w:t>
            </w:r>
            <w:r>
              <w:rPr>
                <w:rFonts w:hint="eastAsia"/>
                <w:color w:val="auto"/>
                <w:sz w:val="24"/>
                <w:highlight w:val="none"/>
              </w:rPr>
              <w:t>每天</w:t>
            </w:r>
            <w:r>
              <w:rPr>
                <w:color w:val="auto"/>
                <w:sz w:val="24"/>
                <w:highlight w:val="none"/>
              </w:rPr>
              <w:t>昼</w:t>
            </w:r>
            <w:r>
              <w:rPr>
                <w:rFonts w:hint="eastAsia"/>
                <w:color w:val="auto"/>
                <w:sz w:val="24"/>
                <w:highlight w:val="none"/>
                <w:lang w:val="en-US" w:eastAsia="zh-CN"/>
              </w:rPr>
              <w:t>夜</w:t>
            </w:r>
            <w:r>
              <w:rPr>
                <w:color w:val="auto"/>
                <w:sz w:val="24"/>
                <w:highlight w:val="none"/>
              </w:rPr>
              <w:t>间</w:t>
            </w:r>
            <w:r>
              <w:rPr>
                <w:rFonts w:hint="eastAsia"/>
                <w:color w:val="auto"/>
                <w:sz w:val="24"/>
                <w:lang w:val="en-US" w:eastAsia="zh-CN"/>
              </w:rPr>
              <w:t>各</w:t>
            </w:r>
            <w:r>
              <w:rPr>
                <w:color w:val="auto"/>
                <w:sz w:val="24"/>
              </w:rPr>
              <w:t>1次</w:t>
            </w:r>
            <w:r>
              <w:rPr>
                <w:rFonts w:hint="eastAsia"/>
                <w:color w:val="auto"/>
                <w:sz w:val="24"/>
              </w:rPr>
              <w:t>，监测</w:t>
            </w:r>
            <w:r>
              <w:rPr>
                <w:color w:val="auto"/>
                <w:sz w:val="24"/>
              </w:rPr>
              <w:t>报告编号为</w:t>
            </w:r>
            <w:r>
              <w:rPr>
                <w:rFonts w:hint="eastAsia"/>
                <w:color w:val="auto"/>
                <w:sz w:val="24"/>
              </w:rPr>
              <w:t>，</w:t>
            </w:r>
            <w:r>
              <w:rPr>
                <w:color w:val="auto"/>
                <w:sz w:val="24"/>
              </w:rPr>
              <w:t>详</w:t>
            </w:r>
            <w:r>
              <w:rPr>
                <w:rFonts w:hint="eastAsia"/>
                <w:color w:val="auto"/>
                <w:sz w:val="24"/>
              </w:rPr>
              <w:t>见附</w:t>
            </w:r>
            <w:r>
              <w:rPr>
                <w:color w:val="auto"/>
                <w:sz w:val="24"/>
              </w:rPr>
              <w:t>件</w:t>
            </w:r>
            <w:r>
              <w:rPr>
                <w:rFonts w:hint="eastAsia"/>
                <w:color w:val="auto"/>
                <w:sz w:val="24"/>
              </w:rPr>
              <w:t>1</w:t>
            </w:r>
            <w:r>
              <w:rPr>
                <w:rFonts w:hint="eastAsia"/>
                <w:color w:val="auto"/>
                <w:sz w:val="24"/>
                <w:lang w:val="en-US" w:eastAsia="zh-CN"/>
              </w:rPr>
              <w:t>5</w:t>
            </w:r>
            <w:r>
              <w:rPr>
                <w:color w:val="auto"/>
                <w:sz w:val="24"/>
              </w:rPr>
              <w:t>，声环境监测结果见表3-</w:t>
            </w:r>
            <w:r>
              <w:rPr>
                <w:rFonts w:hint="eastAsia"/>
                <w:color w:val="auto"/>
                <w:sz w:val="24"/>
              </w:rPr>
              <w:t>4</w:t>
            </w:r>
            <w:r>
              <w:rPr>
                <w:color w:val="auto"/>
                <w:sz w:val="24"/>
              </w:rPr>
              <w:t>。</w:t>
            </w:r>
          </w:p>
          <w:p w14:paraId="16F53A87">
            <w:pPr>
              <w:adjustRightInd w:val="0"/>
              <w:snapToGrid w:val="0"/>
              <w:spacing w:line="240" w:lineRule="auto"/>
              <w:jc w:val="center"/>
              <w:rPr>
                <w:rFonts w:hint="eastAsia"/>
                <w:b/>
                <w:snapToGrid w:val="0"/>
                <w:color w:val="auto"/>
                <w:kern w:val="0"/>
                <w:szCs w:val="21"/>
              </w:rPr>
            </w:pPr>
            <w:r>
              <w:rPr>
                <w:b/>
                <w:snapToGrid w:val="0"/>
                <w:color w:val="auto"/>
                <w:kern w:val="0"/>
                <w:szCs w:val="21"/>
              </w:rPr>
              <w:t>表3-</w:t>
            </w:r>
            <w:r>
              <w:rPr>
                <w:rFonts w:hint="eastAsia"/>
                <w:b/>
                <w:snapToGrid w:val="0"/>
                <w:color w:val="auto"/>
                <w:kern w:val="0"/>
                <w:szCs w:val="21"/>
              </w:rPr>
              <w:t>4</w:t>
            </w:r>
            <w:r>
              <w:rPr>
                <w:b/>
                <w:snapToGrid w:val="0"/>
                <w:color w:val="auto"/>
                <w:kern w:val="0"/>
                <w:szCs w:val="21"/>
              </w:rPr>
              <w:t>项目声环境保护目标的噪声监测结果</w:t>
            </w:r>
          </w:p>
          <w:tbl>
            <w:tblPr>
              <w:tblStyle w:val="42"/>
              <w:tblW w:w="49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3409"/>
              <w:gridCol w:w="1281"/>
              <w:gridCol w:w="1422"/>
              <w:gridCol w:w="981"/>
              <w:gridCol w:w="1212"/>
            </w:tblGrid>
            <w:tr w14:paraId="4D79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9" w:type="pct"/>
                  <w:vMerge w:val="restart"/>
                  <w:tcBorders>
                    <w:left w:val="single" w:color="auto" w:sz="2" w:space="0"/>
                  </w:tcBorders>
                  <w:vAlign w:val="center"/>
                </w:tcPr>
                <w:p w14:paraId="58D3162C">
                  <w:pPr>
                    <w:spacing w:line="240" w:lineRule="auto"/>
                    <w:jc w:val="center"/>
                    <w:rPr>
                      <w:rFonts w:hint="eastAsia"/>
                      <w:b/>
                      <w:bCs/>
                      <w:color w:val="auto"/>
                      <w:kern w:val="0"/>
                      <w:sz w:val="21"/>
                      <w:szCs w:val="21"/>
                      <w:highlight w:val="none"/>
                    </w:rPr>
                  </w:pPr>
                  <w:r>
                    <w:rPr>
                      <w:rFonts w:hint="eastAsia"/>
                      <w:b/>
                      <w:bCs/>
                      <w:color w:val="auto"/>
                      <w:kern w:val="0"/>
                      <w:sz w:val="21"/>
                      <w:szCs w:val="21"/>
                      <w:highlight w:val="none"/>
                    </w:rPr>
                    <w:t>检测日期</w:t>
                  </w:r>
                </w:p>
              </w:tc>
              <w:tc>
                <w:tcPr>
                  <w:tcW w:w="1876" w:type="pct"/>
                  <w:vMerge w:val="restart"/>
                  <w:tcBorders>
                    <w:left w:val="single" w:color="auto" w:sz="2" w:space="0"/>
                  </w:tcBorders>
                  <w:vAlign w:val="center"/>
                </w:tcPr>
                <w:p w14:paraId="35067A9D">
                  <w:pPr>
                    <w:spacing w:line="240" w:lineRule="auto"/>
                    <w:jc w:val="center"/>
                    <w:rPr>
                      <w:rFonts w:hint="eastAsia"/>
                      <w:b/>
                      <w:bCs/>
                      <w:color w:val="auto"/>
                      <w:kern w:val="0"/>
                      <w:sz w:val="21"/>
                      <w:szCs w:val="21"/>
                      <w:highlight w:val="none"/>
                    </w:rPr>
                  </w:pPr>
                  <w:r>
                    <w:rPr>
                      <w:rFonts w:hint="eastAsia"/>
                      <w:b/>
                      <w:bCs/>
                      <w:color w:val="auto"/>
                      <w:kern w:val="0"/>
                      <w:sz w:val="21"/>
                      <w:szCs w:val="21"/>
                      <w:highlight w:val="none"/>
                    </w:rPr>
                    <w:t>检测点位</w:t>
                  </w:r>
                </w:p>
              </w:tc>
              <w:tc>
                <w:tcPr>
                  <w:tcW w:w="2694" w:type="pct"/>
                  <w:gridSpan w:val="4"/>
                  <w:tcBorders>
                    <w:left w:val="single" w:color="auto" w:sz="2" w:space="0"/>
                  </w:tcBorders>
                  <w:vAlign w:val="center"/>
                </w:tcPr>
                <w:p w14:paraId="549AB0B3">
                  <w:pPr>
                    <w:spacing w:line="240" w:lineRule="auto"/>
                    <w:jc w:val="center"/>
                    <w:rPr>
                      <w:rFonts w:hint="eastAsia"/>
                      <w:b/>
                      <w:bCs/>
                      <w:color w:val="auto"/>
                      <w:kern w:val="0"/>
                      <w:sz w:val="21"/>
                      <w:szCs w:val="21"/>
                      <w:highlight w:val="none"/>
                    </w:rPr>
                  </w:pPr>
                  <w:r>
                    <w:rPr>
                      <w:rFonts w:hint="eastAsia"/>
                      <w:b/>
                      <w:bCs/>
                      <w:color w:val="auto"/>
                      <w:kern w:val="0"/>
                      <w:sz w:val="21"/>
                      <w:szCs w:val="21"/>
                      <w:highlight w:val="none"/>
                    </w:rPr>
                    <w:t>Leq值[dB(A)]</w:t>
                  </w:r>
                </w:p>
              </w:tc>
            </w:tr>
            <w:tr w14:paraId="6C73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9" w:type="pct"/>
                  <w:vMerge w:val="continue"/>
                  <w:tcBorders>
                    <w:left w:val="single" w:color="auto" w:sz="2" w:space="0"/>
                  </w:tcBorders>
                  <w:vAlign w:val="center"/>
                </w:tcPr>
                <w:p w14:paraId="571042E1">
                  <w:pPr>
                    <w:spacing w:line="240" w:lineRule="auto"/>
                    <w:jc w:val="center"/>
                    <w:rPr>
                      <w:rFonts w:hint="eastAsia"/>
                      <w:color w:val="auto"/>
                      <w:kern w:val="0"/>
                      <w:sz w:val="21"/>
                      <w:szCs w:val="21"/>
                      <w:highlight w:val="none"/>
                    </w:rPr>
                  </w:pPr>
                </w:p>
              </w:tc>
              <w:tc>
                <w:tcPr>
                  <w:tcW w:w="1876" w:type="pct"/>
                  <w:vMerge w:val="continue"/>
                  <w:tcBorders>
                    <w:left w:val="single" w:color="auto" w:sz="2" w:space="0"/>
                  </w:tcBorders>
                  <w:vAlign w:val="center"/>
                </w:tcPr>
                <w:p w14:paraId="25E2A50E">
                  <w:pPr>
                    <w:spacing w:line="240" w:lineRule="auto"/>
                    <w:jc w:val="center"/>
                    <w:rPr>
                      <w:rFonts w:hint="eastAsia"/>
                      <w:color w:val="auto"/>
                      <w:kern w:val="0"/>
                      <w:sz w:val="21"/>
                      <w:szCs w:val="21"/>
                      <w:highlight w:val="none"/>
                    </w:rPr>
                  </w:pPr>
                </w:p>
              </w:tc>
              <w:tc>
                <w:tcPr>
                  <w:tcW w:w="705" w:type="pct"/>
                  <w:tcBorders>
                    <w:left w:val="single" w:color="auto" w:sz="2" w:space="0"/>
                    <w:right w:val="single" w:color="000000" w:sz="6" w:space="0"/>
                  </w:tcBorders>
                  <w:shd w:val="clear" w:color="auto" w:fill="auto"/>
                  <w:vAlign w:val="center"/>
                </w:tcPr>
                <w:p w14:paraId="02E2D279">
                  <w:pPr>
                    <w:spacing w:line="240" w:lineRule="auto"/>
                    <w:jc w:val="center"/>
                    <w:rPr>
                      <w:rFonts w:hint="eastAsia"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rPr>
                    <w:t>昼间</w:t>
                  </w:r>
                </w:p>
              </w:tc>
              <w:tc>
                <w:tcPr>
                  <w:tcW w:w="782" w:type="pct"/>
                  <w:tcBorders>
                    <w:left w:val="single" w:color="000000" w:sz="6" w:space="0"/>
                  </w:tcBorders>
                  <w:shd w:val="clear" w:color="auto" w:fill="auto"/>
                  <w:vAlign w:val="center"/>
                </w:tcPr>
                <w:p w14:paraId="52B10AE7">
                  <w:pPr>
                    <w:spacing w:line="240" w:lineRule="auto"/>
                    <w:jc w:val="center"/>
                    <w:rPr>
                      <w:rFonts w:hint="eastAsia"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rPr>
                    <w:t>标准限值</w:t>
                  </w:r>
                </w:p>
              </w:tc>
              <w:tc>
                <w:tcPr>
                  <w:tcW w:w="539" w:type="pct"/>
                  <w:tcBorders>
                    <w:left w:val="single" w:color="auto" w:sz="4" w:space="0"/>
                    <w:right w:val="single" w:color="000000" w:sz="6" w:space="0"/>
                  </w:tcBorders>
                  <w:shd w:val="clear" w:color="auto" w:fill="auto"/>
                  <w:vAlign w:val="center"/>
                </w:tcPr>
                <w:p w14:paraId="6CFC1A6E">
                  <w:pPr>
                    <w:spacing w:line="240" w:lineRule="auto"/>
                    <w:jc w:val="center"/>
                    <w:rPr>
                      <w:rFonts w:hint="eastAsia"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夜间</w:t>
                  </w:r>
                </w:p>
              </w:tc>
              <w:tc>
                <w:tcPr>
                  <w:tcW w:w="667" w:type="pct"/>
                  <w:tcBorders>
                    <w:left w:val="single" w:color="000000" w:sz="6" w:space="0"/>
                  </w:tcBorders>
                  <w:shd w:val="clear" w:color="auto" w:fill="auto"/>
                  <w:vAlign w:val="center"/>
                </w:tcPr>
                <w:p w14:paraId="1E8EEEFD">
                  <w:pPr>
                    <w:spacing w:line="240" w:lineRule="auto"/>
                    <w:jc w:val="center"/>
                    <w:rPr>
                      <w:rFonts w:hint="eastAsia"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rPr>
                    <w:t>标准限值</w:t>
                  </w:r>
                </w:p>
              </w:tc>
            </w:tr>
            <w:tr w14:paraId="5465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9" w:type="pct"/>
                  <w:vMerge w:val="restart"/>
                  <w:tcBorders>
                    <w:left w:val="single" w:color="auto" w:sz="2" w:space="0"/>
                  </w:tcBorders>
                  <w:vAlign w:val="center"/>
                </w:tcPr>
                <w:p w14:paraId="1A44DA64">
                  <w:pPr>
                    <w:spacing w:line="240" w:lineRule="auto"/>
                    <w:jc w:val="center"/>
                    <w:rPr>
                      <w:rFonts w:hint="eastAsia" w:eastAsia="宋体"/>
                      <w:color w:val="auto"/>
                      <w:kern w:val="0"/>
                      <w:sz w:val="21"/>
                      <w:szCs w:val="21"/>
                      <w:highlight w:val="none"/>
                      <w:lang w:val="en-US" w:eastAsia="zh-CN"/>
                    </w:rPr>
                  </w:pPr>
                  <w:r>
                    <w:rPr>
                      <w:rFonts w:hint="eastAsia"/>
                      <w:color w:val="auto"/>
                      <w:sz w:val="21"/>
                      <w:szCs w:val="21"/>
                      <w:highlight w:val="none"/>
                    </w:rPr>
                    <w:t>2026年06月</w:t>
                  </w:r>
                  <w:r>
                    <w:rPr>
                      <w:rFonts w:hint="eastAsia"/>
                      <w:color w:val="auto"/>
                      <w:sz w:val="21"/>
                      <w:szCs w:val="21"/>
                      <w:highlight w:val="none"/>
                      <w:lang w:val="en-US" w:eastAsia="zh-CN"/>
                    </w:rPr>
                    <w:t>24</w:t>
                  </w:r>
                  <w:r>
                    <w:rPr>
                      <w:rFonts w:hint="eastAsia"/>
                      <w:color w:val="auto"/>
                      <w:sz w:val="21"/>
                      <w:szCs w:val="21"/>
                      <w:highlight w:val="none"/>
                    </w:rPr>
                    <w:t>日</w:t>
                  </w:r>
                </w:p>
              </w:tc>
              <w:tc>
                <w:tcPr>
                  <w:tcW w:w="1876" w:type="pct"/>
                  <w:tcBorders>
                    <w:left w:val="single" w:color="auto" w:sz="2" w:space="0"/>
                  </w:tcBorders>
                  <w:shd w:val="clear" w:color="auto" w:fill="auto"/>
                  <w:vAlign w:val="center"/>
                </w:tcPr>
                <w:p w14:paraId="5E7AF89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项目</w:t>
                  </w:r>
                  <w:r>
                    <w:rPr>
                      <w:rFonts w:hint="eastAsia" w:ascii="Times New Roman" w:hAnsi="Times New Roman" w:cs="Times New Roman"/>
                      <w:color w:val="auto"/>
                      <w:sz w:val="21"/>
                      <w:szCs w:val="21"/>
                      <w:highlight w:val="none"/>
                      <w:lang w:val="en-US" w:eastAsia="zh-CN"/>
                    </w:rPr>
                    <w:t>南</w:t>
                  </w:r>
                  <w:r>
                    <w:rPr>
                      <w:rFonts w:hint="default" w:ascii="Times New Roman" w:hAnsi="Times New Roman" w:cs="Times New Roman"/>
                      <w:color w:val="auto"/>
                      <w:sz w:val="21"/>
                      <w:szCs w:val="21"/>
                      <w:highlight w:val="none"/>
                      <w:lang w:val="en-US" w:eastAsia="zh-CN"/>
                    </w:rPr>
                    <w:t>侧边界外1米处</w:t>
                  </w:r>
                  <w:r>
                    <w:rPr>
                      <w:rFonts w:hint="eastAsia" w:ascii="Times New Roman" w:hAnsi="Times New Roman" w:cs="Times New Roman"/>
                      <w:color w:val="auto"/>
                      <w:sz w:val="21"/>
                      <w:szCs w:val="21"/>
                      <w:highlight w:val="none"/>
                      <w:lang w:val="en-US" w:eastAsia="zh-CN"/>
                    </w:rPr>
                    <w:t>▲N1</w:t>
                  </w:r>
                </w:p>
              </w:tc>
              <w:tc>
                <w:tcPr>
                  <w:tcW w:w="705" w:type="pct"/>
                  <w:tcBorders>
                    <w:left w:val="single" w:color="auto" w:sz="2" w:space="0"/>
                    <w:right w:val="single" w:color="000000" w:sz="6" w:space="0"/>
                  </w:tcBorders>
                  <w:shd w:val="clear" w:color="auto" w:fill="auto"/>
                  <w:vAlign w:val="center"/>
                </w:tcPr>
                <w:p w14:paraId="2E9F4632">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62</w:t>
                  </w:r>
                </w:p>
              </w:tc>
              <w:tc>
                <w:tcPr>
                  <w:tcW w:w="782" w:type="pct"/>
                  <w:tcBorders>
                    <w:left w:val="single" w:color="000000" w:sz="6" w:space="0"/>
                  </w:tcBorders>
                  <w:shd w:val="clear" w:color="auto" w:fill="auto"/>
                  <w:vAlign w:val="center"/>
                </w:tcPr>
                <w:p w14:paraId="2F54AC6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65</w:t>
                  </w:r>
                </w:p>
              </w:tc>
              <w:tc>
                <w:tcPr>
                  <w:tcW w:w="539" w:type="pct"/>
                  <w:tcBorders>
                    <w:left w:val="single" w:color="auto" w:sz="4" w:space="0"/>
                    <w:right w:val="single" w:color="000000" w:sz="6" w:space="0"/>
                  </w:tcBorders>
                  <w:shd w:val="clear" w:color="auto" w:fill="auto"/>
                  <w:vAlign w:val="center"/>
                </w:tcPr>
                <w:p w14:paraId="5E65D243">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45</w:t>
                  </w:r>
                </w:p>
              </w:tc>
              <w:tc>
                <w:tcPr>
                  <w:tcW w:w="667" w:type="pct"/>
                  <w:tcBorders>
                    <w:left w:val="single" w:color="000000" w:sz="6" w:space="0"/>
                  </w:tcBorders>
                  <w:shd w:val="clear" w:color="auto" w:fill="auto"/>
                  <w:vAlign w:val="center"/>
                </w:tcPr>
                <w:p w14:paraId="03404A0E">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55</w:t>
                  </w:r>
                </w:p>
              </w:tc>
            </w:tr>
            <w:tr w14:paraId="6843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9" w:type="pct"/>
                  <w:vMerge w:val="continue"/>
                  <w:tcBorders>
                    <w:left w:val="single" w:color="auto" w:sz="2" w:space="0"/>
                  </w:tcBorders>
                  <w:vAlign w:val="center"/>
                </w:tcPr>
                <w:p w14:paraId="5DF4A452">
                  <w:pPr>
                    <w:spacing w:line="240" w:lineRule="auto"/>
                    <w:jc w:val="center"/>
                    <w:rPr>
                      <w:rFonts w:hint="eastAsia"/>
                      <w:color w:val="auto"/>
                      <w:kern w:val="0"/>
                      <w:sz w:val="21"/>
                      <w:szCs w:val="21"/>
                      <w:highlight w:val="none"/>
                    </w:rPr>
                  </w:pPr>
                </w:p>
              </w:tc>
              <w:tc>
                <w:tcPr>
                  <w:tcW w:w="1876" w:type="pct"/>
                  <w:tcBorders>
                    <w:left w:val="single" w:color="auto" w:sz="2" w:space="0"/>
                  </w:tcBorders>
                  <w:shd w:val="clear" w:color="auto" w:fill="auto"/>
                  <w:vAlign w:val="center"/>
                </w:tcPr>
                <w:p w14:paraId="0D50B4EF">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阳东区龙源实验学校▲N2</w:t>
                  </w:r>
                </w:p>
              </w:tc>
              <w:tc>
                <w:tcPr>
                  <w:tcW w:w="705" w:type="pct"/>
                  <w:tcBorders>
                    <w:left w:val="single" w:color="auto" w:sz="2" w:space="0"/>
                    <w:right w:val="single" w:color="000000" w:sz="6" w:space="0"/>
                  </w:tcBorders>
                  <w:shd w:val="clear" w:color="auto" w:fill="auto"/>
                  <w:vAlign w:val="center"/>
                </w:tcPr>
                <w:p w14:paraId="6C39F1D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56</w:t>
                  </w:r>
                </w:p>
              </w:tc>
              <w:tc>
                <w:tcPr>
                  <w:tcW w:w="782" w:type="pct"/>
                  <w:tcBorders>
                    <w:left w:val="single" w:color="000000" w:sz="6" w:space="0"/>
                  </w:tcBorders>
                  <w:shd w:val="clear" w:color="auto" w:fill="auto"/>
                  <w:vAlign w:val="center"/>
                </w:tcPr>
                <w:p w14:paraId="05FEB339">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60</w:t>
                  </w:r>
                </w:p>
              </w:tc>
              <w:tc>
                <w:tcPr>
                  <w:tcW w:w="539" w:type="pct"/>
                  <w:tcBorders>
                    <w:left w:val="single" w:color="auto" w:sz="4" w:space="0"/>
                    <w:right w:val="single" w:color="000000" w:sz="6" w:space="0"/>
                  </w:tcBorders>
                  <w:shd w:val="clear" w:color="auto" w:fill="auto"/>
                  <w:vAlign w:val="center"/>
                </w:tcPr>
                <w:p w14:paraId="172E528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43</w:t>
                  </w:r>
                </w:p>
              </w:tc>
              <w:tc>
                <w:tcPr>
                  <w:tcW w:w="667" w:type="pct"/>
                  <w:tcBorders>
                    <w:left w:val="single" w:color="000000" w:sz="6" w:space="0"/>
                  </w:tcBorders>
                  <w:shd w:val="clear" w:color="auto" w:fill="auto"/>
                  <w:vAlign w:val="center"/>
                </w:tcPr>
                <w:p w14:paraId="672096B9">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50</w:t>
                  </w:r>
                </w:p>
              </w:tc>
            </w:tr>
            <w:tr w14:paraId="44D0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9" w:type="pct"/>
                  <w:vMerge w:val="continue"/>
                  <w:tcBorders>
                    <w:left w:val="single" w:color="auto" w:sz="2" w:space="0"/>
                  </w:tcBorders>
                  <w:vAlign w:val="center"/>
                </w:tcPr>
                <w:p w14:paraId="74EE119C">
                  <w:pPr>
                    <w:spacing w:line="240" w:lineRule="auto"/>
                    <w:jc w:val="center"/>
                    <w:rPr>
                      <w:rFonts w:hint="eastAsia"/>
                      <w:color w:val="auto"/>
                      <w:kern w:val="0"/>
                      <w:sz w:val="21"/>
                      <w:szCs w:val="21"/>
                      <w:highlight w:val="none"/>
                    </w:rPr>
                  </w:pPr>
                </w:p>
              </w:tc>
              <w:tc>
                <w:tcPr>
                  <w:tcW w:w="1876" w:type="pct"/>
                  <w:tcBorders>
                    <w:left w:val="single" w:color="auto" w:sz="2" w:space="0"/>
                    <w:bottom w:val="single" w:color="000000" w:sz="6" w:space="0"/>
                  </w:tcBorders>
                  <w:shd w:val="clear" w:color="auto" w:fill="auto"/>
                  <w:vAlign w:val="center"/>
                </w:tcPr>
                <w:p w14:paraId="6C2672BF">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阳光天地住宅区▲N3</w:t>
                  </w:r>
                </w:p>
              </w:tc>
              <w:tc>
                <w:tcPr>
                  <w:tcW w:w="705" w:type="pct"/>
                  <w:tcBorders>
                    <w:left w:val="single" w:color="auto" w:sz="2" w:space="0"/>
                    <w:bottom w:val="single" w:color="000000" w:sz="6" w:space="0"/>
                    <w:right w:val="single" w:color="000000" w:sz="6" w:space="0"/>
                  </w:tcBorders>
                  <w:shd w:val="clear" w:color="auto" w:fill="auto"/>
                  <w:vAlign w:val="center"/>
                </w:tcPr>
                <w:p w14:paraId="1A0D0AF1">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56</w:t>
                  </w:r>
                </w:p>
              </w:tc>
              <w:tc>
                <w:tcPr>
                  <w:tcW w:w="782" w:type="pct"/>
                  <w:tcBorders>
                    <w:left w:val="single" w:color="000000" w:sz="6" w:space="0"/>
                    <w:bottom w:val="single" w:color="000000" w:sz="6" w:space="0"/>
                  </w:tcBorders>
                  <w:shd w:val="clear" w:color="auto" w:fill="auto"/>
                  <w:vAlign w:val="center"/>
                </w:tcPr>
                <w:p w14:paraId="0169754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60</w:t>
                  </w:r>
                </w:p>
              </w:tc>
              <w:tc>
                <w:tcPr>
                  <w:tcW w:w="539" w:type="pct"/>
                  <w:tcBorders>
                    <w:left w:val="single" w:color="auto" w:sz="4" w:space="0"/>
                    <w:bottom w:val="single" w:color="000000" w:sz="6" w:space="0"/>
                    <w:right w:val="single" w:color="000000" w:sz="6" w:space="0"/>
                  </w:tcBorders>
                  <w:shd w:val="clear" w:color="auto" w:fill="auto"/>
                  <w:vAlign w:val="center"/>
                </w:tcPr>
                <w:p w14:paraId="45C4E15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46</w:t>
                  </w:r>
                </w:p>
              </w:tc>
              <w:tc>
                <w:tcPr>
                  <w:tcW w:w="667" w:type="pct"/>
                  <w:tcBorders>
                    <w:left w:val="single" w:color="000000" w:sz="6" w:space="0"/>
                    <w:bottom w:val="single" w:color="000000" w:sz="6" w:space="0"/>
                  </w:tcBorders>
                  <w:shd w:val="clear" w:color="auto" w:fill="auto"/>
                  <w:vAlign w:val="center"/>
                </w:tcPr>
                <w:p w14:paraId="2D057118">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50</w:t>
                  </w:r>
                </w:p>
              </w:tc>
            </w:tr>
            <w:tr w14:paraId="4A9D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9" w:type="pct"/>
                  <w:vMerge w:val="continue"/>
                  <w:tcBorders>
                    <w:left w:val="single" w:color="auto" w:sz="2" w:space="0"/>
                  </w:tcBorders>
                  <w:vAlign w:val="center"/>
                </w:tcPr>
                <w:p w14:paraId="09A411B3">
                  <w:pPr>
                    <w:spacing w:line="240" w:lineRule="auto"/>
                    <w:jc w:val="center"/>
                    <w:rPr>
                      <w:rFonts w:hint="eastAsia"/>
                      <w:color w:val="auto"/>
                      <w:kern w:val="0"/>
                      <w:sz w:val="21"/>
                      <w:szCs w:val="21"/>
                      <w:highlight w:val="none"/>
                    </w:rPr>
                  </w:pPr>
                </w:p>
              </w:tc>
              <w:tc>
                <w:tcPr>
                  <w:tcW w:w="1876" w:type="pct"/>
                  <w:tcBorders>
                    <w:top w:val="single" w:color="000000" w:sz="6" w:space="0"/>
                    <w:left w:val="single" w:color="auto" w:sz="2" w:space="0"/>
                  </w:tcBorders>
                  <w:shd w:val="clear" w:color="auto" w:fill="auto"/>
                  <w:vAlign w:val="center"/>
                </w:tcPr>
                <w:p w14:paraId="7647B6F2">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东侧商住楼▲N4</w:t>
                  </w:r>
                </w:p>
              </w:tc>
              <w:tc>
                <w:tcPr>
                  <w:tcW w:w="705" w:type="pct"/>
                  <w:tcBorders>
                    <w:top w:val="single" w:color="000000" w:sz="6" w:space="0"/>
                    <w:left w:val="single" w:color="auto" w:sz="2" w:space="0"/>
                    <w:right w:val="single" w:color="000000" w:sz="6" w:space="0"/>
                  </w:tcBorders>
                  <w:shd w:val="clear" w:color="auto" w:fill="auto"/>
                  <w:vAlign w:val="center"/>
                </w:tcPr>
                <w:p w14:paraId="3842679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56</w:t>
                  </w:r>
                </w:p>
              </w:tc>
              <w:tc>
                <w:tcPr>
                  <w:tcW w:w="782" w:type="pct"/>
                  <w:tcBorders>
                    <w:top w:val="single" w:color="000000" w:sz="6" w:space="0"/>
                    <w:left w:val="single" w:color="000000" w:sz="6" w:space="0"/>
                  </w:tcBorders>
                  <w:shd w:val="clear" w:color="auto" w:fill="auto"/>
                  <w:vAlign w:val="center"/>
                </w:tcPr>
                <w:p w14:paraId="668CC121">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60</w:t>
                  </w:r>
                </w:p>
              </w:tc>
              <w:tc>
                <w:tcPr>
                  <w:tcW w:w="539" w:type="pct"/>
                  <w:tcBorders>
                    <w:top w:val="single" w:color="000000" w:sz="6" w:space="0"/>
                    <w:left w:val="single" w:color="auto" w:sz="4" w:space="0"/>
                    <w:right w:val="single" w:color="000000" w:sz="6" w:space="0"/>
                  </w:tcBorders>
                  <w:shd w:val="clear" w:color="auto" w:fill="auto"/>
                  <w:vAlign w:val="center"/>
                </w:tcPr>
                <w:p w14:paraId="40D9EE72">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46</w:t>
                  </w:r>
                </w:p>
              </w:tc>
              <w:tc>
                <w:tcPr>
                  <w:tcW w:w="667" w:type="pct"/>
                  <w:tcBorders>
                    <w:top w:val="single" w:color="000000" w:sz="6" w:space="0"/>
                    <w:left w:val="single" w:color="000000" w:sz="6" w:space="0"/>
                  </w:tcBorders>
                  <w:shd w:val="clear" w:color="auto" w:fill="auto"/>
                  <w:vAlign w:val="center"/>
                </w:tcPr>
                <w:p w14:paraId="039D74FE">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50</w:t>
                  </w:r>
                </w:p>
              </w:tc>
            </w:tr>
          </w:tbl>
          <w:p w14:paraId="32488A19">
            <w:pPr>
              <w:widowControl w:val="0"/>
              <w:autoSpaceDE w:val="0"/>
              <w:autoSpaceDN w:val="0"/>
              <w:adjustRightInd w:val="0"/>
              <w:spacing w:line="360" w:lineRule="auto"/>
              <w:ind w:firstLine="480" w:firstLineChars="200"/>
              <w:rPr>
                <w:color w:val="auto"/>
                <w:kern w:val="0"/>
                <w:sz w:val="24"/>
              </w:rPr>
            </w:pPr>
            <w:r>
              <w:rPr>
                <w:color w:val="auto"/>
                <w:sz w:val="24"/>
              </w:rPr>
              <w:t>从监测结果可以看出，项目厂界</w:t>
            </w:r>
            <w:r>
              <w:rPr>
                <w:rFonts w:hint="eastAsia"/>
                <w:color w:val="auto"/>
                <w:sz w:val="24"/>
              </w:rPr>
              <w:t>噪声值均满足</w:t>
            </w:r>
            <w:r>
              <w:rPr>
                <w:color w:val="auto"/>
                <w:sz w:val="24"/>
              </w:rPr>
              <w:t>《声环境质量标准》（GB3096-2008）中</w:t>
            </w:r>
            <w:r>
              <w:rPr>
                <w:rFonts w:hint="eastAsia"/>
                <w:color w:val="auto"/>
                <w:sz w:val="24"/>
              </w:rPr>
              <w:t>3</w:t>
            </w:r>
            <w:r>
              <w:rPr>
                <w:color w:val="auto"/>
                <w:sz w:val="24"/>
              </w:rPr>
              <w:t>类标准</w:t>
            </w:r>
            <w:r>
              <w:rPr>
                <w:rFonts w:hint="eastAsia"/>
                <w:color w:val="auto"/>
                <w:sz w:val="24"/>
              </w:rPr>
              <w:t>，厂界</w:t>
            </w:r>
            <w:r>
              <w:rPr>
                <w:color w:val="auto"/>
                <w:sz w:val="24"/>
              </w:rPr>
              <w:t>外50米范围内的噪声敏感点的噪声值均满足《声环境质量标准》（GB3096-2008）中2类标准。</w:t>
            </w:r>
          </w:p>
          <w:p w14:paraId="23E6B6F4">
            <w:pPr>
              <w:widowControl w:val="0"/>
              <w:spacing w:line="360" w:lineRule="auto"/>
              <w:ind w:firstLine="482" w:firstLineChars="200"/>
              <w:rPr>
                <w:b/>
                <w:color w:val="auto"/>
                <w:sz w:val="24"/>
              </w:rPr>
            </w:pPr>
            <w:r>
              <w:rPr>
                <w:b/>
                <w:color w:val="auto"/>
                <w:sz w:val="24"/>
              </w:rPr>
              <w:t>4、生态环境质量现状</w:t>
            </w:r>
          </w:p>
          <w:p w14:paraId="65056842">
            <w:pPr>
              <w:widowControl w:val="0"/>
              <w:autoSpaceDE w:val="0"/>
              <w:autoSpaceDN w:val="0"/>
              <w:adjustRightInd w:val="0"/>
              <w:spacing w:line="360" w:lineRule="auto"/>
              <w:ind w:firstLine="480" w:firstLineChars="200"/>
              <w:rPr>
                <w:color w:val="auto"/>
              </w:rPr>
            </w:pPr>
            <w:r>
              <w:rPr>
                <w:rFonts w:hint="eastAsia"/>
                <w:color w:val="auto"/>
                <w:kern w:val="0"/>
                <w:sz w:val="24"/>
              </w:rPr>
              <w:t>本</w:t>
            </w:r>
            <w:r>
              <w:rPr>
                <w:color w:val="auto"/>
                <w:kern w:val="0"/>
                <w:sz w:val="24"/>
              </w:rPr>
              <w:t>项目所在地处于人类活动频繁区，无原始植被生长和珍贵野生动物活动，用地范围内无生态环境保护目标，因此项目可不开展生态现状调查。</w:t>
            </w:r>
          </w:p>
          <w:p w14:paraId="1B7D9FF8">
            <w:pPr>
              <w:widowControl w:val="0"/>
              <w:spacing w:line="360" w:lineRule="auto"/>
              <w:ind w:firstLine="482" w:firstLineChars="200"/>
              <w:rPr>
                <w:b/>
                <w:color w:val="auto"/>
                <w:sz w:val="24"/>
              </w:rPr>
            </w:pPr>
            <w:r>
              <w:rPr>
                <w:b/>
                <w:color w:val="auto"/>
                <w:sz w:val="24"/>
              </w:rPr>
              <w:t>5、地下水、土壤环境质量现状</w:t>
            </w:r>
          </w:p>
          <w:p w14:paraId="3D6EA777">
            <w:pPr>
              <w:widowControl w:val="0"/>
              <w:autoSpaceDE w:val="0"/>
              <w:autoSpaceDN w:val="0"/>
              <w:adjustRightInd w:val="0"/>
              <w:spacing w:line="360" w:lineRule="auto"/>
              <w:ind w:firstLine="480" w:firstLineChars="200"/>
              <w:rPr>
                <w:color w:val="auto"/>
                <w:sz w:val="24"/>
              </w:rPr>
            </w:pPr>
            <w:r>
              <w:rPr>
                <w:color w:val="auto"/>
                <w:sz w:val="24"/>
              </w:rPr>
              <w:t>根据《关于印发&lt;建设项目环境影响报告表&gt;内容、格式及编制技术指南的通知》（环办环评〔2020〕33号）的《建设项目环境影响报告表编制技术指南（污染影响类）（试行）》的要求，原则上不开展地下水、土壤环境质量现状调查</w:t>
            </w:r>
            <w:r>
              <w:rPr>
                <w:rFonts w:hint="eastAsia"/>
                <w:color w:val="auto"/>
                <w:sz w:val="24"/>
              </w:rPr>
              <w:t>。</w:t>
            </w:r>
            <w:r>
              <w:rPr>
                <w:color w:val="auto"/>
                <w:sz w:val="24"/>
              </w:rPr>
              <w:t>本项目建成后对生产车间落实硬底化措施，对危险废物仓库设置围堰和防渗防腐处理，即本项目建成后将对厂房进行分区并落实对应的防渗措施。因此，本项目建成后不存在土壤、地下水环境污染途径</w:t>
            </w:r>
            <w:r>
              <w:rPr>
                <w:rFonts w:hint="eastAsia"/>
                <w:color w:val="auto"/>
                <w:sz w:val="24"/>
              </w:rPr>
              <w:t>。</w:t>
            </w:r>
            <w:r>
              <w:rPr>
                <w:color w:val="auto"/>
                <w:sz w:val="24"/>
              </w:rPr>
              <w:t>本次评价不对地下水、土壤环境开展环境质量现状调查。</w:t>
            </w:r>
          </w:p>
          <w:p w14:paraId="591B46D0">
            <w:pPr>
              <w:widowControl w:val="0"/>
              <w:spacing w:line="360" w:lineRule="auto"/>
              <w:ind w:firstLine="482" w:firstLineChars="200"/>
              <w:rPr>
                <w:b/>
                <w:color w:val="auto"/>
                <w:sz w:val="24"/>
              </w:rPr>
            </w:pPr>
            <w:r>
              <w:rPr>
                <w:b/>
                <w:color w:val="auto"/>
                <w:sz w:val="24"/>
              </w:rPr>
              <w:t>6、电磁辐射环境质量现状</w:t>
            </w:r>
          </w:p>
          <w:p w14:paraId="06787774">
            <w:pPr>
              <w:tabs>
                <w:tab w:val="left" w:pos="1770"/>
              </w:tabs>
              <w:adjustRightInd w:val="0"/>
              <w:snapToGrid w:val="0"/>
              <w:spacing w:line="360" w:lineRule="auto"/>
              <w:ind w:firstLine="480" w:firstLineChars="200"/>
              <w:rPr>
                <w:color w:val="auto"/>
                <w:sz w:val="24"/>
              </w:rPr>
            </w:pPr>
            <w:r>
              <w:rPr>
                <w:color w:val="auto"/>
                <w:sz w:val="24"/>
              </w:rPr>
              <w:t>本项目不属于广播电台、差转台、电视塔台、卫星地球上行站、雷达等电磁辐射类项目，故不需开展电磁辐射现状调查。</w:t>
            </w:r>
          </w:p>
          <w:p w14:paraId="568B411B">
            <w:pPr>
              <w:tabs>
                <w:tab w:val="left" w:pos="1770"/>
              </w:tabs>
              <w:adjustRightInd w:val="0"/>
              <w:snapToGrid w:val="0"/>
              <w:spacing w:line="360" w:lineRule="auto"/>
              <w:ind w:firstLine="480" w:firstLineChars="200"/>
              <w:rPr>
                <w:color w:val="auto"/>
                <w:sz w:val="24"/>
              </w:rPr>
            </w:pPr>
          </w:p>
          <w:p w14:paraId="374D89D7">
            <w:pPr>
              <w:pStyle w:val="2"/>
              <w:rPr>
                <w:color w:val="auto"/>
              </w:rPr>
            </w:pPr>
          </w:p>
        </w:tc>
      </w:tr>
      <w:tr w14:paraId="5D0E9E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7" w:type="dxa"/>
            <w:tcBorders>
              <w:bottom w:val="single" w:color="auto" w:sz="6" w:space="0"/>
            </w:tcBorders>
            <w:vAlign w:val="center"/>
          </w:tcPr>
          <w:p w14:paraId="0D6664B8">
            <w:pPr>
              <w:adjustRightInd w:val="0"/>
              <w:snapToGrid w:val="0"/>
              <w:jc w:val="center"/>
              <w:rPr>
                <w:color w:val="auto"/>
                <w:kern w:val="0"/>
                <w:szCs w:val="21"/>
              </w:rPr>
            </w:pPr>
            <w:r>
              <w:rPr>
                <w:color w:val="auto"/>
                <w:kern w:val="0"/>
                <w:sz w:val="24"/>
              </w:rPr>
              <w:t>环境保护目标</w:t>
            </w:r>
          </w:p>
        </w:tc>
        <w:tc>
          <w:tcPr>
            <w:tcW w:w="9376" w:type="dxa"/>
            <w:tcBorders>
              <w:bottom w:val="single" w:color="auto" w:sz="6" w:space="0"/>
            </w:tcBorders>
            <w:vAlign w:val="center"/>
          </w:tcPr>
          <w:p w14:paraId="2C328C4F">
            <w:pPr>
              <w:spacing w:line="360" w:lineRule="auto"/>
              <w:ind w:firstLine="482" w:firstLineChars="200"/>
              <w:rPr>
                <w:b/>
                <w:color w:val="auto"/>
                <w:sz w:val="24"/>
              </w:rPr>
            </w:pPr>
            <w:r>
              <w:rPr>
                <w:b/>
                <w:color w:val="auto"/>
                <w:sz w:val="24"/>
              </w:rPr>
              <w:t>1、环境空气保护目标</w:t>
            </w:r>
          </w:p>
          <w:p w14:paraId="2A3D85A6">
            <w:pPr>
              <w:tabs>
                <w:tab w:val="left" w:pos="0"/>
                <w:tab w:val="left" w:pos="2089"/>
              </w:tabs>
              <w:spacing w:line="360" w:lineRule="auto"/>
              <w:ind w:firstLine="480"/>
              <w:rPr>
                <w:color w:val="auto"/>
                <w:sz w:val="24"/>
              </w:rPr>
            </w:pPr>
            <w:r>
              <w:rPr>
                <w:color w:val="auto"/>
                <w:sz w:val="24"/>
              </w:rPr>
              <w:t>本项目厂界外500米范围内没有自然保护区、风景名胜区等保护目标</w:t>
            </w:r>
            <w:r>
              <w:rPr>
                <w:rFonts w:hint="eastAsia"/>
                <w:color w:val="auto"/>
                <w:sz w:val="24"/>
              </w:rPr>
              <w:t>，主要为集中居住区，具体</w:t>
            </w:r>
            <w:r>
              <w:rPr>
                <w:color w:val="auto"/>
                <w:sz w:val="24"/>
              </w:rPr>
              <w:t>大气环境保护目标</w:t>
            </w:r>
            <w:r>
              <w:rPr>
                <w:rFonts w:hint="eastAsia"/>
                <w:color w:val="auto"/>
                <w:sz w:val="24"/>
              </w:rPr>
              <w:t>见表3-5和附图</w:t>
            </w:r>
            <w:r>
              <w:rPr>
                <w:rFonts w:hint="eastAsia"/>
                <w:color w:val="auto"/>
                <w:sz w:val="24"/>
                <w:lang w:val="en-US" w:eastAsia="zh-CN"/>
              </w:rPr>
              <w:t>5</w:t>
            </w:r>
            <w:r>
              <w:rPr>
                <w:rFonts w:hint="eastAsia"/>
                <w:color w:val="auto"/>
                <w:sz w:val="24"/>
              </w:rPr>
              <w:t>所示</w:t>
            </w:r>
            <w:r>
              <w:rPr>
                <w:color w:val="auto"/>
                <w:sz w:val="24"/>
              </w:rPr>
              <w:t>。</w:t>
            </w:r>
          </w:p>
          <w:p w14:paraId="153CE7B5">
            <w:pPr>
              <w:tabs>
                <w:tab w:val="left" w:pos="360"/>
                <w:tab w:val="left" w:pos="397"/>
              </w:tabs>
              <w:adjustRightInd w:val="0"/>
              <w:snapToGrid w:val="0"/>
              <w:jc w:val="center"/>
              <w:rPr>
                <w:rFonts w:hint="eastAsia"/>
                <w:b/>
                <w:bCs/>
                <w:color w:val="auto"/>
                <w:szCs w:val="21"/>
              </w:rPr>
            </w:pPr>
            <w:r>
              <w:rPr>
                <w:rFonts w:hint="eastAsia"/>
                <w:b/>
                <w:bCs/>
                <w:color w:val="auto"/>
                <w:szCs w:val="21"/>
              </w:rPr>
              <w:t>表3-5  本项目主要大气环境保护目标</w:t>
            </w:r>
          </w:p>
          <w:tbl>
            <w:tblPr>
              <w:tblStyle w:val="42"/>
              <w:tblW w:w="920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855"/>
              <w:gridCol w:w="795"/>
              <w:gridCol w:w="1530"/>
              <w:gridCol w:w="1410"/>
              <w:gridCol w:w="1245"/>
              <w:gridCol w:w="930"/>
              <w:gridCol w:w="1111"/>
            </w:tblGrid>
            <w:tr w14:paraId="220E685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vMerge w:val="restart"/>
                  <w:tcBorders>
                    <w:tl2br w:val="nil"/>
                    <w:tr2bl w:val="nil"/>
                  </w:tcBorders>
                  <w:vAlign w:val="center"/>
                </w:tcPr>
                <w:p w14:paraId="5C91B948">
                  <w:pPr>
                    <w:tabs>
                      <w:tab w:val="left" w:pos="397"/>
                    </w:tabs>
                    <w:ind w:left="454" w:hanging="454"/>
                    <w:jc w:val="center"/>
                    <w:rPr>
                      <w:b/>
                      <w:bCs/>
                      <w:color w:val="auto"/>
                      <w:szCs w:val="21"/>
                    </w:rPr>
                  </w:pPr>
                  <w:r>
                    <w:rPr>
                      <w:b/>
                      <w:bCs/>
                      <w:color w:val="auto"/>
                      <w:szCs w:val="21"/>
                    </w:rPr>
                    <w:t>名称</w:t>
                  </w:r>
                </w:p>
              </w:tc>
              <w:tc>
                <w:tcPr>
                  <w:tcW w:w="1650" w:type="dxa"/>
                  <w:gridSpan w:val="2"/>
                  <w:tcBorders>
                    <w:tl2br w:val="nil"/>
                    <w:tr2bl w:val="nil"/>
                  </w:tcBorders>
                  <w:vAlign w:val="center"/>
                </w:tcPr>
                <w:p w14:paraId="5D7DF7A4">
                  <w:pPr>
                    <w:tabs>
                      <w:tab w:val="left" w:pos="397"/>
                    </w:tabs>
                    <w:ind w:left="454" w:hanging="454"/>
                    <w:jc w:val="center"/>
                    <w:rPr>
                      <w:b/>
                      <w:bCs/>
                      <w:color w:val="auto"/>
                      <w:szCs w:val="21"/>
                    </w:rPr>
                  </w:pPr>
                  <w:r>
                    <w:rPr>
                      <w:b/>
                      <w:bCs/>
                      <w:color w:val="auto"/>
                      <w:szCs w:val="21"/>
                    </w:rPr>
                    <w:t>坐标/m</w:t>
                  </w:r>
                </w:p>
              </w:tc>
              <w:tc>
                <w:tcPr>
                  <w:tcW w:w="1530" w:type="dxa"/>
                  <w:vMerge w:val="restart"/>
                  <w:tcBorders>
                    <w:tl2br w:val="nil"/>
                    <w:tr2bl w:val="nil"/>
                  </w:tcBorders>
                  <w:vAlign w:val="center"/>
                </w:tcPr>
                <w:p w14:paraId="44922B6A">
                  <w:pPr>
                    <w:tabs>
                      <w:tab w:val="left" w:pos="397"/>
                    </w:tabs>
                    <w:jc w:val="center"/>
                    <w:rPr>
                      <w:b/>
                      <w:bCs/>
                      <w:color w:val="auto"/>
                      <w:szCs w:val="21"/>
                    </w:rPr>
                  </w:pPr>
                  <w:r>
                    <w:rPr>
                      <w:b/>
                      <w:bCs/>
                      <w:color w:val="auto"/>
                      <w:szCs w:val="21"/>
                    </w:rPr>
                    <w:t>保护对象</w:t>
                  </w:r>
                </w:p>
              </w:tc>
              <w:tc>
                <w:tcPr>
                  <w:tcW w:w="1410" w:type="dxa"/>
                  <w:vMerge w:val="restart"/>
                  <w:tcBorders>
                    <w:tl2br w:val="nil"/>
                    <w:tr2bl w:val="nil"/>
                  </w:tcBorders>
                  <w:vAlign w:val="center"/>
                </w:tcPr>
                <w:p w14:paraId="36985D5F">
                  <w:pPr>
                    <w:tabs>
                      <w:tab w:val="left" w:pos="397"/>
                    </w:tabs>
                    <w:jc w:val="center"/>
                    <w:rPr>
                      <w:b/>
                      <w:bCs/>
                      <w:color w:val="auto"/>
                      <w:szCs w:val="21"/>
                    </w:rPr>
                  </w:pPr>
                  <w:r>
                    <w:rPr>
                      <w:b/>
                      <w:bCs/>
                      <w:color w:val="auto"/>
                      <w:szCs w:val="21"/>
                    </w:rPr>
                    <w:t>保护内容</w:t>
                  </w:r>
                </w:p>
              </w:tc>
              <w:tc>
                <w:tcPr>
                  <w:tcW w:w="1245" w:type="dxa"/>
                  <w:vMerge w:val="restart"/>
                  <w:tcBorders>
                    <w:tl2br w:val="nil"/>
                    <w:tr2bl w:val="nil"/>
                  </w:tcBorders>
                  <w:vAlign w:val="center"/>
                </w:tcPr>
                <w:p w14:paraId="0E42D384">
                  <w:pPr>
                    <w:tabs>
                      <w:tab w:val="left" w:pos="397"/>
                    </w:tabs>
                    <w:jc w:val="center"/>
                    <w:rPr>
                      <w:b/>
                      <w:bCs/>
                      <w:color w:val="auto"/>
                      <w:szCs w:val="21"/>
                    </w:rPr>
                  </w:pPr>
                  <w:r>
                    <w:rPr>
                      <w:b/>
                      <w:bCs/>
                      <w:color w:val="auto"/>
                      <w:szCs w:val="21"/>
                    </w:rPr>
                    <w:t>环境功能区</w:t>
                  </w:r>
                </w:p>
              </w:tc>
              <w:tc>
                <w:tcPr>
                  <w:tcW w:w="930" w:type="dxa"/>
                  <w:vMerge w:val="restart"/>
                  <w:tcBorders>
                    <w:tl2br w:val="nil"/>
                    <w:tr2bl w:val="nil"/>
                  </w:tcBorders>
                  <w:vAlign w:val="center"/>
                </w:tcPr>
                <w:p w14:paraId="34B925CD">
                  <w:pPr>
                    <w:tabs>
                      <w:tab w:val="left" w:pos="397"/>
                    </w:tabs>
                    <w:jc w:val="center"/>
                    <w:rPr>
                      <w:b/>
                      <w:bCs/>
                      <w:color w:val="auto"/>
                      <w:szCs w:val="21"/>
                    </w:rPr>
                  </w:pPr>
                  <w:r>
                    <w:rPr>
                      <w:b/>
                      <w:bCs/>
                      <w:color w:val="auto"/>
                      <w:szCs w:val="21"/>
                    </w:rPr>
                    <w:t>相对厂址方位</w:t>
                  </w:r>
                </w:p>
              </w:tc>
              <w:tc>
                <w:tcPr>
                  <w:tcW w:w="1111" w:type="dxa"/>
                  <w:vMerge w:val="restart"/>
                  <w:tcBorders>
                    <w:tl2br w:val="nil"/>
                    <w:tr2bl w:val="nil"/>
                  </w:tcBorders>
                  <w:vAlign w:val="center"/>
                </w:tcPr>
                <w:p w14:paraId="3DEC01D0">
                  <w:pPr>
                    <w:tabs>
                      <w:tab w:val="left" w:pos="397"/>
                    </w:tabs>
                    <w:jc w:val="center"/>
                    <w:rPr>
                      <w:b/>
                      <w:bCs/>
                      <w:color w:val="auto"/>
                      <w:szCs w:val="21"/>
                    </w:rPr>
                  </w:pPr>
                  <w:r>
                    <w:rPr>
                      <w:b/>
                      <w:bCs/>
                      <w:color w:val="auto"/>
                      <w:szCs w:val="21"/>
                    </w:rPr>
                    <w:t>相对厂址距离/m</w:t>
                  </w:r>
                </w:p>
              </w:tc>
            </w:tr>
            <w:tr w14:paraId="645EF2C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vMerge w:val="continue"/>
                  <w:tcBorders>
                    <w:tl2br w:val="nil"/>
                    <w:tr2bl w:val="nil"/>
                  </w:tcBorders>
                  <w:vAlign w:val="center"/>
                </w:tcPr>
                <w:p w14:paraId="1DC4F0E0">
                  <w:pPr>
                    <w:tabs>
                      <w:tab w:val="left" w:pos="397"/>
                    </w:tabs>
                    <w:ind w:left="454" w:hanging="454"/>
                    <w:jc w:val="center"/>
                    <w:rPr>
                      <w:color w:val="auto"/>
                      <w:szCs w:val="21"/>
                    </w:rPr>
                  </w:pPr>
                </w:p>
              </w:tc>
              <w:tc>
                <w:tcPr>
                  <w:tcW w:w="855" w:type="dxa"/>
                  <w:tcBorders>
                    <w:tl2br w:val="nil"/>
                    <w:tr2bl w:val="nil"/>
                  </w:tcBorders>
                  <w:vAlign w:val="center"/>
                </w:tcPr>
                <w:p w14:paraId="2759881C">
                  <w:pPr>
                    <w:tabs>
                      <w:tab w:val="left" w:pos="397"/>
                    </w:tabs>
                    <w:ind w:left="454" w:hanging="454"/>
                    <w:jc w:val="center"/>
                    <w:rPr>
                      <w:color w:val="auto"/>
                      <w:szCs w:val="21"/>
                    </w:rPr>
                  </w:pPr>
                  <w:r>
                    <w:rPr>
                      <w:color w:val="auto"/>
                      <w:szCs w:val="21"/>
                    </w:rPr>
                    <w:t>X</w:t>
                  </w:r>
                </w:p>
              </w:tc>
              <w:tc>
                <w:tcPr>
                  <w:tcW w:w="795" w:type="dxa"/>
                  <w:tcBorders>
                    <w:tl2br w:val="nil"/>
                    <w:tr2bl w:val="nil"/>
                  </w:tcBorders>
                  <w:vAlign w:val="center"/>
                </w:tcPr>
                <w:p w14:paraId="30C75FA2">
                  <w:pPr>
                    <w:tabs>
                      <w:tab w:val="left" w:pos="397"/>
                    </w:tabs>
                    <w:ind w:left="454" w:hanging="454"/>
                    <w:jc w:val="center"/>
                    <w:rPr>
                      <w:color w:val="auto"/>
                      <w:szCs w:val="21"/>
                    </w:rPr>
                  </w:pPr>
                  <w:r>
                    <w:rPr>
                      <w:color w:val="auto"/>
                      <w:szCs w:val="21"/>
                    </w:rPr>
                    <w:t>Y</w:t>
                  </w:r>
                </w:p>
              </w:tc>
              <w:tc>
                <w:tcPr>
                  <w:tcW w:w="1530" w:type="dxa"/>
                  <w:vMerge w:val="continue"/>
                  <w:tcBorders>
                    <w:tl2br w:val="nil"/>
                    <w:tr2bl w:val="nil"/>
                  </w:tcBorders>
                  <w:vAlign w:val="center"/>
                </w:tcPr>
                <w:p w14:paraId="6BAC8BF0">
                  <w:pPr>
                    <w:tabs>
                      <w:tab w:val="left" w:pos="397"/>
                    </w:tabs>
                    <w:ind w:left="454" w:hanging="454"/>
                    <w:jc w:val="center"/>
                    <w:rPr>
                      <w:color w:val="auto"/>
                      <w:szCs w:val="21"/>
                    </w:rPr>
                  </w:pPr>
                </w:p>
              </w:tc>
              <w:tc>
                <w:tcPr>
                  <w:tcW w:w="1410" w:type="dxa"/>
                  <w:vMerge w:val="continue"/>
                  <w:tcBorders>
                    <w:tl2br w:val="nil"/>
                    <w:tr2bl w:val="nil"/>
                  </w:tcBorders>
                  <w:vAlign w:val="center"/>
                </w:tcPr>
                <w:p w14:paraId="558157F8">
                  <w:pPr>
                    <w:tabs>
                      <w:tab w:val="left" w:pos="397"/>
                    </w:tabs>
                    <w:ind w:left="454" w:hanging="454"/>
                    <w:jc w:val="center"/>
                    <w:rPr>
                      <w:color w:val="auto"/>
                      <w:szCs w:val="21"/>
                    </w:rPr>
                  </w:pPr>
                </w:p>
              </w:tc>
              <w:tc>
                <w:tcPr>
                  <w:tcW w:w="1245" w:type="dxa"/>
                  <w:vMerge w:val="continue"/>
                  <w:tcBorders>
                    <w:tl2br w:val="nil"/>
                    <w:tr2bl w:val="nil"/>
                  </w:tcBorders>
                  <w:vAlign w:val="center"/>
                </w:tcPr>
                <w:p w14:paraId="5E18A094">
                  <w:pPr>
                    <w:tabs>
                      <w:tab w:val="left" w:pos="397"/>
                    </w:tabs>
                    <w:ind w:left="454" w:hanging="454"/>
                    <w:jc w:val="center"/>
                    <w:rPr>
                      <w:color w:val="auto"/>
                      <w:szCs w:val="21"/>
                    </w:rPr>
                  </w:pPr>
                </w:p>
              </w:tc>
              <w:tc>
                <w:tcPr>
                  <w:tcW w:w="930" w:type="dxa"/>
                  <w:vMerge w:val="continue"/>
                  <w:tcBorders>
                    <w:tl2br w:val="nil"/>
                    <w:tr2bl w:val="nil"/>
                  </w:tcBorders>
                  <w:vAlign w:val="center"/>
                </w:tcPr>
                <w:p w14:paraId="71D545A6">
                  <w:pPr>
                    <w:tabs>
                      <w:tab w:val="left" w:pos="397"/>
                    </w:tabs>
                    <w:ind w:left="454" w:hanging="454"/>
                    <w:jc w:val="center"/>
                    <w:rPr>
                      <w:color w:val="auto"/>
                      <w:szCs w:val="21"/>
                    </w:rPr>
                  </w:pPr>
                </w:p>
              </w:tc>
              <w:tc>
                <w:tcPr>
                  <w:tcW w:w="1111" w:type="dxa"/>
                  <w:vMerge w:val="continue"/>
                  <w:tcBorders>
                    <w:tl2br w:val="nil"/>
                    <w:tr2bl w:val="nil"/>
                  </w:tcBorders>
                  <w:vAlign w:val="center"/>
                </w:tcPr>
                <w:p w14:paraId="1DDDE320">
                  <w:pPr>
                    <w:tabs>
                      <w:tab w:val="left" w:pos="397"/>
                    </w:tabs>
                    <w:ind w:left="454" w:hanging="454"/>
                    <w:jc w:val="center"/>
                    <w:rPr>
                      <w:color w:val="auto"/>
                      <w:szCs w:val="21"/>
                    </w:rPr>
                  </w:pPr>
                </w:p>
              </w:tc>
            </w:tr>
            <w:tr w14:paraId="3CA0759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tcBorders>
                    <w:tl2br w:val="nil"/>
                    <w:tr2bl w:val="nil"/>
                  </w:tcBorders>
                  <w:vAlign w:val="center"/>
                </w:tcPr>
                <w:p w14:paraId="29959ACF">
                  <w:pPr>
                    <w:tabs>
                      <w:tab w:val="left" w:pos="397"/>
                    </w:tabs>
                    <w:jc w:val="center"/>
                    <w:rPr>
                      <w:color w:val="auto"/>
                      <w:szCs w:val="21"/>
                    </w:rPr>
                  </w:pPr>
                  <w:r>
                    <w:rPr>
                      <w:rFonts w:hint="eastAsia"/>
                      <w:color w:val="auto"/>
                      <w:szCs w:val="21"/>
                    </w:rPr>
                    <w:t>阳东区龙源实验学校</w:t>
                  </w:r>
                </w:p>
              </w:tc>
              <w:tc>
                <w:tcPr>
                  <w:tcW w:w="855" w:type="dxa"/>
                  <w:tcBorders>
                    <w:tl2br w:val="nil"/>
                    <w:tr2bl w:val="nil"/>
                  </w:tcBorders>
                  <w:vAlign w:val="center"/>
                </w:tcPr>
                <w:p w14:paraId="6B60C619">
                  <w:pPr>
                    <w:tabs>
                      <w:tab w:val="left" w:pos="397"/>
                    </w:tabs>
                    <w:ind w:left="454" w:hanging="454"/>
                    <w:jc w:val="center"/>
                    <w:rPr>
                      <w:color w:val="auto"/>
                      <w:szCs w:val="21"/>
                    </w:rPr>
                  </w:pPr>
                  <w:r>
                    <w:rPr>
                      <w:rFonts w:hint="eastAsia"/>
                      <w:color w:val="auto"/>
                      <w:szCs w:val="21"/>
                    </w:rPr>
                    <w:t>0</w:t>
                  </w:r>
                </w:p>
              </w:tc>
              <w:tc>
                <w:tcPr>
                  <w:tcW w:w="795" w:type="dxa"/>
                  <w:tcBorders>
                    <w:tl2br w:val="nil"/>
                    <w:tr2bl w:val="nil"/>
                  </w:tcBorders>
                  <w:vAlign w:val="center"/>
                </w:tcPr>
                <w:p w14:paraId="7A9C912F">
                  <w:pPr>
                    <w:tabs>
                      <w:tab w:val="left" w:pos="397"/>
                    </w:tabs>
                    <w:ind w:left="454" w:hanging="454"/>
                    <w:jc w:val="center"/>
                    <w:rPr>
                      <w:color w:val="auto"/>
                      <w:szCs w:val="21"/>
                    </w:rPr>
                  </w:pPr>
                  <w:r>
                    <w:rPr>
                      <w:rFonts w:hint="eastAsia"/>
                      <w:color w:val="auto"/>
                      <w:szCs w:val="21"/>
                    </w:rPr>
                    <w:t>-127</w:t>
                  </w:r>
                </w:p>
              </w:tc>
              <w:tc>
                <w:tcPr>
                  <w:tcW w:w="1530" w:type="dxa"/>
                  <w:tcBorders>
                    <w:tl2br w:val="nil"/>
                    <w:tr2bl w:val="nil"/>
                  </w:tcBorders>
                  <w:vAlign w:val="center"/>
                </w:tcPr>
                <w:p w14:paraId="637AABB0">
                  <w:pPr>
                    <w:tabs>
                      <w:tab w:val="left" w:pos="397"/>
                    </w:tabs>
                    <w:jc w:val="center"/>
                    <w:rPr>
                      <w:color w:val="auto"/>
                      <w:szCs w:val="21"/>
                    </w:rPr>
                  </w:pPr>
                  <w:r>
                    <w:rPr>
                      <w:rFonts w:hint="eastAsia"/>
                      <w:color w:val="auto"/>
                      <w:szCs w:val="21"/>
                    </w:rPr>
                    <w:t>约3000人</w:t>
                  </w:r>
                </w:p>
              </w:tc>
              <w:tc>
                <w:tcPr>
                  <w:tcW w:w="1410" w:type="dxa"/>
                  <w:tcBorders>
                    <w:tl2br w:val="nil"/>
                    <w:tr2bl w:val="nil"/>
                  </w:tcBorders>
                  <w:vAlign w:val="center"/>
                </w:tcPr>
                <w:p w14:paraId="74196343">
                  <w:pPr>
                    <w:tabs>
                      <w:tab w:val="left" w:pos="397"/>
                    </w:tabs>
                    <w:jc w:val="center"/>
                    <w:rPr>
                      <w:rFonts w:hint="eastAsia"/>
                      <w:color w:val="auto"/>
                      <w:szCs w:val="21"/>
                    </w:rPr>
                  </w:pPr>
                  <w:r>
                    <w:rPr>
                      <w:rFonts w:hint="eastAsia"/>
                      <w:color w:val="auto"/>
                      <w:szCs w:val="21"/>
                    </w:rPr>
                    <w:t>学校</w:t>
                  </w:r>
                </w:p>
              </w:tc>
              <w:tc>
                <w:tcPr>
                  <w:tcW w:w="1245" w:type="dxa"/>
                  <w:vMerge w:val="restart"/>
                  <w:tcBorders>
                    <w:tl2br w:val="nil"/>
                    <w:tr2bl w:val="nil"/>
                  </w:tcBorders>
                  <w:vAlign w:val="center"/>
                </w:tcPr>
                <w:p w14:paraId="0D0209DD">
                  <w:pPr>
                    <w:tabs>
                      <w:tab w:val="left" w:pos="397"/>
                    </w:tabs>
                    <w:jc w:val="center"/>
                    <w:rPr>
                      <w:color w:val="auto"/>
                      <w:szCs w:val="21"/>
                    </w:rPr>
                  </w:pPr>
                  <w:r>
                    <w:rPr>
                      <w:color w:val="auto"/>
                      <w:szCs w:val="21"/>
                    </w:rPr>
                    <w:t>环境空气：二类</w:t>
                  </w:r>
                </w:p>
              </w:tc>
              <w:tc>
                <w:tcPr>
                  <w:tcW w:w="930" w:type="dxa"/>
                  <w:tcBorders>
                    <w:tl2br w:val="nil"/>
                    <w:tr2bl w:val="nil"/>
                  </w:tcBorders>
                  <w:vAlign w:val="center"/>
                </w:tcPr>
                <w:p w14:paraId="224114F7">
                  <w:pPr>
                    <w:tabs>
                      <w:tab w:val="left" w:pos="397"/>
                    </w:tabs>
                    <w:jc w:val="center"/>
                    <w:rPr>
                      <w:color w:val="auto"/>
                      <w:szCs w:val="21"/>
                    </w:rPr>
                  </w:pPr>
                  <w:r>
                    <w:rPr>
                      <w:rFonts w:hint="eastAsia"/>
                      <w:color w:val="auto"/>
                      <w:szCs w:val="21"/>
                    </w:rPr>
                    <w:t>南面</w:t>
                  </w:r>
                </w:p>
              </w:tc>
              <w:tc>
                <w:tcPr>
                  <w:tcW w:w="1111" w:type="dxa"/>
                  <w:tcBorders>
                    <w:tl2br w:val="nil"/>
                    <w:tr2bl w:val="nil"/>
                  </w:tcBorders>
                  <w:vAlign w:val="center"/>
                </w:tcPr>
                <w:p w14:paraId="35CE0B9E">
                  <w:pPr>
                    <w:tabs>
                      <w:tab w:val="left" w:pos="397"/>
                    </w:tabs>
                    <w:jc w:val="center"/>
                    <w:rPr>
                      <w:color w:val="auto"/>
                      <w:szCs w:val="21"/>
                    </w:rPr>
                  </w:pPr>
                  <w:r>
                    <w:rPr>
                      <w:rFonts w:hint="eastAsia"/>
                      <w:color w:val="auto"/>
                      <w:szCs w:val="21"/>
                    </w:rPr>
                    <w:t>32</w:t>
                  </w:r>
                </w:p>
              </w:tc>
            </w:tr>
            <w:tr w14:paraId="020C871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tcBorders>
                    <w:bottom w:val="single" w:color="000000" w:sz="6" w:space="0"/>
                    <w:tl2br w:val="nil"/>
                    <w:tr2bl w:val="nil"/>
                  </w:tcBorders>
                  <w:vAlign w:val="center"/>
                </w:tcPr>
                <w:p w14:paraId="72CC808A">
                  <w:pPr>
                    <w:tabs>
                      <w:tab w:val="left" w:pos="397"/>
                    </w:tabs>
                    <w:jc w:val="center"/>
                    <w:rPr>
                      <w:color w:val="auto"/>
                      <w:szCs w:val="21"/>
                    </w:rPr>
                  </w:pPr>
                  <w:r>
                    <w:rPr>
                      <w:rFonts w:hint="eastAsia"/>
                      <w:color w:val="auto"/>
                      <w:szCs w:val="21"/>
                    </w:rPr>
                    <w:t>阳光天地</w:t>
                  </w:r>
                </w:p>
              </w:tc>
              <w:tc>
                <w:tcPr>
                  <w:tcW w:w="855" w:type="dxa"/>
                  <w:tcBorders>
                    <w:bottom w:val="single" w:color="000000" w:sz="6" w:space="0"/>
                    <w:tl2br w:val="nil"/>
                    <w:tr2bl w:val="nil"/>
                  </w:tcBorders>
                  <w:vAlign w:val="center"/>
                </w:tcPr>
                <w:p w14:paraId="2A6C280B">
                  <w:pPr>
                    <w:tabs>
                      <w:tab w:val="left" w:pos="397"/>
                    </w:tabs>
                    <w:ind w:left="454" w:hanging="454"/>
                    <w:jc w:val="center"/>
                    <w:rPr>
                      <w:rFonts w:hint="eastAsia"/>
                      <w:color w:val="auto"/>
                      <w:szCs w:val="21"/>
                    </w:rPr>
                  </w:pPr>
                  <w:r>
                    <w:rPr>
                      <w:rFonts w:hint="eastAsia"/>
                      <w:color w:val="auto"/>
                      <w:szCs w:val="21"/>
                    </w:rPr>
                    <w:t>0</w:t>
                  </w:r>
                </w:p>
              </w:tc>
              <w:tc>
                <w:tcPr>
                  <w:tcW w:w="795" w:type="dxa"/>
                  <w:tcBorders>
                    <w:bottom w:val="single" w:color="000000" w:sz="6" w:space="0"/>
                    <w:tl2br w:val="nil"/>
                    <w:tr2bl w:val="nil"/>
                  </w:tcBorders>
                  <w:vAlign w:val="center"/>
                </w:tcPr>
                <w:p w14:paraId="1248F5DB">
                  <w:pPr>
                    <w:tabs>
                      <w:tab w:val="left" w:pos="397"/>
                    </w:tabs>
                    <w:ind w:left="454" w:hanging="454"/>
                    <w:jc w:val="center"/>
                    <w:rPr>
                      <w:rFonts w:hint="eastAsia"/>
                      <w:color w:val="auto"/>
                      <w:szCs w:val="21"/>
                    </w:rPr>
                  </w:pPr>
                  <w:r>
                    <w:rPr>
                      <w:rFonts w:hint="eastAsia"/>
                      <w:color w:val="auto"/>
                      <w:szCs w:val="21"/>
                    </w:rPr>
                    <w:t>130</w:t>
                  </w:r>
                </w:p>
              </w:tc>
              <w:tc>
                <w:tcPr>
                  <w:tcW w:w="1530" w:type="dxa"/>
                  <w:tcBorders>
                    <w:bottom w:val="single" w:color="000000" w:sz="6" w:space="0"/>
                    <w:tl2br w:val="nil"/>
                    <w:tr2bl w:val="nil"/>
                  </w:tcBorders>
                  <w:vAlign w:val="center"/>
                </w:tcPr>
                <w:p w14:paraId="140C8D75">
                  <w:pPr>
                    <w:tabs>
                      <w:tab w:val="left" w:pos="397"/>
                    </w:tabs>
                    <w:jc w:val="center"/>
                    <w:rPr>
                      <w:color w:val="auto"/>
                      <w:szCs w:val="21"/>
                    </w:rPr>
                  </w:pPr>
                  <w:r>
                    <w:rPr>
                      <w:rFonts w:hint="eastAsia"/>
                      <w:color w:val="auto"/>
                      <w:szCs w:val="21"/>
                    </w:rPr>
                    <w:t>约1750人</w:t>
                  </w:r>
                </w:p>
              </w:tc>
              <w:tc>
                <w:tcPr>
                  <w:tcW w:w="1410" w:type="dxa"/>
                  <w:tcBorders>
                    <w:bottom w:val="single" w:color="000000" w:sz="6" w:space="0"/>
                    <w:tl2br w:val="nil"/>
                    <w:tr2bl w:val="nil"/>
                  </w:tcBorders>
                  <w:vAlign w:val="center"/>
                </w:tcPr>
                <w:p w14:paraId="409B6C23">
                  <w:pPr>
                    <w:tabs>
                      <w:tab w:val="left" w:pos="397"/>
                    </w:tabs>
                    <w:jc w:val="center"/>
                    <w:rPr>
                      <w:color w:val="auto"/>
                      <w:szCs w:val="21"/>
                    </w:rPr>
                  </w:pPr>
                  <w:r>
                    <w:rPr>
                      <w:rFonts w:hint="eastAsia"/>
                      <w:color w:val="auto"/>
                      <w:szCs w:val="21"/>
                    </w:rPr>
                    <w:t>集中居住区</w:t>
                  </w:r>
                </w:p>
              </w:tc>
              <w:tc>
                <w:tcPr>
                  <w:tcW w:w="1245" w:type="dxa"/>
                  <w:vMerge w:val="continue"/>
                  <w:tcBorders>
                    <w:tl2br w:val="nil"/>
                    <w:tr2bl w:val="nil"/>
                  </w:tcBorders>
                  <w:vAlign w:val="center"/>
                </w:tcPr>
                <w:p w14:paraId="2590621E">
                  <w:pPr>
                    <w:tabs>
                      <w:tab w:val="left" w:pos="397"/>
                    </w:tabs>
                    <w:jc w:val="center"/>
                    <w:rPr>
                      <w:color w:val="auto"/>
                      <w:szCs w:val="21"/>
                    </w:rPr>
                  </w:pPr>
                </w:p>
              </w:tc>
              <w:tc>
                <w:tcPr>
                  <w:tcW w:w="930" w:type="dxa"/>
                  <w:tcBorders>
                    <w:bottom w:val="single" w:color="000000" w:sz="6" w:space="0"/>
                    <w:tl2br w:val="nil"/>
                    <w:tr2bl w:val="nil"/>
                  </w:tcBorders>
                  <w:vAlign w:val="center"/>
                </w:tcPr>
                <w:p w14:paraId="2F10E5DA">
                  <w:pPr>
                    <w:tabs>
                      <w:tab w:val="left" w:pos="397"/>
                    </w:tabs>
                    <w:jc w:val="center"/>
                    <w:rPr>
                      <w:color w:val="auto"/>
                      <w:szCs w:val="21"/>
                    </w:rPr>
                  </w:pPr>
                  <w:r>
                    <w:rPr>
                      <w:rFonts w:hint="eastAsia"/>
                      <w:color w:val="auto"/>
                      <w:szCs w:val="21"/>
                    </w:rPr>
                    <w:t>北面</w:t>
                  </w:r>
                </w:p>
              </w:tc>
              <w:tc>
                <w:tcPr>
                  <w:tcW w:w="1111" w:type="dxa"/>
                  <w:tcBorders>
                    <w:bottom w:val="single" w:color="000000" w:sz="6" w:space="0"/>
                    <w:tl2br w:val="nil"/>
                    <w:tr2bl w:val="nil"/>
                  </w:tcBorders>
                  <w:vAlign w:val="center"/>
                </w:tcPr>
                <w:p w14:paraId="364EA494">
                  <w:pPr>
                    <w:tabs>
                      <w:tab w:val="left" w:pos="397"/>
                    </w:tabs>
                    <w:jc w:val="center"/>
                    <w:rPr>
                      <w:color w:val="auto"/>
                      <w:szCs w:val="21"/>
                    </w:rPr>
                  </w:pPr>
                  <w:r>
                    <w:rPr>
                      <w:rFonts w:hint="eastAsia"/>
                      <w:color w:val="auto"/>
                      <w:szCs w:val="21"/>
                    </w:rPr>
                    <w:t>35</w:t>
                  </w:r>
                </w:p>
              </w:tc>
            </w:tr>
            <w:tr w14:paraId="4A34EC8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tcBorders>
                    <w:top w:val="single" w:color="000000" w:sz="6" w:space="0"/>
                    <w:bottom w:val="single" w:color="000000" w:sz="6" w:space="0"/>
                    <w:tl2br w:val="nil"/>
                    <w:tr2bl w:val="nil"/>
                  </w:tcBorders>
                  <w:vAlign w:val="center"/>
                </w:tcPr>
                <w:p w14:paraId="35A6BE6B">
                  <w:pPr>
                    <w:tabs>
                      <w:tab w:val="left" w:pos="397"/>
                    </w:tabs>
                    <w:jc w:val="center"/>
                    <w:rPr>
                      <w:color w:val="auto"/>
                      <w:szCs w:val="21"/>
                    </w:rPr>
                  </w:pPr>
                  <w:r>
                    <w:rPr>
                      <w:rFonts w:hint="eastAsia"/>
                      <w:color w:val="auto"/>
                      <w:szCs w:val="21"/>
                    </w:rPr>
                    <w:t>商住楼</w:t>
                  </w:r>
                </w:p>
              </w:tc>
              <w:tc>
                <w:tcPr>
                  <w:tcW w:w="855" w:type="dxa"/>
                  <w:tcBorders>
                    <w:top w:val="single" w:color="000000" w:sz="6" w:space="0"/>
                    <w:bottom w:val="single" w:color="000000" w:sz="6" w:space="0"/>
                    <w:tl2br w:val="nil"/>
                    <w:tr2bl w:val="nil"/>
                  </w:tcBorders>
                  <w:vAlign w:val="center"/>
                </w:tcPr>
                <w:p w14:paraId="58E3D288">
                  <w:pPr>
                    <w:tabs>
                      <w:tab w:val="left" w:pos="397"/>
                    </w:tabs>
                    <w:ind w:left="454" w:hanging="454"/>
                    <w:jc w:val="center"/>
                    <w:rPr>
                      <w:rFonts w:hint="eastAsia"/>
                      <w:color w:val="auto"/>
                      <w:szCs w:val="21"/>
                    </w:rPr>
                  </w:pPr>
                  <w:r>
                    <w:rPr>
                      <w:rFonts w:hint="eastAsia"/>
                      <w:color w:val="auto"/>
                      <w:szCs w:val="21"/>
                    </w:rPr>
                    <w:t>120</w:t>
                  </w:r>
                </w:p>
              </w:tc>
              <w:tc>
                <w:tcPr>
                  <w:tcW w:w="795" w:type="dxa"/>
                  <w:tcBorders>
                    <w:top w:val="single" w:color="000000" w:sz="6" w:space="0"/>
                    <w:bottom w:val="single" w:color="000000" w:sz="6" w:space="0"/>
                    <w:tl2br w:val="nil"/>
                    <w:tr2bl w:val="nil"/>
                  </w:tcBorders>
                  <w:vAlign w:val="center"/>
                </w:tcPr>
                <w:p w14:paraId="37109D13">
                  <w:pPr>
                    <w:tabs>
                      <w:tab w:val="left" w:pos="397"/>
                    </w:tabs>
                    <w:ind w:left="454" w:hanging="454"/>
                    <w:jc w:val="center"/>
                    <w:rPr>
                      <w:color w:val="auto"/>
                      <w:szCs w:val="21"/>
                    </w:rPr>
                  </w:pPr>
                  <w:r>
                    <w:rPr>
                      <w:rFonts w:hint="eastAsia"/>
                      <w:color w:val="auto"/>
                      <w:szCs w:val="21"/>
                    </w:rPr>
                    <w:t>0</w:t>
                  </w:r>
                </w:p>
              </w:tc>
              <w:tc>
                <w:tcPr>
                  <w:tcW w:w="1530" w:type="dxa"/>
                  <w:tcBorders>
                    <w:top w:val="single" w:color="000000" w:sz="6" w:space="0"/>
                    <w:bottom w:val="single" w:color="000000" w:sz="6" w:space="0"/>
                    <w:tl2br w:val="nil"/>
                    <w:tr2bl w:val="nil"/>
                  </w:tcBorders>
                  <w:vAlign w:val="center"/>
                </w:tcPr>
                <w:p w14:paraId="1366AA70">
                  <w:pPr>
                    <w:tabs>
                      <w:tab w:val="left" w:pos="397"/>
                    </w:tabs>
                    <w:jc w:val="center"/>
                    <w:rPr>
                      <w:color w:val="auto"/>
                      <w:szCs w:val="21"/>
                    </w:rPr>
                  </w:pPr>
                  <w:r>
                    <w:rPr>
                      <w:rFonts w:hint="eastAsia"/>
                      <w:color w:val="auto"/>
                      <w:szCs w:val="21"/>
                    </w:rPr>
                    <w:t>约50人</w:t>
                  </w:r>
                </w:p>
              </w:tc>
              <w:tc>
                <w:tcPr>
                  <w:tcW w:w="1410" w:type="dxa"/>
                  <w:tcBorders>
                    <w:top w:val="single" w:color="000000" w:sz="6" w:space="0"/>
                    <w:bottom w:val="single" w:color="000000" w:sz="6" w:space="0"/>
                    <w:tl2br w:val="nil"/>
                    <w:tr2bl w:val="nil"/>
                  </w:tcBorders>
                  <w:vAlign w:val="center"/>
                </w:tcPr>
                <w:p w14:paraId="64A53791">
                  <w:pPr>
                    <w:jc w:val="center"/>
                    <w:rPr>
                      <w:rFonts w:hint="eastAsia"/>
                      <w:color w:val="auto"/>
                      <w:szCs w:val="21"/>
                    </w:rPr>
                  </w:pPr>
                  <w:r>
                    <w:rPr>
                      <w:rFonts w:hint="eastAsia"/>
                      <w:color w:val="auto"/>
                      <w:szCs w:val="21"/>
                    </w:rPr>
                    <w:t>集中居住区</w:t>
                  </w:r>
                </w:p>
              </w:tc>
              <w:tc>
                <w:tcPr>
                  <w:tcW w:w="1245" w:type="dxa"/>
                  <w:vMerge w:val="continue"/>
                  <w:tcBorders>
                    <w:tl2br w:val="nil"/>
                    <w:tr2bl w:val="nil"/>
                  </w:tcBorders>
                  <w:vAlign w:val="center"/>
                </w:tcPr>
                <w:p w14:paraId="3151AE50">
                  <w:pPr>
                    <w:tabs>
                      <w:tab w:val="left" w:pos="397"/>
                    </w:tabs>
                    <w:jc w:val="center"/>
                    <w:rPr>
                      <w:color w:val="auto"/>
                      <w:szCs w:val="21"/>
                    </w:rPr>
                  </w:pPr>
                </w:p>
              </w:tc>
              <w:tc>
                <w:tcPr>
                  <w:tcW w:w="930" w:type="dxa"/>
                  <w:tcBorders>
                    <w:top w:val="single" w:color="000000" w:sz="6" w:space="0"/>
                    <w:bottom w:val="single" w:color="000000" w:sz="6" w:space="0"/>
                    <w:tl2br w:val="nil"/>
                    <w:tr2bl w:val="nil"/>
                  </w:tcBorders>
                  <w:vAlign w:val="center"/>
                </w:tcPr>
                <w:p w14:paraId="2598F779">
                  <w:pPr>
                    <w:tabs>
                      <w:tab w:val="left" w:pos="397"/>
                    </w:tabs>
                    <w:jc w:val="center"/>
                    <w:rPr>
                      <w:color w:val="auto"/>
                      <w:szCs w:val="21"/>
                    </w:rPr>
                  </w:pPr>
                  <w:r>
                    <w:rPr>
                      <w:rFonts w:hint="eastAsia"/>
                      <w:color w:val="auto"/>
                      <w:szCs w:val="21"/>
                    </w:rPr>
                    <w:t>东面</w:t>
                  </w:r>
                </w:p>
              </w:tc>
              <w:tc>
                <w:tcPr>
                  <w:tcW w:w="1111" w:type="dxa"/>
                  <w:tcBorders>
                    <w:top w:val="single" w:color="000000" w:sz="6" w:space="0"/>
                    <w:bottom w:val="single" w:color="000000" w:sz="6" w:space="0"/>
                    <w:tl2br w:val="nil"/>
                    <w:tr2bl w:val="nil"/>
                  </w:tcBorders>
                  <w:vAlign w:val="center"/>
                </w:tcPr>
                <w:p w14:paraId="785AB093">
                  <w:pPr>
                    <w:tabs>
                      <w:tab w:val="left" w:pos="397"/>
                    </w:tabs>
                    <w:jc w:val="center"/>
                    <w:rPr>
                      <w:color w:val="auto"/>
                      <w:szCs w:val="21"/>
                    </w:rPr>
                  </w:pPr>
                  <w:r>
                    <w:rPr>
                      <w:rFonts w:hint="eastAsia"/>
                      <w:color w:val="auto"/>
                      <w:szCs w:val="21"/>
                    </w:rPr>
                    <w:t>35</w:t>
                  </w:r>
                </w:p>
              </w:tc>
            </w:tr>
            <w:tr w14:paraId="0EA8C35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tcBorders>
                    <w:top w:val="single" w:color="000000" w:sz="6" w:space="0"/>
                    <w:bottom w:val="single" w:color="000000" w:sz="6" w:space="0"/>
                    <w:tl2br w:val="nil"/>
                    <w:tr2bl w:val="nil"/>
                  </w:tcBorders>
                  <w:vAlign w:val="center"/>
                </w:tcPr>
                <w:p w14:paraId="6B625A31">
                  <w:pPr>
                    <w:tabs>
                      <w:tab w:val="left" w:pos="397"/>
                    </w:tabs>
                    <w:jc w:val="center"/>
                    <w:rPr>
                      <w:color w:val="auto"/>
                      <w:szCs w:val="21"/>
                    </w:rPr>
                  </w:pPr>
                  <w:r>
                    <w:rPr>
                      <w:rFonts w:hint="eastAsia"/>
                      <w:color w:val="auto"/>
                      <w:szCs w:val="21"/>
                    </w:rPr>
                    <w:t>南方豪庭</w:t>
                  </w:r>
                </w:p>
              </w:tc>
              <w:tc>
                <w:tcPr>
                  <w:tcW w:w="855" w:type="dxa"/>
                  <w:tcBorders>
                    <w:top w:val="single" w:color="000000" w:sz="6" w:space="0"/>
                    <w:bottom w:val="single" w:color="000000" w:sz="6" w:space="0"/>
                    <w:tl2br w:val="nil"/>
                    <w:tr2bl w:val="nil"/>
                  </w:tcBorders>
                  <w:vAlign w:val="center"/>
                </w:tcPr>
                <w:p w14:paraId="372B0CA0">
                  <w:pPr>
                    <w:tabs>
                      <w:tab w:val="left" w:pos="397"/>
                    </w:tabs>
                    <w:ind w:left="454" w:hanging="454"/>
                    <w:jc w:val="center"/>
                    <w:rPr>
                      <w:color w:val="auto"/>
                      <w:szCs w:val="21"/>
                    </w:rPr>
                  </w:pPr>
                  <w:r>
                    <w:rPr>
                      <w:rFonts w:hint="eastAsia"/>
                      <w:color w:val="auto"/>
                      <w:szCs w:val="21"/>
                    </w:rPr>
                    <w:t>0</w:t>
                  </w:r>
                </w:p>
              </w:tc>
              <w:tc>
                <w:tcPr>
                  <w:tcW w:w="795" w:type="dxa"/>
                  <w:tcBorders>
                    <w:top w:val="single" w:color="000000" w:sz="6" w:space="0"/>
                    <w:bottom w:val="single" w:color="000000" w:sz="6" w:space="0"/>
                    <w:tl2br w:val="nil"/>
                    <w:tr2bl w:val="nil"/>
                  </w:tcBorders>
                  <w:vAlign w:val="center"/>
                </w:tcPr>
                <w:p w14:paraId="099035AA">
                  <w:pPr>
                    <w:tabs>
                      <w:tab w:val="left" w:pos="397"/>
                    </w:tabs>
                    <w:ind w:left="454" w:hanging="454"/>
                    <w:jc w:val="center"/>
                    <w:rPr>
                      <w:color w:val="auto"/>
                      <w:szCs w:val="21"/>
                    </w:rPr>
                  </w:pPr>
                  <w:r>
                    <w:rPr>
                      <w:rFonts w:hint="eastAsia"/>
                      <w:color w:val="auto"/>
                      <w:szCs w:val="21"/>
                    </w:rPr>
                    <w:t>-355</w:t>
                  </w:r>
                </w:p>
              </w:tc>
              <w:tc>
                <w:tcPr>
                  <w:tcW w:w="1530" w:type="dxa"/>
                  <w:tcBorders>
                    <w:top w:val="single" w:color="000000" w:sz="6" w:space="0"/>
                    <w:bottom w:val="single" w:color="000000" w:sz="6" w:space="0"/>
                    <w:tl2br w:val="nil"/>
                    <w:tr2bl w:val="nil"/>
                  </w:tcBorders>
                  <w:vAlign w:val="center"/>
                </w:tcPr>
                <w:p w14:paraId="7C675E92">
                  <w:pPr>
                    <w:tabs>
                      <w:tab w:val="left" w:pos="397"/>
                    </w:tabs>
                    <w:jc w:val="center"/>
                    <w:rPr>
                      <w:color w:val="auto"/>
                      <w:szCs w:val="21"/>
                    </w:rPr>
                  </w:pPr>
                  <w:r>
                    <w:rPr>
                      <w:rFonts w:hint="eastAsia"/>
                      <w:color w:val="auto"/>
                      <w:szCs w:val="21"/>
                    </w:rPr>
                    <w:t>约600人</w:t>
                  </w:r>
                </w:p>
              </w:tc>
              <w:tc>
                <w:tcPr>
                  <w:tcW w:w="1410" w:type="dxa"/>
                  <w:tcBorders>
                    <w:top w:val="single" w:color="000000" w:sz="6" w:space="0"/>
                    <w:bottom w:val="single" w:color="000000" w:sz="6" w:space="0"/>
                    <w:tl2br w:val="nil"/>
                    <w:tr2bl w:val="nil"/>
                  </w:tcBorders>
                  <w:vAlign w:val="center"/>
                </w:tcPr>
                <w:p w14:paraId="24A40080">
                  <w:pPr>
                    <w:jc w:val="center"/>
                    <w:rPr>
                      <w:rFonts w:hint="eastAsia"/>
                      <w:color w:val="auto"/>
                      <w:szCs w:val="21"/>
                    </w:rPr>
                  </w:pPr>
                  <w:r>
                    <w:rPr>
                      <w:rFonts w:hint="eastAsia"/>
                      <w:color w:val="auto"/>
                      <w:szCs w:val="21"/>
                    </w:rPr>
                    <w:t>集中居住区</w:t>
                  </w:r>
                </w:p>
              </w:tc>
              <w:tc>
                <w:tcPr>
                  <w:tcW w:w="1245" w:type="dxa"/>
                  <w:vMerge w:val="continue"/>
                  <w:tcBorders>
                    <w:tl2br w:val="nil"/>
                    <w:tr2bl w:val="nil"/>
                  </w:tcBorders>
                  <w:vAlign w:val="center"/>
                </w:tcPr>
                <w:p w14:paraId="42B3F2E9">
                  <w:pPr>
                    <w:tabs>
                      <w:tab w:val="left" w:pos="397"/>
                    </w:tabs>
                    <w:jc w:val="center"/>
                    <w:rPr>
                      <w:color w:val="auto"/>
                      <w:szCs w:val="21"/>
                    </w:rPr>
                  </w:pPr>
                </w:p>
              </w:tc>
              <w:tc>
                <w:tcPr>
                  <w:tcW w:w="930" w:type="dxa"/>
                  <w:tcBorders>
                    <w:top w:val="single" w:color="000000" w:sz="6" w:space="0"/>
                    <w:bottom w:val="single" w:color="000000" w:sz="6" w:space="0"/>
                    <w:tl2br w:val="nil"/>
                    <w:tr2bl w:val="nil"/>
                  </w:tcBorders>
                  <w:vAlign w:val="center"/>
                </w:tcPr>
                <w:p w14:paraId="0C7AA845">
                  <w:pPr>
                    <w:tabs>
                      <w:tab w:val="left" w:pos="397"/>
                    </w:tabs>
                    <w:jc w:val="center"/>
                    <w:rPr>
                      <w:color w:val="auto"/>
                      <w:szCs w:val="21"/>
                    </w:rPr>
                  </w:pPr>
                  <w:r>
                    <w:rPr>
                      <w:rFonts w:hint="eastAsia"/>
                      <w:color w:val="auto"/>
                      <w:szCs w:val="21"/>
                    </w:rPr>
                    <w:t>南面</w:t>
                  </w:r>
                </w:p>
              </w:tc>
              <w:tc>
                <w:tcPr>
                  <w:tcW w:w="1111" w:type="dxa"/>
                  <w:tcBorders>
                    <w:top w:val="single" w:color="000000" w:sz="6" w:space="0"/>
                    <w:bottom w:val="single" w:color="000000" w:sz="6" w:space="0"/>
                    <w:tl2br w:val="nil"/>
                    <w:tr2bl w:val="nil"/>
                  </w:tcBorders>
                  <w:vAlign w:val="center"/>
                </w:tcPr>
                <w:p w14:paraId="58960774">
                  <w:pPr>
                    <w:tabs>
                      <w:tab w:val="left" w:pos="397"/>
                    </w:tabs>
                    <w:jc w:val="center"/>
                    <w:rPr>
                      <w:color w:val="auto"/>
                      <w:szCs w:val="21"/>
                    </w:rPr>
                  </w:pPr>
                  <w:r>
                    <w:rPr>
                      <w:rFonts w:hint="eastAsia"/>
                      <w:color w:val="auto"/>
                      <w:szCs w:val="21"/>
                    </w:rPr>
                    <w:t>260</w:t>
                  </w:r>
                </w:p>
              </w:tc>
            </w:tr>
            <w:tr w14:paraId="5BA3621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tcBorders>
                    <w:top w:val="single" w:color="000000" w:sz="6" w:space="0"/>
                    <w:bottom w:val="single" w:color="000000" w:sz="6" w:space="0"/>
                    <w:tl2br w:val="nil"/>
                    <w:tr2bl w:val="nil"/>
                  </w:tcBorders>
                  <w:vAlign w:val="center"/>
                </w:tcPr>
                <w:p w14:paraId="7B598330">
                  <w:pPr>
                    <w:tabs>
                      <w:tab w:val="left" w:pos="397"/>
                    </w:tabs>
                    <w:jc w:val="center"/>
                    <w:rPr>
                      <w:color w:val="auto"/>
                      <w:szCs w:val="21"/>
                    </w:rPr>
                  </w:pPr>
                  <w:r>
                    <w:rPr>
                      <w:rFonts w:hint="eastAsia"/>
                      <w:color w:val="auto"/>
                      <w:szCs w:val="21"/>
                    </w:rPr>
                    <w:t>鸿景凯悦</w:t>
                  </w:r>
                </w:p>
              </w:tc>
              <w:tc>
                <w:tcPr>
                  <w:tcW w:w="855" w:type="dxa"/>
                  <w:tcBorders>
                    <w:top w:val="single" w:color="000000" w:sz="6" w:space="0"/>
                    <w:bottom w:val="single" w:color="000000" w:sz="6" w:space="0"/>
                    <w:tl2br w:val="nil"/>
                    <w:tr2bl w:val="nil"/>
                  </w:tcBorders>
                  <w:vAlign w:val="center"/>
                </w:tcPr>
                <w:p w14:paraId="340AD24E">
                  <w:pPr>
                    <w:tabs>
                      <w:tab w:val="left" w:pos="397"/>
                    </w:tabs>
                    <w:ind w:left="454" w:hanging="454"/>
                    <w:jc w:val="center"/>
                    <w:rPr>
                      <w:color w:val="auto"/>
                      <w:szCs w:val="21"/>
                    </w:rPr>
                  </w:pPr>
                  <w:r>
                    <w:rPr>
                      <w:rFonts w:hint="eastAsia"/>
                      <w:color w:val="auto"/>
                      <w:szCs w:val="21"/>
                    </w:rPr>
                    <w:t>303</w:t>
                  </w:r>
                </w:p>
              </w:tc>
              <w:tc>
                <w:tcPr>
                  <w:tcW w:w="795" w:type="dxa"/>
                  <w:tcBorders>
                    <w:top w:val="single" w:color="000000" w:sz="6" w:space="0"/>
                    <w:bottom w:val="single" w:color="000000" w:sz="6" w:space="0"/>
                    <w:tl2br w:val="nil"/>
                    <w:tr2bl w:val="nil"/>
                  </w:tcBorders>
                  <w:vAlign w:val="center"/>
                </w:tcPr>
                <w:p w14:paraId="1E32DC92">
                  <w:pPr>
                    <w:tabs>
                      <w:tab w:val="left" w:pos="397"/>
                    </w:tabs>
                    <w:ind w:left="454" w:hanging="454"/>
                    <w:jc w:val="center"/>
                    <w:rPr>
                      <w:color w:val="auto"/>
                      <w:szCs w:val="21"/>
                    </w:rPr>
                  </w:pPr>
                  <w:r>
                    <w:rPr>
                      <w:rFonts w:hint="eastAsia"/>
                      <w:color w:val="auto"/>
                      <w:szCs w:val="21"/>
                    </w:rPr>
                    <w:t>-234</w:t>
                  </w:r>
                </w:p>
              </w:tc>
              <w:tc>
                <w:tcPr>
                  <w:tcW w:w="1530" w:type="dxa"/>
                  <w:tcBorders>
                    <w:top w:val="single" w:color="000000" w:sz="6" w:space="0"/>
                    <w:bottom w:val="single" w:color="000000" w:sz="6" w:space="0"/>
                    <w:tl2br w:val="nil"/>
                    <w:tr2bl w:val="nil"/>
                  </w:tcBorders>
                  <w:vAlign w:val="center"/>
                </w:tcPr>
                <w:p w14:paraId="2044858A">
                  <w:pPr>
                    <w:tabs>
                      <w:tab w:val="left" w:pos="397"/>
                    </w:tabs>
                    <w:jc w:val="center"/>
                    <w:rPr>
                      <w:color w:val="auto"/>
                      <w:szCs w:val="21"/>
                    </w:rPr>
                  </w:pPr>
                  <w:r>
                    <w:rPr>
                      <w:rFonts w:hint="eastAsia"/>
                      <w:color w:val="auto"/>
                      <w:szCs w:val="21"/>
                    </w:rPr>
                    <w:t>约500人</w:t>
                  </w:r>
                </w:p>
              </w:tc>
              <w:tc>
                <w:tcPr>
                  <w:tcW w:w="1410" w:type="dxa"/>
                  <w:tcBorders>
                    <w:top w:val="single" w:color="000000" w:sz="6" w:space="0"/>
                    <w:bottom w:val="single" w:color="000000" w:sz="6" w:space="0"/>
                    <w:tl2br w:val="nil"/>
                    <w:tr2bl w:val="nil"/>
                  </w:tcBorders>
                  <w:vAlign w:val="center"/>
                </w:tcPr>
                <w:p w14:paraId="7FC3B0F5">
                  <w:pPr>
                    <w:jc w:val="center"/>
                    <w:rPr>
                      <w:rFonts w:hint="eastAsia"/>
                      <w:color w:val="auto"/>
                      <w:szCs w:val="21"/>
                    </w:rPr>
                  </w:pPr>
                  <w:r>
                    <w:rPr>
                      <w:rFonts w:hint="eastAsia"/>
                      <w:color w:val="auto"/>
                      <w:szCs w:val="21"/>
                    </w:rPr>
                    <w:t>集中居住区</w:t>
                  </w:r>
                </w:p>
              </w:tc>
              <w:tc>
                <w:tcPr>
                  <w:tcW w:w="1245" w:type="dxa"/>
                  <w:vMerge w:val="continue"/>
                  <w:tcBorders>
                    <w:tl2br w:val="nil"/>
                    <w:tr2bl w:val="nil"/>
                  </w:tcBorders>
                  <w:vAlign w:val="center"/>
                </w:tcPr>
                <w:p w14:paraId="11689F31">
                  <w:pPr>
                    <w:tabs>
                      <w:tab w:val="left" w:pos="397"/>
                    </w:tabs>
                    <w:jc w:val="center"/>
                    <w:rPr>
                      <w:color w:val="auto"/>
                      <w:szCs w:val="21"/>
                    </w:rPr>
                  </w:pPr>
                </w:p>
              </w:tc>
              <w:tc>
                <w:tcPr>
                  <w:tcW w:w="930" w:type="dxa"/>
                  <w:tcBorders>
                    <w:top w:val="single" w:color="000000" w:sz="6" w:space="0"/>
                    <w:bottom w:val="single" w:color="000000" w:sz="6" w:space="0"/>
                    <w:tl2br w:val="nil"/>
                    <w:tr2bl w:val="nil"/>
                  </w:tcBorders>
                  <w:vAlign w:val="center"/>
                </w:tcPr>
                <w:p w14:paraId="75AFDBC3">
                  <w:pPr>
                    <w:tabs>
                      <w:tab w:val="left" w:pos="397"/>
                    </w:tabs>
                    <w:jc w:val="center"/>
                    <w:rPr>
                      <w:color w:val="auto"/>
                      <w:szCs w:val="21"/>
                    </w:rPr>
                  </w:pPr>
                  <w:r>
                    <w:rPr>
                      <w:rFonts w:hint="eastAsia"/>
                      <w:color w:val="auto"/>
                      <w:szCs w:val="21"/>
                    </w:rPr>
                    <w:t>东南</w:t>
                  </w:r>
                </w:p>
              </w:tc>
              <w:tc>
                <w:tcPr>
                  <w:tcW w:w="1111" w:type="dxa"/>
                  <w:tcBorders>
                    <w:top w:val="single" w:color="000000" w:sz="6" w:space="0"/>
                    <w:bottom w:val="single" w:color="000000" w:sz="6" w:space="0"/>
                    <w:tl2br w:val="nil"/>
                    <w:tr2bl w:val="nil"/>
                  </w:tcBorders>
                  <w:vAlign w:val="center"/>
                </w:tcPr>
                <w:p w14:paraId="768EB42F">
                  <w:pPr>
                    <w:tabs>
                      <w:tab w:val="left" w:pos="397"/>
                    </w:tabs>
                    <w:jc w:val="center"/>
                    <w:rPr>
                      <w:color w:val="auto"/>
                      <w:szCs w:val="21"/>
                    </w:rPr>
                  </w:pPr>
                  <w:r>
                    <w:rPr>
                      <w:rFonts w:hint="eastAsia"/>
                      <w:color w:val="auto"/>
                      <w:szCs w:val="21"/>
                    </w:rPr>
                    <w:t>285</w:t>
                  </w:r>
                </w:p>
              </w:tc>
            </w:tr>
            <w:tr w14:paraId="748E045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tcBorders>
                    <w:top w:val="single" w:color="000000" w:sz="6" w:space="0"/>
                    <w:bottom w:val="single" w:color="000000" w:sz="6" w:space="0"/>
                    <w:tl2br w:val="nil"/>
                    <w:tr2bl w:val="nil"/>
                  </w:tcBorders>
                  <w:vAlign w:val="center"/>
                </w:tcPr>
                <w:p w14:paraId="25F6DF4E">
                  <w:pPr>
                    <w:tabs>
                      <w:tab w:val="left" w:pos="397"/>
                    </w:tabs>
                    <w:jc w:val="center"/>
                    <w:rPr>
                      <w:color w:val="auto"/>
                      <w:szCs w:val="21"/>
                    </w:rPr>
                  </w:pPr>
                  <w:r>
                    <w:rPr>
                      <w:rFonts w:hint="eastAsia"/>
                      <w:color w:val="auto"/>
                      <w:szCs w:val="21"/>
                    </w:rPr>
                    <w:t>合岗村</w:t>
                  </w:r>
                </w:p>
              </w:tc>
              <w:tc>
                <w:tcPr>
                  <w:tcW w:w="855" w:type="dxa"/>
                  <w:tcBorders>
                    <w:top w:val="single" w:color="000000" w:sz="6" w:space="0"/>
                    <w:bottom w:val="single" w:color="000000" w:sz="6" w:space="0"/>
                    <w:tl2br w:val="nil"/>
                    <w:tr2bl w:val="nil"/>
                  </w:tcBorders>
                  <w:vAlign w:val="center"/>
                </w:tcPr>
                <w:p w14:paraId="0AE169BD">
                  <w:pPr>
                    <w:tabs>
                      <w:tab w:val="left" w:pos="397"/>
                    </w:tabs>
                    <w:ind w:left="454" w:hanging="454"/>
                    <w:jc w:val="center"/>
                    <w:rPr>
                      <w:color w:val="auto"/>
                      <w:szCs w:val="21"/>
                    </w:rPr>
                  </w:pPr>
                  <w:r>
                    <w:rPr>
                      <w:rFonts w:hint="eastAsia"/>
                      <w:color w:val="auto"/>
                      <w:szCs w:val="21"/>
                    </w:rPr>
                    <w:t>-360</w:t>
                  </w:r>
                </w:p>
              </w:tc>
              <w:tc>
                <w:tcPr>
                  <w:tcW w:w="795" w:type="dxa"/>
                  <w:tcBorders>
                    <w:top w:val="single" w:color="000000" w:sz="6" w:space="0"/>
                    <w:bottom w:val="single" w:color="000000" w:sz="6" w:space="0"/>
                    <w:tl2br w:val="nil"/>
                    <w:tr2bl w:val="nil"/>
                  </w:tcBorders>
                  <w:vAlign w:val="center"/>
                </w:tcPr>
                <w:p w14:paraId="04A22632">
                  <w:pPr>
                    <w:tabs>
                      <w:tab w:val="left" w:pos="397"/>
                    </w:tabs>
                    <w:ind w:left="454" w:hanging="454"/>
                    <w:jc w:val="center"/>
                    <w:rPr>
                      <w:color w:val="auto"/>
                      <w:szCs w:val="21"/>
                    </w:rPr>
                  </w:pPr>
                  <w:r>
                    <w:rPr>
                      <w:rFonts w:hint="eastAsia"/>
                      <w:color w:val="auto"/>
                      <w:szCs w:val="21"/>
                    </w:rPr>
                    <w:t>412</w:t>
                  </w:r>
                </w:p>
              </w:tc>
              <w:tc>
                <w:tcPr>
                  <w:tcW w:w="1530" w:type="dxa"/>
                  <w:tcBorders>
                    <w:top w:val="single" w:color="000000" w:sz="6" w:space="0"/>
                    <w:bottom w:val="single" w:color="000000" w:sz="6" w:space="0"/>
                    <w:tl2br w:val="nil"/>
                    <w:tr2bl w:val="nil"/>
                  </w:tcBorders>
                  <w:vAlign w:val="center"/>
                </w:tcPr>
                <w:p w14:paraId="5B9FF7EC">
                  <w:pPr>
                    <w:tabs>
                      <w:tab w:val="left" w:pos="397"/>
                    </w:tabs>
                    <w:jc w:val="center"/>
                    <w:rPr>
                      <w:color w:val="auto"/>
                      <w:szCs w:val="21"/>
                    </w:rPr>
                  </w:pPr>
                  <w:r>
                    <w:rPr>
                      <w:rFonts w:hint="eastAsia"/>
                      <w:color w:val="auto"/>
                      <w:szCs w:val="21"/>
                    </w:rPr>
                    <w:t>约80人</w:t>
                  </w:r>
                </w:p>
              </w:tc>
              <w:tc>
                <w:tcPr>
                  <w:tcW w:w="1410" w:type="dxa"/>
                  <w:tcBorders>
                    <w:top w:val="single" w:color="000000" w:sz="6" w:space="0"/>
                    <w:bottom w:val="single" w:color="000000" w:sz="6" w:space="0"/>
                    <w:tl2br w:val="nil"/>
                    <w:tr2bl w:val="nil"/>
                  </w:tcBorders>
                  <w:vAlign w:val="center"/>
                </w:tcPr>
                <w:p w14:paraId="22F6F593">
                  <w:pPr>
                    <w:jc w:val="center"/>
                    <w:rPr>
                      <w:rFonts w:hint="eastAsia"/>
                      <w:color w:val="auto"/>
                      <w:szCs w:val="21"/>
                    </w:rPr>
                  </w:pPr>
                  <w:r>
                    <w:rPr>
                      <w:rFonts w:hint="eastAsia"/>
                      <w:color w:val="auto"/>
                      <w:szCs w:val="21"/>
                    </w:rPr>
                    <w:t>集中居住区</w:t>
                  </w:r>
                </w:p>
              </w:tc>
              <w:tc>
                <w:tcPr>
                  <w:tcW w:w="1245" w:type="dxa"/>
                  <w:vMerge w:val="continue"/>
                  <w:tcBorders>
                    <w:bottom w:val="single" w:color="000000" w:sz="6" w:space="0"/>
                    <w:tl2br w:val="nil"/>
                    <w:tr2bl w:val="nil"/>
                  </w:tcBorders>
                  <w:vAlign w:val="center"/>
                </w:tcPr>
                <w:p w14:paraId="7737BDE6">
                  <w:pPr>
                    <w:tabs>
                      <w:tab w:val="left" w:pos="397"/>
                    </w:tabs>
                    <w:jc w:val="center"/>
                    <w:rPr>
                      <w:color w:val="auto"/>
                      <w:szCs w:val="21"/>
                    </w:rPr>
                  </w:pPr>
                </w:p>
              </w:tc>
              <w:tc>
                <w:tcPr>
                  <w:tcW w:w="930" w:type="dxa"/>
                  <w:tcBorders>
                    <w:top w:val="single" w:color="000000" w:sz="6" w:space="0"/>
                    <w:bottom w:val="single" w:color="000000" w:sz="6" w:space="0"/>
                    <w:tl2br w:val="nil"/>
                    <w:tr2bl w:val="nil"/>
                  </w:tcBorders>
                  <w:vAlign w:val="center"/>
                </w:tcPr>
                <w:p w14:paraId="307D14EB">
                  <w:pPr>
                    <w:tabs>
                      <w:tab w:val="left" w:pos="397"/>
                    </w:tabs>
                    <w:jc w:val="center"/>
                    <w:rPr>
                      <w:color w:val="auto"/>
                      <w:szCs w:val="21"/>
                    </w:rPr>
                  </w:pPr>
                  <w:r>
                    <w:rPr>
                      <w:rFonts w:hint="eastAsia"/>
                      <w:color w:val="auto"/>
                      <w:szCs w:val="21"/>
                    </w:rPr>
                    <w:t>西北</w:t>
                  </w:r>
                </w:p>
              </w:tc>
              <w:tc>
                <w:tcPr>
                  <w:tcW w:w="1111" w:type="dxa"/>
                  <w:tcBorders>
                    <w:top w:val="single" w:color="000000" w:sz="6" w:space="0"/>
                    <w:bottom w:val="single" w:color="000000" w:sz="6" w:space="0"/>
                    <w:tl2br w:val="nil"/>
                    <w:tr2bl w:val="nil"/>
                  </w:tcBorders>
                  <w:vAlign w:val="center"/>
                </w:tcPr>
                <w:p w14:paraId="499858A8">
                  <w:pPr>
                    <w:tabs>
                      <w:tab w:val="left" w:pos="397"/>
                    </w:tabs>
                    <w:jc w:val="center"/>
                    <w:rPr>
                      <w:color w:val="auto"/>
                      <w:szCs w:val="21"/>
                    </w:rPr>
                  </w:pPr>
                  <w:r>
                    <w:rPr>
                      <w:rFonts w:hint="eastAsia"/>
                      <w:color w:val="auto"/>
                      <w:szCs w:val="21"/>
                    </w:rPr>
                    <w:t>425</w:t>
                  </w:r>
                </w:p>
              </w:tc>
            </w:tr>
            <w:tr w14:paraId="23F17F0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01" w:type="dxa"/>
                  <w:gridSpan w:val="8"/>
                  <w:tcBorders>
                    <w:tl2br w:val="nil"/>
                    <w:tr2bl w:val="nil"/>
                  </w:tcBorders>
                  <w:vAlign w:val="center"/>
                </w:tcPr>
                <w:p w14:paraId="0749593F">
                  <w:pPr>
                    <w:tabs>
                      <w:tab w:val="left" w:pos="397"/>
                    </w:tabs>
                    <w:ind w:left="454" w:hanging="454"/>
                    <w:jc w:val="center"/>
                    <w:rPr>
                      <w:color w:val="auto"/>
                      <w:szCs w:val="21"/>
                    </w:rPr>
                  </w:pPr>
                  <w:r>
                    <w:rPr>
                      <w:color w:val="auto"/>
                      <w:szCs w:val="21"/>
                    </w:rPr>
                    <w:t>注：原点坐标（X0，Y0）为（0,0），位于本项目</w:t>
                  </w:r>
                  <w:r>
                    <w:rPr>
                      <w:rFonts w:hint="eastAsia"/>
                      <w:color w:val="auto"/>
                      <w:szCs w:val="21"/>
                    </w:rPr>
                    <w:t>中心点</w:t>
                  </w:r>
                  <w:r>
                    <w:rPr>
                      <w:color w:val="auto"/>
                      <w:szCs w:val="21"/>
                    </w:rPr>
                    <w:t>位置。</w:t>
                  </w:r>
                </w:p>
              </w:tc>
            </w:tr>
          </w:tbl>
          <w:p w14:paraId="02A42CA2">
            <w:pPr>
              <w:spacing w:line="360" w:lineRule="auto"/>
              <w:ind w:firstLine="482" w:firstLineChars="200"/>
              <w:rPr>
                <w:b/>
                <w:color w:val="auto"/>
                <w:sz w:val="24"/>
              </w:rPr>
            </w:pPr>
            <w:r>
              <w:rPr>
                <w:b/>
                <w:color w:val="auto"/>
                <w:sz w:val="24"/>
              </w:rPr>
              <w:t>2、声环境</w:t>
            </w:r>
          </w:p>
          <w:p w14:paraId="6F50EF95">
            <w:pPr>
              <w:snapToGrid w:val="0"/>
              <w:spacing w:line="360" w:lineRule="auto"/>
              <w:ind w:firstLine="480" w:firstLineChars="200"/>
              <w:rPr>
                <w:color w:val="auto"/>
                <w:sz w:val="24"/>
              </w:rPr>
            </w:pPr>
            <w:r>
              <w:rPr>
                <w:rFonts w:hint="eastAsia"/>
                <w:color w:val="auto"/>
                <w:sz w:val="24"/>
              </w:rPr>
              <w:t>本</w:t>
            </w:r>
            <w:r>
              <w:rPr>
                <w:color w:val="auto"/>
                <w:sz w:val="24"/>
              </w:rPr>
              <w:t>项目厂界外50m范围内</w:t>
            </w:r>
            <w:r>
              <w:rPr>
                <w:rFonts w:hint="eastAsia"/>
                <w:color w:val="auto"/>
                <w:sz w:val="24"/>
              </w:rPr>
              <w:t>存在声</w:t>
            </w:r>
            <w:r>
              <w:rPr>
                <w:color w:val="auto"/>
                <w:sz w:val="24"/>
              </w:rPr>
              <w:t>环境敏感目标</w:t>
            </w:r>
            <w:r>
              <w:rPr>
                <w:rFonts w:hint="eastAsia"/>
                <w:color w:val="auto"/>
                <w:sz w:val="24"/>
              </w:rPr>
              <w:t>，具体表3-6和附图</w:t>
            </w:r>
            <w:r>
              <w:rPr>
                <w:rFonts w:hint="eastAsia"/>
                <w:color w:val="auto"/>
                <w:sz w:val="24"/>
                <w:lang w:val="en-US" w:eastAsia="zh-CN"/>
              </w:rPr>
              <w:t>5</w:t>
            </w:r>
            <w:r>
              <w:rPr>
                <w:rFonts w:hint="eastAsia"/>
                <w:color w:val="auto"/>
                <w:sz w:val="24"/>
              </w:rPr>
              <w:t>所示</w:t>
            </w:r>
            <w:r>
              <w:rPr>
                <w:color w:val="auto"/>
                <w:sz w:val="24"/>
              </w:rPr>
              <w:t>。</w:t>
            </w:r>
          </w:p>
          <w:p w14:paraId="0F0411D5">
            <w:pPr>
              <w:tabs>
                <w:tab w:val="left" w:pos="360"/>
                <w:tab w:val="left" w:pos="397"/>
              </w:tabs>
              <w:adjustRightInd w:val="0"/>
              <w:snapToGrid w:val="0"/>
              <w:jc w:val="center"/>
              <w:rPr>
                <w:rFonts w:hint="eastAsia"/>
                <w:b/>
                <w:bCs/>
                <w:color w:val="auto"/>
                <w:szCs w:val="21"/>
              </w:rPr>
            </w:pPr>
            <w:r>
              <w:rPr>
                <w:rFonts w:hint="eastAsia"/>
                <w:b/>
                <w:bCs/>
                <w:color w:val="auto"/>
                <w:szCs w:val="21"/>
              </w:rPr>
              <w:t>表3-6  本项目主要声环境保护目标</w:t>
            </w:r>
          </w:p>
          <w:tbl>
            <w:tblPr>
              <w:tblStyle w:val="42"/>
              <w:tblW w:w="920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855"/>
              <w:gridCol w:w="795"/>
              <w:gridCol w:w="1530"/>
              <w:gridCol w:w="1410"/>
              <w:gridCol w:w="1245"/>
              <w:gridCol w:w="930"/>
              <w:gridCol w:w="1111"/>
            </w:tblGrid>
            <w:tr w14:paraId="572064F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vMerge w:val="restart"/>
                  <w:tcBorders>
                    <w:tl2br w:val="nil"/>
                    <w:tr2bl w:val="nil"/>
                  </w:tcBorders>
                  <w:vAlign w:val="center"/>
                </w:tcPr>
                <w:p w14:paraId="2A2CD5BF">
                  <w:pPr>
                    <w:tabs>
                      <w:tab w:val="left" w:pos="397"/>
                    </w:tabs>
                    <w:ind w:left="454" w:hanging="454"/>
                    <w:jc w:val="center"/>
                    <w:rPr>
                      <w:b/>
                      <w:bCs/>
                      <w:color w:val="auto"/>
                      <w:szCs w:val="21"/>
                    </w:rPr>
                  </w:pPr>
                  <w:r>
                    <w:rPr>
                      <w:b/>
                      <w:bCs/>
                      <w:color w:val="auto"/>
                      <w:szCs w:val="21"/>
                    </w:rPr>
                    <w:t>名称</w:t>
                  </w:r>
                </w:p>
              </w:tc>
              <w:tc>
                <w:tcPr>
                  <w:tcW w:w="1650" w:type="dxa"/>
                  <w:gridSpan w:val="2"/>
                  <w:tcBorders>
                    <w:tl2br w:val="nil"/>
                    <w:tr2bl w:val="nil"/>
                  </w:tcBorders>
                  <w:vAlign w:val="center"/>
                </w:tcPr>
                <w:p w14:paraId="1510D12A">
                  <w:pPr>
                    <w:tabs>
                      <w:tab w:val="left" w:pos="397"/>
                    </w:tabs>
                    <w:ind w:left="454" w:hanging="454"/>
                    <w:jc w:val="center"/>
                    <w:rPr>
                      <w:b/>
                      <w:bCs/>
                      <w:color w:val="auto"/>
                      <w:szCs w:val="21"/>
                    </w:rPr>
                  </w:pPr>
                  <w:r>
                    <w:rPr>
                      <w:b/>
                      <w:bCs/>
                      <w:color w:val="auto"/>
                      <w:szCs w:val="21"/>
                    </w:rPr>
                    <w:t>坐标/m</w:t>
                  </w:r>
                </w:p>
              </w:tc>
              <w:tc>
                <w:tcPr>
                  <w:tcW w:w="1530" w:type="dxa"/>
                  <w:vMerge w:val="restart"/>
                  <w:tcBorders>
                    <w:tl2br w:val="nil"/>
                    <w:tr2bl w:val="nil"/>
                  </w:tcBorders>
                  <w:vAlign w:val="center"/>
                </w:tcPr>
                <w:p w14:paraId="4134E464">
                  <w:pPr>
                    <w:tabs>
                      <w:tab w:val="left" w:pos="397"/>
                    </w:tabs>
                    <w:jc w:val="center"/>
                    <w:rPr>
                      <w:b/>
                      <w:bCs/>
                      <w:color w:val="auto"/>
                      <w:szCs w:val="21"/>
                    </w:rPr>
                  </w:pPr>
                  <w:r>
                    <w:rPr>
                      <w:b/>
                      <w:bCs/>
                      <w:color w:val="auto"/>
                      <w:szCs w:val="21"/>
                    </w:rPr>
                    <w:t>保护对象</w:t>
                  </w:r>
                </w:p>
              </w:tc>
              <w:tc>
                <w:tcPr>
                  <w:tcW w:w="1410" w:type="dxa"/>
                  <w:vMerge w:val="restart"/>
                  <w:tcBorders>
                    <w:tl2br w:val="nil"/>
                    <w:tr2bl w:val="nil"/>
                  </w:tcBorders>
                  <w:vAlign w:val="center"/>
                </w:tcPr>
                <w:p w14:paraId="252AA9A5">
                  <w:pPr>
                    <w:tabs>
                      <w:tab w:val="left" w:pos="397"/>
                    </w:tabs>
                    <w:jc w:val="center"/>
                    <w:rPr>
                      <w:b/>
                      <w:bCs/>
                      <w:color w:val="auto"/>
                      <w:szCs w:val="21"/>
                    </w:rPr>
                  </w:pPr>
                  <w:r>
                    <w:rPr>
                      <w:b/>
                      <w:bCs/>
                      <w:color w:val="auto"/>
                      <w:szCs w:val="21"/>
                    </w:rPr>
                    <w:t>保护内容</w:t>
                  </w:r>
                </w:p>
              </w:tc>
              <w:tc>
                <w:tcPr>
                  <w:tcW w:w="1245" w:type="dxa"/>
                  <w:vMerge w:val="restart"/>
                  <w:tcBorders>
                    <w:tl2br w:val="nil"/>
                    <w:tr2bl w:val="nil"/>
                  </w:tcBorders>
                  <w:vAlign w:val="center"/>
                </w:tcPr>
                <w:p w14:paraId="70BAE632">
                  <w:pPr>
                    <w:tabs>
                      <w:tab w:val="left" w:pos="397"/>
                    </w:tabs>
                    <w:jc w:val="center"/>
                    <w:rPr>
                      <w:b/>
                      <w:bCs/>
                      <w:color w:val="auto"/>
                      <w:szCs w:val="21"/>
                    </w:rPr>
                  </w:pPr>
                  <w:r>
                    <w:rPr>
                      <w:b/>
                      <w:bCs/>
                      <w:color w:val="auto"/>
                      <w:szCs w:val="21"/>
                    </w:rPr>
                    <w:t>环境功能区</w:t>
                  </w:r>
                </w:p>
              </w:tc>
              <w:tc>
                <w:tcPr>
                  <w:tcW w:w="930" w:type="dxa"/>
                  <w:vMerge w:val="restart"/>
                  <w:tcBorders>
                    <w:tl2br w:val="nil"/>
                    <w:tr2bl w:val="nil"/>
                  </w:tcBorders>
                  <w:vAlign w:val="center"/>
                </w:tcPr>
                <w:p w14:paraId="4D1E0267">
                  <w:pPr>
                    <w:tabs>
                      <w:tab w:val="left" w:pos="397"/>
                    </w:tabs>
                    <w:jc w:val="center"/>
                    <w:rPr>
                      <w:b/>
                      <w:bCs/>
                      <w:color w:val="auto"/>
                      <w:szCs w:val="21"/>
                    </w:rPr>
                  </w:pPr>
                  <w:r>
                    <w:rPr>
                      <w:b/>
                      <w:bCs/>
                      <w:color w:val="auto"/>
                      <w:szCs w:val="21"/>
                    </w:rPr>
                    <w:t>相对厂址方位</w:t>
                  </w:r>
                </w:p>
              </w:tc>
              <w:tc>
                <w:tcPr>
                  <w:tcW w:w="1111" w:type="dxa"/>
                  <w:vMerge w:val="restart"/>
                  <w:tcBorders>
                    <w:tl2br w:val="nil"/>
                    <w:tr2bl w:val="nil"/>
                  </w:tcBorders>
                  <w:vAlign w:val="center"/>
                </w:tcPr>
                <w:p w14:paraId="134EF52C">
                  <w:pPr>
                    <w:tabs>
                      <w:tab w:val="left" w:pos="397"/>
                    </w:tabs>
                    <w:jc w:val="center"/>
                    <w:rPr>
                      <w:b/>
                      <w:bCs/>
                      <w:color w:val="auto"/>
                      <w:szCs w:val="21"/>
                    </w:rPr>
                  </w:pPr>
                  <w:r>
                    <w:rPr>
                      <w:b/>
                      <w:bCs/>
                      <w:color w:val="auto"/>
                      <w:szCs w:val="21"/>
                    </w:rPr>
                    <w:t>相对厂址距离/m</w:t>
                  </w:r>
                </w:p>
              </w:tc>
            </w:tr>
            <w:tr w14:paraId="1B9DE9E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vMerge w:val="continue"/>
                  <w:tcBorders>
                    <w:tl2br w:val="nil"/>
                    <w:tr2bl w:val="nil"/>
                  </w:tcBorders>
                  <w:vAlign w:val="center"/>
                </w:tcPr>
                <w:p w14:paraId="10CE1241">
                  <w:pPr>
                    <w:tabs>
                      <w:tab w:val="left" w:pos="397"/>
                    </w:tabs>
                    <w:ind w:left="454" w:hanging="454"/>
                    <w:jc w:val="center"/>
                    <w:rPr>
                      <w:color w:val="auto"/>
                      <w:szCs w:val="21"/>
                    </w:rPr>
                  </w:pPr>
                </w:p>
              </w:tc>
              <w:tc>
                <w:tcPr>
                  <w:tcW w:w="855" w:type="dxa"/>
                  <w:tcBorders>
                    <w:tl2br w:val="nil"/>
                    <w:tr2bl w:val="nil"/>
                  </w:tcBorders>
                  <w:vAlign w:val="center"/>
                </w:tcPr>
                <w:p w14:paraId="4C9EF5C5">
                  <w:pPr>
                    <w:tabs>
                      <w:tab w:val="left" w:pos="397"/>
                    </w:tabs>
                    <w:ind w:left="454" w:hanging="454"/>
                    <w:jc w:val="center"/>
                    <w:rPr>
                      <w:color w:val="auto"/>
                      <w:szCs w:val="21"/>
                    </w:rPr>
                  </w:pPr>
                  <w:r>
                    <w:rPr>
                      <w:color w:val="auto"/>
                      <w:szCs w:val="21"/>
                    </w:rPr>
                    <w:t>X</w:t>
                  </w:r>
                </w:p>
              </w:tc>
              <w:tc>
                <w:tcPr>
                  <w:tcW w:w="795" w:type="dxa"/>
                  <w:tcBorders>
                    <w:tl2br w:val="nil"/>
                    <w:tr2bl w:val="nil"/>
                  </w:tcBorders>
                  <w:vAlign w:val="center"/>
                </w:tcPr>
                <w:p w14:paraId="09475C37">
                  <w:pPr>
                    <w:tabs>
                      <w:tab w:val="left" w:pos="397"/>
                    </w:tabs>
                    <w:ind w:left="454" w:hanging="454"/>
                    <w:jc w:val="center"/>
                    <w:rPr>
                      <w:color w:val="auto"/>
                      <w:szCs w:val="21"/>
                    </w:rPr>
                  </w:pPr>
                  <w:r>
                    <w:rPr>
                      <w:color w:val="auto"/>
                      <w:szCs w:val="21"/>
                    </w:rPr>
                    <w:t>Y</w:t>
                  </w:r>
                </w:p>
              </w:tc>
              <w:tc>
                <w:tcPr>
                  <w:tcW w:w="1530" w:type="dxa"/>
                  <w:vMerge w:val="continue"/>
                  <w:tcBorders>
                    <w:tl2br w:val="nil"/>
                    <w:tr2bl w:val="nil"/>
                  </w:tcBorders>
                  <w:vAlign w:val="center"/>
                </w:tcPr>
                <w:p w14:paraId="11A94EB3">
                  <w:pPr>
                    <w:tabs>
                      <w:tab w:val="left" w:pos="397"/>
                    </w:tabs>
                    <w:ind w:left="454" w:hanging="454"/>
                    <w:jc w:val="center"/>
                    <w:rPr>
                      <w:color w:val="auto"/>
                      <w:szCs w:val="21"/>
                    </w:rPr>
                  </w:pPr>
                </w:p>
              </w:tc>
              <w:tc>
                <w:tcPr>
                  <w:tcW w:w="1410" w:type="dxa"/>
                  <w:vMerge w:val="continue"/>
                  <w:tcBorders>
                    <w:tl2br w:val="nil"/>
                    <w:tr2bl w:val="nil"/>
                  </w:tcBorders>
                  <w:vAlign w:val="center"/>
                </w:tcPr>
                <w:p w14:paraId="273CDCA8">
                  <w:pPr>
                    <w:tabs>
                      <w:tab w:val="left" w:pos="397"/>
                    </w:tabs>
                    <w:ind w:left="454" w:hanging="454"/>
                    <w:jc w:val="center"/>
                    <w:rPr>
                      <w:color w:val="auto"/>
                      <w:szCs w:val="21"/>
                    </w:rPr>
                  </w:pPr>
                </w:p>
              </w:tc>
              <w:tc>
                <w:tcPr>
                  <w:tcW w:w="1245" w:type="dxa"/>
                  <w:vMerge w:val="continue"/>
                  <w:tcBorders>
                    <w:tl2br w:val="nil"/>
                    <w:tr2bl w:val="nil"/>
                  </w:tcBorders>
                  <w:vAlign w:val="center"/>
                </w:tcPr>
                <w:p w14:paraId="64E9D246">
                  <w:pPr>
                    <w:tabs>
                      <w:tab w:val="left" w:pos="397"/>
                    </w:tabs>
                    <w:ind w:left="454" w:hanging="454"/>
                    <w:jc w:val="center"/>
                    <w:rPr>
                      <w:color w:val="auto"/>
                      <w:szCs w:val="21"/>
                    </w:rPr>
                  </w:pPr>
                </w:p>
              </w:tc>
              <w:tc>
                <w:tcPr>
                  <w:tcW w:w="930" w:type="dxa"/>
                  <w:vMerge w:val="continue"/>
                  <w:tcBorders>
                    <w:tl2br w:val="nil"/>
                    <w:tr2bl w:val="nil"/>
                  </w:tcBorders>
                  <w:vAlign w:val="center"/>
                </w:tcPr>
                <w:p w14:paraId="7934BEF0">
                  <w:pPr>
                    <w:tabs>
                      <w:tab w:val="left" w:pos="397"/>
                    </w:tabs>
                    <w:ind w:left="454" w:hanging="454"/>
                    <w:jc w:val="center"/>
                    <w:rPr>
                      <w:color w:val="auto"/>
                      <w:szCs w:val="21"/>
                    </w:rPr>
                  </w:pPr>
                </w:p>
              </w:tc>
              <w:tc>
                <w:tcPr>
                  <w:tcW w:w="1111" w:type="dxa"/>
                  <w:vMerge w:val="continue"/>
                  <w:tcBorders>
                    <w:tl2br w:val="nil"/>
                    <w:tr2bl w:val="nil"/>
                  </w:tcBorders>
                  <w:vAlign w:val="center"/>
                </w:tcPr>
                <w:p w14:paraId="778DF286">
                  <w:pPr>
                    <w:tabs>
                      <w:tab w:val="left" w:pos="397"/>
                    </w:tabs>
                    <w:ind w:left="454" w:hanging="454"/>
                    <w:jc w:val="center"/>
                    <w:rPr>
                      <w:color w:val="auto"/>
                      <w:szCs w:val="21"/>
                    </w:rPr>
                  </w:pPr>
                </w:p>
              </w:tc>
            </w:tr>
            <w:tr w14:paraId="3A57F3C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tcBorders>
                    <w:tl2br w:val="nil"/>
                    <w:tr2bl w:val="nil"/>
                  </w:tcBorders>
                  <w:vAlign w:val="center"/>
                </w:tcPr>
                <w:p w14:paraId="14231A10">
                  <w:pPr>
                    <w:tabs>
                      <w:tab w:val="left" w:pos="397"/>
                    </w:tabs>
                    <w:jc w:val="center"/>
                    <w:rPr>
                      <w:color w:val="auto"/>
                      <w:szCs w:val="21"/>
                    </w:rPr>
                  </w:pPr>
                  <w:r>
                    <w:rPr>
                      <w:rFonts w:hint="eastAsia"/>
                      <w:color w:val="auto"/>
                      <w:szCs w:val="21"/>
                    </w:rPr>
                    <w:t>阳东区龙源实验学校</w:t>
                  </w:r>
                </w:p>
              </w:tc>
              <w:tc>
                <w:tcPr>
                  <w:tcW w:w="855" w:type="dxa"/>
                  <w:tcBorders>
                    <w:tl2br w:val="nil"/>
                    <w:tr2bl w:val="nil"/>
                  </w:tcBorders>
                  <w:vAlign w:val="center"/>
                </w:tcPr>
                <w:p w14:paraId="21AB94CE">
                  <w:pPr>
                    <w:tabs>
                      <w:tab w:val="left" w:pos="397"/>
                    </w:tabs>
                    <w:ind w:left="454" w:hanging="454"/>
                    <w:jc w:val="center"/>
                    <w:rPr>
                      <w:color w:val="auto"/>
                      <w:szCs w:val="21"/>
                    </w:rPr>
                  </w:pPr>
                  <w:r>
                    <w:rPr>
                      <w:rFonts w:hint="eastAsia"/>
                      <w:color w:val="auto"/>
                      <w:szCs w:val="21"/>
                    </w:rPr>
                    <w:t>0</w:t>
                  </w:r>
                </w:p>
              </w:tc>
              <w:tc>
                <w:tcPr>
                  <w:tcW w:w="795" w:type="dxa"/>
                  <w:tcBorders>
                    <w:tl2br w:val="nil"/>
                    <w:tr2bl w:val="nil"/>
                  </w:tcBorders>
                  <w:vAlign w:val="center"/>
                </w:tcPr>
                <w:p w14:paraId="4E787721">
                  <w:pPr>
                    <w:tabs>
                      <w:tab w:val="left" w:pos="397"/>
                    </w:tabs>
                    <w:ind w:left="454" w:hanging="454"/>
                    <w:jc w:val="center"/>
                    <w:rPr>
                      <w:color w:val="auto"/>
                      <w:szCs w:val="21"/>
                    </w:rPr>
                  </w:pPr>
                  <w:r>
                    <w:rPr>
                      <w:rFonts w:hint="eastAsia"/>
                      <w:color w:val="auto"/>
                      <w:szCs w:val="21"/>
                    </w:rPr>
                    <w:t>-127</w:t>
                  </w:r>
                </w:p>
              </w:tc>
              <w:tc>
                <w:tcPr>
                  <w:tcW w:w="1530" w:type="dxa"/>
                  <w:tcBorders>
                    <w:tl2br w:val="nil"/>
                    <w:tr2bl w:val="nil"/>
                  </w:tcBorders>
                  <w:vAlign w:val="center"/>
                </w:tcPr>
                <w:p w14:paraId="7E7F1416">
                  <w:pPr>
                    <w:tabs>
                      <w:tab w:val="left" w:pos="397"/>
                    </w:tabs>
                    <w:jc w:val="center"/>
                    <w:rPr>
                      <w:color w:val="auto"/>
                      <w:szCs w:val="21"/>
                    </w:rPr>
                  </w:pPr>
                  <w:r>
                    <w:rPr>
                      <w:rFonts w:hint="eastAsia"/>
                      <w:color w:val="auto"/>
                      <w:szCs w:val="21"/>
                    </w:rPr>
                    <w:t>约3000人</w:t>
                  </w:r>
                </w:p>
              </w:tc>
              <w:tc>
                <w:tcPr>
                  <w:tcW w:w="1410" w:type="dxa"/>
                  <w:tcBorders>
                    <w:tl2br w:val="nil"/>
                    <w:tr2bl w:val="nil"/>
                  </w:tcBorders>
                  <w:vAlign w:val="center"/>
                </w:tcPr>
                <w:p w14:paraId="6C328DCB">
                  <w:pPr>
                    <w:tabs>
                      <w:tab w:val="left" w:pos="397"/>
                    </w:tabs>
                    <w:jc w:val="center"/>
                    <w:rPr>
                      <w:rFonts w:hint="eastAsia"/>
                      <w:color w:val="auto"/>
                      <w:szCs w:val="21"/>
                    </w:rPr>
                  </w:pPr>
                  <w:r>
                    <w:rPr>
                      <w:rFonts w:hint="eastAsia"/>
                      <w:color w:val="auto"/>
                      <w:szCs w:val="21"/>
                    </w:rPr>
                    <w:t>学校</w:t>
                  </w:r>
                </w:p>
              </w:tc>
              <w:tc>
                <w:tcPr>
                  <w:tcW w:w="1245" w:type="dxa"/>
                  <w:vMerge w:val="restart"/>
                  <w:tcBorders>
                    <w:tl2br w:val="nil"/>
                    <w:tr2bl w:val="nil"/>
                  </w:tcBorders>
                  <w:vAlign w:val="center"/>
                </w:tcPr>
                <w:p w14:paraId="6A76A40C">
                  <w:pPr>
                    <w:tabs>
                      <w:tab w:val="left" w:pos="397"/>
                    </w:tabs>
                    <w:jc w:val="center"/>
                    <w:rPr>
                      <w:color w:val="auto"/>
                      <w:szCs w:val="21"/>
                    </w:rPr>
                  </w:pPr>
                  <w:r>
                    <w:rPr>
                      <w:rFonts w:hint="eastAsia"/>
                      <w:color w:val="auto"/>
                      <w:szCs w:val="21"/>
                      <w:lang w:val="en-US" w:eastAsia="zh-CN"/>
                    </w:rPr>
                    <w:t>声环境</w:t>
                  </w:r>
                  <w:r>
                    <w:rPr>
                      <w:color w:val="auto"/>
                      <w:szCs w:val="21"/>
                    </w:rPr>
                    <w:t>：</w:t>
                  </w:r>
                  <w:r>
                    <w:rPr>
                      <w:rFonts w:hint="eastAsia"/>
                      <w:color w:val="auto"/>
                      <w:szCs w:val="21"/>
                      <w:lang w:val="en-US" w:eastAsia="zh-CN"/>
                    </w:rPr>
                    <w:t>2</w:t>
                  </w:r>
                  <w:r>
                    <w:rPr>
                      <w:color w:val="auto"/>
                      <w:szCs w:val="21"/>
                    </w:rPr>
                    <w:t>类</w:t>
                  </w:r>
                </w:p>
              </w:tc>
              <w:tc>
                <w:tcPr>
                  <w:tcW w:w="930" w:type="dxa"/>
                  <w:tcBorders>
                    <w:tl2br w:val="nil"/>
                    <w:tr2bl w:val="nil"/>
                  </w:tcBorders>
                  <w:vAlign w:val="center"/>
                </w:tcPr>
                <w:p w14:paraId="64805193">
                  <w:pPr>
                    <w:tabs>
                      <w:tab w:val="left" w:pos="397"/>
                    </w:tabs>
                    <w:jc w:val="center"/>
                    <w:rPr>
                      <w:color w:val="auto"/>
                      <w:szCs w:val="21"/>
                    </w:rPr>
                  </w:pPr>
                  <w:r>
                    <w:rPr>
                      <w:rFonts w:hint="eastAsia"/>
                      <w:color w:val="auto"/>
                      <w:szCs w:val="21"/>
                    </w:rPr>
                    <w:t>南面</w:t>
                  </w:r>
                </w:p>
              </w:tc>
              <w:tc>
                <w:tcPr>
                  <w:tcW w:w="1111" w:type="dxa"/>
                  <w:tcBorders>
                    <w:tl2br w:val="nil"/>
                    <w:tr2bl w:val="nil"/>
                  </w:tcBorders>
                  <w:vAlign w:val="center"/>
                </w:tcPr>
                <w:p w14:paraId="29C65FDA">
                  <w:pPr>
                    <w:tabs>
                      <w:tab w:val="left" w:pos="397"/>
                    </w:tabs>
                    <w:jc w:val="center"/>
                    <w:rPr>
                      <w:color w:val="auto"/>
                      <w:szCs w:val="21"/>
                    </w:rPr>
                  </w:pPr>
                  <w:r>
                    <w:rPr>
                      <w:rFonts w:hint="eastAsia"/>
                      <w:color w:val="auto"/>
                      <w:szCs w:val="21"/>
                    </w:rPr>
                    <w:t>32</w:t>
                  </w:r>
                </w:p>
              </w:tc>
            </w:tr>
            <w:tr w14:paraId="76D8374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tcBorders>
                    <w:bottom w:val="single" w:color="000000" w:sz="6" w:space="0"/>
                    <w:tl2br w:val="nil"/>
                    <w:tr2bl w:val="nil"/>
                  </w:tcBorders>
                  <w:vAlign w:val="center"/>
                </w:tcPr>
                <w:p w14:paraId="5B30F5DC">
                  <w:pPr>
                    <w:tabs>
                      <w:tab w:val="left" w:pos="397"/>
                    </w:tabs>
                    <w:jc w:val="center"/>
                    <w:rPr>
                      <w:color w:val="auto"/>
                      <w:szCs w:val="21"/>
                    </w:rPr>
                  </w:pPr>
                  <w:r>
                    <w:rPr>
                      <w:rFonts w:hint="eastAsia"/>
                      <w:color w:val="auto"/>
                      <w:szCs w:val="21"/>
                    </w:rPr>
                    <w:t>阳光天地</w:t>
                  </w:r>
                </w:p>
              </w:tc>
              <w:tc>
                <w:tcPr>
                  <w:tcW w:w="855" w:type="dxa"/>
                  <w:tcBorders>
                    <w:bottom w:val="single" w:color="000000" w:sz="6" w:space="0"/>
                    <w:tl2br w:val="nil"/>
                    <w:tr2bl w:val="nil"/>
                  </w:tcBorders>
                  <w:vAlign w:val="center"/>
                </w:tcPr>
                <w:p w14:paraId="0054D277">
                  <w:pPr>
                    <w:tabs>
                      <w:tab w:val="left" w:pos="397"/>
                    </w:tabs>
                    <w:ind w:left="454" w:hanging="454"/>
                    <w:jc w:val="center"/>
                    <w:rPr>
                      <w:rFonts w:hint="eastAsia"/>
                      <w:color w:val="auto"/>
                      <w:szCs w:val="21"/>
                    </w:rPr>
                  </w:pPr>
                  <w:r>
                    <w:rPr>
                      <w:rFonts w:hint="eastAsia"/>
                      <w:color w:val="auto"/>
                      <w:szCs w:val="21"/>
                    </w:rPr>
                    <w:t>0</w:t>
                  </w:r>
                </w:p>
              </w:tc>
              <w:tc>
                <w:tcPr>
                  <w:tcW w:w="795" w:type="dxa"/>
                  <w:tcBorders>
                    <w:bottom w:val="single" w:color="000000" w:sz="6" w:space="0"/>
                    <w:tl2br w:val="nil"/>
                    <w:tr2bl w:val="nil"/>
                  </w:tcBorders>
                  <w:vAlign w:val="center"/>
                </w:tcPr>
                <w:p w14:paraId="511AD507">
                  <w:pPr>
                    <w:tabs>
                      <w:tab w:val="left" w:pos="397"/>
                    </w:tabs>
                    <w:ind w:left="454" w:hanging="454"/>
                    <w:jc w:val="center"/>
                    <w:rPr>
                      <w:rFonts w:hint="eastAsia"/>
                      <w:color w:val="auto"/>
                      <w:szCs w:val="21"/>
                    </w:rPr>
                  </w:pPr>
                  <w:r>
                    <w:rPr>
                      <w:rFonts w:hint="eastAsia"/>
                      <w:color w:val="auto"/>
                      <w:szCs w:val="21"/>
                    </w:rPr>
                    <w:t>130</w:t>
                  </w:r>
                </w:p>
              </w:tc>
              <w:tc>
                <w:tcPr>
                  <w:tcW w:w="1530" w:type="dxa"/>
                  <w:tcBorders>
                    <w:bottom w:val="single" w:color="000000" w:sz="6" w:space="0"/>
                    <w:tl2br w:val="nil"/>
                    <w:tr2bl w:val="nil"/>
                  </w:tcBorders>
                  <w:vAlign w:val="center"/>
                </w:tcPr>
                <w:p w14:paraId="0D6B576C">
                  <w:pPr>
                    <w:tabs>
                      <w:tab w:val="left" w:pos="397"/>
                    </w:tabs>
                    <w:jc w:val="center"/>
                    <w:rPr>
                      <w:color w:val="auto"/>
                      <w:szCs w:val="21"/>
                    </w:rPr>
                  </w:pPr>
                  <w:r>
                    <w:rPr>
                      <w:rFonts w:hint="eastAsia"/>
                      <w:color w:val="auto"/>
                      <w:szCs w:val="21"/>
                    </w:rPr>
                    <w:t>约1750人</w:t>
                  </w:r>
                </w:p>
              </w:tc>
              <w:tc>
                <w:tcPr>
                  <w:tcW w:w="1410" w:type="dxa"/>
                  <w:tcBorders>
                    <w:bottom w:val="single" w:color="000000" w:sz="6" w:space="0"/>
                    <w:tl2br w:val="nil"/>
                    <w:tr2bl w:val="nil"/>
                  </w:tcBorders>
                  <w:vAlign w:val="center"/>
                </w:tcPr>
                <w:p w14:paraId="6A057EFB">
                  <w:pPr>
                    <w:tabs>
                      <w:tab w:val="left" w:pos="397"/>
                    </w:tabs>
                    <w:jc w:val="center"/>
                    <w:rPr>
                      <w:color w:val="auto"/>
                      <w:szCs w:val="21"/>
                    </w:rPr>
                  </w:pPr>
                  <w:r>
                    <w:rPr>
                      <w:rFonts w:hint="eastAsia"/>
                      <w:color w:val="auto"/>
                      <w:szCs w:val="21"/>
                    </w:rPr>
                    <w:t>集中居住区</w:t>
                  </w:r>
                </w:p>
              </w:tc>
              <w:tc>
                <w:tcPr>
                  <w:tcW w:w="1245" w:type="dxa"/>
                  <w:vMerge w:val="continue"/>
                  <w:tcBorders>
                    <w:tl2br w:val="nil"/>
                    <w:tr2bl w:val="nil"/>
                  </w:tcBorders>
                  <w:vAlign w:val="center"/>
                </w:tcPr>
                <w:p w14:paraId="6FE55E96">
                  <w:pPr>
                    <w:tabs>
                      <w:tab w:val="left" w:pos="397"/>
                    </w:tabs>
                    <w:jc w:val="center"/>
                    <w:rPr>
                      <w:color w:val="auto"/>
                      <w:szCs w:val="21"/>
                    </w:rPr>
                  </w:pPr>
                </w:p>
              </w:tc>
              <w:tc>
                <w:tcPr>
                  <w:tcW w:w="930" w:type="dxa"/>
                  <w:tcBorders>
                    <w:bottom w:val="single" w:color="000000" w:sz="6" w:space="0"/>
                    <w:tl2br w:val="nil"/>
                    <w:tr2bl w:val="nil"/>
                  </w:tcBorders>
                  <w:vAlign w:val="center"/>
                </w:tcPr>
                <w:p w14:paraId="4D6AA6EA">
                  <w:pPr>
                    <w:tabs>
                      <w:tab w:val="left" w:pos="397"/>
                    </w:tabs>
                    <w:jc w:val="center"/>
                    <w:rPr>
                      <w:color w:val="auto"/>
                      <w:szCs w:val="21"/>
                    </w:rPr>
                  </w:pPr>
                  <w:r>
                    <w:rPr>
                      <w:rFonts w:hint="eastAsia"/>
                      <w:color w:val="auto"/>
                      <w:szCs w:val="21"/>
                    </w:rPr>
                    <w:t>北面</w:t>
                  </w:r>
                </w:p>
              </w:tc>
              <w:tc>
                <w:tcPr>
                  <w:tcW w:w="1111" w:type="dxa"/>
                  <w:tcBorders>
                    <w:bottom w:val="single" w:color="000000" w:sz="6" w:space="0"/>
                    <w:tl2br w:val="nil"/>
                    <w:tr2bl w:val="nil"/>
                  </w:tcBorders>
                  <w:vAlign w:val="center"/>
                </w:tcPr>
                <w:p w14:paraId="0F9233C1">
                  <w:pPr>
                    <w:tabs>
                      <w:tab w:val="left" w:pos="397"/>
                    </w:tabs>
                    <w:jc w:val="center"/>
                    <w:rPr>
                      <w:color w:val="auto"/>
                      <w:szCs w:val="21"/>
                    </w:rPr>
                  </w:pPr>
                  <w:r>
                    <w:rPr>
                      <w:rFonts w:hint="eastAsia"/>
                      <w:color w:val="auto"/>
                      <w:szCs w:val="21"/>
                    </w:rPr>
                    <w:t>35</w:t>
                  </w:r>
                </w:p>
              </w:tc>
            </w:tr>
            <w:tr w14:paraId="4CD69F6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25" w:type="dxa"/>
                  <w:tcBorders>
                    <w:top w:val="single" w:color="000000" w:sz="6" w:space="0"/>
                    <w:bottom w:val="single" w:color="000000" w:sz="6" w:space="0"/>
                    <w:tl2br w:val="nil"/>
                    <w:tr2bl w:val="nil"/>
                  </w:tcBorders>
                  <w:vAlign w:val="center"/>
                </w:tcPr>
                <w:p w14:paraId="5FCE43B0">
                  <w:pPr>
                    <w:tabs>
                      <w:tab w:val="left" w:pos="397"/>
                    </w:tabs>
                    <w:jc w:val="center"/>
                    <w:rPr>
                      <w:color w:val="auto"/>
                      <w:szCs w:val="21"/>
                    </w:rPr>
                  </w:pPr>
                  <w:r>
                    <w:rPr>
                      <w:rFonts w:hint="eastAsia"/>
                      <w:color w:val="auto"/>
                      <w:szCs w:val="21"/>
                    </w:rPr>
                    <w:t>商住楼</w:t>
                  </w:r>
                </w:p>
              </w:tc>
              <w:tc>
                <w:tcPr>
                  <w:tcW w:w="855" w:type="dxa"/>
                  <w:tcBorders>
                    <w:top w:val="single" w:color="000000" w:sz="6" w:space="0"/>
                    <w:bottom w:val="single" w:color="000000" w:sz="6" w:space="0"/>
                    <w:tl2br w:val="nil"/>
                    <w:tr2bl w:val="nil"/>
                  </w:tcBorders>
                  <w:vAlign w:val="center"/>
                </w:tcPr>
                <w:p w14:paraId="07079221">
                  <w:pPr>
                    <w:tabs>
                      <w:tab w:val="left" w:pos="397"/>
                    </w:tabs>
                    <w:ind w:left="454" w:hanging="454"/>
                    <w:jc w:val="center"/>
                    <w:rPr>
                      <w:rFonts w:hint="eastAsia"/>
                      <w:color w:val="auto"/>
                      <w:szCs w:val="21"/>
                    </w:rPr>
                  </w:pPr>
                  <w:r>
                    <w:rPr>
                      <w:rFonts w:hint="eastAsia"/>
                      <w:color w:val="auto"/>
                      <w:szCs w:val="21"/>
                    </w:rPr>
                    <w:t>120</w:t>
                  </w:r>
                </w:p>
              </w:tc>
              <w:tc>
                <w:tcPr>
                  <w:tcW w:w="795" w:type="dxa"/>
                  <w:tcBorders>
                    <w:top w:val="single" w:color="000000" w:sz="6" w:space="0"/>
                    <w:bottom w:val="single" w:color="000000" w:sz="6" w:space="0"/>
                    <w:tl2br w:val="nil"/>
                    <w:tr2bl w:val="nil"/>
                  </w:tcBorders>
                  <w:vAlign w:val="center"/>
                </w:tcPr>
                <w:p w14:paraId="487DB1A3">
                  <w:pPr>
                    <w:tabs>
                      <w:tab w:val="left" w:pos="397"/>
                    </w:tabs>
                    <w:ind w:left="454" w:hanging="454"/>
                    <w:jc w:val="center"/>
                    <w:rPr>
                      <w:color w:val="auto"/>
                      <w:szCs w:val="21"/>
                    </w:rPr>
                  </w:pPr>
                  <w:r>
                    <w:rPr>
                      <w:rFonts w:hint="eastAsia"/>
                      <w:color w:val="auto"/>
                      <w:szCs w:val="21"/>
                    </w:rPr>
                    <w:t>0</w:t>
                  </w:r>
                </w:p>
              </w:tc>
              <w:tc>
                <w:tcPr>
                  <w:tcW w:w="1530" w:type="dxa"/>
                  <w:tcBorders>
                    <w:top w:val="single" w:color="000000" w:sz="6" w:space="0"/>
                    <w:bottom w:val="single" w:color="000000" w:sz="6" w:space="0"/>
                    <w:tl2br w:val="nil"/>
                    <w:tr2bl w:val="nil"/>
                  </w:tcBorders>
                  <w:vAlign w:val="center"/>
                </w:tcPr>
                <w:p w14:paraId="19149628">
                  <w:pPr>
                    <w:tabs>
                      <w:tab w:val="left" w:pos="397"/>
                    </w:tabs>
                    <w:jc w:val="center"/>
                    <w:rPr>
                      <w:color w:val="auto"/>
                      <w:szCs w:val="21"/>
                    </w:rPr>
                  </w:pPr>
                  <w:r>
                    <w:rPr>
                      <w:rFonts w:hint="eastAsia"/>
                      <w:color w:val="auto"/>
                      <w:szCs w:val="21"/>
                    </w:rPr>
                    <w:t>约50人</w:t>
                  </w:r>
                </w:p>
              </w:tc>
              <w:tc>
                <w:tcPr>
                  <w:tcW w:w="1410" w:type="dxa"/>
                  <w:tcBorders>
                    <w:top w:val="single" w:color="000000" w:sz="6" w:space="0"/>
                    <w:bottom w:val="single" w:color="000000" w:sz="6" w:space="0"/>
                    <w:tl2br w:val="nil"/>
                    <w:tr2bl w:val="nil"/>
                  </w:tcBorders>
                  <w:vAlign w:val="center"/>
                </w:tcPr>
                <w:p w14:paraId="45D12B23">
                  <w:pPr>
                    <w:jc w:val="center"/>
                    <w:rPr>
                      <w:rFonts w:hint="eastAsia"/>
                      <w:color w:val="auto"/>
                      <w:szCs w:val="21"/>
                    </w:rPr>
                  </w:pPr>
                  <w:r>
                    <w:rPr>
                      <w:rFonts w:hint="eastAsia"/>
                      <w:color w:val="auto"/>
                      <w:szCs w:val="21"/>
                    </w:rPr>
                    <w:t>集中居住区</w:t>
                  </w:r>
                </w:p>
              </w:tc>
              <w:tc>
                <w:tcPr>
                  <w:tcW w:w="1245" w:type="dxa"/>
                  <w:vMerge w:val="continue"/>
                  <w:tcBorders>
                    <w:tl2br w:val="nil"/>
                    <w:tr2bl w:val="nil"/>
                  </w:tcBorders>
                  <w:vAlign w:val="center"/>
                </w:tcPr>
                <w:p w14:paraId="0470B6CF">
                  <w:pPr>
                    <w:tabs>
                      <w:tab w:val="left" w:pos="397"/>
                    </w:tabs>
                    <w:jc w:val="center"/>
                    <w:rPr>
                      <w:color w:val="auto"/>
                      <w:szCs w:val="21"/>
                    </w:rPr>
                  </w:pPr>
                </w:p>
              </w:tc>
              <w:tc>
                <w:tcPr>
                  <w:tcW w:w="930" w:type="dxa"/>
                  <w:tcBorders>
                    <w:top w:val="single" w:color="000000" w:sz="6" w:space="0"/>
                    <w:bottom w:val="single" w:color="000000" w:sz="6" w:space="0"/>
                    <w:tl2br w:val="nil"/>
                    <w:tr2bl w:val="nil"/>
                  </w:tcBorders>
                  <w:vAlign w:val="center"/>
                </w:tcPr>
                <w:p w14:paraId="7321D58C">
                  <w:pPr>
                    <w:tabs>
                      <w:tab w:val="left" w:pos="397"/>
                    </w:tabs>
                    <w:jc w:val="center"/>
                    <w:rPr>
                      <w:color w:val="auto"/>
                      <w:szCs w:val="21"/>
                    </w:rPr>
                  </w:pPr>
                  <w:r>
                    <w:rPr>
                      <w:rFonts w:hint="eastAsia"/>
                      <w:color w:val="auto"/>
                      <w:szCs w:val="21"/>
                    </w:rPr>
                    <w:t>东面</w:t>
                  </w:r>
                </w:p>
              </w:tc>
              <w:tc>
                <w:tcPr>
                  <w:tcW w:w="1111" w:type="dxa"/>
                  <w:tcBorders>
                    <w:top w:val="single" w:color="000000" w:sz="6" w:space="0"/>
                    <w:bottom w:val="single" w:color="000000" w:sz="6" w:space="0"/>
                    <w:tl2br w:val="nil"/>
                    <w:tr2bl w:val="nil"/>
                  </w:tcBorders>
                  <w:vAlign w:val="center"/>
                </w:tcPr>
                <w:p w14:paraId="740A5E75">
                  <w:pPr>
                    <w:tabs>
                      <w:tab w:val="left" w:pos="397"/>
                    </w:tabs>
                    <w:jc w:val="center"/>
                    <w:rPr>
                      <w:color w:val="auto"/>
                      <w:szCs w:val="21"/>
                    </w:rPr>
                  </w:pPr>
                  <w:r>
                    <w:rPr>
                      <w:rFonts w:hint="eastAsia"/>
                      <w:color w:val="auto"/>
                      <w:szCs w:val="21"/>
                    </w:rPr>
                    <w:t>35</w:t>
                  </w:r>
                </w:p>
              </w:tc>
            </w:tr>
            <w:tr w14:paraId="2B50D82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01" w:type="dxa"/>
                  <w:gridSpan w:val="8"/>
                  <w:tcBorders>
                    <w:tl2br w:val="nil"/>
                    <w:tr2bl w:val="nil"/>
                  </w:tcBorders>
                  <w:vAlign w:val="center"/>
                </w:tcPr>
                <w:p w14:paraId="60AEC1E2">
                  <w:pPr>
                    <w:tabs>
                      <w:tab w:val="left" w:pos="397"/>
                    </w:tabs>
                    <w:ind w:left="454" w:hanging="454"/>
                    <w:jc w:val="center"/>
                    <w:rPr>
                      <w:color w:val="auto"/>
                      <w:szCs w:val="21"/>
                    </w:rPr>
                  </w:pPr>
                  <w:r>
                    <w:rPr>
                      <w:color w:val="auto"/>
                      <w:szCs w:val="21"/>
                    </w:rPr>
                    <w:t>注：原点坐标（X0，Y0）为（0,0），位于本项目</w:t>
                  </w:r>
                  <w:r>
                    <w:rPr>
                      <w:rFonts w:hint="eastAsia"/>
                      <w:color w:val="auto"/>
                      <w:szCs w:val="21"/>
                    </w:rPr>
                    <w:t>中心点</w:t>
                  </w:r>
                  <w:r>
                    <w:rPr>
                      <w:color w:val="auto"/>
                      <w:szCs w:val="21"/>
                    </w:rPr>
                    <w:t>位置。</w:t>
                  </w:r>
                </w:p>
              </w:tc>
            </w:tr>
          </w:tbl>
          <w:p w14:paraId="57818DA9">
            <w:pPr>
              <w:snapToGrid w:val="0"/>
              <w:spacing w:line="360" w:lineRule="auto"/>
              <w:ind w:firstLine="482" w:firstLineChars="200"/>
              <w:rPr>
                <w:b/>
                <w:color w:val="auto"/>
                <w:sz w:val="24"/>
              </w:rPr>
            </w:pPr>
            <w:r>
              <w:rPr>
                <w:b/>
                <w:color w:val="auto"/>
                <w:sz w:val="24"/>
              </w:rPr>
              <w:t>3、地下水</w:t>
            </w:r>
          </w:p>
          <w:p w14:paraId="20247466">
            <w:pPr>
              <w:snapToGrid w:val="0"/>
              <w:spacing w:line="360" w:lineRule="auto"/>
              <w:ind w:firstLine="480" w:firstLineChars="200"/>
              <w:rPr>
                <w:color w:val="auto"/>
                <w:sz w:val="24"/>
              </w:rPr>
            </w:pPr>
            <w:r>
              <w:rPr>
                <w:rFonts w:hint="eastAsia"/>
                <w:color w:val="auto"/>
                <w:sz w:val="24"/>
              </w:rPr>
              <w:t>本</w:t>
            </w:r>
            <w:r>
              <w:rPr>
                <w:color w:val="auto"/>
                <w:sz w:val="24"/>
              </w:rPr>
              <w:t>项目厂界外500米范围内无集中式饮用水水源（包括已建成的在用、备用、应急水源，在建和规划的饮用水水源）保护区；不涉及与地下水环境相关的其他保护区（如热水、矿泉水、温泉等特殊地下水资源保护区）。</w:t>
            </w:r>
          </w:p>
          <w:p w14:paraId="31922507">
            <w:pPr>
              <w:tabs>
                <w:tab w:val="left" w:pos="0"/>
                <w:tab w:val="left" w:pos="2089"/>
              </w:tabs>
              <w:spacing w:line="360" w:lineRule="auto"/>
              <w:ind w:firstLine="480"/>
              <w:rPr>
                <w:b/>
                <w:bCs/>
                <w:color w:val="auto"/>
                <w:sz w:val="24"/>
              </w:rPr>
            </w:pPr>
            <w:r>
              <w:rPr>
                <w:rFonts w:hint="eastAsia"/>
                <w:b/>
                <w:bCs/>
                <w:color w:val="auto"/>
                <w:sz w:val="24"/>
              </w:rPr>
              <w:t>4</w:t>
            </w:r>
            <w:r>
              <w:rPr>
                <w:b/>
                <w:bCs/>
                <w:color w:val="auto"/>
                <w:sz w:val="24"/>
              </w:rPr>
              <w:t>、地表水环境保护目标</w:t>
            </w:r>
          </w:p>
          <w:p w14:paraId="4EA34B51">
            <w:pPr>
              <w:snapToGrid w:val="0"/>
              <w:spacing w:line="360" w:lineRule="auto"/>
              <w:ind w:firstLine="480" w:firstLineChars="200"/>
              <w:rPr>
                <w:b/>
                <w:color w:val="auto"/>
                <w:sz w:val="24"/>
              </w:rPr>
            </w:pPr>
            <w:r>
              <w:rPr>
                <w:color w:val="auto"/>
                <w:sz w:val="24"/>
              </w:rPr>
              <w:t>本项目用地范围及附近</w:t>
            </w:r>
            <w:r>
              <w:rPr>
                <w:rFonts w:hint="eastAsia"/>
                <w:color w:val="auto"/>
                <w:sz w:val="24"/>
              </w:rPr>
              <w:t>500m范围内</w:t>
            </w:r>
            <w:r>
              <w:rPr>
                <w:color w:val="auto"/>
                <w:sz w:val="24"/>
              </w:rPr>
              <w:t>不涉及饮用水水源保护区、饮用水取水口、重要湿地、重点保护与珍稀水生生物的栖息地、重要水生生物的自然产卵场及索饵场、越冬场和洄游通道，天然渔场等渔业水体，以及水产种质资源保护区等敏感目标。</w:t>
            </w:r>
          </w:p>
          <w:p w14:paraId="698D5118">
            <w:pPr>
              <w:snapToGrid w:val="0"/>
              <w:spacing w:line="360" w:lineRule="auto"/>
              <w:ind w:firstLine="482" w:firstLineChars="200"/>
              <w:rPr>
                <w:b/>
                <w:color w:val="auto"/>
                <w:sz w:val="24"/>
              </w:rPr>
            </w:pPr>
            <w:r>
              <w:rPr>
                <w:rFonts w:hint="eastAsia"/>
                <w:b/>
                <w:color w:val="auto"/>
                <w:sz w:val="24"/>
              </w:rPr>
              <w:t>5</w:t>
            </w:r>
            <w:r>
              <w:rPr>
                <w:b/>
                <w:color w:val="auto"/>
                <w:sz w:val="24"/>
              </w:rPr>
              <w:t>、生态环境</w:t>
            </w:r>
          </w:p>
          <w:p w14:paraId="066A0FDF">
            <w:pPr>
              <w:tabs>
                <w:tab w:val="left" w:pos="0"/>
                <w:tab w:val="left" w:pos="2089"/>
              </w:tabs>
              <w:spacing w:line="360" w:lineRule="auto"/>
              <w:ind w:firstLine="480"/>
              <w:rPr>
                <w:color w:val="auto"/>
                <w:sz w:val="24"/>
              </w:rPr>
            </w:pPr>
            <w:r>
              <w:rPr>
                <w:color w:val="auto"/>
                <w:sz w:val="24"/>
              </w:rPr>
              <w:t>本项目周边主要为工业厂房、商业、山地、林地，建设用地范围内及场址周围500m范围内无其他自然保护区、风景名胜区、文化区和珍稀濒危动物及植物群落分布及其他生态环境敏感点。</w:t>
            </w:r>
          </w:p>
          <w:p w14:paraId="2DEFA160">
            <w:pPr>
              <w:pStyle w:val="2"/>
              <w:rPr>
                <w:color w:val="auto"/>
              </w:rPr>
            </w:pPr>
          </w:p>
        </w:tc>
      </w:tr>
      <w:tr w14:paraId="4D3724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777" w:type="dxa"/>
            <w:tcBorders>
              <w:top w:val="single" w:color="auto" w:sz="6" w:space="0"/>
            </w:tcBorders>
            <w:vAlign w:val="center"/>
          </w:tcPr>
          <w:p w14:paraId="14E9C1D8">
            <w:pPr>
              <w:adjustRightInd w:val="0"/>
              <w:snapToGrid w:val="0"/>
              <w:jc w:val="center"/>
              <w:rPr>
                <w:color w:val="auto"/>
                <w:kern w:val="0"/>
                <w:szCs w:val="21"/>
              </w:rPr>
            </w:pPr>
            <w:r>
              <w:rPr>
                <w:color w:val="auto"/>
                <w:kern w:val="0"/>
                <w:sz w:val="24"/>
              </w:rPr>
              <w:t>污染物排放控制标准</w:t>
            </w:r>
          </w:p>
        </w:tc>
        <w:tc>
          <w:tcPr>
            <w:tcW w:w="9376" w:type="dxa"/>
            <w:tcBorders>
              <w:top w:val="single" w:color="auto" w:sz="6" w:space="0"/>
            </w:tcBorders>
            <w:vAlign w:val="center"/>
          </w:tcPr>
          <w:p w14:paraId="66BE2607">
            <w:pPr>
              <w:snapToGrid w:val="0"/>
              <w:spacing w:line="360" w:lineRule="auto"/>
              <w:ind w:firstLine="482" w:firstLineChars="200"/>
              <w:rPr>
                <w:b/>
                <w:color w:val="auto"/>
                <w:sz w:val="24"/>
              </w:rPr>
            </w:pPr>
            <w:r>
              <w:rPr>
                <w:rFonts w:hint="eastAsia"/>
                <w:b/>
                <w:color w:val="auto"/>
                <w:sz w:val="24"/>
              </w:rPr>
              <w:t>1、</w:t>
            </w:r>
            <w:r>
              <w:rPr>
                <w:b/>
                <w:color w:val="auto"/>
                <w:sz w:val="24"/>
              </w:rPr>
              <w:t>废气排放标准</w:t>
            </w:r>
          </w:p>
          <w:p w14:paraId="27C5BAFA">
            <w:pPr>
              <w:tabs>
                <w:tab w:val="left" w:pos="0"/>
                <w:tab w:val="left" w:pos="2089"/>
              </w:tabs>
              <w:spacing w:line="360" w:lineRule="auto"/>
              <w:ind w:firstLine="480"/>
              <w:rPr>
                <w:color w:val="auto"/>
                <w:sz w:val="24"/>
              </w:rPr>
            </w:pPr>
            <w:r>
              <w:rPr>
                <w:rFonts w:hint="eastAsia"/>
                <w:color w:val="auto"/>
                <w:sz w:val="24"/>
              </w:rPr>
              <w:t>本项目电泳漆涂装、烘干固化工序主要会产生有机废气</w:t>
            </w:r>
            <w:r>
              <w:rPr>
                <w:color w:val="auto"/>
                <w:sz w:val="24"/>
              </w:rPr>
              <w:t>（以非甲烷总烃</w:t>
            </w:r>
            <w:r>
              <w:rPr>
                <w:rFonts w:hint="eastAsia"/>
                <w:color w:val="auto"/>
                <w:sz w:val="24"/>
              </w:rPr>
              <w:t>或TVOC</w:t>
            </w:r>
            <w:r>
              <w:rPr>
                <w:color w:val="auto"/>
                <w:sz w:val="24"/>
              </w:rPr>
              <w:t>表征）</w:t>
            </w:r>
            <w:r>
              <w:rPr>
                <w:rFonts w:hint="eastAsia"/>
                <w:color w:val="auto"/>
                <w:sz w:val="24"/>
              </w:rPr>
              <w:t>、恶臭（以臭气浓度表征）</w:t>
            </w:r>
            <w:r>
              <w:rPr>
                <w:color w:val="auto"/>
                <w:sz w:val="24"/>
              </w:rPr>
              <w:t>经</w:t>
            </w:r>
            <w:r>
              <w:rPr>
                <w:rFonts w:hint="eastAsia"/>
                <w:color w:val="auto"/>
                <w:sz w:val="24"/>
              </w:rPr>
              <w:t>密闭</w:t>
            </w:r>
            <w:r>
              <w:rPr>
                <w:color w:val="auto"/>
                <w:sz w:val="24"/>
              </w:rPr>
              <w:t>收集后</w:t>
            </w:r>
            <w:r>
              <w:rPr>
                <w:rFonts w:hint="eastAsia"/>
                <w:color w:val="auto"/>
                <w:sz w:val="24"/>
                <w:lang w:val="en-US" w:eastAsia="zh-CN"/>
              </w:rPr>
              <w:t>依托现有项目的</w:t>
            </w:r>
            <w:r>
              <w:rPr>
                <w:rFonts w:hint="eastAsia"/>
                <w:color w:val="auto"/>
                <w:sz w:val="24"/>
              </w:rPr>
              <w:t>“水喷淋塔+除雾漆+</w:t>
            </w:r>
            <w:r>
              <w:rPr>
                <w:color w:val="auto"/>
                <w:sz w:val="24"/>
              </w:rPr>
              <w:t>两级活性炭吸附装置</w:t>
            </w:r>
            <w:r>
              <w:rPr>
                <w:rFonts w:hint="eastAsia"/>
                <w:color w:val="auto"/>
                <w:sz w:val="24"/>
              </w:rPr>
              <w:t>”</w:t>
            </w:r>
            <w:r>
              <w:rPr>
                <w:color w:val="auto"/>
                <w:sz w:val="24"/>
              </w:rPr>
              <w:t>处理后</w:t>
            </w:r>
            <w:r>
              <w:rPr>
                <w:rFonts w:hint="eastAsia"/>
                <w:color w:val="auto"/>
                <w:sz w:val="24"/>
              </w:rPr>
              <w:t>引至</w:t>
            </w:r>
            <w:r>
              <w:rPr>
                <w:color w:val="auto"/>
                <w:sz w:val="24"/>
              </w:rPr>
              <w:t>20m高的排气筒（DA00</w:t>
            </w:r>
            <w:r>
              <w:rPr>
                <w:rFonts w:hint="eastAsia"/>
                <w:color w:val="auto"/>
                <w:sz w:val="24"/>
                <w:lang w:val="en-US" w:eastAsia="zh-CN"/>
              </w:rPr>
              <w:t>5</w:t>
            </w:r>
            <w:r>
              <w:rPr>
                <w:color w:val="auto"/>
                <w:sz w:val="24"/>
              </w:rPr>
              <w:t>）排放</w:t>
            </w:r>
            <w:r>
              <w:rPr>
                <w:rFonts w:hint="eastAsia"/>
                <w:color w:val="auto"/>
                <w:sz w:val="24"/>
              </w:rPr>
              <w:t>。</w:t>
            </w:r>
          </w:p>
          <w:p w14:paraId="67A2D9E4">
            <w:pPr>
              <w:snapToGrid w:val="0"/>
              <w:spacing w:line="360" w:lineRule="auto"/>
              <w:ind w:firstLine="482" w:firstLineChars="200"/>
              <w:rPr>
                <w:b/>
                <w:color w:val="auto"/>
                <w:sz w:val="24"/>
              </w:rPr>
            </w:pPr>
            <w:r>
              <w:rPr>
                <w:b/>
                <w:color w:val="auto"/>
                <w:sz w:val="24"/>
              </w:rPr>
              <w:t>（1）有组织排放</w:t>
            </w:r>
          </w:p>
          <w:p w14:paraId="6D8DEE32">
            <w:pPr>
              <w:snapToGrid w:val="0"/>
              <w:spacing w:line="360" w:lineRule="auto"/>
              <w:ind w:firstLine="482" w:firstLineChars="200"/>
              <w:rPr>
                <w:rFonts w:hint="eastAsia" w:eastAsia="宋体"/>
                <w:b/>
                <w:color w:val="auto"/>
                <w:sz w:val="24"/>
                <w:lang w:eastAsia="zh-CN"/>
              </w:rPr>
            </w:pPr>
            <w:r>
              <w:rPr>
                <w:b/>
                <w:color w:val="auto"/>
                <w:sz w:val="24"/>
              </w:rPr>
              <w:t>①DA00</w:t>
            </w:r>
            <w:r>
              <w:rPr>
                <w:rFonts w:hint="eastAsia"/>
                <w:b/>
                <w:color w:val="auto"/>
                <w:sz w:val="24"/>
                <w:lang w:val="en-US" w:eastAsia="zh-CN"/>
              </w:rPr>
              <w:t>5</w:t>
            </w:r>
          </w:p>
          <w:p w14:paraId="78F7E35B">
            <w:pPr>
              <w:spacing w:line="360" w:lineRule="auto"/>
              <w:ind w:firstLine="480" w:firstLineChars="200"/>
              <w:rPr>
                <w:bCs/>
                <w:color w:val="auto"/>
                <w:sz w:val="24"/>
              </w:rPr>
            </w:pPr>
            <w:r>
              <w:rPr>
                <w:rFonts w:hint="eastAsia"/>
                <w:bCs/>
                <w:color w:val="auto"/>
                <w:sz w:val="24"/>
              </w:rPr>
              <w:t>本项目</w:t>
            </w:r>
            <w:r>
              <w:rPr>
                <w:rFonts w:hint="eastAsia"/>
                <w:color w:val="auto"/>
                <w:sz w:val="24"/>
              </w:rPr>
              <w:t>电泳漆涂装、烘干固化</w:t>
            </w:r>
            <w:r>
              <w:rPr>
                <w:bCs/>
                <w:color w:val="auto"/>
                <w:sz w:val="24"/>
              </w:rPr>
              <w:t>工序</w:t>
            </w:r>
            <w:r>
              <w:rPr>
                <w:rFonts w:hint="eastAsia"/>
                <w:bCs/>
                <w:color w:val="auto"/>
                <w:sz w:val="24"/>
              </w:rPr>
              <w:t>产生的TVOC</w:t>
            </w:r>
            <w:r>
              <w:rPr>
                <w:bCs/>
                <w:color w:val="auto"/>
                <w:sz w:val="24"/>
              </w:rPr>
              <w:t>有组织排放执行</w:t>
            </w:r>
            <w:r>
              <w:rPr>
                <w:rFonts w:hint="eastAsia"/>
                <w:color w:val="auto"/>
                <w:sz w:val="24"/>
              </w:rPr>
              <w:t>广东省《固定污染源挥发性有机物综合排放标准》（DB44/2367-2022）表1挥发性有机物排放限值</w:t>
            </w:r>
            <w:r>
              <w:rPr>
                <w:rFonts w:hint="eastAsia"/>
                <w:color w:val="auto"/>
                <w:sz w:val="24"/>
                <w:lang w:eastAsia="zh-CN"/>
              </w:rPr>
              <w:t>；</w:t>
            </w:r>
            <w:r>
              <w:rPr>
                <w:rFonts w:hint="eastAsia"/>
                <w:color w:val="auto"/>
                <w:sz w:val="24"/>
                <w:lang w:val="en-US" w:eastAsia="zh-CN"/>
              </w:rPr>
              <w:t>非甲烷总烃有组织排放执行</w:t>
            </w:r>
            <w:r>
              <w:rPr>
                <w:rFonts w:hint="eastAsia"/>
                <w:color w:val="auto"/>
                <w:sz w:val="24"/>
              </w:rPr>
              <w:t>广东省《固定污染源挥发性有机物综合排放标准》（DB44/2367-2022）表1挥发性有机物排放限值</w:t>
            </w:r>
            <w:r>
              <w:rPr>
                <w:rFonts w:hint="eastAsia"/>
                <w:color w:val="auto"/>
                <w:sz w:val="24"/>
                <w:lang w:val="en-US" w:eastAsia="zh-CN"/>
              </w:rPr>
              <w:t>和</w:t>
            </w:r>
            <w:r>
              <w:rPr>
                <w:rFonts w:hint="default" w:ascii="Times New Roman" w:hAnsi="Times New Roman" w:eastAsia="宋体" w:cs="Times New Roman"/>
                <w:color w:val="auto"/>
                <w:sz w:val="24"/>
                <w:highlight w:val="none"/>
                <w:lang w:eastAsia="zh-CN"/>
              </w:rPr>
              <w:t>《合成树脂工业污染物排放标准》（GB31572-2015，含2024年修改单）</w:t>
            </w:r>
            <w:r>
              <w:rPr>
                <w:rFonts w:hint="default" w:ascii="Times New Roman" w:hAnsi="Times New Roman" w:cs="Times New Roman"/>
                <w:color w:val="auto"/>
                <w:sz w:val="24"/>
                <w:szCs w:val="24"/>
                <w:lang w:val="en-US" w:eastAsia="zh-CN"/>
              </w:rPr>
              <w:t>表4</w:t>
            </w:r>
            <w:r>
              <w:rPr>
                <w:rFonts w:hint="default" w:ascii="Times New Roman" w:hAnsi="Times New Roman" w:cs="Times New Roman"/>
                <w:color w:val="auto"/>
                <w:sz w:val="24"/>
                <w:szCs w:val="24"/>
                <w:lang w:val="en-US"/>
              </w:rPr>
              <w:t>大气污染物排放限值</w:t>
            </w:r>
            <w:r>
              <w:rPr>
                <w:rFonts w:hint="eastAsia" w:ascii="Times New Roman" w:hAnsi="Times New Roman" w:cs="Times New Roman"/>
                <w:color w:val="auto"/>
                <w:sz w:val="24"/>
                <w:szCs w:val="24"/>
                <w:lang w:val="en-US" w:eastAsia="zh-CN"/>
              </w:rPr>
              <w:t>较严值</w:t>
            </w:r>
            <w:r>
              <w:rPr>
                <w:bCs/>
                <w:color w:val="auto"/>
                <w:sz w:val="24"/>
              </w:rPr>
              <w:t>。</w:t>
            </w:r>
          </w:p>
          <w:p w14:paraId="58DA092D">
            <w:pPr>
              <w:spacing w:line="360" w:lineRule="auto"/>
              <w:ind w:firstLine="480" w:firstLineChars="200"/>
              <w:rPr>
                <w:bCs/>
                <w:color w:val="auto"/>
                <w:sz w:val="24"/>
              </w:rPr>
            </w:pPr>
            <w:r>
              <w:rPr>
                <w:rFonts w:hint="eastAsia"/>
                <w:bCs/>
                <w:color w:val="auto"/>
                <w:sz w:val="24"/>
              </w:rPr>
              <w:t>本项目</w:t>
            </w:r>
            <w:r>
              <w:rPr>
                <w:rFonts w:hint="eastAsia"/>
                <w:color w:val="auto"/>
                <w:sz w:val="24"/>
              </w:rPr>
              <w:t>电泳漆涂装、烘干固化</w:t>
            </w:r>
            <w:r>
              <w:rPr>
                <w:bCs/>
                <w:color w:val="auto"/>
                <w:sz w:val="24"/>
              </w:rPr>
              <w:t>工序产生的</w:t>
            </w:r>
            <w:r>
              <w:rPr>
                <w:rFonts w:hint="eastAsia"/>
                <w:bCs/>
                <w:color w:val="auto"/>
                <w:sz w:val="24"/>
              </w:rPr>
              <w:t>臭气浓度</w:t>
            </w:r>
            <w:r>
              <w:rPr>
                <w:bCs/>
                <w:color w:val="auto"/>
                <w:sz w:val="24"/>
              </w:rPr>
              <w:t>有组织排放执行《恶臭污染物排放标准》（GB14554-93）表2恶臭污染物排放标准值。</w:t>
            </w:r>
          </w:p>
          <w:p w14:paraId="3F9EEB93">
            <w:pPr>
              <w:spacing w:line="240" w:lineRule="auto"/>
              <w:jc w:val="center"/>
              <w:rPr>
                <w:b/>
                <w:bCs/>
                <w:color w:val="auto"/>
                <w:szCs w:val="21"/>
              </w:rPr>
            </w:pPr>
            <w:r>
              <w:rPr>
                <w:b/>
                <w:bCs/>
                <w:color w:val="auto"/>
                <w:szCs w:val="21"/>
              </w:rPr>
              <w:t>表3-</w:t>
            </w:r>
            <w:r>
              <w:rPr>
                <w:rFonts w:hint="eastAsia"/>
                <w:b/>
                <w:bCs/>
                <w:color w:val="auto"/>
                <w:szCs w:val="21"/>
              </w:rPr>
              <w:t>7</w:t>
            </w:r>
            <w:r>
              <w:rPr>
                <w:b/>
                <w:bCs/>
                <w:color w:val="auto"/>
                <w:szCs w:val="21"/>
              </w:rPr>
              <w:t xml:space="preserve"> 项目大气污染物有组织排放限值一览表</w:t>
            </w:r>
          </w:p>
          <w:tbl>
            <w:tblPr>
              <w:tblStyle w:val="42"/>
              <w:tblW w:w="92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5"/>
              <w:gridCol w:w="615"/>
              <w:gridCol w:w="645"/>
              <w:gridCol w:w="1260"/>
              <w:gridCol w:w="1140"/>
              <w:gridCol w:w="4915"/>
            </w:tblGrid>
            <w:tr w14:paraId="2BFBD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705" w:type="dxa"/>
                  <w:tcBorders>
                    <w:tl2br w:val="nil"/>
                    <w:tr2bl w:val="nil"/>
                  </w:tcBorders>
                  <w:vAlign w:val="center"/>
                </w:tcPr>
                <w:p w14:paraId="4EC03347">
                  <w:pPr>
                    <w:pStyle w:val="185"/>
                    <w:snapToGrid w:val="0"/>
                    <w:spacing w:line="240" w:lineRule="auto"/>
                    <w:rPr>
                      <w:rFonts w:ascii="Times New Roman" w:hAnsi="Times New Roman" w:eastAsia="宋体" w:cs="Times New Roman"/>
                      <w:b/>
                      <w:bCs/>
                      <w:color w:val="auto"/>
                      <w:kern w:val="11"/>
                      <w:sz w:val="21"/>
                      <w:szCs w:val="21"/>
                    </w:rPr>
                  </w:pPr>
                  <w:r>
                    <w:rPr>
                      <w:rFonts w:ascii="Times New Roman" w:hAnsi="Times New Roman" w:eastAsia="宋体" w:cs="Times New Roman"/>
                      <w:b/>
                      <w:bCs/>
                      <w:color w:val="auto"/>
                      <w:kern w:val="11"/>
                      <w:sz w:val="21"/>
                      <w:szCs w:val="21"/>
                    </w:rPr>
                    <w:t>排气筒编号</w:t>
                  </w:r>
                </w:p>
              </w:tc>
              <w:tc>
                <w:tcPr>
                  <w:tcW w:w="615" w:type="dxa"/>
                  <w:tcBorders>
                    <w:tl2br w:val="nil"/>
                    <w:tr2bl w:val="nil"/>
                  </w:tcBorders>
                  <w:vAlign w:val="center"/>
                </w:tcPr>
                <w:p w14:paraId="3E7C1292">
                  <w:pPr>
                    <w:spacing w:line="240" w:lineRule="auto"/>
                    <w:jc w:val="center"/>
                    <w:rPr>
                      <w:b/>
                      <w:bCs/>
                      <w:color w:val="auto"/>
                      <w:kern w:val="11"/>
                      <w:sz w:val="21"/>
                      <w:szCs w:val="21"/>
                    </w:rPr>
                  </w:pPr>
                  <w:r>
                    <w:rPr>
                      <w:b/>
                      <w:color w:val="auto"/>
                      <w:sz w:val="21"/>
                      <w:szCs w:val="21"/>
                    </w:rPr>
                    <w:t>排放高度</w:t>
                  </w:r>
                </w:p>
              </w:tc>
              <w:tc>
                <w:tcPr>
                  <w:tcW w:w="645" w:type="dxa"/>
                  <w:tcBorders>
                    <w:tl2br w:val="nil"/>
                    <w:tr2bl w:val="nil"/>
                  </w:tcBorders>
                  <w:vAlign w:val="center"/>
                </w:tcPr>
                <w:p w14:paraId="38E13478">
                  <w:pPr>
                    <w:pStyle w:val="185"/>
                    <w:snapToGrid w:val="0"/>
                    <w:spacing w:line="240" w:lineRule="auto"/>
                    <w:rPr>
                      <w:rFonts w:ascii="Times New Roman" w:hAnsi="Times New Roman" w:eastAsia="宋体" w:cs="Times New Roman"/>
                      <w:b/>
                      <w:bCs/>
                      <w:color w:val="auto"/>
                      <w:kern w:val="11"/>
                      <w:sz w:val="21"/>
                      <w:szCs w:val="21"/>
                    </w:rPr>
                  </w:pPr>
                  <w:r>
                    <w:rPr>
                      <w:rFonts w:ascii="Times New Roman" w:hAnsi="Times New Roman" w:eastAsia="宋体" w:cs="Times New Roman"/>
                      <w:b/>
                      <w:bCs/>
                      <w:color w:val="auto"/>
                      <w:kern w:val="11"/>
                      <w:sz w:val="21"/>
                      <w:szCs w:val="21"/>
                    </w:rPr>
                    <w:t>污染工序</w:t>
                  </w:r>
                </w:p>
              </w:tc>
              <w:tc>
                <w:tcPr>
                  <w:tcW w:w="1260" w:type="dxa"/>
                  <w:tcBorders>
                    <w:tl2br w:val="nil"/>
                    <w:tr2bl w:val="nil"/>
                  </w:tcBorders>
                  <w:vAlign w:val="center"/>
                </w:tcPr>
                <w:p w14:paraId="32A6B9BC">
                  <w:pPr>
                    <w:pStyle w:val="185"/>
                    <w:snapToGrid w:val="0"/>
                    <w:spacing w:line="240" w:lineRule="auto"/>
                    <w:rPr>
                      <w:rFonts w:ascii="Times New Roman" w:hAnsi="Times New Roman" w:eastAsia="宋体" w:cs="Times New Roman"/>
                      <w:b/>
                      <w:bCs/>
                      <w:color w:val="auto"/>
                      <w:kern w:val="11"/>
                      <w:sz w:val="21"/>
                      <w:szCs w:val="21"/>
                    </w:rPr>
                  </w:pPr>
                  <w:r>
                    <w:rPr>
                      <w:rFonts w:ascii="Times New Roman" w:hAnsi="Times New Roman" w:eastAsia="宋体" w:cs="Times New Roman"/>
                      <w:b/>
                      <w:bCs/>
                      <w:color w:val="auto"/>
                      <w:kern w:val="11"/>
                      <w:sz w:val="21"/>
                      <w:szCs w:val="21"/>
                    </w:rPr>
                    <w:t>污染物</w:t>
                  </w:r>
                </w:p>
              </w:tc>
              <w:tc>
                <w:tcPr>
                  <w:tcW w:w="1140" w:type="dxa"/>
                  <w:tcBorders>
                    <w:tl2br w:val="nil"/>
                    <w:tr2bl w:val="nil"/>
                  </w:tcBorders>
                  <w:vAlign w:val="center"/>
                </w:tcPr>
                <w:p w14:paraId="4130287B">
                  <w:pPr>
                    <w:spacing w:line="240" w:lineRule="auto"/>
                    <w:jc w:val="center"/>
                    <w:rPr>
                      <w:b/>
                      <w:bCs/>
                      <w:color w:val="auto"/>
                      <w:kern w:val="11"/>
                      <w:sz w:val="21"/>
                      <w:szCs w:val="21"/>
                    </w:rPr>
                  </w:pPr>
                  <w:r>
                    <w:rPr>
                      <w:b/>
                      <w:bCs/>
                      <w:color w:val="auto"/>
                      <w:sz w:val="21"/>
                      <w:szCs w:val="21"/>
                    </w:rPr>
                    <w:t>最高允许排放浓度</w:t>
                  </w:r>
                </w:p>
              </w:tc>
              <w:tc>
                <w:tcPr>
                  <w:tcW w:w="4915" w:type="dxa"/>
                  <w:tcBorders>
                    <w:tl2br w:val="nil"/>
                    <w:tr2bl w:val="nil"/>
                  </w:tcBorders>
                  <w:vAlign w:val="center"/>
                </w:tcPr>
                <w:p w14:paraId="6F8DBF96">
                  <w:pPr>
                    <w:pStyle w:val="185"/>
                    <w:snapToGrid w:val="0"/>
                    <w:spacing w:line="240" w:lineRule="auto"/>
                    <w:rPr>
                      <w:rFonts w:ascii="Times New Roman" w:hAnsi="Times New Roman" w:eastAsia="宋体" w:cs="Times New Roman"/>
                      <w:b/>
                      <w:bCs/>
                      <w:color w:val="auto"/>
                      <w:kern w:val="11"/>
                      <w:sz w:val="21"/>
                      <w:szCs w:val="21"/>
                    </w:rPr>
                  </w:pPr>
                  <w:r>
                    <w:rPr>
                      <w:rFonts w:ascii="Times New Roman" w:hAnsi="Times New Roman" w:eastAsia="宋体" w:cs="Times New Roman"/>
                      <w:b/>
                      <w:bCs/>
                      <w:color w:val="auto"/>
                      <w:kern w:val="11"/>
                      <w:sz w:val="21"/>
                      <w:szCs w:val="21"/>
                    </w:rPr>
                    <w:t>标准来源</w:t>
                  </w:r>
                </w:p>
              </w:tc>
            </w:tr>
            <w:tr w14:paraId="0200C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705" w:type="dxa"/>
                  <w:vMerge w:val="restart"/>
                  <w:tcBorders>
                    <w:tl2br w:val="nil"/>
                    <w:tr2bl w:val="nil"/>
                  </w:tcBorders>
                  <w:vAlign w:val="center"/>
                </w:tcPr>
                <w:p w14:paraId="76F0B8CB">
                  <w:pPr>
                    <w:spacing w:line="240" w:lineRule="auto"/>
                    <w:jc w:val="center"/>
                    <w:rPr>
                      <w:rFonts w:hint="eastAsia" w:eastAsia="宋体"/>
                      <w:b/>
                      <w:bCs/>
                      <w:color w:val="auto"/>
                      <w:kern w:val="11"/>
                      <w:sz w:val="21"/>
                      <w:szCs w:val="21"/>
                      <w:lang w:eastAsia="zh-CN"/>
                    </w:rPr>
                  </w:pPr>
                  <w:r>
                    <w:rPr>
                      <w:color w:val="auto"/>
                      <w:sz w:val="21"/>
                      <w:szCs w:val="21"/>
                    </w:rPr>
                    <w:t>DA00</w:t>
                  </w:r>
                  <w:r>
                    <w:rPr>
                      <w:rFonts w:hint="eastAsia"/>
                      <w:color w:val="auto"/>
                      <w:sz w:val="21"/>
                      <w:szCs w:val="21"/>
                      <w:lang w:val="en-US" w:eastAsia="zh-CN"/>
                    </w:rPr>
                    <w:t>5</w:t>
                  </w:r>
                </w:p>
              </w:tc>
              <w:tc>
                <w:tcPr>
                  <w:tcW w:w="615" w:type="dxa"/>
                  <w:vMerge w:val="restart"/>
                  <w:tcBorders>
                    <w:tl2br w:val="nil"/>
                    <w:tr2bl w:val="nil"/>
                  </w:tcBorders>
                  <w:vAlign w:val="center"/>
                </w:tcPr>
                <w:p w14:paraId="0BEE3065">
                  <w:pPr>
                    <w:spacing w:line="240" w:lineRule="auto"/>
                    <w:jc w:val="center"/>
                    <w:rPr>
                      <w:rFonts w:hint="default" w:eastAsia="宋体"/>
                      <w:b/>
                      <w:bCs/>
                      <w:color w:val="auto"/>
                      <w:kern w:val="11"/>
                      <w:sz w:val="21"/>
                      <w:szCs w:val="21"/>
                      <w:lang w:val="en-US" w:eastAsia="zh-CN"/>
                    </w:rPr>
                  </w:pPr>
                  <w:r>
                    <w:rPr>
                      <w:rFonts w:hint="eastAsia"/>
                      <w:color w:val="auto"/>
                      <w:sz w:val="21"/>
                      <w:szCs w:val="21"/>
                      <w:lang w:val="en-US" w:eastAsia="zh-CN"/>
                    </w:rPr>
                    <w:t>20m</w:t>
                  </w:r>
                </w:p>
              </w:tc>
              <w:tc>
                <w:tcPr>
                  <w:tcW w:w="645" w:type="dxa"/>
                  <w:vMerge w:val="restart"/>
                  <w:tcBorders>
                    <w:tl2br w:val="nil"/>
                    <w:tr2bl w:val="nil"/>
                  </w:tcBorders>
                  <w:vAlign w:val="center"/>
                </w:tcPr>
                <w:p w14:paraId="4BC354DA">
                  <w:pPr>
                    <w:pStyle w:val="185"/>
                    <w:snapToGrid w:val="0"/>
                    <w:spacing w:line="240" w:lineRule="auto"/>
                    <w:rPr>
                      <w:rFonts w:ascii="Times New Roman" w:hAnsi="Times New Roman" w:eastAsia="宋体" w:cs="Times New Roman"/>
                      <w:b/>
                      <w:bCs/>
                      <w:color w:val="auto"/>
                      <w:kern w:val="11"/>
                      <w:sz w:val="21"/>
                      <w:szCs w:val="21"/>
                    </w:rPr>
                  </w:pPr>
                  <w:r>
                    <w:rPr>
                      <w:rFonts w:hint="eastAsia" w:ascii="Times New Roman" w:hAnsi="Times New Roman" w:eastAsia="宋体" w:cs="Times New Roman"/>
                      <w:color w:val="auto"/>
                      <w:kern w:val="11"/>
                      <w:sz w:val="21"/>
                      <w:szCs w:val="21"/>
                    </w:rPr>
                    <w:t>电泳漆涂装、烘干固化</w:t>
                  </w:r>
                </w:p>
              </w:tc>
              <w:tc>
                <w:tcPr>
                  <w:tcW w:w="1260" w:type="dxa"/>
                  <w:tcBorders>
                    <w:tl2br w:val="nil"/>
                    <w:tr2bl w:val="nil"/>
                  </w:tcBorders>
                  <w:vAlign w:val="center"/>
                </w:tcPr>
                <w:p w14:paraId="1F9B17F3">
                  <w:pPr>
                    <w:pStyle w:val="185"/>
                    <w:snapToGrid w:val="0"/>
                    <w:spacing w:line="240" w:lineRule="auto"/>
                    <w:rPr>
                      <w:rFonts w:ascii="Times New Roman" w:hAnsi="Times New Roman" w:eastAsia="宋体" w:cs="Times New Roman"/>
                      <w:b/>
                      <w:bCs/>
                      <w:color w:val="auto"/>
                      <w:kern w:val="11"/>
                      <w:sz w:val="21"/>
                      <w:szCs w:val="21"/>
                    </w:rPr>
                  </w:pPr>
                  <w:r>
                    <w:rPr>
                      <w:rFonts w:hint="eastAsia" w:ascii="Times New Roman" w:hAnsi="Times New Roman" w:eastAsia="宋体" w:cs="Times New Roman"/>
                      <w:color w:val="auto"/>
                      <w:sz w:val="21"/>
                      <w:szCs w:val="21"/>
                    </w:rPr>
                    <w:t>非甲烷总烃</w:t>
                  </w:r>
                </w:p>
              </w:tc>
              <w:tc>
                <w:tcPr>
                  <w:tcW w:w="1140" w:type="dxa"/>
                  <w:tcBorders>
                    <w:tl2br w:val="nil"/>
                    <w:tr2bl w:val="nil"/>
                  </w:tcBorders>
                  <w:vAlign w:val="center"/>
                </w:tcPr>
                <w:p w14:paraId="1BF27635">
                  <w:pPr>
                    <w:spacing w:line="240" w:lineRule="auto"/>
                    <w:jc w:val="center"/>
                    <w:rPr>
                      <w:color w:val="auto"/>
                      <w:sz w:val="21"/>
                      <w:szCs w:val="21"/>
                    </w:rPr>
                  </w:pPr>
                  <w:r>
                    <w:rPr>
                      <w:rFonts w:hint="eastAsia"/>
                      <w:color w:val="auto"/>
                      <w:sz w:val="21"/>
                      <w:szCs w:val="21"/>
                    </w:rPr>
                    <w:t>8</w:t>
                  </w:r>
                  <w:r>
                    <w:rPr>
                      <w:color w:val="auto"/>
                      <w:sz w:val="21"/>
                      <w:szCs w:val="21"/>
                    </w:rPr>
                    <w:t>0mg/m</w:t>
                  </w:r>
                  <w:r>
                    <w:rPr>
                      <w:color w:val="auto"/>
                      <w:sz w:val="21"/>
                      <w:szCs w:val="21"/>
                      <w:vertAlign w:val="superscript"/>
                    </w:rPr>
                    <w:t>3</w:t>
                  </w:r>
                </w:p>
              </w:tc>
              <w:tc>
                <w:tcPr>
                  <w:tcW w:w="4915" w:type="dxa"/>
                  <w:vMerge w:val="restart"/>
                  <w:tcBorders>
                    <w:tl2br w:val="nil"/>
                    <w:tr2bl w:val="nil"/>
                  </w:tcBorders>
                  <w:vAlign w:val="center"/>
                </w:tcPr>
                <w:p w14:paraId="3FAD9A2F">
                  <w:pPr>
                    <w:spacing w:line="240" w:lineRule="auto"/>
                    <w:jc w:val="center"/>
                    <w:rPr>
                      <w:color w:val="auto"/>
                      <w:kern w:val="11"/>
                      <w:sz w:val="21"/>
                      <w:szCs w:val="21"/>
                    </w:rPr>
                  </w:pPr>
                  <w:r>
                    <w:rPr>
                      <w:rFonts w:hint="eastAsia"/>
                      <w:color w:val="auto"/>
                      <w:sz w:val="21"/>
                      <w:szCs w:val="21"/>
                    </w:rPr>
                    <w:t>广东省《固定污染源挥发性有机物综合排放标准》（DB44/2367-2022）表1挥发性有机物排放限值</w:t>
                  </w:r>
                </w:p>
              </w:tc>
            </w:tr>
            <w:tr w14:paraId="34F20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705" w:type="dxa"/>
                  <w:vMerge w:val="continue"/>
                  <w:tcBorders>
                    <w:tl2br w:val="nil"/>
                    <w:tr2bl w:val="nil"/>
                  </w:tcBorders>
                  <w:vAlign w:val="center"/>
                </w:tcPr>
                <w:p w14:paraId="7330B879">
                  <w:pPr>
                    <w:spacing w:line="240" w:lineRule="auto"/>
                    <w:jc w:val="center"/>
                    <w:rPr>
                      <w:color w:val="auto"/>
                      <w:sz w:val="21"/>
                      <w:szCs w:val="21"/>
                    </w:rPr>
                  </w:pPr>
                </w:p>
              </w:tc>
              <w:tc>
                <w:tcPr>
                  <w:tcW w:w="615" w:type="dxa"/>
                  <w:vMerge w:val="continue"/>
                  <w:tcBorders>
                    <w:tl2br w:val="nil"/>
                    <w:tr2bl w:val="nil"/>
                  </w:tcBorders>
                  <w:vAlign w:val="center"/>
                </w:tcPr>
                <w:p w14:paraId="2F21F0B9">
                  <w:pPr>
                    <w:spacing w:line="240" w:lineRule="auto"/>
                    <w:jc w:val="center"/>
                    <w:rPr>
                      <w:color w:val="auto"/>
                      <w:sz w:val="21"/>
                      <w:szCs w:val="21"/>
                    </w:rPr>
                  </w:pPr>
                </w:p>
              </w:tc>
              <w:tc>
                <w:tcPr>
                  <w:tcW w:w="645" w:type="dxa"/>
                  <w:vMerge w:val="continue"/>
                  <w:tcBorders>
                    <w:tl2br w:val="nil"/>
                    <w:tr2bl w:val="nil"/>
                  </w:tcBorders>
                  <w:vAlign w:val="center"/>
                </w:tcPr>
                <w:p w14:paraId="441CAFDD">
                  <w:pPr>
                    <w:pStyle w:val="185"/>
                    <w:snapToGrid w:val="0"/>
                    <w:spacing w:line="240" w:lineRule="auto"/>
                    <w:rPr>
                      <w:rFonts w:hint="eastAsia" w:ascii="Times New Roman" w:hAnsi="Times New Roman" w:eastAsia="宋体" w:cs="Times New Roman"/>
                      <w:color w:val="auto"/>
                      <w:kern w:val="11"/>
                      <w:sz w:val="21"/>
                      <w:szCs w:val="21"/>
                    </w:rPr>
                  </w:pPr>
                </w:p>
              </w:tc>
              <w:tc>
                <w:tcPr>
                  <w:tcW w:w="1260" w:type="dxa"/>
                  <w:tcBorders>
                    <w:bottom w:val="single" w:color="auto" w:sz="4" w:space="0"/>
                    <w:tl2br w:val="nil"/>
                    <w:tr2bl w:val="nil"/>
                  </w:tcBorders>
                  <w:vAlign w:val="center"/>
                </w:tcPr>
                <w:p w14:paraId="1B939624">
                  <w:pPr>
                    <w:pStyle w:val="185"/>
                    <w:snapToGrid w:val="0"/>
                    <w:spacing w:line="240" w:lineRule="auto"/>
                    <w:rPr>
                      <w:rFonts w:ascii="Times New Roman" w:hAnsi="Times New Roman" w:eastAsia="宋体" w:cs="Times New Roman"/>
                      <w:color w:val="auto"/>
                      <w:sz w:val="21"/>
                      <w:szCs w:val="21"/>
                    </w:rPr>
                  </w:pPr>
                  <w:r>
                    <w:rPr>
                      <w:rFonts w:ascii="Times New Roman" w:hAnsi="Times New Roman" w:eastAsia="宋体" w:cs="Times New Roman"/>
                      <w:bCs/>
                      <w:color w:val="auto"/>
                      <w:sz w:val="21"/>
                      <w:szCs w:val="21"/>
                    </w:rPr>
                    <w:t>*</w:t>
                  </w:r>
                  <w:r>
                    <w:rPr>
                      <w:rFonts w:hint="eastAsia" w:ascii="Times New Roman" w:hAnsi="Times New Roman" w:eastAsia="宋体" w:cs="Times New Roman"/>
                      <w:color w:val="auto"/>
                      <w:sz w:val="21"/>
                      <w:szCs w:val="21"/>
                    </w:rPr>
                    <w:t>TVOC</w:t>
                  </w:r>
                </w:p>
              </w:tc>
              <w:tc>
                <w:tcPr>
                  <w:tcW w:w="1140" w:type="dxa"/>
                  <w:tcBorders>
                    <w:bottom w:val="single" w:color="auto" w:sz="4" w:space="0"/>
                    <w:tl2br w:val="nil"/>
                    <w:tr2bl w:val="nil"/>
                  </w:tcBorders>
                  <w:vAlign w:val="center"/>
                </w:tcPr>
                <w:p w14:paraId="07F3A94A">
                  <w:pPr>
                    <w:spacing w:line="240" w:lineRule="auto"/>
                    <w:jc w:val="center"/>
                    <w:rPr>
                      <w:color w:val="auto"/>
                      <w:sz w:val="21"/>
                      <w:szCs w:val="21"/>
                    </w:rPr>
                  </w:pPr>
                  <w:r>
                    <w:rPr>
                      <w:color w:val="auto"/>
                      <w:sz w:val="21"/>
                      <w:szCs w:val="21"/>
                    </w:rPr>
                    <w:t>100mg/m</w:t>
                  </w:r>
                  <w:r>
                    <w:rPr>
                      <w:color w:val="auto"/>
                      <w:sz w:val="21"/>
                      <w:szCs w:val="21"/>
                      <w:vertAlign w:val="superscript"/>
                    </w:rPr>
                    <w:t>3</w:t>
                  </w:r>
                </w:p>
              </w:tc>
              <w:tc>
                <w:tcPr>
                  <w:tcW w:w="4915" w:type="dxa"/>
                  <w:vMerge w:val="continue"/>
                  <w:tcBorders>
                    <w:bottom w:val="single" w:color="auto" w:sz="4" w:space="0"/>
                    <w:tl2br w:val="nil"/>
                    <w:tr2bl w:val="nil"/>
                  </w:tcBorders>
                  <w:vAlign w:val="center"/>
                </w:tcPr>
                <w:p w14:paraId="29B236EE">
                  <w:pPr>
                    <w:spacing w:line="240" w:lineRule="auto"/>
                    <w:jc w:val="center"/>
                    <w:rPr>
                      <w:color w:val="auto"/>
                      <w:sz w:val="21"/>
                      <w:szCs w:val="21"/>
                    </w:rPr>
                  </w:pPr>
                </w:p>
              </w:tc>
            </w:tr>
            <w:tr w14:paraId="5FBA1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705" w:type="dxa"/>
                  <w:vMerge w:val="continue"/>
                  <w:tcBorders>
                    <w:tl2br w:val="nil"/>
                    <w:tr2bl w:val="nil"/>
                  </w:tcBorders>
                  <w:vAlign w:val="center"/>
                </w:tcPr>
                <w:p w14:paraId="25885D07">
                  <w:pPr>
                    <w:spacing w:line="240" w:lineRule="auto"/>
                    <w:jc w:val="center"/>
                    <w:rPr>
                      <w:color w:val="auto"/>
                      <w:sz w:val="21"/>
                      <w:szCs w:val="21"/>
                    </w:rPr>
                  </w:pPr>
                </w:p>
              </w:tc>
              <w:tc>
                <w:tcPr>
                  <w:tcW w:w="615" w:type="dxa"/>
                  <w:vMerge w:val="continue"/>
                  <w:tcBorders>
                    <w:tl2br w:val="nil"/>
                    <w:tr2bl w:val="nil"/>
                  </w:tcBorders>
                  <w:vAlign w:val="center"/>
                </w:tcPr>
                <w:p w14:paraId="4E1DE9F1">
                  <w:pPr>
                    <w:spacing w:line="240" w:lineRule="auto"/>
                    <w:jc w:val="center"/>
                    <w:rPr>
                      <w:color w:val="auto"/>
                      <w:sz w:val="21"/>
                      <w:szCs w:val="21"/>
                    </w:rPr>
                  </w:pPr>
                </w:p>
              </w:tc>
              <w:tc>
                <w:tcPr>
                  <w:tcW w:w="645" w:type="dxa"/>
                  <w:vMerge w:val="continue"/>
                  <w:tcBorders>
                    <w:tl2br w:val="nil"/>
                    <w:tr2bl w:val="nil"/>
                  </w:tcBorders>
                  <w:vAlign w:val="center"/>
                </w:tcPr>
                <w:p w14:paraId="68AED5FB">
                  <w:pPr>
                    <w:pStyle w:val="185"/>
                    <w:snapToGrid w:val="0"/>
                    <w:spacing w:line="240" w:lineRule="auto"/>
                    <w:rPr>
                      <w:rFonts w:hint="eastAsia" w:ascii="Times New Roman" w:hAnsi="Times New Roman" w:eastAsia="宋体" w:cs="Times New Roman"/>
                      <w:color w:val="auto"/>
                      <w:kern w:val="11"/>
                      <w:sz w:val="21"/>
                      <w:szCs w:val="21"/>
                    </w:rPr>
                  </w:pPr>
                </w:p>
              </w:tc>
              <w:tc>
                <w:tcPr>
                  <w:tcW w:w="1260" w:type="dxa"/>
                  <w:tcBorders>
                    <w:top w:val="single" w:color="auto" w:sz="4" w:space="0"/>
                    <w:bottom w:val="single" w:color="auto" w:sz="4" w:space="0"/>
                    <w:tl2br w:val="nil"/>
                    <w:tr2bl w:val="nil"/>
                  </w:tcBorders>
                  <w:vAlign w:val="center"/>
                </w:tcPr>
                <w:p w14:paraId="54DFE56D">
                  <w:pPr>
                    <w:pStyle w:val="185"/>
                    <w:snapToGrid w:val="0"/>
                    <w:spacing w:line="240" w:lineRule="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非甲烷总烃</w:t>
                  </w:r>
                </w:p>
              </w:tc>
              <w:tc>
                <w:tcPr>
                  <w:tcW w:w="1140" w:type="dxa"/>
                  <w:tcBorders>
                    <w:top w:val="single" w:color="auto" w:sz="4" w:space="0"/>
                    <w:bottom w:val="single" w:color="auto" w:sz="4" w:space="0"/>
                    <w:tl2br w:val="nil"/>
                    <w:tr2bl w:val="nil"/>
                  </w:tcBorders>
                  <w:vAlign w:val="center"/>
                </w:tcPr>
                <w:p w14:paraId="03FA92BE">
                  <w:pPr>
                    <w:spacing w:line="240" w:lineRule="auto"/>
                    <w:jc w:val="center"/>
                    <w:rPr>
                      <w:color w:val="auto"/>
                      <w:sz w:val="21"/>
                      <w:szCs w:val="21"/>
                    </w:rPr>
                  </w:pPr>
                  <w:r>
                    <w:rPr>
                      <w:color w:val="auto"/>
                      <w:sz w:val="21"/>
                      <w:szCs w:val="21"/>
                    </w:rPr>
                    <w:t>100mg/m</w:t>
                  </w:r>
                  <w:r>
                    <w:rPr>
                      <w:color w:val="auto"/>
                      <w:sz w:val="21"/>
                      <w:szCs w:val="21"/>
                      <w:vertAlign w:val="superscript"/>
                    </w:rPr>
                    <w:t>3</w:t>
                  </w:r>
                </w:p>
              </w:tc>
              <w:tc>
                <w:tcPr>
                  <w:tcW w:w="4915" w:type="dxa"/>
                  <w:tcBorders>
                    <w:top w:val="single" w:color="auto" w:sz="4" w:space="0"/>
                    <w:bottom w:val="single" w:color="auto" w:sz="4" w:space="0"/>
                    <w:tl2br w:val="nil"/>
                    <w:tr2bl w:val="nil"/>
                  </w:tcBorders>
                  <w:vAlign w:val="center"/>
                </w:tcPr>
                <w:p w14:paraId="52F62AF6">
                  <w:pPr>
                    <w:spacing w:line="240" w:lineRule="auto"/>
                    <w:jc w:val="center"/>
                    <w:rPr>
                      <w:color w:val="auto"/>
                      <w:sz w:val="21"/>
                      <w:szCs w:val="21"/>
                    </w:rPr>
                  </w:pPr>
                  <w:r>
                    <w:rPr>
                      <w:rFonts w:hint="default" w:ascii="Times New Roman" w:hAnsi="Times New Roman" w:eastAsia="宋体" w:cs="Times New Roman"/>
                      <w:color w:val="auto"/>
                      <w:sz w:val="21"/>
                      <w:szCs w:val="21"/>
                      <w:highlight w:val="none"/>
                      <w:lang w:eastAsia="zh-CN"/>
                    </w:rPr>
                    <w:t>《合成树脂工业污染物排放标准》（GB31572-2015，含2024年修改单）</w:t>
                  </w:r>
                  <w:r>
                    <w:rPr>
                      <w:rFonts w:hint="default" w:ascii="Times New Roman" w:hAnsi="Times New Roman" w:cs="Times New Roman"/>
                      <w:color w:val="auto"/>
                      <w:sz w:val="21"/>
                      <w:szCs w:val="21"/>
                      <w:lang w:val="en-US" w:eastAsia="zh-CN"/>
                    </w:rPr>
                    <w:t>表4</w:t>
                  </w:r>
                  <w:r>
                    <w:rPr>
                      <w:rFonts w:hint="default" w:ascii="Times New Roman" w:hAnsi="Times New Roman" w:cs="Times New Roman"/>
                      <w:color w:val="auto"/>
                      <w:sz w:val="21"/>
                      <w:szCs w:val="21"/>
                      <w:lang w:val="en-US"/>
                    </w:rPr>
                    <w:t>大气污染物排放限值</w:t>
                  </w:r>
                </w:p>
              </w:tc>
            </w:tr>
            <w:tr w14:paraId="6C1D0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705" w:type="dxa"/>
                  <w:vMerge w:val="continue"/>
                  <w:tcBorders>
                    <w:tl2br w:val="nil"/>
                    <w:tr2bl w:val="nil"/>
                  </w:tcBorders>
                  <w:vAlign w:val="center"/>
                </w:tcPr>
                <w:p w14:paraId="32DC792A">
                  <w:pPr>
                    <w:spacing w:line="240" w:lineRule="auto"/>
                    <w:jc w:val="center"/>
                    <w:rPr>
                      <w:color w:val="auto"/>
                      <w:sz w:val="21"/>
                      <w:szCs w:val="21"/>
                    </w:rPr>
                  </w:pPr>
                </w:p>
              </w:tc>
              <w:tc>
                <w:tcPr>
                  <w:tcW w:w="615" w:type="dxa"/>
                  <w:vMerge w:val="continue"/>
                  <w:tcBorders>
                    <w:tl2br w:val="nil"/>
                    <w:tr2bl w:val="nil"/>
                  </w:tcBorders>
                  <w:vAlign w:val="center"/>
                </w:tcPr>
                <w:p w14:paraId="7FC91480">
                  <w:pPr>
                    <w:spacing w:line="240" w:lineRule="auto"/>
                    <w:jc w:val="center"/>
                    <w:rPr>
                      <w:color w:val="auto"/>
                      <w:sz w:val="21"/>
                      <w:szCs w:val="21"/>
                    </w:rPr>
                  </w:pPr>
                </w:p>
              </w:tc>
              <w:tc>
                <w:tcPr>
                  <w:tcW w:w="645" w:type="dxa"/>
                  <w:vMerge w:val="continue"/>
                  <w:tcBorders>
                    <w:tl2br w:val="nil"/>
                    <w:tr2bl w:val="nil"/>
                  </w:tcBorders>
                  <w:vAlign w:val="center"/>
                </w:tcPr>
                <w:p w14:paraId="0ADCB8CA">
                  <w:pPr>
                    <w:pStyle w:val="185"/>
                    <w:snapToGrid w:val="0"/>
                    <w:spacing w:line="240" w:lineRule="auto"/>
                    <w:rPr>
                      <w:rFonts w:hint="eastAsia" w:ascii="Times New Roman" w:hAnsi="Times New Roman" w:eastAsia="宋体" w:cs="Times New Roman"/>
                      <w:color w:val="auto"/>
                      <w:kern w:val="11"/>
                      <w:sz w:val="21"/>
                      <w:szCs w:val="21"/>
                    </w:rPr>
                  </w:pPr>
                </w:p>
              </w:tc>
              <w:tc>
                <w:tcPr>
                  <w:tcW w:w="1260" w:type="dxa"/>
                  <w:tcBorders>
                    <w:top w:val="single" w:color="auto" w:sz="4" w:space="0"/>
                    <w:tl2br w:val="nil"/>
                    <w:tr2bl w:val="nil"/>
                  </w:tcBorders>
                  <w:vAlign w:val="center"/>
                </w:tcPr>
                <w:p w14:paraId="55930716">
                  <w:pPr>
                    <w:pStyle w:val="185"/>
                    <w:snapToGrid w:val="0"/>
                    <w:spacing w:line="240" w:lineRule="auto"/>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非甲烷总烃</w:t>
                  </w:r>
                </w:p>
              </w:tc>
              <w:tc>
                <w:tcPr>
                  <w:tcW w:w="1140" w:type="dxa"/>
                  <w:tcBorders>
                    <w:top w:val="single" w:color="auto" w:sz="4" w:space="0"/>
                    <w:tl2br w:val="nil"/>
                    <w:tr2bl w:val="nil"/>
                  </w:tcBorders>
                  <w:vAlign w:val="center"/>
                </w:tcPr>
                <w:p w14:paraId="7BD70785">
                  <w:pPr>
                    <w:spacing w:line="240" w:lineRule="auto"/>
                    <w:jc w:val="center"/>
                    <w:rPr>
                      <w:color w:val="auto"/>
                      <w:sz w:val="21"/>
                      <w:szCs w:val="21"/>
                    </w:rPr>
                  </w:pPr>
                  <w:r>
                    <w:rPr>
                      <w:rFonts w:hint="eastAsia"/>
                      <w:color w:val="auto"/>
                      <w:sz w:val="21"/>
                      <w:szCs w:val="21"/>
                      <w:lang w:val="en-US" w:eastAsia="zh-CN"/>
                    </w:rPr>
                    <w:t>8</w:t>
                  </w:r>
                  <w:r>
                    <w:rPr>
                      <w:color w:val="auto"/>
                      <w:sz w:val="21"/>
                      <w:szCs w:val="21"/>
                    </w:rPr>
                    <w:t>0mg/m</w:t>
                  </w:r>
                  <w:r>
                    <w:rPr>
                      <w:color w:val="auto"/>
                      <w:sz w:val="21"/>
                      <w:szCs w:val="21"/>
                      <w:vertAlign w:val="superscript"/>
                    </w:rPr>
                    <w:t>3</w:t>
                  </w:r>
                </w:p>
              </w:tc>
              <w:tc>
                <w:tcPr>
                  <w:tcW w:w="4915" w:type="dxa"/>
                  <w:tcBorders>
                    <w:top w:val="single" w:color="auto" w:sz="4" w:space="0"/>
                    <w:tl2br w:val="nil"/>
                    <w:tr2bl w:val="nil"/>
                  </w:tcBorders>
                  <w:vAlign w:val="center"/>
                </w:tcPr>
                <w:p w14:paraId="439EB096">
                  <w:pPr>
                    <w:spacing w:line="240" w:lineRule="auto"/>
                    <w:jc w:val="center"/>
                    <w:rPr>
                      <w:color w:val="auto"/>
                      <w:sz w:val="21"/>
                      <w:szCs w:val="21"/>
                    </w:rPr>
                  </w:pPr>
                  <w:r>
                    <w:rPr>
                      <w:rFonts w:hint="eastAsia"/>
                      <w:color w:val="auto"/>
                      <w:sz w:val="21"/>
                      <w:szCs w:val="21"/>
                    </w:rPr>
                    <w:t>广东省《固定污染源挥发性有机物综合排放标准》（DB44/2367-2022）表1挥发性有机物排放限值</w:t>
                  </w:r>
                  <w:r>
                    <w:rPr>
                      <w:rFonts w:hint="eastAsia"/>
                      <w:color w:val="auto"/>
                      <w:sz w:val="21"/>
                      <w:szCs w:val="21"/>
                      <w:lang w:val="en-US" w:eastAsia="zh-CN"/>
                    </w:rPr>
                    <w:t>和</w:t>
                  </w:r>
                  <w:r>
                    <w:rPr>
                      <w:rFonts w:hint="default" w:ascii="Times New Roman" w:hAnsi="Times New Roman" w:eastAsia="宋体" w:cs="Times New Roman"/>
                      <w:color w:val="auto"/>
                      <w:sz w:val="21"/>
                      <w:szCs w:val="21"/>
                      <w:highlight w:val="none"/>
                      <w:lang w:eastAsia="zh-CN"/>
                    </w:rPr>
                    <w:t>《合成树脂工业污染物排放标准》（GB31572-2015，含2024年修改单）</w:t>
                  </w:r>
                  <w:r>
                    <w:rPr>
                      <w:rFonts w:hint="default" w:ascii="Times New Roman" w:hAnsi="Times New Roman" w:cs="Times New Roman"/>
                      <w:color w:val="auto"/>
                      <w:sz w:val="21"/>
                      <w:szCs w:val="21"/>
                      <w:lang w:val="en-US" w:eastAsia="zh-CN"/>
                    </w:rPr>
                    <w:t>表4</w:t>
                  </w:r>
                  <w:r>
                    <w:rPr>
                      <w:rFonts w:hint="default" w:ascii="Times New Roman" w:hAnsi="Times New Roman" w:cs="Times New Roman"/>
                      <w:color w:val="auto"/>
                      <w:sz w:val="21"/>
                      <w:szCs w:val="21"/>
                      <w:lang w:val="en-US"/>
                    </w:rPr>
                    <w:t>大气污染物排放限值</w:t>
                  </w:r>
                  <w:r>
                    <w:rPr>
                      <w:rFonts w:hint="eastAsia" w:ascii="Times New Roman" w:hAnsi="Times New Roman" w:cs="Times New Roman"/>
                      <w:color w:val="auto"/>
                      <w:sz w:val="21"/>
                      <w:szCs w:val="21"/>
                      <w:lang w:val="en-US" w:eastAsia="zh-CN"/>
                    </w:rPr>
                    <w:t>较严值</w:t>
                  </w:r>
                </w:p>
              </w:tc>
            </w:tr>
            <w:tr w14:paraId="55ECC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705" w:type="dxa"/>
                  <w:vMerge w:val="continue"/>
                  <w:tcBorders>
                    <w:tl2br w:val="nil"/>
                    <w:tr2bl w:val="nil"/>
                  </w:tcBorders>
                  <w:vAlign w:val="center"/>
                </w:tcPr>
                <w:p w14:paraId="00D9B774">
                  <w:pPr>
                    <w:spacing w:line="240" w:lineRule="auto"/>
                    <w:jc w:val="center"/>
                    <w:rPr>
                      <w:color w:val="auto"/>
                      <w:sz w:val="21"/>
                      <w:szCs w:val="21"/>
                    </w:rPr>
                  </w:pPr>
                </w:p>
              </w:tc>
              <w:tc>
                <w:tcPr>
                  <w:tcW w:w="615" w:type="dxa"/>
                  <w:vMerge w:val="continue"/>
                  <w:tcBorders>
                    <w:tl2br w:val="nil"/>
                    <w:tr2bl w:val="nil"/>
                  </w:tcBorders>
                  <w:vAlign w:val="center"/>
                </w:tcPr>
                <w:p w14:paraId="0197ACE1">
                  <w:pPr>
                    <w:spacing w:line="240" w:lineRule="auto"/>
                    <w:jc w:val="center"/>
                    <w:rPr>
                      <w:color w:val="auto"/>
                      <w:sz w:val="21"/>
                      <w:szCs w:val="21"/>
                    </w:rPr>
                  </w:pPr>
                </w:p>
              </w:tc>
              <w:tc>
                <w:tcPr>
                  <w:tcW w:w="645" w:type="dxa"/>
                  <w:vMerge w:val="continue"/>
                  <w:tcBorders>
                    <w:tl2br w:val="nil"/>
                    <w:tr2bl w:val="nil"/>
                  </w:tcBorders>
                  <w:vAlign w:val="center"/>
                </w:tcPr>
                <w:p w14:paraId="32CFF514">
                  <w:pPr>
                    <w:pStyle w:val="185"/>
                    <w:snapToGrid w:val="0"/>
                    <w:spacing w:line="240" w:lineRule="auto"/>
                    <w:rPr>
                      <w:rFonts w:ascii="Times New Roman" w:hAnsi="Times New Roman" w:eastAsia="宋体" w:cs="Times New Roman"/>
                      <w:color w:val="auto"/>
                      <w:sz w:val="21"/>
                      <w:szCs w:val="21"/>
                    </w:rPr>
                  </w:pPr>
                </w:p>
              </w:tc>
              <w:tc>
                <w:tcPr>
                  <w:tcW w:w="1260" w:type="dxa"/>
                  <w:tcBorders>
                    <w:tl2br w:val="nil"/>
                    <w:tr2bl w:val="nil"/>
                  </w:tcBorders>
                  <w:vAlign w:val="center"/>
                </w:tcPr>
                <w:p w14:paraId="6EF9C2BA">
                  <w:pPr>
                    <w:pStyle w:val="185"/>
                    <w:snapToGrid w:val="0"/>
                    <w:spacing w:line="240" w:lineRule="auto"/>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臭气浓度</w:t>
                  </w:r>
                </w:p>
              </w:tc>
              <w:tc>
                <w:tcPr>
                  <w:tcW w:w="1140" w:type="dxa"/>
                  <w:tcBorders>
                    <w:right w:val="single" w:color="auto" w:sz="4" w:space="0"/>
                    <w:tl2br w:val="nil"/>
                    <w:tr2bl w:val="nil"/>
                  </w:tcBorders>
                  <w:vAlign w:val="center"/>
                </w:tcPr>
                <w:p w14:paraId="7EB04354">
                  <w:pPr>
                    <w:spacing w:line="240" w:lineRule="auto"/>
                    <w:jc w:val="center"/>
                    <w:rPr>
                      <w:color w:val="auto"/>
                      <w:sz w:val="21"/>
                      <w:szCs w:val="21"/>
                    </w:rPr>
                  </w:pPr>
                  <w:r>
                    <w:rPr>
                      <w:color w:val="auto"/>
                      <w:sz w:val="21"/>
                      <w:szCs w:val="21"/>
                    </w:rPr>
                    <w:t>2000</w:t>
                  </w:r>
                  <w:r>
                    <w:rPr>
                      <w:rFonts w:hint="eastAsia"/>
                      <w:color w:val="auto"/>
                      <w:sz w:val="21"/>
                      <w:szCs w:val="21"/>
                    </w:rPr>
                    <w:t>（</w:t>
                  </w:r>
                  <w:r>
                    <w:rPr>
                      <w:color w:val="auto"/>
                      <w:sz w:val="21"/>
                      <w:szCs w:val="21"/>
                    </w:rPr>
                    <w:t>无纲量</w:t>
                  </w:r>
                  <w:r>
                    <w:rPr>
                      <w:rFonts w:hint="eastAsia"/>
                      <w:color w:val="auto"/>
                      <w:sz w:val="21"/>
                      <w:szCs w:val="21"/>
                    </w:rPr>
                    <w:t>）</w:t>
                  </w:r>
                </w:p>
              </w:tc>
              <w:tc>
                <w:tcPr>
                  <w:tcW w:w="4915" w:type="dxa"/>
                  <w:tcBorders>
                    <w:left w:val="single" w:color="auto" w:sz="4" w:space="0"/>
                    <w:tl2br w:val="nil"/>
                    <w:tr2bl w:val="nil"/>
                  </w:tcBorders>
                  <w:vAlign w:val="center"/>
                </w:tcPr>
                <w:p w14:paraId="4B13E95F">
                  <w:pPr>
                    <w:spacing w:line="240" w:lineRule="auto"/>
                    <w:jc w:val="center"/>
                    <w:rPr>
                      <w:color w:val="auto"/>
                      <w:kern w:val="11"/>
                      <w:sz w:val="21"/>
                      <w:szCs w:val="21"/>
                    </w:rPr>
                  </w:pPr>
                  <w:r>
                    <w:rPr>
                      <w:color w:val="auto"/>
                      <w:sz w:val="21"/>
                      <w:szCs w:val="21"/>
                    </w:rPr>
                    <w:t>《恶臭污染物排放标准》（GB14554-93）中表2恶臭污染物排放标准值</w:t>
                  </w:r>
                </w:p>
              </w:tc>
            </w:tr>
            <w:tr w14:paraId="1CECD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40" w:hRule="atLeast"/>
                <w:jc w:val="center"/>
              </w:trPr>
              <w:tc>
                <w:tcPr>
                  <w:tcW w:w="9280" w:type="dxa"/>
                  <w:gridSpan w:val="6"/>
                  <w:tcBorders>
                    <w:tl2br w:val="nil"/>
                    <w:tr2bl w:val="nil"/>
                  </w:tcBorders>
                  <w:vAlign w:val="center"/>
                </w:tcPr>
                <w:p w14:paraId="7751EC8D">
                  <w:pPr>
                    <w:spacing w:line="240" w:lineRule="auto"/>
                    <w:jc w:val="both"/>
                    <w:rPr>
                      <w:rFonts w:hint="eastAsia"/>
                      <w:color w:val="auto"/>
                      <w:sz w:val="21"/>
                      <w:szCs w:val="21"/>
                    </w:rPr>
                  </w:pPr>
                  <w:r>
                    <w:rPr>
                      <w:rFonts w:hint="eastAsia"/>
                      <w:b/>
                      <w:bCs/>
                      <w:color w:val="auto"/>
                      <w:sz w:val="21"/>
                      <w:szCs w:val="21"/>
                    </w:rPr>
                    <w:t>备注：</w:t>
                  </w:r>
                  <w:r>
                    <w:rPr>
                      <w:bCs/>
                      <w:color w:val="auto"/>
                      <w:sz w:val="21"/>
                      <w:szCs w:val="21"/>
                    </w:rPr>
                    <w:t>*待国家污染物监测方法标准发布后实施。</w:t>
                  </w:r>
                </w:p>
              </w:tc>
            </w:tr>
          </w:tbl>
          <w:p w14:paraId="4619EECB">
            <w:pPr>
              <w:spacing w:line="360" w:lineRule="auto"/>
              <w:ind w:firstLine="482" w:firstLineChars="200"/>
              <w:rPr>
                <w:b/>
                <w:color w:val="auto"/>
                <w:sz w:val="24"/>
              </w:rPr>
            </w:pPr>
            <w:r>
              <w:rPr>
                <w:b/>
                <w:color w:val="auto"/>
                <w:sz w:val="24"/>
              </w:rPr>
              <w:t>（2）无组织排放</w:t>
            </w:r>
          </w:p>
          <w:p w14:paraId="6BEAB703">
            <w:pPr>
              <w:spacing w:line="360" w:lineRule="auto"/>
              <w:ind w:firstLine="480" w:firstLineChars="200"/>
              <w:rPr>
                <w:bCs/>
                <w:color w:val="auto"/>
                <w:sz w:val="24"/>
              </w:rPr>
            </w:pPr>
            <w:r>
              <w:rPr>
                <w:bCs/>
                <w:color w:val="auto"/>
                <w:sz w:val="24"/>
              </w:rPr>
              <w:t>本项目</w:t>
            </w:r>
            <w:r>
              <w:rPr>
                <w:rFonts w:hint="eastAsia"/>
                <w:bCs/>
                <w:color w:val="auto"/>
                <w:sz w:val="24"/>
              </w:rPr>
              <w:t>电泳漆涂装、烘干固化</w:t>
            </w:r>
            <w:r>
              <w:rPr>
                <w:bCs/>
                <w:color w:val="auto"/>
                <w:sz w:val="24"/>
              </w:rPr>
              <w:t>过程未能收集无组织排放的</w:t>
            </w:r>
            <w:r>
              <w:rPr>
                <w:rFonts w:hint="eastAsia"/>
                <w:bCs/>
                <w:color w:val="auto"/>
                <w:sz w:val="24"/>
              </w:rPr>
              <w:t>臭气浓度</w:t>
            </w:r>
            <w:r>
              <w:rPr>
                <w:bCs/>
                <w:color w:val="auto"/>
                <w:sz w:val="24"/>
              </w:rPr>
              <w:t>执行《恶臭污染物排放标准》（GB14554-93）中表1二级新改扩建排放限值。</w:t>
            </w:r>
          </w:p>
          <w:p w14:paraId="267BE30E">
            <w:pPr>
              <w:spacing w:line="360" w:lineRule="auto"/>
              <w:ind w:firstLine="480" w:firstLineChars="200"/>
              <w:rPr>
                <w:rFonts w:hint="eastAsia"/>
                <w:bCs/>
                <w:color w:val="auto"/>
                <w:sz w:val="24"/>
              </w:rPr>
            </w:pPr>
            <w:r>
              <w:rPr>
                <w:rFonts w:hint="eastAsia"/>
                <w:bCs/>
                <w:color w:val="auto"/>
                <w:sz w:val="24"/>
              </w:rPr>
              <w:t>本项目电泳漆涂装、烘干固化</w:t>
            </w:r>
            <w:r>
              <w:rPr>
                <w:bCs/>
                <w:color w:val="auto"/>
                <w:sz w:val="24"/>
              </w:rPr>
              <w:t>过程未能收集</w:t>
            </w:r>
            <w:r>
              <w:rPr>
                <w:rFonts w:hint="eastAsia"/>
                <w:bCs/>
                <w:color w:val="auto"/>
                <w:sz w:val="24"/>
              </w:rPr>
              <w:t>的</w:t>
            </w:r>
            <w:r>
              <w:rPr>
                <w:bCs/>
                <w:color w:val="auto"/>
                <w:sz w:val="24"/>
              </w:rPr>
              <w:t>非甲烷总烃</w:t>
            </w:r>
            <w:r>
              <w:rPr>
                <w:rFonts w:hint="eastAsia"/>
                <w:bCs/>
                <w:color w:val="auto"/>
                <w:sz w:val="24"/>
              </w:rPr>
              <w:t>厂区内无组织排放</w:t>
            </w:r>
            <w:r>
              <w:rPr>
                <w:bCs/>
                <w:color w:val="auto"/>
                <w:sz w:val="24"/>
              </w:rPr>
              <w:t>执行广东省地方标准《固定污染源挥发性有机物综合排放标准》（DB44/2367-2022）中的表3厂区内VOCs无组织排放限值。</w:t>
            </w:r>
          </w:p>
          <w:p w14:paraId="79C25863">
            <w:pPr>
              <w:spacing w:line="240" w:lineRule="auto"/>
              <w:jc w:val="center"/>
              <w:rPr>
                <w:b/>
                <w:bCs/>
                <w:color w:val="auto"/>
                <w:szCs w:val="21"/>
              </w:rPr>
            </w:pPr>
            <w:r>
              <w:rPr>
                <w:b/>
                <w:bCs/>
                <w:color w:val="auto"/>
                <w:szCs w:val="21"/>
              </w:rPr>
              <w:t>表3-</w:t>
            </w:r>
            <w:r>
              <w:rPr>
                <w:rFonts w:hint="eastAsia"/>
                <w:b/>
                <w:bCs/>
                <w:color w:val="auto"/>
                <w:szCs w:val="21"/>
              </w:rPr>
              <w:t>8</w:t>
            </w:r>
            <w:r>
              <w:rPr>
                <w:b/>
                <w:bCs/>
                <w:color w:val="auto"/>
                <w:szCs w:val="21"/>
              </w:rPr>
              <w:t xml:space="preserve"> 项目大气污染物无组织排放限值一览表</w:t>
            </w:r>
          </w:p>
          <w:tbl>
            <w:tblPr>
              <w:tblStyle w:val="42"/>
              <w:tblW w:w="91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3"/>
              <w:gridCol w:w="683"/>
              <w:gridCol w:w="467"/>
              <w:gridCol w:w="3050"/>
              <w:gridCol w:w="4265"/>
            </w:tblGrid>
            <w:tr w14:paraId="5ABEE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23" w:type="dxa"/>
                  <w:vMerge w:val="restart"/>
                  <w:tcBorders>
                    <w:tl2br w:val="nil"/>
                    <w:tr2bl w:val="nil"/>
                  </w:tcBorders>
                  <w:vAlign w:val="center"/>
                </w:tcPr>
                <w:p w14:paraId="2FC5D908">
                  <w:pPr>
                    <w:spacing w:line="240" w:lineRule="auto"/>
                    <w:jc w:val="center"/>
                    <w:rPr>
                      <w:b/>
                      <w:color w:val="auto"/>
                      <w:szCs w:val="21"/>
                    </w:rPr>
                  </w:pPr>
                  <w:r>
                    <w:rPr>
                      <w:b/>
                      <w:color w:val="auto"/>
                      <w:szCs w:val="21"/>
                    </w:rPr>
                    <w:t>产污环节</w:t>
                  </w:r>
                </w:p>
              </w:tc>
              <w:tc>
                <w:tcPr>
                  <w:tcW w:w="683" w:type="dxa"/>
                  <w:vMerge w:val="restart"/>
                  <w:tcBorders>
                    <w:tl2br w:val="nil"/>
                    <w:tr2bl w:val="nil"/>
                  </w:tcBorders>
                  <w:vAlign w:val="center"/>
                </w:tcPr>
                <w:p w14:paraId="5423E68A">
                  <w:pPr>
                    <w:spacing w:line="240" w:lineRule="auto"/>
                    <w:jc w:val="center"/>
                    <w:rPr>
                      <w:b/>
                      <w:color w:val="auto"/>
                      <w:szCs w:val="21"/>
                    </w:rPr>
                  </w:pPr>
                  <w:r>
                    <w:rPr>
                      <w:b/>
                      <w:color w:val="auto"/>
                      <w:szCs w:val="21"/>
                    </w:rPr>
                    <w:t>污染因子</w:t>
                  </w:r>
                </w:p>
              </w:tc>
              <w:tc>
                <w:tcPr>
                  <w:tcW w:w="3517" w:type="dxa"/>
                  <w:gridSpan w:val="2"/>
                  <w:vMerge w:val="restart"/>
                  <w:tcBorders>
                    <w:tl2br w:val="nil"/>
                    <w:tr2bl w:val="nil"/>
                  </w:tcBorders>
                  <w:vAlign w:val="center"/>
                </w:tcPr>
                <w:p w14:paraId="005025C9">
                  <w:pPr>
                    <w:spacing w:line="240" w:lineRule="auto"/>
                    <w:jc w:val="center"/>
                    <w:rPr>
                      <w:b/>
                      <w:color w:val="auto"/>
                      <w:szCs w:val="21"/>
                    </w:rPr>
                  </w:pPr>
                  <w:r>
                    <w:rPr>
                      <w:b/>
                      <w:color w:val="auto"/>
                      <w:szCs w:val="21"/>
                    </w:rPr>
                    <w:t>无组织排放监控浓度限值</w:t>
                  </w:r>
                  <w:r>
                    <w:rPr>
                      <w:b/>
                      <w:bCs/>
                      <w:color w:val="auto"/>
                      <w:szCs w:val="21"/>
                    </w:rPr>
                    <w:t>（mg/m</w:t>
                  </w:r>
                  <w:r>
                    <w:rPr>
                      <w:b/>
                      <w:bCs/>
                      <w:color w:val="auto"/>
                      <w:szCs w:val="21"/>
                      <w:vertAlign w:val="superscript"/>
                    </w:rPr>
                    <w:t>3</w:t>
                  </w:r>
                  <w:r>
                    <w:rPr>
                      <w:b/>
                      <w:bCs/>
                      <w:color w:val="auto"/>
                      <w:szCs w:val="21"/>
                    </w:rPr>
                    <w:t>）</w:t>
                  </w:r>
                </w:p>
              </w:tc>
              <w:tc>
                <w:tcPr>
                  <w:tcW w:w="4265" w:type="dxa"/>
                  <w:vMerge w:val="restart"/>
                  <w:tcBorders>
                    <w:tl2br w:val="nil"/>
                    <w:tr2bl w:val="nil"/>
                  </w:tcBorders>
                  <w:vAlign w:val="center"/>
                </w:tcPr>
                <w:p w14:paraId="1DC647D8">
                  <w:pPr>
                    <w:spacing w:line="240" w:lineRule="auto"/>
                    <w:jc w:val="center"/>
                    <w:rPr>
                      <w:b/>
                      <w:color w:val="auto"/>
                      <w:szCs w:val="21"/>
                    </w:rPr>
                  </w:pPr>
                  <w:r>
                    <w:rPr>
                      <w:b/>
                      <w:color w:val="auto"/>
                      <w:szCs w:val="21"/>
                    </w:rPr>
                    <w:t>标准来源</w:t>
                  </w:r>
                </w:p>
              </w:tc>
            </w:tr>
            <w:tr w14:paraId="4B56D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23" w:type="dxa"/>
                  <w:vMerge w:val="continue"/>
                  <w:tcBorders>
                    <w:tl2br w:val="nil"/>
                    <w:tr2bl w:val="nil"/>
                  </w:tcBorders>
                  <w:vAlign w:val="center"/>
                </w:tcPr>
                <w:p w14:paraId="69095AA2">
                  <w:pPr>
                    <w:spacing w:line="240" w:lineRule="auto"/>
                    <w:jc w:val="center"/>
                    <w:rPr>
                      <w:color w:val="auto"/>
                      <w:szCs w:val="21"/>
                    </w:rPr>
                  </w:pPr>
                </w:p>
              </w:tc>
              <w:tc>
                <w:tcPr>
                  <w:tcW w:w="683" w:type="dxa"/>
                  <w:vMerge w:val="continue"/>
                  <w:tcBorders>
                    <w:tl2br w:val="nil"/>
                    <w:tr2bl w:val="nil"/>
                  </w:tcBorders>
                  <w:vAlign w:val="center"/>
                </w:tcPr>
                <w:p w14:paraId="26E6D803">
                  <w:pPr>
                    <w:spacing w:line="240" w:lineRule="auto"/>
                    <w:jc w:val="center"/>
                    <w:rPr>
                      <w:color w:val="auto"/>
                      <w:szCs w:val="21"/>
                    </w:rPr>
                  </w:pPr>
                </w:p>
              </w:tc>
              <w:tc>
                <w:tcPr>
                  <w:tcW w:w="3517" w:type="dxa"/>
                  <w:gridSpan w:val="2"/>
                  <w:vMerge w:val="continue"/>
                  <w:tcBorders>
                    <w:tl2br w:val="nil"/>
                    <w:tr2bl w:val="nil"/>
                  </w:tcBorders>
                  <w:vAlign w:val="center"/>
                </w:tcPr>
                <w:p w14:paraId="00F9B8CB">
                  <w:pPr>
                    <w:spacing w:line="240" w:lineRule="auto"/>
                    <w:jc w:val="center"/>
                    <w:rPr>
                      <w:b/>
                      <w:bCs/>
                      <w:color w:val="auto"/>
                      <w:szCs w:val="21"/>
                    </w:rPr>
                  </w:pPr>
                </w:p>
              </w:tc>
              <w:tc>
                <w:tcPr>
                  <w:tcW w:w="4265" w:type="dxa"/>
                  <w:vMerge w:val="continue"/>
                  <w:tcBorders>
                    <w:tl2br w:val="nil"/>
                    <w:tr2bl w:val="nil"/>
                  </w:tcBorders>
                  <w:vAlign w:val="center"/>
                </w:tcPr>
                <w:p w14:paraId="07330516">
                  <w:pPr>
                    <w:spacing w:line="240" w:lineRule="auto"/>
                    <w:jc w:val="center"/>
                    <w:rPr>
                      <w:color w:val="auto"/>
                      <w:szCs w:val="21"/>
                    </w:rPr>
                  </w:pPr>
                </w:p>
              </w:tc>
            </w:tr>
            <w:tr w14:paraId="0D3DB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23" w:type="dxa"/>
                  <w:vMerge w:val="restart"/>
                  <w:tcBorders>
                    <w:tl2br w:val="nil"/>
                    <w:tr2bl w:val="nil"/>
                  </w:tcBorders>
                  <w:vAlign w:val="center"/>
                </w:tcPr>
                <w:p w14:paraId="5EC74EE6">
                  <w:pPr>
                    <w:pStyle w:val="185"/>
                    <w:snapToGrid w:val="0"/>
                    <w:spacing w:line="240" w:lineRule="auto"/>
                    <w:rPr>
                      <w:rFonts w:ascii="Times New Roman" w:hAnsi="Times New Roman" w:eastAsia="宋体" w:cs="Times New Roman"/>
                      <w:color w:val="auto"/>
                      <w:kern w:val="2"/>
                      <w:sz w:val="21"/>
                      <w:szCs w:val="21"/>
                    </w:rPr>
                  </w:pPr>
                  <w:r>
                    <w:rPr>
                      <w:rFonts w:hint="eastAsia" w:ascii="Times New Roman" w:hAnsi="Times New Roman" w:eastAsia="宋体" w:cs="Times New Roman"/>
                      <w:color w:val="auto"/>
                      <w:kern w:val="2"/>
                      <w:sz w:val="21"/>
                      <w:szCs w:val="21"/>
                    </w:rPr>
                    <w:t>电泳漆涂装、烘干固化</w:t>
                  </w:r>
                </w:p>
              </w:tc>
              <w:tc>
                <w:tcPr>
                  <w:tcW w:w="683" w:type="dxa"/>
                  <w:vMerge w:val="restart"/>
                  <w:tcBorders>
                    <w:tl2br w:val="nil"/>
                    <w:tr2bl w:val="nil"/>
                  </w:tcBorders>
                  <w:vAlign w:val="center"/>
                </w:tcPr>
                <w:p w14:paraId="1F2AC957">
                  <w:pPr>
                    <w:pStyle w:val="185"/>
                    <w:snapToGrid w:val="0"/>
                    <w:spacing w:line="240" w:lineRule="auto"/>
                    <w:rPr>
                      <w:rFonts w:ascii="Times New Roman" w:hAnsi="Times New Roman" w:eastAsia="宋体" w:cs="Times New Roman"/>
                      <w:color w:val="auto"/>
                      <w:kern w:val="2"/>
                      <w:sz w:val="21"/>
                      <w:szCs w:val="21"/>
                    </w:rPr>
                  </w:pPr>
                  <w:r>
                    <w:rPr>
                      <w:rFonts w:hint="eastAsia" w:ascii="Times New Roman" w:hAnsi="Times New Roman" w:eastAsia="宋体" w:cs="Times New Roman"/>
                      <w:color w:val="auto"/>
                      <w:sz w:val="21"/>
                      <w:szCs w:val="21"/>
                    </w:rPr>
                    <w:t>非甲烷总烃</w:t>
                  </w:r>
                </w:p>
              </w:tc>
              <w:tc>
                <w:tcPr>
                  <w:tcW w:w="467" w:type="dxa"/>
                  <w:vMerge w:val="restart"/>
                  <w:tcBorders>
                    <w:right w:val="single" w:color="auto" w:sz="4" w:space="0"/>
                    <w:tl2br w:val="nil"/>
                    <w:tr2bl w:val="nil"/>
                  </w:tcBorders>
                  <w:vAlign w:val="center"/>
                </w:tcPr>
                <w:p w14:paraId="477AC4C7">
                  <w:pPr>
                    <w:spacing w:line="240" w:lineRule="auto"/>
                    <w:jc w:val="center"/>
                    <w:rPr>
                      <w:color w:val="auto"/>
                      <w:szCs w:val="21"/>
                    </w:rPr>
                  </w:pPr>
                  <w:r>
                    <w:rPr>
                      <w:rFonts w:hint="eastAsia"/>
                      <w:color w:val="auto"/>
                      <w:szCs w:val="21"/>
                    </w:rPr>
                    <w:t>厂区内</w:t>
                  </w:r>
                </w:p>
              </w:tc>
              <w:tc>
                <w:tcPr>
                  <w:tcW w:w="3050" w:type="dxa"/>
                  <w:tcBorders>
                    <w:left w:val="single" w:color="auto" w:sz="4" w:space="0"/>
                    <w:tl2br w:val="nil"/>
                    <w:tr2bl w:val="nil"/>
                  </w:tcBorders>
                  <w:vAlign w:val="center"/>
                </w:tcPr>
                <w:p w14:paraId="4BDBECA5">
                  <w:pPr>
                    <w:spacing w:line="240" w:lineRule="auto"/>
                    <w:jc w:val="center"/>
                    <w:rPr>
                      <w:color w:val="auto"/>
                      <w:szCs w:val="21"/>
                    </w:rPr>
                  </w:pPr>
                  <w:r>
                    <w:rPr>
                      <w:color w:val="auto"/>
                      <w:szCs w:val="21"/>
                    </w:rPr>
                    <w:t>6</w:t>
                  </w:r>
                  <w:r>
                    <w:rPr>
                      <w:rFonts w:hint="eastAsia"/>
                      <w:color w:val="auto"/>
                      <w:szCs w:val="21"/>
                    </w:rPr>
                    <w:t>（</w:t>
                  </w:r>
                  <w:r>
                    <w:rPr>
                      <w:color w:val="auto"/>
                      <w:szCs w:val="21"/>
                    </w:rPr>
                    <w:t>监控点处1小时平均浓度值</w:t>
                  </w:r>
                  <w:r>
                    <w:rPr>
                      <w:rFonts w:hint="eastAsia"/>
                      <w:color w:val="auto"/>
                      <w:szCs w:val="21"/>
                    </w:rPr>
                    <w:t>）</w:t>
                  </w:r>
                </w:p>
              </w:tc>
              <w:tc>
                <w:tcPr>
                  <w:tcW w:w="4265" w:type="dxa"/>
                  <w:vMerge w:val="restart"/>
                  <w:tcBorders>
                    <w:tl2br w:val="nil"/>
                    <w:tr2bl w:val="nil"/>
                  </w:tcBorders>
                  <w:vAlign w:val="center"/>
                </w:tcPr>
                <w:p w14:paraId="4F12546D">
                  <w:pPr>
                    <w:spacing w:line="240" w:lineRule="auto"/>
                    <w:jc w:val="center"/>
                    <w:rPr>
                      <w:color w:val="auto"/>
                      <w:szCs w:val="21"/>
                    </w:rPr>
                  </w:pPr>
                  <w:r>
                    <w:rPr>
                      <w:bCs/>
                      <w:color w:val="auto"/>
                      <w:szCs w:val="21"/>
                    </w:rPr>
                    <w:t>广东省地方标准《固定污染源挥发性有机物综合排放标准》（DB44/2367-2022）表3厂区内VOCs无组织排放限值</w:t>
                  </w:r>
                </w:p>
              </w:tc>
            </w:tr>
            <w:tr w14:paraId="16DB5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23" w:type="dxa"/>
                  <w:vMerge w:val="continue"/>
                  <w:tcBorders>
                    <w:tl2br w:val="nil"/>
                    <w:tr2bl w:val="nil"/>
                  </w:tcBorders>
                  <w:vAlign w:val="center"/>
                </w:tcPr>
                <w:p w14:paraId="13617E21">
                  <w:pPr>
                    <w:spacing w:line="240" w:lineRule="auto"/>
                    <w:jc w:val="center"/>
                    <w:rPr>
                      <w:color w:val="auto"/>
                      <w:szCs w:val="21"/>
                    </w:rPr>
                  </w:pPr>
                </w:p>
              </w:tc>
              <w:tc>
                <w:tcPr>
                  <w:tcW w:w="683" w:type="dxa"/>
                  <w:vMerge w:val="continue"/>
                  <w:tcBorders>
                    <w:tl2br w:val="nil"/>
                    <w:tr2bl w:val="nil"/>
                  </w:tcBorders>
                  <w:vAlign w:val="center"/>
                </w:tcPr>
                <w:p w14:paraId="1E307715">
                  <w:pPr>
                    <w:spacing w:line="240" w:lineRule="auto"/>
                    <w:jc w:val="center"/>
                    <w:rPr>
                      <w:color w:val="auto"/>
                      <w:szCs w:val="21"/>
                    </w:rPr>
                  </w:pPr>
                </w:p>
              </w:tc>
              <w:tc>
                <w:tcPr>
                  <w:tcW w:w="467" w:type="dxa"/>
                  <w:vMerge w:val="continue"/>
                  <w:tcBorders>
                    <w:right w:val="single" w:color="auto" w:sz="4" w:space="0"/>
                    <w:tl2br w:val="nil"/>
                    <w:tr2bl w:val="nil"/>
                  </w:tcBorders>
                  <w:vAlign w:val="center"/>
                </w:tcPr>
                <w:p w14:paraId="445511DB">
                  <w:pPr>
                    <w:spacing w:line="240" w:lineRule="auto"/>
                    <w:jc w:val="center"/>
                    <w:rPr>
                      <w:color w:val="auto"/>
                      <w:szCs w:val="21"/>
                    </w:rPr>
                  </w:pPr>
                </w:p>
              </w:tc>
              <w:tc>
                <w:tcPr>
                  <w:tcW w:w="3050" w:type="dxa"/>
                  <w:tcBorders>
                    <w:top w:val="single" w:color="auto" w:sz="4" w:space="0"/>
                    <w:left w:val="single" w:color="auto" w:sz="4" w:space="0"/>
                    <w:bottom w:val="single" w:color="auto" w:sz="4" w:space="0"/>
                    <w:tl2br w:val="nil"/>
                    <w:tr2bl w:val="nil"/>
                  </w:tcBorders>
                  <w:vAlign w:val="center"/>
                </w:tcPr>
                <w:p w14:paraId="0E9AE55D">
                  <w:pPr>
                    <w:pStyle w:val="99"/>
                    <w:rPr>
                      <w:color w:val="auto"/>
                      <w:sz w:val="21"/>
                      <w:szCs w:val="21"/>
                    </w:rPr>
                  </w:pPr>
                  <w:r>
                    <w:rPr>
                      <w:rFonts w:hint="eastAsia"/>
                      <w:color w:val="auto"/>
                      <w:sz w:val="21"/>
                      <w:szCs w:val="21"/>
                    </w:rPr>
                    <w:t>20（</w:t>
                  </w:r>
                  <w:r>
                    <w:rPr>
                      <w:color w:val="auto"/>
                      <w:sz w:val="21"/>
                      <w:szCs w:val="21"/>
                    </w:rPr>
                    <w:t>监控点处任意一次浓度值</w:t>
                  </w:r>
                  <w:r>
                    <w:rPr>
                      <w:rFonts w:hint="eastAsia"/>
                      <w:color w:val="auto"/>
                      <w:sz w:val="21"/>
                      <w:szCs w:val="21"/>
                    </w:rPr>
                    <w:t>）</w:t>
                  </w:r>
                </w:p>
              </w:tc>
              <w:tc>
                <w:tcPr>
                  <w:tcW w:w="4265" w:type="dxa"/>
                  <w:vMerge w:val="continue"/>
                  <w:tcBorders>
                    <w:tl2br w:val="nil"/>
                    <w:tr2bl w:val="nil"/>
                  </w:tcBorders>
                  <w:vAlign w:val="center"/>
                </w:tcPr>
                <w:p w14:paraId="675DDC5A">
                  <w:pPr>
                    <w:spacing w:line="240" w:lineRule="auto"/>
                    <w:jc w:val="center"/>
                    <w:rPr>
                      <w:color w:val="auto"/>
                      <w:szCs w:val="21"/>
                    </w:rPr>
                  </w:pPr>
                </w:p>
              </w:tc>
            </w:tr>
            <w:tr w14:paraId="18034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23" w:type="dxa"/>
                  <w:vMerge w:val="continue"/>
                  <w:tcBorders>
                    <w:bottom w:val="single" w:color="auto" w:sz="4" w:space="0"/>
                    <w:tl2br w:val="nil"/>
                    <w:tr2bl w:val="nil"/>
                  </w:tcBorders>
                  <w:vAlign w:val="center"/>
                </w:tcPr>
                <w:p w14:paraId="76E758AB">
                  <w:pPr>
                    <w:spacing w:line="240" w:lineRule="auto"/>
                    <w:jc w:val="center"/>
                    <w:rPr>
                      <w:color w:val="auto"/>
                      <w:szCs w:val="21"/>
                    </w:rPr>
                  </w:pPr>
                </w:p>
              </w:tc>
              <w:tc>
                <w:tcPr>
                  <w:tcW w:w="683" w:type="dxa"/>
                  <w:tcBorders>
                    <w:top w:val="single" w:color="auto" w:sz="4" w:space="0"/>
                    <w:bottom w:val="single" w:color="auto" w:sz="4" w:space="0"/>
                    <w:tl2br w:val="nil"/>
                    <w:tr2bl w:val="nil"/>
                  </w:tcBorders>
                  <w:vAlign w:val="center"/>
                </w:tcPr>
                <w:p w14:paraId="24418ECF">
                  <w:pPr>
                    <w:pStyle w:val="185"/>
                    <w:snapToGrid w:val="0"/>
                    <w:spacing w:line="240" w:lineRule="auto"/>
                    <w:rPr>
                      <w:rFonts w:ascii="Times New Roman" w:hAnsi="Times New Roman" w:eastAsia="宋体" w:cs="Times New Roman"/>
                      <w:color w:val="auto"/>
                      <w:kern w:val="2"/>
                      <w:sz w:val="21"/>
                      <w:szCs w:val="21"/>
                    </w:rPr>
                  </w:pPr>
                  <w:r>
                    <w:rPr>
                      <w:rFonts w:ascii="Times New Roman" w:hAnsi="Times New Roman" w:eastAsia="宋体" w:cs="Times New Roman"/>
                      <w:color w:val="auto"/>
                      <w:sz w:val="21"/>
                      <w:szCs w:val="21"/>
                    </w:rPr>
                    <w:t>臭气浓度</w:t>
                  </w:r>
                </w:p>
              </w:tc>
              <w:tc>
                <w:tcPr>
                  <w:tcW w:w="3517" w:type="dxa"/>
                  <w:gridSpan w:val="2"/>
                  <w:tcBorders>
                    <w:top w:val="single" w:color="auto" w:sz="4" w:space="0"/>
                    <w:bottom w:val="single" w:color="auto" w:sz="4" w:space="0"/>
                    <w:tl2br w:val="nil"/>
                    <w:tr2bl w:val="nil"/>
                  </w:tcBorders>
                  <w:vAlign w:val="center"/>
                </w:tcPr>
                <w:p w14:paraId="02106A41">
                  <w:pPr>
                    <w:pStyle w:val="185"/>
                    <w:spacing w:line="240" w:lineRule="auto"/>
                    <w:rPr>
                      <w:rFonts w:hint="eastAsia" w:ascii="Times New Roman" w:hAnsi="Times New Roman" w:eastAsia="宋体" w:cs="Times New Roman"/>
                      <w:color w:val="auto"/>
                      <w:kern w:val="11"/>
                      <w:sz w:val="21"/>
                      <w:szCs w:val="21"/>
                    </w:rPr>
                  </w:pPr>
                  <w:r>
                    <w:rPr>
                      <w:rFonts w:ascii="Times New Roman" w:hAnsi="Times New Roman" w:eastAsia="宋体" w:cs="Times New Roman"/>
                      <w:color w:val="auto"/>
                      <w:sz w:val="21"/>
                      <w:szCs w:val="21"/>
                    </w:rPr>
                    <w:t>≤20</w:t>
                  </w:r>
                  <w:r>
                    <w:rPr>
                      <w:rFonts w:hint="eastAsia" w:ascii="Times New Roman" w:hAnsi="Times New Roman" w:eastAsia="宋体" w:cs="Times New Roman"/>
                      <w:color w:val="auto"/>
                      <w:sz w:val="21"/>
                      <w:szCs w:val="21"/>
                    </w:rPr>
                    <w:t>（</w:t>
                  </w:r>
                  <w:r>
                    <w:rPr>
                      <w:rFonts w:ascii="Times New Roman" w:hAnsi="Times New Roman" w:eastAsia="宋体" w:cs="Times New Roman"/>
                      <w:color w:val="auto"/>
                      <w:sz w:val="21"/>
                      <w:szCs w:val="21"/>
                    </w:rPr>
                    <w:t>无纲量</w:t>
                  </w:r>
                  <w:r>
                    <w:rPr>
                      <w:rFonts w:hint="eastAsia" w:ascii="Times New Roman" w:hAnsi="Times New Roman" w:eastAsia="宋体" w:cs="Times New Roman"/>
                      <w:color w:val="auto"/>
                      <w:sz w:val="21"/>
                      <w:szCs w:val="21"/>
                    </w:rPr>
                    <w:t>）</w:t>
                  </w:r>
                </w:p>
              </w:tc>
              <w:tc>
                <w:tcPr>
                  <w:tcW w:w="4265" w:type="dxa"/>
                  <w:tcBorders>
                    <w:top w:val="single" w:color="auto" w:sz="4" w:space="0"/>
                    <w:bottom w:val="single" w:color="auto" w:sz="4" w:space="0"/>
                    <w:tl2br w:val="nil"/>
                    <w:tr2bl w:val="nil"/>
                  </w:tcBorders>
                  <w:vAlign w:val="center"/>
                </w:tcPr>
                <w:p w14:paraId="4AC8E4ED">
                  <w:pPr>
                    <w:spacing w:line="240" w:lineRule="auto"/>
                    <w:jc w:val="center"/>
                    <w:rPr>
                      <w:color w:val="auto"/>
                      <w:szCs w:val="21"/>
                    </w:rPr>
                  </w:pPr>
                  <w:r>
                    <w:rPr>
                      <w:color w:val="auto"/>
                      <w:szCs w:val="21"/>
                    </w:rPr>
                    <w:t>《恶臭污染物排放标准》（GB14554-93）表1恶臭污染物厂界标准值中二级新改扩建标准</w:t>
                  </w:r>
                </w:p>
              </w:tc>
            </w:tr>
          </w:tbl>
          <w:p w14:paraId="50404E99">
            <w:pPr>
              <w:spacing w:line="360" w:lineRule="auto"/>
              <w:ind w:firstLine="482" w:firstLineChars="200"/>
              <w:rPr>
                <w:b/>
                <w:bCs/>
                <w:color w:val="auto"/>
                <w:sz w:val="24"/>
              </w:rPr>
            </w:pPr>
            <w:r>
              <w:rPr>
                <w:b/>
                <w:bCs/>
                <w:color w:val="auto"/>
                <w:sz w:val="24"/>
              </w:rPr>
              <w:t>2、水污染物排放标准</w:t>
            </w:r>
          </w:p>
          <w:p w14:paraId="4E143506">
            <w:pPr>
              <w:spacing w:line="360" w:lineRule="auto"/>
              <w:ind w:firstLine="480" w:firstLineChars="200"/>
              <w:rPr>
                <w:bCs/>
                <w:color w:val="auto"/>
                <w:sz w:val="24"/>
              </w:rPr>
            </w:pPr>
            <w:r>
              <w:rPr>
                <w:rFonts w:hint="eastAsia"/>
                <w:bCs/>
                <w:color w:val="auto"/>
                <w:sz w:val="24"/>
              </w:rPr>
              <w:t>本</w:t>
            </w:r>
            <w:r>
              <w:rPr>
                <w:rFonts w:hint="eastAsia"/>
                <w:bCs/>
                <w:color w:val="auto"/>
                <w:sz w:val="24"/>
                <w:lang w:eastAsia="zh-CN"/>
              </w:rPr>
              <w:t>改建</w:t>
            </w:r>
            <w:r>
              <w:rPr>
                <w:rFonts w:hint="eastAsia"/>
                <w:bCs/>
                <w:color w:val="auto"/>
                <w:sz w:val="24"/>
              </w:rPr>
              <w:t>项目生产废水依托现有自建综合废水处</w:t>
            </w:r>
            <w:r>
              <w:rPr>
                <w:rFonts w:hint="eastAsia" w:ascii="Times New Roman" w:hAnsi="Times New Roman" w:eastAsia="宋体" w:cs="Times New Roman"/>
                <w:bCs/>
                <w:color w:val="auto"/>
                <w:sz w:val="24"/>
              </w:rPr>
              <w:t>理站处理达到广东省地方标准《水污染物排放限</w:t>
            </w:r>
            <w:r>
              <w:rPr>
                <w:rFonts w:hint="eastAsia"/>
                <w:bCs/>
                <w:color w:val="auto"/>
                <w:sz w:val="24"/>
              </w:rPr>
              <w:t>值》（DB44/27-2001）第二时段一级排放限值</w:t>
            </w:r>
            <w:r>
              <w:rPr>
                <w:rFonts w:hint="eastAsia"/>
                <w:bCs/>
                <w:color w:val="auto"/>
                <w:sz w:val="24"/>
                <w:lang w:val="en-US" w:eastAsia="zh-CN"/>
              </w:rPr>
              <w:t>和</w:t>
            </w:r>
            <w:r>
              <w:rPr>
                <w:rFonts w:hint="eastAsia" w:ascii="Times New Roman" w:hAnsi="Times New Roman" w:eastAsia="宋体" w:cs="Times New Roman"/>
                <w:bCs/>
                <w:color w:val="auto"/>
                <w:sz w:val="24"/>
                <w:lang w:val="en-US" w:eastAsia="zh-CN"/>
              </w:rPr>
              <w:t>广东省地方标准《电镀水污染物排放标准》（DB/441597-2015）表2新建项目非珠三角水污染物排放限值（其中化学需氧量、悬浮物、氨氮、总磷、总氮、总铝等六项指标按照表</w:t>
            </w:r>
            <w:r>
              <w:rPr>
                <w:rFonts w:hint="default" w:ascii="Times New Roman" w:hAnsi="Times New Roman" w:eastAsia="宋体" w:cs="Times New Roman"/>
                <w:bCs/>
                <w:color w:val="auto"/>
                <w:sz w:val="24"/>
                <w:lang w:val="en-US" w:eastAsia="zh-CN"/>
              </w:rPr>
              <w:t>1</w:t>
            </w:r>
            <w:r>
              <w:rPr>
                <w:rFonts w:hint="eastAsia" w:ascii="Times New Roman" w:hAnsi="Times New Roman" w:eastAsia="宋体" w:cs="Times New Roman"/>
                <w:bCs/>
                <w:color w:val="auto"/>
                <w:sz w:val="24"/>
                <w:lang w:val="en-US" w:eastAsia="zh-CN"/>
              </w:rPr>
              <w:t>非珠三角排放限值的</w:t>
            </w:r>
            <w:r>
              <w:rPr>
                <w:rFonts w:hint="default" w:ascii="Times New Roman" w:hAnsi="Times New Roman" w:eastAsia="宋体" w:cs="Times New Roman"/>
                <w:bCs/>
                <w:color w:val="auto"/>
                <w:sz w:val="24"/>
                <w:lang w:val="en-US" w:eastAsia="zh-CN"/>
              </w:rPr>
              <w:t>200%</w:t>
            </w:r>
            <w:r>
              <w:rPr>
                <w:rFonts w:hint="eastAsia" w:ascii="Times New Roman" w:hAnsi="Times New Roman" w:eastAsia="宋体" w:cs="Times New Roman"/>
                <w:bCs/>
                <w:color w:val="auto"/>
                <w:sz w:val="24"/>
                <w:lang w:val="en-US" w:eastAsia="zh-CN"/>
              </w:rPr>
              <w:t>执行）</w:t>
            </w:r>
            <w:r>
              <w:rPr>
                <w:rFonts w:hint="eastAsia"/>
                <w:bCs/>
                <w:color w:val="auto"/>
                <w:sz w:val="24"/>
              </w:rPr>
              <w:t>的较严者，</w:t>
            </w:r>
            <w:r>
              <w:rPr>
                <w:rFonts w:hint="eastAsia"/>
                <w:bCs/>
                <w:color w:val="auto"/>
                <w:sz w:val="24"/>
                <w:lang w:val="en-US" w:eastAsia="zh-CN"/>
              </w:rPr>
              <w:t>同时</w:t>
            </w:r>
            <w:r>
              <w:rPr>
                <w:rFonts w:hint="eastAsia"/>
                <w:bCs/>
                <w:color w:val="auto"/>
                <w:sz w:val="24"/>
              </w:rPr>
              <w:t>满足《城市污水再生利用 工业用水水质》(GB/T19923-2024)中“工艺与产品用水”和《城市污水再生利用 城市杂用水水质》(GB/T18920-2020)中“城市绿化”的较严者，分别回用于</w:t>
            </w:r>
            <w:r>
              <w:rPr>
                <w:rFonts w:hint="eastAsia"/>
                <w:bCs/>
                <w:color w:val="auto"/>
                <w:sz w:val="24"/>
                <w:lang w:val="en-US" w:eastAsia="zh-CN"/>
              </w:rPr>
              <w:t>阳极氧化线</w:t>
            </w:r>
            <w:r>
              <w:rPr>
                <w:rFonts w:hint="eastAsia"/>
                <w:bCs/>
                <w:color w:val="auto"/>
                <w:sz w:val="24"/>
              </w:rPr>
              <w:t>（回用环节：脱脂、碱蚀、酸蚀处理洗水过程、纯水制备系统）</w:t>
            </w:r>
            <w:r>
              <w:rPr>
                <w:rFonts w:hint="eastAsia"/>
                <w:bCs/>
                <w:color w:val="auto"/>
                <w:sz w:val="24"/>
                <w:lang w:val="en-US" w:eastAsia="zh-CN"/>
              </w:rPr>
              <w:t>和绿化用水</w:t>
            </w:r>
            <w:r>
              <w:rPr>
                <w:bCs/>
                <w:color w:val="auto"/>
                <w:sz w:val="24"/>
              </w:rPr>
              <w:t>。</w:t>
            </w:r>
          </w:p>
          <w:p w14:paraId="462F1171">
            <w:pPr>
              <w:pStyle w:val="92"/>
              <w:spacing w:line="240" w:lineRule="auto"/>
              <w:ind w:firstLine="365"/>
              <w:jc w:val="center"/>
              <w:rPr>
                <w:rFonts w:eastAsia="宋体"/>
                <w:b/>
                <w:bCs/>
                <w:color w:val="auto"/>
                <w:sz w:val="21"/>
                <w:szCs w:val="21"/>
              </w:rPr>
            </w:pPr>
            <w:r>
              <w:rPr>
                <w:rFonts w:eastAsia="宋体"/>
                <w:b/>
                <w:bCs/>
                <w:color w:val="auto"/>
                <w:sz w:val="21"/>
                <w:szCs w:val="21"/>
              </w:rPr>
              <w:t>表3</w:t>
            </w:r>
            <w:r>
              <w:rPr>
                <w:b/>
                <w:bCs/>
                <w:color w:val="auto"/>
                <w:sz w:val="21"/>
                <w:szCs w:val="21"/>
              </w:rPr>
              <w:t>-</w:t>
            </w:r>
            <w:r>
              <w:rPr>
                <w:rFonts w:hint="eastAsia" w:eastAsia="宋体"/>
                <w:b/>
                <w:bCs/>
                <w:color w:val="auto"/>
                <w:sz w:val="21"/>
                <w:szCs w:val="21"/>
              </w:rPr>
              <w:t xml:space="preserve">9 </w:t>
            </w:r>
            <w:r>
              <w:rPr>
                <w:rFonts w:eastAsia="宋体"/>
                <w:b/>
                <w:bCs/>
                <w:color w:val="auto"/>
                <w:sz w:val="21"/>
                <w:szCs w:val="21"/>
              </w:rPr>
              <w:t>生产废水水质</w:t>
            </w:r>
            <w:r>
              <w:rPr>
                <w:rFonts w:hint="eastAsia" w:eastAsia="宋体"/>
                <w:b/>
                <w:bCs/>
                <w:color w:val="auto"/>
                <w:sz w:val="21"/>
                <w:szCs w:val="21"/>
              </w:rPr>
              <w:t>回用</w:t>
            </w:r>
            <w:r>
              <w:rPr>
                <w:rFonts w:eastAsia="宋体"/>
                <w:b/>
                <w:bCs/>
                <w:color w:val="auto"/>
                <w:sz w:val="21"/>
                <w:szCs w:val="21"/>
              </w:rPr>
              <w:t>执行标准</w:t>
            </w:r>
          </w:p>
          <w:tbl>
            <w:tblPr>
              <w:tblStyle w:val="42"/>
              <w:tblW w:w="9128"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3233"/>
              <w:gridCol w:w="812"/>
              <w:gridCol w:w="883"/>
              <w:gridCol w:w="900"/>
              <w:gridCol w:w="867"/>
              <w:gridCol w:w="783"/>
              <w:gridCol w:w="717"/>
              <w:gridCol w:w="933"/>
            </w:tblGrid>
            <w:tr w14:paraId="42B06F3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233" w:type="dxa"/>
                  <w:tcBorders>
                    <w:tl2br w:val="nil"/>
                    <w:tr2bl w:val="nil"/>
                  </w:tcBorders>
                  <w:vAlign w:val="center"/>
                </w:tcPr>
                <w:p w14:paraId="16BCF7EA">
                  <w:pPr>
                    <w:pStyle w:val="84"/>
                    <w:rPr>
                      <w:rFonts w:eastAsia="Times New Roman"/>
                      <w:b/>
                      <w:color w:val="auto"/>
                      <w:sz w:val="21"/>
                      <w:szCs w:val="21"/>
                    </w:rPr>
                  </w:pPr>
                  <w:r>
                    <w:rPr>
                      <w:b/>
                      <w:color w:val="auto"/>
                      <w:sz w:val="21"/>
                      <w:szCs w:val="21"/>
                    </w:rPr>
                    <w:t>污染物</w:t>
                  </w:r>
                </w:p>
              </w:tc>
              <w:tc>
                <w:tcPr>
                  <w:tcW w:w="812" w:type="dxa"/>
                  <w:tcBorders>
                    <w:tl2br w:val="nil"/>
                    <w:tr2bl w:val="nil"/>
                  </w:tcBorders>
                  <w:vAlign w:val="center"/>
                </w:tcPr>
                <w:p w14:paraId="6A7F9A02">
                  <w:pPr>
                    <w:pStyle w:val="84"/>
                    <w:rPr>
                      <w:rFonts w:eastAsia="Times New Roman"/>
                      <w:b/>
                      <w:color w:val="auto"/>
                      <w:sz w:val="21"/>
                      <w:szCs w:val="21"/>
                    </w:rPr>
                  </w:pPr>
                  <w:r>
                    <w:rPr>
                      <w:rFonts w:eastAsia="Times New Roman"/>
                      <w:b/>
                      <w:color w:val="auto"/>
                      <w:sz w:val="21"/>
                      <w:szCs w:val="21"/>
                    </w:rPr>
                    <w:t>pH</w:t>
                  </w:r>
                </w:p>
              </w:tc>
              <w:tc>
                <w:tcPr>
                  <w:tcW w:w="883" w:type="dxa"/>
                  <w:tcBorders>
                    <w:tl2br w:val="nil"/>
                    <w:tr2bl w:val="nil"/>
                  </w:tcBorders>
                  <w:vAlign w:val="center"/>
                </w:tcPr>
                <w:p w14:paraId="3C441BF0">
                  <w:pPr>
                    <w:pStyle w:val="84"/>
                    <w:rPr>
                      <w:rFonts w:eastAsia="Times New Roman"/>
                      <w:b/>
                      <w:color w:val="auto"/>
                      <w:sz w:val="21"/>
                      <w:szCs w:val="21"/>
                    </w:rPr>
                  </w:pPr>
                  <w:r>
                    <w:rPr>
                      <w:rFonts w:eastAsia="Times New Roman"/>
                      <w:b/>
                      <w:color w:val="auto"/>
                      <w:sz w:val="21"/>
                      <w:szCs w:val="21"/>
                    </w:rPr>
                    <w:t>COD</w:t>
                  </w:r>
                </w:p>
              </w:tc>
              <w:tc>
                <w:tcPr>
                  <w:tcW w:w="900" w:type="dxa"/>
                  <w:tcBorders>
                    <w:tl2br w:val="nil"/>
                    <w:tr2bl w:val="nil"/>
                  </w:tcBorders>
                  <w:vAlign w:val="center"/>
                </w:tcPr>
                <w:p w14:paraId="1BF09E88">
                  <w:pPr>
                    <w:pStyle w:val="84"/>
                    <w:rPr>
                      <w:rFonts w:eastAsia="Times New Roman"/>
                      <w:b/>
                      <w:color w:val="auto"/>
                      <w:sz w:val="21"/>
                      <w:szCs w:val="21"/>
                    </w:rPr>
                  </w:pPr>
                  <w:r>
                    <w:rPr>
                      <w:rFonts w:eastAsia="Times New Roman"/>
                      <w:b/>
                      <w:color w:val="auto"/>
                      <w:sz w:val="21"/>
                      <w:szCs w:val="21"/>
                    </w:rPr>
                    <w:t>BOD</w:t>
                  </w:r>
                  <w:r>
                    <w:rPr>
                      <w:rFonts w:eastAsia="Times New Roman"/>
                      <w:b/>
                      <w:color w:val="auto"/>
                      <w:sz w:val="21"/>
                      <w:szCs w:val="21"/>
                      <w:vertAlign w:val="subscript"/>
                    </w:rPr>
                    <w:t>5</w:t>
                  </w:r>
                </w:p>
              </w:tc>
              <w:tc>
                <w:tcPr>
                  <w:tcW w:w="867" w:type="dxa"/>
                  <w:tcBorders>
                    <w:tl2br w:val="nil"/>
                    <w:tr2bl w:val="nil"/>
                  </w:tcBorders>
                  <w:vAlign w:val="center"/>
                </w:tcPr>
                <w:p w14:paraId="78FE80CC">
                  <w:pPr>
                    <w:pStyle w:val="84"/>
                    <w:rPr>
                      <w:rFonts w:eastAsia="Times New Roman"/>
                      <w:b/>
                      <w:color w:val="auto"/>
                      <w:sz w:val="21"/>
                      <w:szCs w:val="21"/>
                    </w:rPr>
                  </w:pPr>
                  <w:r>
                    <w:rPr>
                      <w:rFonts w:eastAsia="Times New Roman"/>
                      <w:b/>
                      <w:color w:val="auto"/>
                      <w:sz w:val="21"/>
                      <w:szCs w:val="21"/>
                    </w:rPr>
                    <w:t>SS</w:t>
                  </w:r>
                </w:p>
              </w:tc>
              <w:tc>
                <w:tcPr>
                  <w:tcW w:w="783" w:type="dxa"/>
                  <w:tcBorders>
                    <w:tl2br w:val="nil"/>
                    <w:tr2bl w:val="nil"/>
                  </w:tcBorders>
                  <w:vAlign w:val="center"/>
                </w:tcPr>
                <w:p w14:paraId="56A0178E">
                  <w:pPr>
                    <w:pStyle w:val="84"/>
                    <w:rPr>
                      <w:b/>
                      <w:color w:val="auto"/>
                      <w:sz w:val="21"/>
                      <w:szCs w:val="21"/>
                    </w:rPr>
                  </w:pPr>
                  <w:r>
                    <w:rPr>
                      <w:b/>
                      <w:color w:val="auto"/>
                      <w:sz w:val="21"/>
                      <w:szCs w:val="21"/>
                    </w:rPr>
                    <w:t>氨氮</w:t>
                  </w:r>
                </w:p>
              </w:tc>
              <w:tc>
                <w:tcPr>
                  <w:tcW w:w="717" w:type="dxa"/>
                  <w:tcBorders>
                    <w:tl2br w:val="nil"/>
                    <w:tr2bl w:val="nil"/>
                  </w:tcBorders>
                  <w:vAlign w:val="center"/>
                </w:tcPr>
                <w:p w14:paraId="56B48FC1">
                  <w:pPr>
                    <w:pStyle w:val="84"/>
                    <w:rPr>
                      <w:rFonts w:hint="eastAsia"/>
                      <w:b/>
                      <w:color w:val="auto"/>
                      <w:sz w:val="21"/>
                      <w:szCs w:val="21"/>
                    </w:rPr>
                  </w:pPr>
                  <w:r>
                    <w:rPr>
                      <w:rFonts w:hint="eastAsia"/>
                      <w:b/>
                      <w:color w:val="auto"/>
                      <w:sz w:val="21"/>
                      <w:szCs w:val="21"/>
                    </w:rPr>
                    <w:t>总磷</w:t>
                  </w:r>
                </w:p>
              </w:tc>
              <w:tc>
                <w:tcPr>
                  <w:tcW w:w="933" w:type="dxa"/>
                  <w:tcBorders>
                    <w:tl2br w:val="nil"/>
                    <w:tr2bl w:val="nil"/>
                  </w:tcBorders>
                  <w:vAlign w:val="center"/>
                </w:tcPr>
                <w:p w14:paraId="67FBD1E7">
                  <w:pPr>
                    <w:pStyle w:val="84"/>
                    <w:rPr>
                      <w:rFonts w:eastAsia="Times New Roman"/>
                      <w:b/>
                      <w:color w:val="auto"/>
                      <w:sz w:val="21"/>
                      <w:szCs w:val="21"/>
                    </w:rPr>
                  </w:pPr>
                  <w:r>
                    <w:rPr>
                      <w:b/>
                      <w:color w:val="auto"/>
                      <w:sz w:val="21"/>
                      <w:szCs w:val="21"/>
                    </w:rPr>
                    <w:t>石油类</w:t>
                  </w:r>
                </w:p>
              </w:tc>
            </w:tr>
            <w:tr w14:paraId="1C62F3D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233" w:type="dxa"/>
                  <w:tcBorders>
                    <w:tl2br w:val="nil"/>
                    <w:tr2bl w:val="nil"/>
                  </w:tcBorders>
                  <w:vAlign w:val="center"/>
                </w:tcPr>
                <w:p w14:paraId="05A8A60C">
                  <w:pPr>
                    <w:pStyle w:val="84"/>
                    <w:ind w:firstLine="46"/>
                    <w:rPr>
                      <w:rFonts w:hint="eastAsia" w:ascii="宋体" w:hAnsi="宋体" w:cs="宋体"/>
                      <w:color w:val="auto"/>
                      <w:sz w:val="21"/>
                      <w:szCs w:val="21"/>
                    </w:rPr>
                  </w:pPr>
                  <w:r>
                    <w:rPr>
                      <w:rFonts w:hint="eastAsia"/>
                      <w:bCs/>
                      <w:color w:val="auto"/>
                      <w:sz w:val="21"/>
                      <w:szCs w:val="21"/>
                    </w:rPr>
                    <w:t>(GB/T19923-2024)中“工艺与产品用水”</w:t>
                  </w:r>
                </w:p>
              </w:tc>
              <w:tc>
                <w:tcPr>
                  <w:tcW w:w="812" w:type="dxa"/>
                  <w:tcBorders>
                    <w:tl2br w:val="nil"/>
                    <w:tr2bl w:val="nil"/>
                  </w:tcBorders>
                  <w:vAlign w:val="center"/>
                </w:tcPr>
                <w:p w14:paraId="31F6CBE3">
                  <w:pPr>
                    <w:pStyle w:val="84"/>
                    <w:rPr>
                      <w:color w:val="auto"/>
                      <w:sz w:val="21"/>
                      <w:szCs w:val="21"/>
                    </w:rPr>
                  </w:pPr>
                  <w:r>
                    <w:rPr>
                      <w:rFonts w:hint="eastAsia"/>
                      <w:color w:val="auto"/>
                      <w:sz w:val="21"/>
                      <w:szCs w:val="21"/>
                    </w:rPr>
                    <w:t>6~9</w:t>
                  </w:r>
                </w:p>
              </w:tc>
              <w:tc>
                <w:tcPr>
                  <w:tcW w:w="883" w:type="dxa"/>
                  <w:tcBorders>
                    <w:tl2br w:val="nil"/>
                    <w:tr2bl w:val="nil"/>
                  </w:tcBorders>
                  <w:vAlign w:val="center"/>
                </w:tcPr>
                <w:p w14:paraId="63F89FC6">
                  <w:pPr>
                    <w:jc w:val="center"/>
                    <w:rPr>
                      <w:rFonts w:hint="eastAsia"/>
                      <w:color w:val="auto"/>
                      <w:sz w:val="21"/>
                      <w:szCs w:val="21"/>
                    </w:rPr>
                  </w:pPr>
                  <w:r>
                    <w:rPr>
                      <w:color w:val="auto"/>
                      <w:sz w:val="21"/>
                      <w:szCs w:val="21"/>
                    </w:rPr>
                    <w:t>≤</w:t>
                  </w:r>
                  <w:r>
                    <w:rPr>
                      <w:rFonts w:hint="eastAsia"/>
                      <w:color w:val="auto"/>
                      <w:sz w:val="21"/>
                      <w:szCs w:val="21"/>
                    </w:rPr>
                    <w:t>50</w:t>
                  </w:r>
                </w:p>
              </w:tc>
              <w:tc>
                <w:tcPr>
                  <w:tcW w:w="900" w:type="dxa"/>
                  <w:tcBorders>
                    <w:tl2br w:val="nil"/>
                    <w:tr2bl w:val="nil"/>
                  </w:tcBorders>
                  <w:vAlign w:val="center"/>
                </w:tcPr>
                <w:p w14:paraId="541666BD">
                  <w:pPr>
                    <w:jc w:val="center"/>
                    <w:rPr>
                      <w:color w:val="auto"/>
                      <w:sz w:val="21"/>
                      <w:szCs w:val="21"/>
                    </w:rPr>
                  </w:pPr>
                  <w:r>
                    <w:rPr>
                      <w:color w:val="auto"/>
                      <w:sz w:val="21"/>
                      <w:szCs w:val="21"/>
                    </w:rPr>
                    <w:t>≤</w:t>
                  </w:r>
                  <w:r>
                    <w:rPr>
                      <w:rFonts w:hint="eastAsia"/>
                      <w:color w:val="auto"/>
                      <w:sz w:val="21"/>
                      <w:szCs w:val="21"/>
                    </w:rPr>
                    <w:t>10</w:t>
                  </w:r>
                </w:p>
              </w:tc>
              <w:tc>
                <w:tcPr>
                  <w:tcW w:w="867" w:type="dxa"/>
                  <w:tcBorders>
                    <w:tl2br w:val="nil"/>
                    <w:tr2bl w:val="nil"/>
                  </w:tcBorders>
                  <w:vAlign w:val="center"/>
                </w:tcPr>
                <w:p w14:paraId="7A704B81">
                  <w:pPr>
                    <w:jc w:val="center"/>
                    <w:rPr>
                      <w:color w:val="auto"/>
                      <w:sz w:val="21"/>
                      <w:szCs w:val="21"/>
                    </w:rPr>
                  </w:pPr>
                  <w:r>
                    <w:rPr>
                      <w:color w:val="auto"/>
                      <w:sz w:val="21"/>
                      <w:szCs w:val="21"/>
                    </w:rPr>
                    <w:t>≤</w:t>
                  </w:r>
                  <w:r>
                    <w:rPr>
                      <w:rFonts w:hint="eastAsia"/>
                      <w:color w:val="auto"/>
                      <w:sz w:val="21"/>
                      <w:szCs w:val="21"/>
                    </w:rPr>
                    <w:t>60</w:t>
                  </w:r>
                </w:p>
              </w:tc>
              <w:tc>
                <w:tcPr>
                  <w:tcW w:w="783" w:type="dxa"/>
                  <w:tcBorders>
                    <w:tl2br w:val="nil"/>
                    <w:tr2bl w:val="nil"/>
                  </w:tcBorders>
                  <w:vAlign w:val="center"/>
                </w:tcPr>
                <w:p w14:paraId="410D94D1">
                  <w:pPr>
                    <w:jc w:val="center"/>
                    <w:rPr>
                      <w:rFonts w:hint="eastAsia"/>
                      <w:color w:val="auto"/>
                      <w:sz w:val="21"/>
                      <w:szCs w:val="21"/>
                    </w:rPr>
                  </w:pPr>
                  <w:r>
                    <w:rPr>
                      <w:color w:val="auto"/>
                      <w:sz w:val="21"/>
                      <w:szCs w:val="21"/>
                    </w:rPr>
                    <w:t>≤</w:t>
                  </w:r>
                  <w:r>
                    <w:rPr>
                      <w:rFonts w:hint="eastAsia"/>
                      <w:color w:val="auto"/>
                      <w:sz w:val="21"/>
                      <w:szCs w:val="21"/>
                    </w:rPr>
                    <w:t>5</w:t>
                  </w:r>
                </w:p>
              </w:tc>
              <w:tc>
                <w:tcPr>
                  <w:tcW w:w="717" w:type="dxa"/>
                  <w:tcBorders>
                    <w:tl2br w:val="nil"/>
                    <w:tr2bl w:val="nil"/>
                  </w:tcBorders>
                  <w:vAlign w:val="center"/>
                </w:tcPr>
                <w:p w14:paraId="4112E0A1">
                  <w:pPr>
                    <w:jc w:val="center"/>
                    <w:rPr>
                      <w:rFonts w:hint="eastAsia"/>
                      <w:color w:val="auto"/>
                      <w:sz w:val="21"/>
                      <w:szCs w:val="21"/>
                    </w:rPr>
                  </w:pPr>
                  <w:r>
                    <w:rPr>
                      <w:color w:val="auto"/>
                      <w:sz w:val="21"/>
                      <w:szCs w:val="21"/>
                    </w:rPr>
                    <w:t>≤</w:t>
                  </w:r>
                  <w:r>
                    <w:rPr>
                      <w:rFonts w:hint="eastAsia"/>
                      <w:color w:val="auto"/>
                      <w:sz w:val="21"/>
                      <w:szCs w:val="21"/>
                    </w:rPr>
                    <w:t>0.5</w:t>
                  </w:r>
                </w:p>
              </w:tc>
              <w:tc>
                <w:tcPr>
                  <w:tcW w:w="933" w:type="dxa"/>
                  <w:tcBorders>
                    <w:tl2br w:val="nil"/>
                    <w:tr2bl w:val="nil"/>
                  </w:tcBorders>
                  <w:vAlign w:val="center"/>
                </w:tcPr>
                <w:p w14:paraId="0C405E01">
                  <w:pPr>
                    <w:jc w:val="center"/>
                    <w:rPr>
                      <w:rFonts w:hint="eastAsia"/>
                      <w:color w:val="auto"/>
                      <w:sz w:val="21"/>
                      <w:szCs w:val="21"/>
                    </w:rPr>
                  </w:pPr>
                  <w:r>
                    <w:rPr>
                      <w:color w:val="auto"/>
                      <w:sz w:val="21"/>
                      <w:szCs w:val="21"/>
                    </w:rPr>
                    <w:t>≤</w:t>
                  </w:r>
                  <w:r>
                    <w:rPr>
                      <w:rFonts w:hint="eastAsia"/>
                      <w:color w:val="auto"/>
                      <w:sz w:val="21"/>
                      <w:szCs w:val="21"/>
                    </w:rPr>
                    <w:t>1.0</w:t>
                  </w:r>
                </w:p>
              </w:tc>
            </w:tr>
            <w:tr w14:paraId="277A1C9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233" w:type="dxa"/>
                  <w:tcBorders>
                    <w:tl2br w:val="nil"/>
                    <w:tr2bl w:val="nil"/>
                  </w:tcBorders>
                  <w:vAlign w:val="center"/>
                </w:tcPr>
                <w:p w14:paraId="1B31C179">
                  <w:pPr>
                    <w:pStyle w:val="84"/>
                    <w:ind w:firstLine="46"/>
                    <w:rPr>
                      <w:rFonts w:hint="eastAsia"/>
                      <w:color w:val="auto"/>
                      <w:sz w:val="21"/>
                      <w:szCs w:val="21"/>
                    </w:rPr>
                  </w:pPr>
                  <w:r>
                    <w:rPr>
                      <w:rFonts w:hint="eastAsia"/>
                      <w:bCs/>
                      <w:color w:val="auto"/>
                      <w:sz w:val="21"/>
                      <w:szCs w:val="21"/>
                    </w:rPr>
                    <w:t>(GB/T18920-2020)中“城市绿化”</w:t>
                  </w:r>
                </w:p>
              </w:tc>
              <w:tc>
                <w:tcPr>
                  <w:tcW w:w="812" w:type="dxa"/>
                  <w:tcBorders>
                    <w:tl2br w:val="nil"/>
                    <w:tr2bl w:val="nil"/>
                  </w:tcBorders>
                  <w:vAlign w:val="center"/>
                </w:tcPr>
                <w:p w14:paraId="5ED7F92D">
                  <w:pPr>
                    <w:pStyle w:val="84"/>
                    <w:rPr>
                      <w:color w:val="auto"/>
                      <w:sz w:val="21"/>
                      <w:szCs w:val="21"/>
                    </w:rPr>
                  </w:pPr>
                  <w:r>
                    <w:rPr>
                      <w:rFonts w:hint="eastAsia"/>
                      <w:color w:val="auto"/>
                      <w:sz w:val="21"/>
                      <w:szCs w:val="21"/>
                    </w:rPr>
                    <w:t>6~9</w:t>
                  </w:r>
                </w:p>
              </w:tc>
              <w:tc>
                <w:tcPr>
                  <w:tcW w:w="883" w:type="dxa"/>
                  <w:tcBorders>
                    <w:tl2br w:val="nil"/>
                    <w:tr2bl w:val="nil"/>
                  </w:tcBorders>
                  <w:vAlign w:val="center"/>
                </w:tcPr>
                <w:p w14:paraId="1E7F125C">
                  <w:pPr>
                    <w:jc w:val="center"/>
                    <w:rPr>
                      <w:rFonts w:hint="eastAsia"/>
                      <w:color w:val="auto"/>
                      <w:sz w:val="21"/>
                      <w:szCs w:val="21"/>
                    </w:rPr>
                  </w:pPr>
                  <w:r>
                    <w:rPr>
                      <w:rFonts w:hint="eastAsia"/>
                      <w:color w:val="auto"/>
                      <w:sz w:val="21"/>
                      <w:szCs w:val="21"/>
                    </w:rPr>
                    <w:t>/</w:t>
                  </w:r>
                </w:p>
              </w:tc>
              <w:tc>
                <w:tcPr>
                  <w:tcW w:w="900" w:type="dxa"/>
                  <w:tcBorders>
                    <w:tl2br w:val="nil"/>
                    <w:tr2bl w:val="nil"/>
                  </w:tcBorders>
                  <w:vAlign w:val="center"/>
                </w:tcPr>
                <w:p w14:paraId="0BF01330">
                  <w:pPr>
                    <w:jc w:val="center"/>
                    <w:rPr>
                      <w:color w:val="auto"/>
                      <w:sz w:val="21"/>
                      <w:szCs w:val="21"/>
                    </w:rPr>
                  </w:pPr>
                  <w:r>
                    <w:rPr>
                      <w:color w:val="auto"/>
                      <w:sz w:val="21"/>
                      <w:szCs w:val="21"/>
                    </w:rPr>
                    <w:t>≤</w:t>
                  </w:r>
                  <w:r>
                    <w:rPr>
                      <w:rFonts w:hint="eastAsia"/>
                      <w:color w:val="auto"/>
                      <w:sz w:val="21"/>
                      <w:szCs w:val="21"/>
                    </w:rPr>
                    <w:t>10</w:t>
                  </w:r>
                </w:p>
              </w:tc>
              <w:tc>
                <w:tcPr>
                  <w:tcW w:w="867" w:type="dxa"/>
                  <w:tcBorders>
                    <w:tl2br w:val="nil"/>
                    <w:tr2bl w:val="nil"/>
                  </w:tcBorders>
                  <w:vAlign w:val="center"/>
                </w:tcPr>
                <w:p w14:paraId="141CE205">
                  <w:pPr>
                    <w:jc w:val="center"/>
                    <w:rPr>
                      <w:color w:val="auto"/>
                      <w:sz w:val="21"/>
                      <w:szCs w:val="21"/>
                    </w:rPr>
                  </w:pPr>
                  <w:r>
                    <w:rPr>
                      <w:color w:val="auto"/>
                      <w:sz w:val="21"/>
                      <w:szCs w:val="21"/>
                    </w:rPr>
                    <w:t>≤</w:t>
                  </w:r>
                  <w:r>
                    <w:rPr>
                      <w:rFonts w:hint="eastAsia"/>
                      <w:color w:val="auto"/>
                      <w:sz w:val="21"/>
                      <w:szCs w:val="21"/>
                    </w:rPr>
                    <w:t>30</w:t>
                  </w:r>
                </w:p>
              </w:tc>
              <w:tc>
                <w:tcPr>
                  <w:tcW w:w="783" w:type="dxa"/>
                  <w:tcBorders>
                    <w:tl2br w:val="nil"/>
                    <w:tr2bl w:val="nil"/>
                  </w:tcBorders>
                  <w:vAlign w:val="center"/>
                </w:tcPr>
                <w:p w14:paraId="33179B88">
                  <w:pPr>
                    <w:jc w:val="center"/>
                    <w:rPr>
                      <w:color w:val="auto"/>
                      <w:sz w:val="21"/>
                      <w:szCs w:val="21"/>
                    </w:rPr>
                  </w:pPr>
                  <w:r>
                    <w:rPr>
                      <w:color w:val="auto"/>
                      <w:sz w:val="21"/>
                      <w:szCs w:val="21"/>
                    </w:rPr>
                    <w:t>≤</w:t>
                  </w:r>
                  <w:r>
                    <w:rPr>
                      <w:rFonts w:hint="eastAsia"/>
                      <w:color w:val="auto"/>
                      <w:sz w:val="21"/>
                      <w:szCs w:val="21"/>
                    </w:rPr>
                    <w:t>8</w:t>
                  </w:r>
                </w:p>
              </w:tc>
              <w:tc>
                <w:tcPr>
                  <w:tcW w:w="717" w:type="dxa"/>
                  <w:tcBorders>
                    <w:tl2br w:val="nil"/>
                    <w:tr2bl w:val="nil"/>
                  </w:tcBorders>
                  <w:vAlign w:val="center"/>
                </w:tcPr>
                <w:p w14:paraId="2BB66F59">
                  <w:pPr>
                    <w:jc w:val="center"/>
                    <w:rPr>
                      <w:rFonts w:hint="eastAsia"/>
                      <w:color w:val="auto"/>
                      <w:sz w:val="21"/>
                      <w:szCs w:val="21"/>
                    </w:rPr>
                  </w:pPr>
                  <w:r>
                    <w:rPr>
                      <w:rFonts w:hint="eastAsia"/>
                      <w:color w:val="auto"/>
                      <w:sz w:val="21"/>
                      <w:szCs w:val="21"/>
                    </w:rPr>
                    <w:t>/</w:t>
                  </w:r>
                </w:p>
              </w:tc>
              <w:tc>
                <w:tcPr>
                  <w:tcW w:w="933" w:type="dxa"/>
                  <w:tcBorders>
                    <w:tl2br w:val="nil"/>
                    <w:tr2bl w:val="nil"/>
                  </w:tcBorders>
                  <w:vAlign w:val="center"/>
                </w:tcPr>
                <w:p w14:paraId="10DA72FD">
                  <w:pPr>
                    <w:jc w:val="center"/>
                    <w:rPr>
                      <w:rFonts w:hint="eastAsia"/>
                      <w:color w:val="auto"/>
                      <w:sz w:val="21"/>
                      <w:szCs w:val="21"/>
                    </w:rPr>
                  </w:pPr>
                  <w:r>
                    <w:rPr>
                      <w:rFonts w:hint="eastAsia"/>
                      <w:color w:val="auto"/>
                      <w:sz w:val="21"/>
                      <w:szCs w:val="21"/>
                    </w:rPr>
                    <w:t>/</w:t>
                  </w:r>
                </w:p>
              </w:tc>
            </w:tr>
            <w:tr w14:paraId="7395A26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cantSplit/>
                <w:trHeight w:val="340" w:hRule="atLeast"/>
                <w:jc w:val="center"/>
              </w:trPr>
              <w:tc>
                <w:tcPr>
                  <w:tcW w:w="3233" w:type="dxa"/>
                  <w:tcBorders>
                    <w:tl2br w:val="nil"/>
                    <w:tr2bl w:val="nil"/>
                  </w:tcBorders>
                  <w:vAlign w:val="center"/>
                </w:tcPr>
                <w:p w14:paraId="12A7AE0A">
                  <w:pPr>
                    <w:pStyle w:val="84"/>
                    <w:rPr>
                      <w:rFonts w:ascii="宋体" w:hAnsi="宋体" w:cs="宋体"/>
                      <w:color w:val="auto"/>
                      <w:sz w:val="21"/>
                      <w:szCs w:val="21"/>
                    </w:rPr>
                  </w:pPr>
                  <w:r>
                    <w:rPr>
                      <w:rFonts w:hint="eastAsia" w:ascii="宋体" w:hAnsi="宋体" w:cs="宋体"/>
                      <w:color w:val="auto"/>
                      <w:sz w:val="21"/>
                      <w:szCs w:val="21"/>
                    </w:rPr>
                    <w:t>本项目执行的标准</w:t>
                  </w:r>
                </w:p>
              </w:tc>
              <w:tc>
                <w:tcPr>
                  <w:tcW w:w="812" w:type="dxa"/>
                  <w:tcBorders>
                    <w:tl2br w:val="nil"/>
                    <w:tr2bl w:val="nil"/>
                  </w:tcBorders>
                  <w:vAlign w:val="center"/>
                </w:tcPr>
                <w:p w14:paraId="45CC7FA9">
                  <w:pPr>
                    <w:pStyle w:val="84"/>
                    <w:rPr>
                      <w:color w:val="auto"/>
                      <w:sz w:val="21"/>
                      <w:szCs w:val="21"/>
                    </w:rPr>
                  </w:pPr>
                  <w:r>
                    <w:rPr>
                      <w:rFonts w:hint="eastAsia"/>
                      <w:color w:val="auto"/>
                      <w:sz w:val="21"/>
                      <w:szCs w:val="21"/>
                    </w:rPr>
                    <w:t>6~9</w:t>
                  </w:r>
                </w:p>
              </w:tc>
              <w:tc>
                <w:tcPr>
                  <w:tcW w:w="883" w:type="dxa"/>
                  <w:tcBorders>
                    <w:tl2br w:val="nil"/>
                    <w:tr2bl w:val="nil"/>
                  </w:tcBorders>
                  <w:vAlign w:val="center"/>
                </w:tcPr>
                <w:p w14:paraId="514A61EA">
                  <w:pPr>
                    <w:jc w:val="center"/>
                    <w:rPr>
                      <w:rFonts w:hint="eastAsia"/>
                      <w:color w:val="auto"/>
                      <w:sz w:val="21"/>
                      <w:szCs w:val="21"/>
                    </w:rPr>
                  </w:pPr>
                  <w:r>
                    <w:rPr>
                      <w:color w:val="auto"/>
                      <w:sz w:val="21"/>
                      <w:szCs w:val="21"/>
                    </w:rPr>
                    <w:t>≤</w:t>
                  </w:r>
                  <w:r>
                    <w:rPr>
                      <w:rFonts w:hint="eastAsia"/>
                      <w:color w:val="auto"/>
                      <w:sz w:val="21"/>
                      <w:szCs w:val="21"/>
                    </w:rPr>
                    <w:t>50</w:t>
                  </w:r>
                </w:p>
              </w:tc>
              <w:tc>
                <w:tcPr>
                  <w:tcW w:w="900" w:type="dxa"/>
                  <w:tcBorders>
                    <w:tl2br w:val="nil"/>
                    <w:tr2bl w:val="nil"/>
                  </w:tcBorders>
                  <w:vAlign w:val="center"/>
                </w:tcPr>
                <w:p w14:paraId="2D9B40F3">
                  <w:pPr>
                    <w:jc w:val="center"/>
                    <w:rPr>
                      <w:color w:val="auto"/>
                      <w:sz w:val="21"/>
                      <w:szCs w:val="21"/>
                    </w:rPr>
                  </w:pPr>
                  <w:r>
                    <w:rPr>
                      <w:color w:val="auto"/>
                      <w:sz w:val="21"/>
                      <w:szCs w:val="21"/>
                    </w:rPr>
                    <w:t>≤</w:t>
                  </w:r>
                  <w:r>
                    <w:rPr>
                      <w:rFonts w:hint="eastAsia"/>
                      <w:color w:val="auto"/>
                      <w:sz w:val="21"/>
                      <w:szCs w:val="21"/>
                    </w:rPr>
                    <w:t>10</w:t>
                  </w:r>
                </w:p>
              </w:tc>
              <w:tc>
                <w:tcPr>
                  <w:tcW w:w="867" w:type="dxa"/>
                  <w:tcBorders>
                    <w:tl2br w:val="nil"/>
                    <w:tr2bl w:val="nil"/>
                  </w:tcBorders>
                  <w:vAlign w:val="center"/>
                </w:tcPr>
                <w:p w14:paraId="3817762E">
                  <w:pPr>
                    <w:jc w:val="center"/>
                    <w:rPr>
                      <w:color w:val="auto"/>
                      <w:sz w:val="21"/>
                      <w:szCs w:val="21"/>
                    </w:rPr>
                  </w:pPr>
                  <w:r>
                    <w:rPr>
                      <w:color w:val="auto"/>
                      <w:sz w:val="21"/>
                      <w:szCs w:val="21"/>
                    </w:rPr>
                    <w:t>≤</w:t>
                  </w:r>
                  <w:r>
                    <w:rPr>
                      <w:rFonts w:hint="eastAsia"/>
                      <w:color w:val="auto"/>
                      <w:sz w:val="21"/>
                      <w:szCs w:val="21"/>
                    </w:rPr>
                    <w:t>30</w:t>
                  </w:r>
                </w:p>
              </w:tc>
              <w:tc>
                <w:tcPr>
                  <w:tcW w:w="783" w:type="dxa"/>
                  <w:tcBorders>
                    <w:tl2br w:val="nil"/>
                    <w:tr2bl w:val="nil"/>
                  </w:tcBorders>
                  <w:vAlign w:val="center"/>
                </w:tcPr>
                <w:p w14:paraId="771D9C9F">
                  <w:pPr>
                    <w:jc w:val="center"/>
                    <w:rPr>
                      <w:color w:val="auto"/>
                      <w:sz w:val="21"/>
                      <w:szCs w:val="21"/>
                    </w:rPr>
                  </w:pPr>
                  <w:r>
                    <w:rPr>
                      <w:color w:val="auto"/>
                      <w:sz w:val="21"/>
                      <w:szCs w:val="21"/>
                    </w:rPr>
                    <w:t>≤</w:t>
                  </w:r>
                  <w:r>
                    <w:rPr>
                      <w:rFonts w:hint="eastAsia"/>
                      <w:color w:val="auto"/>
                      <w:sz w:val="21"/>
                      <w:szCs w:val="21"/>
                    </w:rPr>
                    <w:t>5</w:t>
                  </w:r>
                </w:p>
              </w:tc>
              <w:tc>
                <w:tcPr>
                  <w:tcW w:w="717" w:type="dxa"/>
                  <w:tcBorders>
                    <w:tl2br w:val="nil"/>
                    <w:tr2bl w:val="nil"/>
                  </w:tcBorders>
                  <w:vAlign w:val="center"/>
                </w:tcPr>
                <w:p w14:paraId="460E7EC4">
                  <w:pPr>
                    <w:jc w:val="center"/>
                    <w:rPr>
                      <w:rFonts w:hint="eastAsia"/>
                      <w:color w:val="auto"/>
                      <w:sz w:val="21"/>
                      <w:szCs w:val="21"/>
                    </w:rPr>
                  </w:pPr>
                  <w:r>
                    <w:rPr>
                      <w:color w:val="auto"/>
                      <w:sz w:val="21"/>
                      <w:szCs w:val="21"/>
                    </w:rPr>
                    <w:t>≤</w:t>
                  </w:r>
                  <w:r>
                    <w:rPr>
                      <w:rFonts w:hint="eastAsia"/>
                      <w:color w:val="auto"/>
                      <w:sz w:val="21"/>
                      <w:szCs w:val="21"/>
                    </w:rPr>
                    <w:t>0.5</w:t>
                  </w:r>
                </w:p>
              </w:tc>
              <w:tc>
                <w:tcPr>
                  <w:tcW w:w="933" w:type="dxa"/>
                  <w:tcBorders>
                    <w:tl2br w:val="nil"/>
                    <w:tr2bl w:val="nil"/>
                  </w:tcBorders>
                  <w:vAlign w:val="center"/>
                </w:tcPr>
                <w:p w14:paraId="3521FA8C">
                  <w:pPr>
                    <w:jc w:val="center"/>
                    <w:rPr>
                      <w:rFonts w:hint="eastAsia"/>
                      <w:color w:val="auto"/>
                      <w:sz w:val="21"/>
                      <w:szCs w:val="21"/>
                    </w:rPr>
                  </w:pPr>
                  <w:r>
                    <w:rPr>
                      <w:color w:val="auto"/>
                      <w:sz w:val="21"/>
                      <w:szCs w:val="21"/>
                    </w:rPr>
                    <w:t>≤</w:t>
                  </w:r>
                  <w:r>
                    <w:rPr>
                      <w:rFonts w:hint="eastAsia"/>
                      <w:color w:val="auto"/>
                      <w:sz w:val="21"/>
                      <w:szCs w:val="21"/>
                    </w:rPr>
                    <w:t>1.0</w:t>
                  </w:r>
                </w:p>
              </w:tc>
            </w:tr>
          </w:tbl>
          <w:p w14:paraId="4E851A12">
            <w:pPr>
              <w:spacing w:line="360" w:lineRule="auto"/>
              <w:ind w:left="482"/>
              <w:rPr>
                <w:b/>
                <w:bCs/>
                <w:color w:val="auto"/>
                <w:sz w:val="24"/>
              </w:rPr>
            </w:pPr>
            <w:r>
              <w:rPr>
                <w:b/>
                <w:bCs/>
                <w:color w:val="auto"/>
                <w:sz w:val="24"/>
              </w:rPr>
              <w:t>3、噪声排放标准</w:t>
            </w:r>
          </w:p>
          <w:p w14:paraId="634602B9">
            <w:pPr>
              <w:adjustRightInd w:val="0"/>
              <w:snapToGrid w:val="0"/>
              <w:spacing w:line="360" w:lineRule="auto"/>
              <w:ind w:firstLine="480" w:firstLineChars="200"/>
              <w:rPr>
                <w:color w:val="auto"/>
                <w:kern w:val="0"/>
                <w:sz w:val="24"/>
              </w:rPr>
            </w:pPr>
            <w:r>
              <w:rPr>
                <w:rFonts w:hint="eastAsia"/>
                <w:color w:val="auto"/>
                <w:sz w:val="24"/>
              </w:rPr>
              <w:t>本</w:t>
            </w:r>
            <w:r>
              <w:rPr>
                <w:color w:val="auto"/>
                <w:sz w:val="24"/>
              </w:rPr>
              <w:t>项目运营期厂界执行《工业企业厂界环境噪声排放标准》（GB12348-2008）中的3类标准</w:t>
            </w:r>
            <w:r>
              <w:rPr>
                <w:color w:val="auto"/>
                <w:kern w:val="0"/>
                <w:sz w:val="24"/>
              </w:rPr>
              <w:t>。</w:t>
            </w:r>
          </w:p>
          <w:p w14:paraId="2C16B1C1">
            <w:pPr>
              <w:adjustRightInd w:val="0"/>
              <w:snapToGrid w:val="0"/>
              <w:spacing w:line="240" w:lineRule="auto"/>
              <w:jc w:val="center"/>
              <w:rPr>
                <w:b/>
                <w:bCs/>
                <w:color w:val="auto"/>
                <w:szCs w:val="21"/>
              </w:rPr>
            </w:pPr>
          </w:p>
          <w:p w14:paraId="54A1E2CD">
            <w:pPr>
              <w:adjustRightInd w:val="0"/>
              <w:snapToGrid w:val="0"/>
              <w:spacing w:line="240" w:lineRule="auto"/>
              <w:jc w:val="center"/>
              <w:rPr>
                <w:b/>
                <w:bCs/>
                <w:color w:val="auto"/>
                <w:szCs w:val="21"/>
              </w:rPr>
            </w:pPr>
          </w:p>
          <w:p w14:paraId="3476BCAF">
            <w:pPr>
              <w:adjustRightInd w:val="0"/>
              <w:snapToGrid w:val="0"/>
              <w:spacing w:line="240" w:lineRule="auto"/>
              <w:jc w:val="center"/>
              <w:rPr>
                <w:b/>
                <w:bCs/>
                <w:color w:val="auto"/>
                <w:szCs w:val="21"/>
              </w:rPr>
            </w:pPr>
          </w:p>
          <w:p w14:paraId="0D03C005">
            <w:pPr>
              <w:adjustRightInd w:val="0"/>
              <w:snapToGrid w:val="0"/>
              <w:spacing w:line="240" w:lineRule="auto"/>
              <w:jc w:val="center"/>
              <w:rPr>
                <w:b/>
                <w:bCs/>
                <w:color w:val="auto"/>
                <w:szCs w:val="21"/>
              </w:rPr>
            </w:pPr>
          </w:p>
          <w:p w14:paraId="0FE3596A">
            <w:pPr>
              <w:adjustRightInd w:val="0"/>
              <w:snapToGrid w:val="0"/>
              <w:spacing w:line="240" w:lineRule="auto"/>
              <w:jc w:val="center"/>
              <w:rPr>
                <w:b/>
                <w:color w:val="auto"/>
                <w:szCs w:val="21"/>
              </w:rPr>
            </w:pPr>
            <w:r>
              <w:rPr>
                <w:b/>
                <w:bCs/>
                <w:color w:val="auto"/>
                <w:szCs w:val="21"/>
              </w:rPr>
              <w:t>表3-</w:t>
            </w:r>
            <w:r>
              <w:rPr>
                <w:rFonts w:hint="eastAsia"/>
                <w:b/>
                <w:bCs/>
                <w:color w:val="auto"/>
                <w:szCs w:val="21"/>
              </w:rPr>
              <w:t>1</w:t>
            </w:r>
            <w:r>
              <w:rPr>
                <w:rFonts w:hint="eastAsia"/>
                <w:b/>
                <w:bCs/>
                <w:color w:val="auto"/>
                <w:szCs w:val="21"/>
                <w:lang w:val="en-US" w:eastAsia="zh-CN"/>
              </w:rPr>
              <w:t>0</w:t>
            </w:r>
            <w:r>
              <w:rPr>
                <w:b/>
                <w:bCs/>
                <w:color w:val="auto"/>
                <w:szCs w:val="21"/>
              </w:rPr>
              <w:t xml:space="preserve"> </w:t>
            </w:r>
            <w:r>
              <w:rPr>
                <w:b/>
                <w:color w:val="auto"/>
                <w:szCs w:val="21"/>
              </w:rPr>
              <w:t>《工业企业厂界环境噪声排放标准》（GB12348-2008）节选</w:t>
            </w:r>
          </w:p>
          <w:tbl>
            <w:tblPr>
              <w:tblStyle w:val="42"/>
              <w:tblW w:w="495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98"/>
              <w:gridCol w:w="1647"/>
              <w:gridCol w:w="1564"/>
              <w:gridCol w:w="4450"/>
            </w:tblGrid>
            <w:tr w14:paraId="13703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1276" w:type="dxa"/>
                  <w:tcBorders>
                    <w:tl2br w:val="nil"/>
                    <w:tr2bl w:val="nil"/>
                  </w:tcBorders>
                  <w:vAlign w:val="center"/>
                </w:tcPr>
                <w:p w14:paraId="1FE9E1B2">
                  <w:pPr>
                    <w:pStyle w:val="99"/>
                    <w:rPr>
                      <w:b/>
                      <w:bCs/>
                      <w:color w:val="auto"/>
                      <w:sz w:val="21"/>
                      <w:szCs w:val="21"/>
                    </w:rPr>
                  </w:pPr>
                  <w:r>
                    <w:rPr>
                      <w:b/>
                      <w:bCs/>
                      <w:color w:val="auto"/>
                      <w:sz w:val="21"/>
                      <w:szCs w:val="21"/>
                    </w:rPr>
                    <w:t>标准类别</w:t>
                  </w:r>
                </w:p>
              </w:tc>
              <w:tc>
                <w:tcPr>
                  <w:tcW w:w="1504" w:type="dxa"/>
                  <w:tcBorders>
                    <w:tl2br w:val="nil"/>
                    <w:tr2bl w:val="nil"/>
                  </w:tcBorders>
                  <w:vAlign w:val="center"/>
                </w:tcPr>
                <w:p w14:paraId="6A842741">
                  <w:pPr>
                    <w:pStyle w:val="99"/>
                    <w:rPr>
                      <w:b/>
                      <w:bCs/>
                      <w:color w:val="auto"/>
                      <w:sz w:val="21"/>
                      <w:szCs w:val="21"/>
                    </w:rPr>
                  </w:pPr>
                  <w:r>
                    <w:rPr>
                      <w:b/>
                      <w:bCs/>
                      <w:color w:val="auto"/>
                      <w:sz w:val="21"/>
                      <w:szCs w:val="21"/>
                    </w:rPr>
                    <w:t>昼间</w:t>
                  </w:r>
                </w:p>
              </w:tc>
              <w:tc>
                <w:tcPr>
                  <w:tcW w:w="1428" w:type="dxa"/>
                  <w:tcBorders>
                    <w:tl2br w:val="nil"/>
                    <w:tr2bl w:val="nil"/>
                  </w:tcBorders>
                  <w:vAlign w:val="center"/>
                </w:tcPr>
                <w:p w14:paraId="6AE2CE4A">
                  <w:pPr>
                    <w:pStyle w:val="99"/>
                    <w:rPr>
                      <w:b/>
                      <w:bCs/>
                      <w:color w:val="auto"/>
                      <w:sz w:val="21"/>
                      <w:szCs w:val="21"/>
                    </w:rPr>
                  </w:pPr>
                  <w:r>
                    <w:rPr>
                      <w:b/>
                      <w:bCs/>
                      <w:color w:val="auto"/>
                      <w:sz w:val="21"/>
                      <w:szCs w:val="21"/>
                    </w:rPr>
                    <w:t>夜间</w:t>
                  </w:r>
                </w:p>
              </w:tc>
              <w:tc>
                <w:tcPr>
                  <w:tcW w:w="4062" w:type="dxa"/>
                  <w:tcBorders>
                    <w:tl2br w:val="nil"/>
                    <w:tr2bl w:val="nil"/>
                  </w:tcBorders>
                  <w:vAlign w:val="center"/>
                </w:tcPr>
                <w:p w14:paraId="1A10D962">
                  <w:pPr>
                    <w:pStyle w:val="99"/>
                    <w:rPr>
                      <w:b/>
                      <w:bCs/>
                      <w:color w:val="auto"/>
                      <w:sz w:val="21"/>
                      <w:szCs w:val="21"/>
                    </w:rPr>
                  </w:pPr>
                  <w:r>
                    <w:rPr>
                      <w:b/>
                      <w:bCs/>
                      <w:color w:val="auto"/>
                      <w:sz w:val="21"/>
                      <w:szCs w:val="21"/>
                    </w:rPr>
                    <w:t>标准来源</w:t>
                  </w:r>
                </w:p>
              </w:tc>
            </w:tr>
            <w:tr w14:paraId="3A38A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1276" w:type="dxa"/>
                  <w:tcBorders>
                    <w:tl2br w:val="nil"/>
                    <w:tr2bl w:val="nil"/>
                  </w:tcBorders>
                  <w:vAlign w:val="center"/>
                </w:tcPr>
                <w:p w14:paraId="533B27E7">
                  <w:pPr>
                    <w:pStyle w:val="99"/>
                    <w:rPr>
                      <w:color w:val="auto"/>
                      <w:sz w:val="21"/>
                      <w:szCs w:val="21"/>
                    </w:rPr>
                  </w:pPr>
                  <w:r>
                    <w:rPr>
                      <w:color w:val="auto"/>
                      <w:sz w:val="21"/>
                      <w:szCs w:val="21"/>
                    </w:rPr>
                    <w:t>3类标准</w:t>
                  </w:r>
                </w:p>
              </w:tc>
              <w:tc>
                <w:tcPr>
                  <w:tcW w:w="1504" w:type="dxa"/>
                  <w:tcBorders>
                    <w:tl2br w:val="nil"/>
                    <w:tr2bl w:val="nil"/>
                  </w:tcBorders>
                  <w:vAlign w:val="center"/>
                </w:tcPr>
                <w:p w14:paraId="1F76A7B4">
                  <w:pPr>
                    <w:pStyle w:val="99"/>
                    <w:rPr>
                      <w:color w:val="auto"/>
                      <w:sz w:val="21"/>
                      <w:szCs w:val="21"/>
                    </w:rPr>
                  </w:pPr>
                  <w:r>
                    <w:rPr>
                      <w:color w:val="auto"/>
                      <w:sz w:val="21"/>
                      <w:szCs w:val="21"/>
                    </w:rPr>
                    <w:t>≤65dB（A）</w:t>
                  </w:r>
                </w:p>
              </w:tc>
              <w:tc>
                <w:tcPr>
                  <w:tcW w:w="1428" w:type="dxa"/>
                  <w:tcBorders>
                    <w:tl2br w:val="nil"/>
                    <w:tr2bl w:val="nil"/>
                  </w:tcBorders>
                  <w:vAlign w:val="center"/>
                </w:tcPr>
                <w:p w14:paraId="260C759D">
                  <w:pPr>
                    <w:pStyle w:val="99"/>
                    <w:rPr>
                      <w:color w:val="auto"/>
                      <w:sz w:val="21"/>
                      <w:szCs w:val="21"/>
                    </w:rPr>
                  </w:pPr>
                  <w:r>
                    <w:rPr>
                      <w:color w:val="auto"/>
                      <w:sz w:val="21"/>
                      <w:szCs w:val="21"/>
                    </w:rPr>
                    <w:t>≤55dB（A）</w:t>
                  </w:r>
                </w:p>
              </w:tc>
              <w:tc>
                <w:tcPr>
                  <w:tcW w:w="4062" w:type="dxa"/>
                  <w:tcBorders>
                    <w:tl2br w:val="nil"/>
                    <w:tr2bl w:val="nil"/>
                  </w:tcBorders>
                  <w:vAlign w:val="center"/>
                </w:tcPr>
                <w:p w14:paraId="4708DDFA">
                  <w:pPr>
                    <w:pStyle w:val="99"/>
                    <w:rPr>
                      <w:color w:val="auto"/>
                      <w:sz w:val="21"/>
                      <w:szCs w:val="21"/>
                    </w:rPr>
                  </w:pPr>
                  <w:r>
                    <w:rPr>
                      <w:color w:val="auto"/>
                      <w:sz w:val="21"/>
                      <w:szCs w:val="21"/>
                    </w:rPr>
                    <w:t>《工业企业厂界环境噪声排放标准》（GB12348-2008）</w:t>
                  </w:r>
                </w:p>
              </w:tc>
            </w:tr>
          </w:tbl>
          <w:p w14:paraId="2A62C370">
            <w:pPr>
              <w:spacing w:line="360" w:lineRule="auto"/>
              <w:ind w:firstLine="482" w:firstLineChars="200"/>
              <w:rPr>
                <w:b/>
                <w:bCs/>
                <w:color w:val="auto"/>
                <w:sz w:val="24"/>
              </w:rPr>
            </w:pPr>
            <w:r>
              <w:rPr>
                <w:b/>
                <w:bCs/>
                <w:color w:val="auto"/>
                <w:sz w:val="24"/>
              </w:rPr>
              <w:t>4、固体废物排放标准</w:t>
            </w:r>
          </w:p>
          <w:p w14:paraId="29F05A6F">
            <w:pPr>
              <w:tabs>
                <w:tab w:val="left" w:pos="0"/>
                <w:tab w:val="left" w:pos="2089"/>
              </w:tabs>
              <w:spacing w:line="360" w:lineRule="auto"/>
              <w:ind w:firstLine="480"/>
              <w:rPr>
                <w:color w:val="auto"/>
                <w:kern w:val="0"/>
                <w:sz w:val="24"/>
              </w:rPr>
            </w:pPr>
            <w:r>
              <w:rPr>
                <w:color w:val="auto"/>
                <w:kern w:val="0"/>
                <w:sz w:val="24"/>
              </w:rPr>
              <w:t>本项目营运期产生的固废管理执行</w:t>
            </w:r>
            <w:r>
              <w:rPr>
                <w:rFonts w:hint="eastAsia"/>
                <w:color w:val="auto"/>
                <w:kern w:val="0"/>
                <w:sz w:val="24"/>
                <w:lang w:eastAsia="zh-CN"/>
              </w:rPr>
              <w:t>《中华人民共和国生态环境法典》（2026年3月12日）</w:t>
            </w:r>
            <w:r>
              <w:rPr>
                <w:color w:val="auto"/>
                <w:kern w:val="0"/>
                <w:sz w:val="24"/>
              </w:rPr>
              <w:t>、</w:t>
            </w:r>
            <w:r>
              <w:rPr>
                <w:rFonts w:hint="eastAsia"/>
                <w:color w:val="auto"/>
                <w:kern w:val="0"/>
                <w:sz w:val="24"/>
                <w:lang w:eastAsia="zh-CN"/>
              </w:rPr>
              <w:t>《广东省固体废物污染防治条例》（2026年7月31日修订）</w:t>
            </w:r>
            <w:r>
              <w:rPr>
                <w:color w:val="auto"/>
                <w:kern w:val="0"/>
                <w:sz w:val="24"/>
              </w:rPr>
              <w:t>。</w:t>
            </w:r>
          </w:p>
          <w:p w14:paraId="04CA1764">
            <w:pPr>
              <w:tabs>
                <w:tab w:val="left" w:pos="0"/>
                <w:tab w:val="left" w:pos="2089"/>
              </w:tabs>
              <w:spacing w:line="360" w:lineRule="auto"/>
              <w:ind w:firstLine="480"/>
              <w:rPr>
                <w:color w:val="auto"/>
              </w:rPr>
            </w:pPr>
            <w:r>
              <w:rPr>
                <w:rFonts w:hint="eastAsia"/>
                <w:color w:val="auto"/>
                <w:kern w:val="0"/>
                <w:sz w:val="24"/>
              </w:rPr>
              <w:t>（1）本</w:t>
            </w:r>
            <w:r>
              <w:rPr>
                <w:color w:val="auto"/>
                <w:kern w:val="0"/>
                <w:sz w:val="24"/>
              </w:rPr>
              <w:t>项目一般固废在厂区内采用一般固废房及包装工具（罐、桶、包装袋等）贮存，贮存过程应满足相应防渗漏、防雨淋、防扬尘等环境保护要求</w:t>
            </w:r>
            <w:r>
              <w:rPr>
                <w:color w:val="auto"/>
                <w:sz w:val="24"/>
              </w:rPr>
              <w:t>；一般固废编码执行《固体废物分类与代码目录》（生态环境部公告2024年第4号）</w:t>
            </w:r>
            <w:r>
              <w:rPr>
                <w:color w:val="auto"/>
              </w:rPr>
              <w:t>。</w:t>
            </w:r>
          </w:p>
          <w:p w14:paraId="2C600F17">
            <w:pPr>
              <w:tabs>
                <w:tab w:val="left" w:pos="0"/>
                <w:tab w:val="left" w:pos="2089"/>
              </w:tabs>
              <w:spacing w:line="360" w:lineRule="auto"/>
              <w:ind w:firstLine="480"/>
              <w:rPr>
                <w:color w:val="auto"/>
                <w:kern w:val="0"/>
                <w:sz w:val="24"/>
              </w:rPr>
            </w:pPr>
            <w:r>
              <w:rPr>
                <w:rFonts w:hint="eastAsia"/>
                <w:color w:val="auto"/>
                <w:kern w:val="0"/>
                <w:sz w:val="24"/>
              </w:rPr>
              <w:t>（2）</w:t>
            </w:r>
            <w:r>
              <w:rPr>
                <w:color w:val="auto"/>
                <w:kern w:val="0"/>
                <w:sz w:val="24"/>
              </w:rPr>
              <w:t>危险废物管理执行《危险废物贮存污染控制标准》（GB18597-2023）、《环境保护图形标志、固体废物贮存（处置）场》（GB15562.2-1995及2023修改单）及《危险废物收集 贮存 运输技术规范》（HJ2025-2012）</w:t>
            </w:r>
            <w:r>
              <w:rPr>
                <w:rFonts w:hint="eastAsia"/>
                <w:color w:val="auto"/>
                <w:kern w:val="0"/>
                <w:sz w:val="24"/>
              </w:rPr>
              <w:t>等</w:t>
            </w:r>
            <w:r>
              <w:rPr>
                <w:color w:val="auto"/>
                <w:kern w:val="0"/>
                <w:sz w:val="24"/>
              </w:rPr>
              <w:t>有关规定。</w:t>
            </w:r>
          </w:p>
          <w:p w14:paraId="7C2FB4C7">
            <w:pPr>
              <w:rPr>
                <w:color w:val="auto"/>
              </w:rPr>
            </w:pPr>
          </w:p>
        </w:tc>
      </w:tr>
      <w:tr w14:paraId="3616A0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7" w:type="dxa"/>
            <w:vAlign w:val="center"/>
          </w:tcPr>
          <w:p w14:paraId="578C1667">
            <w:pPr>
              <w:adjustRightInd w:val="0"/>
              <w:snapToGrid w:val="0"/>
              <w:jc w:val="center"/>
              <w:rPr>
                <w:color w:val="auto"/>
                <w:kern w:val="0"/>
                <w:sz w:val="24"/>
              </w:rPr>
            </w:pPr>
            <w:r>
              <w:rPr>
                <w:color w:val="auto"/>
                <w:kern w:val="0"/>
                <w:sz w:val="24"/>
              </w:rPr>
              <w:t>总量</w:t>
            </w:r>
          </w:p>
          <w:p w14:paraId="34445B44">
            <w:pPr>
              <w:adjustRightInd w:val="0"/>
              <w:snapToGrid w:val="0"/>
              <w:jc w:val="center"/>
              <w:rPr>
                <w:color w:val="auto"/>
                <w:kern w:val="0"/>
                <w:sz w:val="24"/>
              </w:rPr>
            </w:pPr>
            <w:r>
              <w:rPr>
                <w:color w:val="auto"/>
                <w:kern w:val="0"/>
                <w:sz w:val="24"/>
              </w:rPr>
              <w:t>控制</w:t>
            </w:r>
          </w:p>
          <w:p w14:paraId="3D6DFE1E">
            <w:pPr>
              <w:adjustRightInd w:val="0"/>
              <w:snapToGrid w:val="0"/>
              <w:jc w:val="center"/>
              <w:rPr>
                <w:color w:val="auto"/>
                <w:kern w:val="0"/>
                <w:sz w:val="24"/>
              </w:rPr>
            </w:pPr>
            <w:r>
              <w:rPr>
                <w:color w:val="auto"/>
                <w:kern w:val="0"/>
                <w:sz w:val="24"/>
              </w:rPr>
              <w:t>指标</w:t>
            </w:r>
          </w:p>
        </w:tc>
        <w:tc>
          <w:tcPr>
            <w:tcW w:w="9376" w:type="dxa"/>
            <w:vAlign w:val="center"/>
          </w:tcPr>
          <w:p w14:paraId="3FBAAA80">
            <w:pPr>
              <w:spacing w:line="360" w:lineRule="auto"/>
              <w:ind w:firstLine="480" w:firstLineChars="200"/>
              <w:rPr>
                <w:color w:val="auto"/>
                <w:kern w:val="0"/>
                <w:sz w:val="24"/>
              </w:rPr>
            </w:pPr>
            <w:r>
              <w:rPr>
                <w:color w:val="auto"/>
                <w:kern w:val="0"/>
                <w:sz w:val="24"/>
              </w:rPr>
              <w:t>本项目污染物总量控制指标为：</w:t>
            </w:r>
          </w:p>
          <w:p w14:paraId="772BD606">
            <w:pPr>
              <w:spacing w:line="360" w:lineRule="auto"/>
              <w:ind w:firstLine="482" w:firstLineChars="200"/>
              <w:rPr>
                <w:b/>
                <w:bCs/>
                <w:color w:val="auto"/>
                <w:kern w:val="0"/>
                <w:sz w:val="24"/>
              </w:rPr>
            </w:pPr>
            <w:r>
              <w:rPr>
                <w:b/>
                <w:bCs/>
                <w:color w:val="auto"/>
                <w:kern w:val="0"/>
                <w:sz w:val="24"/>
              </w:rPr>
              <w:t>1、水污染物排放总量控制指标</w:t>
            </w:r>
          </w:p>
          <w:p w14:paraId="67BEA91A">
            <w:pPr>
              <w:autoSpaceDE w:val="0"/>
              <w:autoSpaceDN w:val="0"/>
              <w:adjustRightInd w:val="0"/>
              <w:spacing w:line="360" w:lineRule="auto"/>
              <w:ind w:firstLine="480" w:firstLineChars="200"/>
              <w:rPr>
                <w:color w:val="auto"/>
                <w:kern w:val="0"/>
                <w:sz w:val="24"/>
              </w:rPr>
            </w:pPr>
            <w:r>
              <w:rPr>
                <w:rFonts w:hint="eastAsia"/>
                <w:color w:val="auto"/>
                <w:kern w:val="0"/>
                <w:sz w:val="24"/>
              </w:rPr>
              <w:t>本项目无</w:t>
            </w:r>
            <w:r>
              <w:rPr>
                <w:rFonts w:hint="eastAsia"/>
                <w:color w:val="auto"/>
                <w:kern w:val="0"/>
                <w:sz w:val="24"/>
                <w:lang w:val="en-US" w:eastAsia="zh-CN"/>
              </w:rPr>
              <w:t>新增</w:t>
            </w:r>
            <w:r>
              <w:rPr>
                <w:rFonts w:hint="eastAsia"/>
                <w:color w:val="auto"/>
                <w:kern w:val="0"/>
                <w:sz w:val="24"/>
              </w:rPr>
              <w:t>废水外排，因此无需控制水污染物排放总量控制指标</w:t>
            </w:r>
            <w:r>
              <w:rPr>
                <w:color w:val="auto"/>
                <w:kern w:val="0"/>
                <w:sz w:val="24"/>
              </w:rPr>
              <w:t>。</w:t>
            </w:r>
          </w:p>
          <w:p w14:paraId="186A2D47">
            <w:pPr>
              <w:spacing w:line="360" w:lineRule="auto"/>
              <w:ind w:left="480"/>
              <w:rPr>
                <w:b/>
                <w:color w:val="auto"/>
                <w:sz w:val="24"/>
              </w:rPr>
            </w:pPr>
            <w:r>
              <w:rPr>
                <w:b/>
                <w:color w:val="auto"/>
                <w:sz w:val="24"/>
              </w:rPr>
              <w:t>2、大气污染物排放总量控制指标</w:t>
            </w:r>
          </w:p>
          <w:p w14:paraId="3C57C6AC">
            <w:pPr>
              <w:pStyle w:val="50"/>
              <w:spacing w:line="360" w:lineRule="auto"/>
              <w:ind w:firstLine="480" w:firstLineChars="200"/>
              <w:rPr>
                <w:rFonts w:ascii="Times New Roman" w:hAnsi="Times New Roman" w:cs="Times New Roman"/>
                <w:color w:val="auto"/>
                <w:kern w:val="0"/>
              </w:rPr>
            </w:pPr>
            <w:r>
              <w:rPr>
                <w:rFonts w:ascii="Times New Roman" w:hAnsi="Times New Roman" w:cs="Times New Roman"/>
                <w:color w:val="auto"/>
                <w:kern w:val="0"/>
              </w:rPr>
              <w:t>根据项目生产特点，本项目需另设大气污染物排放总量控制指标。</w:t>
            </w:r>
            <w:r>
              <w:rPr>
                <w:rFonts w:ascii="Times New Roman" w:hAnsi="Times New Roman" w:cs="Times New Roman"/>
                <w:color w:val="auto"/>
              </w:rPr>
              <w:t>本项目生产过程中产生的废气污染物主要为VOCs、臭气浓度等，需进行大气污染物排放总量控制指标为</w:t>
            </w:r>
            <w:r>
              <w:rPr>
                <w:rFonts w:ascii="Times New Roman" w:hAnsi="Times New Roman" w:cs="Times New Roman"/>
                <w:color w:val="auto"/>
                <w:spacing w:val="3"/>
              </w:rPr>
              <w:t>VOCs</w:t>
            </w:r>
            <w:r>
              <w:rPr>
                <w:rFonts w:ascii="Times New Roman" w:hAnsi="Times New Roman" w:cs="Times New Roman"/>
                <w:color w:val="auto"/>
              </w:rPr>
              <w:t>。</w:t>
            </w:r>
            <w:r>
              <w:rPr>
                <w:rFonts w:ascii="Times New Roman" w:hAnsi="Times New Roman" w:cs="Times New Roman"/>
                <w:color w:val="auto"/>
                <w:kern w:val="0"/>
              </w:rPr>
              <w:t>本项目污染物排放总量控制指标如下表：</w:t>
            </w:r>
          </w:p>
          <w:p w14:paraId="0E6D9213">
            <w:pPr>
              <w:pStyle w:val="50"/>
              <w:spacing w:line="240" w:lineRule="auto"/>
              <w:jc w:val="center"/>
              <w:rPr>
                <w:rFonts w:ascii="Times New Roman" w:hAnsi="Times New Roman" w:cs="Times New Roman"/>
                <w:b/>
                <w:color w:val="auto"/>
                <w:sz w:val="21"/>
                <w:szCs w:val="21"/>
              </w:rPr>
            </w:pPr>
            <w:r>
              <w:rPr>
                <w:rFonts w:ascii="Times New Roman" w:hAnsi="Times New Roman" w:cs="Times New Roman"/>
                <w:b/>
                <w:color w:val="auto"/>
                <w:sz w:val="21"/>
                <w:szCs w:val="21"/>
              </w:rPr>
              <w:t>表3-1</w:t>
            </w:r>
            <w:r>
              <w:rPr>
                <w:rFonts w:hint="eastAsia" w:ascii="Times New Roman" w:hAnsi="Times New Roman" w:cs="Times New Roman"/>
                <w:b/>
                <w:color w:val="auto"/>
                <w:sz w:val="21"/>
                <w:szCs w:val="21"/>
                <w:lang w:val="en-US" w:eastAsia="zh-CN"/>
              </w:rPr>
              <w:t>1</w:t>
            </w:r>
            <w:r>
              <w:rPr>
                <w:rFonts w:ascii="Times New Roman" w:hAnsi="Times New Roman" w:cs="Times New Roman"/>
                <w:b/>
                <w:color w:val="auto"/>
                <w:sz w:val="21"/>
                <w:szCs w:val="21"/>
              </w:rPr>
              <w:t>本项目污染物排放总量控制建议值（单位：t/a）</w:t>
            </w:r>
          </w:p>
          <w:tbl>
            <w:tblPr>
              <w:tblStyle w:val="42"/>
              <w:tblW w:w="9158"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96"/>
              <w:gridCol w:w="1294"/>
              <w:gridCol w:w="948"/>
              <w:gridCol w:w="930"/>
              <w:gridCol w:w="810"/>
              <w:gridCol w:w="1140"/>
              <w:gridCol w:w="1290"/>
              <w:gridCol w:w="1650"/>
            </w:tblGrid>
            <w:tr w14:paraId="756854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6" w:type="dxa"/>
                  <w:vMerge w:val="restart"/>
                  <w:tcBorders>
                    <w:top w:val="single" w:color="000000" w:sz="6" w:space="0"/>
                    <w:left w:val="single" w:color="auto" w:sz="0" w:space="0"/>
                    <w:bottom w:val="single" w:color="000000" w:sz="4" w:space="0"/>
                    <w:right w:val="single" w:color="000000" w:sz="4" w:space="0"/>
                  </w:tcBorders>
                  <w:vAlign w:val="center"/>
                </w:tcPr>
                <w:p w14:paraId="1C89915C">
                  <w:pPr>
                    <w:snapToGrid w:val="0"/>
                    <w:jc w:val="center"/>
                    <w:rPr>
                      <w:b/>
                      <w:bCs/>
                      <w:color w:val="auto"/>
                    </w:rPr>
                  </w:pPr>
                  <w:r>
                    <w:rPr>
                      <w:b/>
                      <w:bCs/>
                      <w:color w:val="auto"/>
                    </w:rPr>
                    <w:t>污染因子</w:t>
                  </w:r>
                </w:p>
              </w:tc>
              <w:tc>
                <w:tcPr>
                  <w:tcW w:w="1294" w:type="dxa"/>
                  <w:vMerge w:val="restart"/>
                  <w:tcBorders>
                    <w:top w:val="single" w:color="000000" w:sz="6" w:space="0"/>
                    <w:left w:val="single" w:color="000000" w:sz="4" w:space="0"/>
                    <w:bottom w:val="single" w:color="000000" w:sz="4" w:space="0"/>
                    <w:right w:val="single" w:color="000000" w:sz="4" w:space="0"/>
                  </w:tcBorders>
                  <w:vAlign w:val="center"/>
                </w:tcPr>
                <w:p w14:paraId="649A4193">
                  <w:pPr>
                    <w:snapToGrid w:val="0"/>
                    <w:jc w:val="center"/>
                    <w:rPr>
                      <w:rFonts w:hint="default" w:eastAsia="宋体"/>
                      <w:b/>
                      <w:bCs/>
                      <w:color w:val="auto"/>
                      <w:lang w:val="en-US" w:eastAsia="zh-CN"/>
                    </w:rPr>
                  </w:pPr>
                  <w:r>
                    <w:rPr>
                      <w:rFonts w:hint="eastAsia"/>
                      <w:b/>
                      <w:bCs/>
                      <w:color w:val="auto"/>
                    </w:rPr>
                    <w:t>现有</w:t>
                  </w:r>
                  <w:r>
                    <w:rPr>
                      <w:b/>
                      <w:bCs/>
                      <w:color w:val="auto"/>
                    </w:rPr>
                    <w:t>项目</w:t>
                  </w:r>
                  <w:r>
                    <w:rPr>
                      <w:rFonts w:hint="eastAsia"/>
                      <w:b/>
                      <w:bCs/>
                      <w:color w:val="auto"/>
                      <w:lang w:val="en-US" w:eastAsia="zh-CN"/>
                    </w:rPr>
                    <w:t>实际排放量</w:t>
                  </w:r>
                </w:p>
              </w:tc>
              <w:tc>
                <w:tcPr>
                  <w:tcW w:w="2688" w:type="dxa"/>
                  <w:gridSpan w:val="3"/>
                  <w:tcBorders>
                    <w:top w:val="single" w:color="000000" w:sz="6" w:space="0"/>
                    <w:left w:val="single" w:color="000000" w:sz="4" w:space="0"/>
                    <w:bottom w:val="single" w:color="000000" w:sz="4" w:space="0"/>
                    <w:right w:val="single" w:color="000000" w:sz="4" w:space="0"/>
                  </w:tcBorders>
                  <w:vAlign w:val="center"/>
                </w:tcPr>
                <w:p w14:paraId="0CD2855D">
                  <w:pPr>
                    <w:snapToGrid w:val="0"/>
                    <w:jc w:val="center"/>
                    <w:rPr>
                      <w:rFonts w:hint="eastAsia"/>
                      <w:b/>
                      <w:bCs/>
                      <w:color w:val="auto"/>
                    </w:rPr>
                  </w:pPr>
                  <w:r>
                    <w:rPr>
                      <w:rFonts w:hint="eastAsia"/>
                      <w:b/>
                      <w:bCs/>
                      <w:color w:val="auto"/>
                      <w:lang w:eastAsia="zh-CN"/>
                    </w:rPr>
                    <w:t>改建</w:t>
                  </w:r>
                  <w:r>
                    <w:rPr>
                      <w:rFonts w:hint="eastAsia"/>
                      <w:b/>
                      <w:bCs/>
                      <w:color w:val="auto"/>
                    </w:rPr>
                    <w:t>项目</w:t>
                  </w:r>
                </w:p>
              </w:tc>
              <w:tc>
                <w:tcPr>
                  <w:tcW w:w="1140" w:type="dxa"/>
                  <w:vMerge w:val="restart"/>
                  <w:tcBorders>
                    <w:top w:val="single" w:color="000000" w:sz="6" w:space="0"/>
                    <w:left w:val="single" w:color="000000" w:sz="4" w:space="0"/>
                    <w:bottom w:val="single" w:color="000000" w:sz="4" w:space="0"/>
                    <w:right w:val="single" w:color="000000" w:sz="4" w:space="0"/>
                  </w:tcBorders>
                  <w:vAlign w:val="center"/>
                </w:tcPr>
                <w:p w14:paraId="0352F5EA">
                  <w:pPr>
                    <w:snapToGrid w:val="0"/>
                    <w:jc w:val="center"/>
                    <w:rPr>
                      <w:b/>
                      <w:bCs/>
                      <w:color w:val="auto"/>
                    </w:rPr>
                  </w:pPr>
                  <w:r>
                    <w:rPr>
                      <w:rFonts w:hint="eastAsia"/>
                      <w:b/>
                      <w:bCs/>
                      <w:color w:val="auto"/>
                      <w:lang w:eastAsia="zh-CN"/>
                    </w:rPr>
                    <w:t>改建</w:t>
                  </w:r>
                  <w:r>
                    <w:rPr>
                      <w:rFonts w:hint="eastAsia"/>
                      <w:b/>
                      <w:bCs/>
                      <w:color w:val="auto"/>
                    </w:rPr>
                    <w:t>后全厂</w:t>
                  </w:r>
                </w:p>
              </w:tc>
              <w:tc>
                <w:tcPr>
                  <w:tcW w:w="1290" w:type="dxa"/>
                  <w:vMerge w:val="restart"/>
                  <w:tcBorders>
                    <w:top w:val="single" w:color="000000" w:sz="6" w:space="0"/>
                    <w:left w:val="single" w:color="000000" w:sz="4" w:space="0"/>
                    <w:bottom w:val="single" w:color="000000" w:sz="4" w:space="0"/>
                    <w:right w:val="single" w:color="000000" w:sz="4" w:space="0"/>
                  </w:tcBorders>
                  <w:vAlign w:val="center"/>
                </w:tcPr>
                <w:p w14:paraId="20B0BD2B">
                  <w:pPr>
                    <w:snapToGrid w:val="0"/>
                    <w:jc w:val="center"/>
                    <w:rPr>
                      <w:b/>
                      <w:bCs/>
                      <w:color w:val="auto"/>
                    </w:rPr>
                  </w:pPr>
                  <w:r>
                    <w:rPr>
                      <w:b/>
                      <w:bCs/>
                      <w:color w:val="auto"/>
                    </w:rPr>
                    <w:t>增减量</w:t>
                  </w:r>
                </w:p>
              </w:tc>
              <w:tc>
                <w:tcPr>
                  <w:tcW w:w="1650" w:type="dxa"/>
                  <w:vMerge w:val="restart"/>
                  <w:tcBorders>
                    <w:top w:val="single" w:color="000000" w:sz="6" w:space="0"/>
                    <w:left w:val="single" w:color="000000" w:sz="4" w:space="0"/>
                    <w:bottom w:val="single" w:color="000000" w:sz="4" w:space="0"/>
                    <w:right w:val="single" w:color="000000" w:sz="6" w:space="0"/>
                  </w:tcBorders>
                  <w:vAlign w:val="center"/>
                </w:tcPr>
                <w:p w14:paraId="3755E614">
                  <w:pPr>
                    <w:snapToGrid w:val="0"/>
                    <w:jc w:val="center"/>
                    <w:rPr>
                      <w:b/>
                      <w:bCs/>
                      <w:color w:val="auto"/>
                    </w:rPr>
                  </w:pPr>
                  <w:r>
                    <w:rPr>
                      <w:b/>
                      <w:bCs/>
                      <w:snapToGrid w:val="0"/>
                      <w:color w:val="auto"/>
                      <w:spacing w:val="-6"/>
                      <w:kern w:val="21"/>
                      <w:szCs w:val="21"/>
                    </w:rPr>
                    <w:t>本项目所需申请排污总量</w:t>
                  </w:r>
                </w:p>
              </w:tc>
            </w:tr>
            <w:tr w14:paraId="2E5A6F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6" w:type="dxa"/>
                  <w:vMerge w:val="continue"/>
                  <w:tcBorders>
                    <w:top w:val="single" w:color="000000" w:sz="4" w:space="0"/>
                    <w:left w:val="single" w:color="000000" w:sz="4" w:space="0"/>
                    <w:bottom w:val="single" w:color="000000" w:sz="4" w:space="0"/>
                    <w:right w:val="single" w:color="000000" w:sz="4" w:space="0"/>
                  </w:tcBorders>
                  <w:vAlign w:val="center"/>
                </w:tcPr>
                <w:p w14:paraId="3E79A8D0">
                  <w:pPr>
                    <w:snapToGrid w:val="0"/>
                    <w:jc w:val="center"/>
                    <w:rPr>
                      <w:b/>
                      <w:bCs/>
                      <w:color w:val="auto"/>
                    </w:rPr>
                  </w:pPr>
                </w:p>
              </w:tc>
              <w:tc>
                <w:tcPr>
                  <w:tcW w:w="1294" w:type="dxa"/>
                  <w:vMerge w:val="continue"/>
                  <w:tcBorders>
                    <w:top w:val="single" w:color="000000" w:sz="4" w:space="0"/>
                    <w:left w:val="single" w:color="000000" w:sz="4" w:space="0"/>
                    <w:bottom w:val="single" w:color="000000" w:sz="4" w:space="0"/>
                    <w:right w:val="single" w:color="000000" w:sz="4" w:space="0"/>
                  </w:tcBorders>
                  <w:vAlign w:val="center"/>
                </w:tcPr>
                <w:p w14:paraId="5C4E0768">
                  <w:pPr>
                    <w:snapToGrid w:val="0"/>
                    <w:jc w:val="center"/>
                    <w:rPr>
                      <w:rFonts w:hint="eastAsia"/>
                      <w:b/>
                      <w:bCs/>
                      <w:color w:val="auto"/>
                    </w:rPr>
                  </w:pPr>
                </w:p>
              </w:tc>
              <w:tc>
                <w:tcPr>
                  <w:tcW w:w="948" w:type="dxa"/>
                  <w:tcBorders>
                    <w:top w:val="single" w:color="000000" w:sz="4" w:space="0"/>
                    <w:left w:val="single" w:color="000000" w:sz="4" w:space="0"/>
                    <w:bottom w:val="single" w:color="000000" w:sz="4" w:space="0"/>
                    <w:right w:val="single" w:color="000000" w:sz="4" w:space="0"/>
                  </w:tcBorders>
                  <w:vAlign w:val="center"/>
                </w:tcPr>
                <w:p w14:paraId="387F0470">
                  <w:pPr>
                    <w:pStyle w:val="115"/>
                    <w:spacing w:beforeLines="0" w:afterLines="0" w:line="240" w:lineRule="auto"/>
                    <w:ind w:firstLine="0"/>
                    <w:rPr>
                      <w:rFonts w:hint="eastAsia" w:ascii="Times New Roman"/>
                      <w:b/>
                      <w:bCs/>
                      <w:snapToGrid w:val="0"/>
                      <w:color w:val="auto"/>
                      <w:spacing w:val="-6"/>
                      <w:kern w:val="21"/>
                      <w:szCs w:val="21"/>
                    </w:rPr>
                  </w:pPr>
                  <w:r>
                    <w:rPr>
                      <w:rFonts w:ascii="Times New Roman"/>
                      <w:color w:val="auto"/>
                      <w:szCs w:val="21"/>
                    </w:rPr>
                    <w:t>有组织</w:t>
                  </w:r>
                </w:p>
              </w:tc>
              <w:tc>
                <w:tcPr>
                  <w:tcW w:w="930" w:type="dxa"/>
                  <w:tcBorders>
                    <w:top w:val="single" w:color="000000" w:sz="4" w:space="0"/>
                    <w:left w:val="single" w:color="000000" w:sz="4" w:space="0"/>
                    <w:bottom w:val="single" w:color="000000" w:sz="4" w:space="0"/>
                    <w:right w:val="single" w:color="000000" w:sz="4" w:space="0"/>
                  </w:tcBorders>
                  <w:vAlign w:val="center"/>
                </w:tcPr>
                <w:p w14:paraId="7BDA067D">
                  <w:pPr>
                    <w:pStyle w:val="115"/>
                    <w:spacing w:beforeLines="0" w:afterLines="0" w:line="240" w:lineRule="auto"/>
                    <w:ind w:firstLine="0"/>
                    <w:rPr>
                      <w:rFonts w:hint="eastAsia" w:ascii="Times New Roman"/>
                      <w:b/>
                      <w:bCs/>
                      <w:snapToGrid w:val="0"/>
                      <w:color w:val="auto"/>
                      <w:spacing w:val="-6"/>
                      <w:kern w:val="21"/>
                      <w:szCs w:val="21"/>
                    </w:rPr>
                  </w:pPr>
                  <w:r>
                    <w:rPr>
                      <w:rFonts w:ascii="Times New Roman"/>
                      <w:color w:val="auto"/>
                      <w:szCs w:val="21"/>
                    </w:rPr>
                    <w:t>无组织</w:t>
                  </w:r>
                </w:p>
              </w:tc>
              <w:tc>
                <w:tcPr>
                  <w:tcW w:w="810" w:type="dxa"/>
                  <w:tcBorders>
                    <w:top w:val="single" w:color="000000" w:sz="4" w:space="0"/>
                    <w:left w:val="single" w:color="000000" w:sz="4" w:space="0"/>
                    <w:bottom w:val="single" w:color="000000" w:sz="4" w:space="0"/>
                    <w:right w:val="single" w:color="000000" w:sz="4" w:space="0"/>
                  </w:tcBorders>
                  <w:vAlign w:val="center"/>
                </w:tcPr>
                <w:p w14:paraId="7637E663">
                  <w:pPr>
                    <w:pStyle w:val="115"/>
                    <w:spacing w:beforeLines="0" w:afterLines="0" w:line="240" w:lineRule="auto"/>
                    <w:ind w:firstLine="0"/>
                    <w:rPr>
                      <w:rFonts w:hint="eastAsia" w:ascii="Times New Roman"/>
                      <w:b/>
                      <w:bCs/>
                      <w:snapToGrid w:val="0"/>
                      <w:color w:val="auto"/>
                      <w:spacing w:val="-6"/>
                      <w:kern w:val="21"/>
                      <w:szCs w:val="21"/>
                    </w:rPr>
                  </w:pPr>
                  <w:r>
                    <w:rPr>
                      <w:rFonts w:ascii="Times New Roman"/>
                      <w:color w:val="auto"/>
                      <w:szCs w:val="21"/>
                    </w:rPr>
                    <w:t>合计</w:t>
                  </w:r>
                </w:p>
              </w:tc>
              <w:tc>
                <w:tcPr>
                  <w:tcW w:w="1140" w:type="dxa"/>
                  <w:vMerge w:val="continue"/>
                  <w:tcBorders>
                    <w:top w:val="single" w:color="000000" w:sz="4" w:space="0"/>
                    <w:left w:val="single" w:color="000000" w:sz="4" w:space="0"/>
                    <w:bottom w:val="single" w:color="000000" w:sz="4" w:space="0"/>
                    <w:right w:val="single" w:color="000000" w:sz="4" w:space="0"/>
                  </w:tcBorders>
                  <w:vAlign w:val="center"/>
                </w:tcPr>
                <w:p w14:paraId="598E6344">
                  <w:pPr>
                    <w:snapToGrid w:val="0"/>
                    <w:jc w:val="center"/>
                    <w:rPr>
                      <w:rFonts w:hint="eastAsia"/>
                      <w:b/>
                      <w:bCs/>
                      <w:color w:val="auto"/>
                    </w:rPr>
                  </w:pPr>
                </w:p>
              </w:tc>
              <w:tc>
                <w:tcPr>
                  <w:tcW w:w="1290" w:type="dxa"/>
                  <w:vMerge w:val="continue"/>
                  <w:tcBorders>
                    <w:top w:val="single" w:color="000000" w:sz="4" w:space="0"/>
                    <w:left w:val="single" w:color="000000" w:sz="4" w:space="0"/>
                    <w:bottom w:val="single" w:color="000000" w:sz="4" w:space="0"/>
                    <w:right w:val="single" w:color="000000" w:sz="4" w:space="0"/>
                  </w:tcBorders>
                  <w:vAlign w:val="center"/>
                </w:tcPr>
                <w:p w14:paraId="468318EB">
                  <w:pPr>
                    <w:snapToGrid w:val="0"/>
                    <w:jc w:val="center"/>
                    <w:rPr>
                      <w:rFonts w:hint="eastAsia"/>
                      <w:b/>
                      <w:bCs/>
                      <w:color w:val="auto"/>
                    </w:rPr>
                  </w:pPr>
                </w:p>
              </w:tc>
              <w:tc>
                <w:tcPr>
                  <w:tcW w:w="1650" w:type="dxa"/>
                  <w:vMerge w:val="continue"/>
                  <w:tcBorders>
                    <w:top w:val="single" w:color="000000" w:sz="4" w:space="0"/>
                    <w:left w:val="single" w:color="000000" w:sz="4" w:space="0"/>
                    <w:bottom w:val="single" w:color="000000" w:sz="4" w:space="0"/>
                    <w:right w:val="single" w:color="000000" w:sz="6" w:space="0"/>
                  </w:tcBorders>
                  <w:vAlign w:val="center"/>
                </w:tcPr>
                <w:p w14:paraId="2E5FDAD2">
                  <w:pPr>
                    <w:snapToGrid w:val="0"/>
                    <w:jc w:val="center"/>
                    <w:rPr>
                      <w:rFonts w:hint="eastAsia"/>
                      <w:b/>
                      <w:bCs/>
                      <w:color w:val="auto"/>
                    </w:rPr>
                  </w:pPr>
                </w:p>
              </w:tc>
            </w:tr>
            <w:tr w14:paraId="738B25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6" w:type="dxa"/>
                  <w:tcBorders>
                    <w:top w:val="single" w:color="000000" w:sz="4" w:space="0"/>
                    <w:left w:val="single" w:color="000000" w:sz="4" w:space="0"/>
                    <w:bottom w:val="single" w:color="000000" w:sz="6" w:space="0"/>
                    <w:right w:val="single" w:color="000000" w:sz="4" w:space="0"/>
                  </w:tcBorders>
                  <w:vAlign w:val="center"/>
                </w:tcPr>
                <w:p w14:paraId="5E839A94">
                  <w:pPr>
                    <w:jc w:val="center"/>
                    <w:rPr>
                      <w:color w:val="auto"/>
                    </w:rPr>
                  </w:pPr>
                  <w:r>
                    <w:rPr>
                      <w:rFonts w:hint="eastAsia"/>
                      <w:color w:val="auto"/>
                    </w:rPr>
                    <w:t>VOCs</w:t>
                  </w:r>
                </w:p>
              </w:tc>
              <w:tc>
                <w:tcPr>
                  <w:tcW w:w="1294" w:type="dxa"/>
                  <w:tcBorders>
                    <w:top w:val="single" w:color="000000" w:sz="4" w:space="0"/>
                    <w:left w:val="single" w:color="000000" w:sz="4" w:space="0"/>
                    <w:bottom w:val="single" w:color="000000" w:sz="6" w:space="0"/>
                    <w:right w:val="single" w:color="000000" w:sz="4" w:space="0"/>
                  </w:tcBorders>
                  <w:vAlign w:val="center"/>
                </w:tcPr>
                <w:p w14:paraId="79CDF94D">
                  <w:pPr>
                    <w:jc w:val="center"/>
                    <w:rPr>
                      <w:rFonts w:hint="default" w:eastAsia="宋体"/>
                      <w:color w:val="auto"/>
                      <w:lang w:val="en-US" w:eastAsia="zh-CN"/>
                    </w:rPr>
                  </w:pPr>
                  <w:r>
                    <w:rPr>
                      <w:rFonts w:hint="eastAsia"/>
                      <w:color w:val="auto"/>
                      <w:lang w:val="en-US" w:eastAsia="zh-CN"/>
                    </w:rPr>
                    <w:t>0.0727</w:t>
                  </w:r>
                </w:p>
              </w:tc>
              <w:tc>
                <w:tcPr>
                  <w:tcW w:w="948" w:type="dxa"/>
                  <w:tcBorders>
                    <w:top w:val="single" w:color="000000" w:sz="4" w:space="0"/>
                    <w:left w:val="single" w:color="000000" w:sz="4" w:space="0"/>
                    <w:bottom w:val="single" w:color="000000" w:sz="6" w:space="0"/>
                    <w:right w:val="single" w:color="000000" w:sz="4" w:space="0"/>
                  </w:tcBorders>
                  <w:vAlign w:val="center"/>
                </w:tcPr>
                <w:p w14:paraId="6DE2017F">
                  <w:pPr>
                    <w:spacing w:line="240" w:lineRule="auto"/>
                    <w:jc w:val="center"/>
                    <w:rPr>
                      <w:color w:val="auto"/>
                      <w:szCs w:val="21"/>
                    </w:rPr>
                  </w:pPr>
                  <w:r>
                    <w:rPr>
                      <w:rFonts w:hint="eastAsia"/>
                      <w:color w:val="auto"/>
                      <w:szCs w:val="21"/>
                    </w:rPr>
                    <w:t>0.1216</w:t>
                  </w:r>
                </w:p>
              </w:tc>
              <w:tc>
                <w:tcPr>
                  <w:tcW w:w="930" w:type="dxa"/>
                  <w:tcBorders>
                    <w:top w:val="single" w:color="000000" w:sz="4" w:space="0"/>
                    <w:left w:val="single" w:color="000000" w:sz="4" w:space="0"/>
                    <w:bottom w:val="single" w:color="000000" w:sz="6" w:space="0"/>
                    <w:right w:val="single" w:color="000000" w:sz="4" w:space="0"/>
                  </w:tcBorders>
                  <w:vAlign w:val="center"/>
                </w:tcPr>
                <w:p w14:paraId="12604F2A">
                  <w:pPr>
                    <w:spacing w:line="240" w:lineRule="auto"/>
                    <w:jc w:val="center"/>
                    <w:rPr>
                      <w:rFonts w:hint="eastAsia"/>
                      <w:color w:val="auto"/>
                      <w:szCs w:val="21"/>
                    </w:rPr>
                  </w:pPr>
                  <w:r>
                    <w:rPr>
                      <w:rFonts w:hint="eastAsia"/>
                      <w:color w:val="auto"/>
                      <w:szCs w:val="21"/>
                    </w:rPr>
                    <w:t>0.0676</w:t>
                  </w:r>
                </w:p>
              </w:tc>
              <w:tc>
                <w:tcPr>
                  <w:tcW w:w="810" w:type="dxa"/>
                  <w:tcBorders>
                    <w:top w:val="single" w:color="000000" w:sz="4" w:space="0"/>
                    <w:left w:val="single" w:color="000000" w:sz="4" w:space="0"/>
                    <w:bottom w:val="single" w:color="000000" w:sz="6" w:space="0"/>
                    <w:right w:val="single" w:color="000000" w:sz="4" w:space="0"/>
                  </w:tcBorders>
                  <w:vAlign w:val="center"/>
                </w:tcPr>
                <w:p w14:paraId="13C9B2A3">
                  <w:pPr>
                    <w:spacing w:line="240" w:lineRule="auto"/>
                    <w:jc w:val="center"/>
                    <w:rPr>
                      <w:rFonts w:hint="eastAsia"/>
                      <w:snapToGrid w:val="0"/>
                      <w:color w:val="auto"/>
                      <w:kern w:val="21"/>
                      <w:szCs w:val="21"/>
                    </w:rPr>
                  </w:pPr>
                  <w:r>
                    <w:rPr>
                      <w:rFonts w:hint="eastAsia"/>
                      <w:snapToGrid w:val="0"/>
                      <w:color w:val="auto"/>
                      <w:kern w:val="21"/>
                      <w:szCs w:val="21"/>
                    </w:rPr>
                    <w:t>0.1892</w:t>
                  </w:r>
                </w:p>
              </w:tc>
              <w:tc>
                <w:tcPr>
                  <w:tcW w:w="1140" w:type="dxa"/>
                  <w:tcBorders>
                    <w:top w:val="single" w:color="000000" w:sz="4" w:space="0"/>
                    <w:left w:val="single" w:color="000000" w:sz="4" w:space="0"/>
                    <w:bottom w:val="single" w:color="000000" w:sz="6" w:space="0"/>
                    <w:right w:val="single" w:color="000000" w:sz="4" w:space="0"/>
                  </w:tcBorders>
                  <w:vAlign w:val="center"/>
                </w:tcPr>
                <w:p w14:paraId="3BD6C96B">
                  <w:pPr>
                    <w:jc w:val="center"/>
                    <w:rPr>
                      <w:rFonts w:hint="default" w:eastAsia="宋体"/>
                      <w:color w:val="auto"/>
                      <w:lang w:val="en-US" w:eastAsia="zh-CN"/>
                    </w:rPr>
                  </w:pPr>
                  <w:r>
                    <w:rPr>
                      <w:rFonts w:hint="eastAsia"/>
                      <w:color w:val="auto"/>
                      <w:lang w:val="en-US" w:eastAsia="zh-CN"/>
                    </w:rPr>
                    <w:t>0.2619</w:t>
                  </w:r>
                </w:p>
              </w:tc>
              <w:tc>
                <w:tcPr>
                  <w:tcW w:w="1290" w:type="dxa"/>
                  <w:tcBorders>
                    <w:top w:val="single" w:color="000000" w:sz="4" w:space="0"/>
                    <w:left w:val="single" w:color="000000" w:sz="4" w:space="0"/>
                    <w:bottom w:val="single" w:color="000000" w:sz="6" w:space="0"/>
                    <w:right w:val="single" w:color="000000" w:sz="4" w:space="0"/>
                  </w:tcBorders>
                  <w:vAlign w:val="center"/>
                </w:tcPr>
                <w:p w14:paraId="39F9DC2C">
                  <w:pPr>
                    <w:jc w:val="center"/>
                    <w:rPr>
                      <w:color w:val="auto"/>
                    </w:rPr>
                  </w:pPr>
                  <w:r>
                    <w:rPr>
                      <w:color w:val="auto"/>
                    </w:rPr>
                    <w:t>+</w:t>
                  </w:r>
                  <w:r>
                    <w:rPr>
                      <w:rFonts w:hint="eastAsia"/>
                      <w:color w:val="auto"/>
                    </w:rPr>
                    <w:t>0.1892</w:t>
                  </w:r>
                </w:p>
              </w:tc>
              <w:tc>
                <w:tcPr>
                  <w:tcW w:w="1650" w:type="dxa"/>
                  <w:tcBorders>
                    <w:top w:val="single" w:color="000000" w:sz="4" w:space="0"/>
                    <w:left w:val="single" w:color="000000" w:sz="4" w:space="0"/>
                    <w:bottom w:val="single" w:color="000000" w:sz="6" w:space="0"/>
                    <w:right w:val="single" w:color="000000" w:sz="6" w:space="0"/>
                  </w:tcBorders>
                  <w:vAlign w:val="center"/>
                </w:tcPr>
                <w:p w14:paraId="418056B5">
                  <w:pPr>
                    <w:jc w:val="center"/>
                    <w:rPr>
                      <w:color w:val="auto"/>
                    </w:rPr>
                  </w:pPr>
                  <w:r>
                    <w:rPr>
                      <w:rFonts w:hint="eastAsia"/>
                      <w:color w:val="auto"/>
                    </w:rPr>
                    <w:t>0.1892</w:t>
                  </w:r>
                </w:p>
              </w:tc>
            </w:tr>
          </w:tbl>
          <w:p w14:paraId="6693259B">
            <w:pPr>
              <w:pStyle w:val="50"/>
              <w:spacing w:line="360" w:lineRule="auto"/>
              <w:ind w:firstLine="480" w:firstLineChars="200"/>
              <w:rPr>
                <w:color w:val="auto"/>
              </w:rPr>
            </w:pPr>
            <w:r>
              <w:rPr>
                <w:rFonts w:ascii="Times New Roman" w:hAnsi="Times New Roman" w:cs="Times New Roman"/>
                <w:color w:val="auto"/>
                <w:kern w:val="0"/>
              </w:rPr>
              <w:t>综上所述，本</w:t>
            </w:r>
            <w:r>
              <w:rPr>
                <w:rFonts w:hint="eastAsia" w:ascii="Times New Roman" w:hAnsi="Times New Roman" w:cs="Times New Roman"/>
                <w:color w:val="auto"/>
                <w:kern w:val="0"/>
                <w:lang w:eastAsia="zh-CN"/>
              </w:rPr>
              <w:t>改建</w:t>
            </w:r>
            <w:r>
              <w:rPr>
                <w:rFonts w:ascii="Times New Roman" w:hAnsi="Times New Roman" w:cs="Times New Roman"/>
                <w:color w:val="auto"/>
                <w:kern w:val="0"/>
              </w:rPr>
              <w:t>项目所产生的总量指标</w:t>
            </w:r>
            <w:r>
              <w:rPr>
                <w:rFonts w:hint="eastAsia" w:ascii="Times New Roman" w:hAnsi="Times New Roman" w:cs="Times New Roman"/>
                <w:color w:val="auto"/>
                <w:kern w:val="0"/>
              </w:rPr>
              <w:t>为</w:t>
            </w:r>
            <w:r>
              <w:rPr>
                <w:rFonts w:hint="eastAsia" w:ascii="Times New Roman" w:hAnsi="Times New Roman" w:cs="Times New Roman"/>
                <w:color w:val="auto"/>
                <w:kern w:val="0"/>
                <w:lang w:val="en-US" w:eastAsia="zh-CN"/>
              </w:rPr>
              <w:t>VOCs</w:t>
            </w:r>
            <w:r>
              <w:rPr>
                <w:rFonts w:hint="eastAsia" w:ascii="Times New Roman" w:hAnsi="Times New Roman" w:cs="Times New Roman"/>
                <w:color w:val="auto"/>
                <w:kern w:val="0"/>
              </w:rPr>
              <w:t>0.1892t/a，</w:t>
            </w:r>
            <w:r>
              <w:rPr>
                <w:rFonts w:ascii="Times New Roman" w:hAnsi="Times New Roman" w:cs="Times New Roman"/>
                <w:color w:val="auto"/>
                <w:kern w:val="0"/>
              </w:rPr>
              <w:t>由建设单位根据环评报告核算量作为总量控制建议指标向当地生态环境主管部门申报，经批准认可后，方可作为项目污染物排放总量控制指标</w:t>
            </w:r>
            <w:r>
              <w:rPr>
                <w:rFonts w:hint="eastAsia" w:ascii="Times New Roman" w:hAnsi="Times New Roman" w:cs="Times New Roman"/>
                <w:color w:val="auto"/>
                <w:kern w:val="0"/>
              </w:rPr>
              <w:t>。</w:t>
            </w:r>
          </w:p>
        </w:tc>
      </w:tr>
    </w:tbl>
    <w:p w14:paraId="1D1DC504">
      <w:pPr>
        <w:pStyle w:val="36"/>
        <w:jc w:val="center"/>
        <w:outlineLvl w:val="0"/>
        <w:rPr>
          <w:rFonts w:ascii="Times New Roman" w:hAnsi="Times New Roman" w:eastAsia="黑体"/>
          <w:snapToGrid w:val="0"/>
          <w:color w:val="auto"/>
          <w:sz w:val="36"/>
          <w:szCs w:val="36"/>
        </w:rPr>
      </w:pPr>
      <w:r>
        <w:rPr>
          <w:rFonts w:ascii="Times New Roman" w:hAnsi="Times New Roman" w:eastAsia="黑体"/>
          <w:snapToGrid w:val="0"/>
          <w:color w:val="auto"/>
          <w:sz w:val="36"/>
          <w:szCs w:val="36"/>
        </w:rPr>
        <w:br w:type="page"/>
      </w:r>
      <w:bookmarkStart w:id="273" w:name="_Toc28814"/>
      <w:bookmarkStart w:id="274" w:name="_Toc26978"/>
      <w:r>
        <w:rPr>
          <w:rFonts w:ascii="Times New Roman" w:hAnsi="Times New Roman" w:eastAsia="黑体"/>
          <w:snapToGrid w:val="0"/>
          <w:color w:val="auto"/>
          <w:sz w:val="30"/>
          <w:szCs w:val="30"/>
        </w:rPr>
        <w:t>四、主要环境影响和保护措施</w:t>
      </w:r>
      <w:bookmarkEnd w:id="273"/>
      <w:bookmarkEnd w:id="274"/>
    </w:p>
    <w:tbl>
      <w:tblPr>
        <w:tblStyle w:val="42"/>
        <w:tblW w:w="551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72"/>
        <w:gridCol w:w="9517"/>
      </w:tblGrid>
      <w:tr w14:paraId="209E0D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61" w:hRule="atLeast"/>
          <w:jc w:val="center"/>
        </w:trPr>
        <w:tc>
          <w:tcPr>
            <w:tcW w:w="475" w:type="dxa"/>
            <w:tcMar>
              <w:left w:w="28" w:type="dxa"/>
              <w:right w:w="28" w:type="dxa"/>
            </w:tcMar>
            <w:vAlign w:val="center"/>
          </w:tcPr>
          <w:p w14:paraId="1A1BF396">
            <w:pPr>
              <w:pStyle w:val="36"/>
              <w:adjustRightInd w:val="0"/>
              <w:snapToGrid w:val="0"/>
              <w:spacing w:before="0" w:beforeAutospacing="0" w:after="0" w:afterAutospacing="0"/>
              <w:jc w:val="center"/>
              <w:rPr>
                <w:rFonts w:ascii="Times New Roman" w:hAnsi="Times New Roman"/>
                <w:bCs/>
                <w:color w:val="auto"/>
                <w:kern w:val="2"/>
                <w:szCs w:val="24"/>
              </w:rPr>
            </w:pPr>
            <w:r>
              <w:rPr>
                <w:rFonts w:ascii="Times New Roman" w:hAnsi="Times New Roman"/>
                <w:color w:val="auto"/>
                <w:kern w:val="2"/>
                <w:szCs w:val="24"/>
              </w:rPr>
              <w:t>施工期环境保护措施</w:t>
            </w:r>
          </w:p>
        </w:tc>
        <w:tc>
          <w:tcPr>
            <w:tcW w:w="9597" w:type="dxa"/>
            <w:vAlign w:val="center"/>
          </w:tcPr>
          <w:p w14:paraId="3D5C7FC2">
            <w:pPr>
              <w:pStyle w:val="189"/>
              <w:spacing w:line="360" w:lineRule="auto"/>
              <w:ind w:firstLine="480"/>
              <w:rPr>
                <w:bCs/>
                <w:color w:val="auto"/>
                <w:spacing w:val="-10"/>
                <w:sz w:val="24"/>
              </w:rPr>
            </w:pPr>
            <w:r>
              <w:rPr>
                <w:rFonts w:hint="eastAsia"/>
                <w:color w:val="auto"/>
                <w:sz w:val="24"/>
              </w:rPr>
              <w:t>本</w:t>
            </w:r>
            <w:r>
              <w:rPr>
                <w:rFonts w:hint="eastAsia"/>
                <w:color w:val="auto"/>
                <w:sz w:val="24"/>
                <w:lang w:eastAsia="zh-CN"/>
              </w:rPr>
              <w:t>改建</w:t>
            </w:r>
            <w:r>
              <w:rPr>
                <w:color w:val="auto"/>
                <w:sz w:val="24"/>
              </w:rPr>
              <w:t>项目厂房已经建成，项目业主单位</w:t>
            </w:r>
            <w:r>
              <w:rPr>
                <w:rFonts w:hint="eastAsia"/>
                <w:color w:val="auto"/>
                <w:sz w:val="24"/>
              </w:rPr>
              <w:t>于</w:t>
            </w:r>
            <w:r>
              <w:rPr>
                <w:color w:val="auto"/>
                <w:sz w:val="24"/>
              </w:rPr>
              <w:t>原厂房</w:t>
            </w:r>
            <w:r>
              <w:rPr>
                <w:rFonts w:hint="eastAsia"/>
                <w:color w:val="auto"/>
                <w:sz w:val="24"/>
              </w:rPr>
              <w:t>进行本</w:t>
            </w:r>
            <w:r>
              <w:rPr>
                <w:rFonts w:hint="eastAsia"/>
                <w:color w:val="auto"/>
                <w:sz w:val="24"/>
                <w:lang w:eastAsia="zh-CN"/>
              </w:rPr>
              <w:t>改建</w:t>
            </w:r>
            <w:r>
              <w:rPr>
                <w:color w:val="auto"/>
                <w:sz w:val="24"/>
              </w:rPr>
              <w:t>项目，无土建施工，项目施工期主要在已建厂房内进行机械设备的安装和调试，主要为人工作业，无大型机械入内，施工期基本无废水、废气、固废产生，机械噪音也较小，可忽略。本报告不对施工期环境影响进行评价。</w:t>
            </w:r>
          </w:p>
        </w:tc>
      </w:tr>
      <w:tr w14:paraId="520DAC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5" w:type="dxa"/>
            <w:tcMar>
              <w:left w:w="28" w:type="dxa"/>
              <w:right w:w="28" w:type="dxa"/>
            </w:tcMar>
            <w:vAlign w:val="center"/>
          </w:tcPr>
          <w:p w14:paraId="6A6B0BD9">
            <w:pPr>
              <w:adjustRightInd w:val="0"/>
              <w:snapToGrid w:val="0"/>
              <w:jc w:val="center"/>
              <w:rPr>
                <w:bCs/>
                <w:color w:val="auto"/>
                <w:sz w:val="24"/>
              </w:rPr>
            </w:pPr>
            <w:r>
              <w:rPr>
                <w:bCs/>
                <w:color w:val="auto"/>
                <w:sz w:val="24"/>
              </w:rPr>
              <w:t>运营期环境影响和保护措施</w:t>
            </w:r>
          </w:p>
        </w:tc>
        <w:tc>
          <w:tcPr>
            <w:tcW w:w="9597" w:type="dxa"/>
            <w:vAlign w:val="center"/>
          </w:tcPr>
          <w:p w14:paraId="27B261A5">
            <w:pPr>
              <w:pStyle w:val="189"/>
              <w:spacing w:line="360" w:lineRule="auto"/>
              <w:ind w:firstLine="480"/>
              <w:rPr>
                <w:color w:val="auto"/>
                <w:sz w:val="24"/>
              </w:rPr>
            </w:pPr>
            <w:r>
              <w:rPr>
                <w:color w:val="auto"/>
                <w:sz w:val="24"/>
              </w:rPr>
              <w:t>根据市场要求以及建设单位的自身发展规划，</w:t>
            </w:r>
            <w:r>
              <w:rPr>
                <w:rFonts w:hint="eastAsia"/>
                <w:color w:val="auto"/>
                <w:sz w:val="24"/>
              </w:rPr>
              <w:t>本</w:t>
            </w:r>
            <w:r>
              <w:rPr>
                <w:rFonts w:hint="eastAsia"/>
                <w:color w:val="auto"/>
                <w:sz w:val="24"/>
                <w:lang w:eastAsia="zh-CN"/>
              </w:rPr>
              <w:t>改建</w:t>
            </w:r>
            <w:r>
              <w:rPr>
                <w:color w:val="auto"/>
                <w:sz w:val="24"/>
              </w:rPr>
              <w:t>项目对</w:t>
            </w:r>
            <w:r>
              <w:rPr>
                <w:rFonts w:hint="eastAsia"/>
                <w:color w:val="auto"/>
                <w:sz w:val="24"/>
              </w:rPr>
              <w:t>生产工艺进行调整，减少产品的阳极氧化，增加</w:t>
            </w:r>
            <w:r>
              <w:rPr>
                <w:color w:val="auto"/>
                <w:sz w:val="24"/>
              </w:rPr>
              <w:t>产品</w:t>
            </w:r>
            <w:r>
              <w:rPr>
                <w:rFonts w:hint="eastAsia"/>
                <w:color w:val="auto"/>
                <w:sz w:val="24"/>
              </w:rPr>
              <w:t>的电泳漆表面加工，本部分仅对本</w:t>
            </w:r>
            <w:r>
              <w:rPr>
                <w:rFonts w:hint="eastAsia"/>
                <w:color w:val="auto"/>
                <w:sz w:val="24"/>
                <w:lang w:eastAsia="zh-CN"/>
              </w:rPr>
              <w:t>改建</w:t>
            </w:r>
            <w:r>
              <w:rPr>
                <w:rFonts w:hint="eastAsia"/>
                <w:color w:val="auto"/>
                <w:sz w:val="24"/>
              </w:rPr>
              <w:t>项目的电泳漆表面加工生产线产生的</w:t>
            </w:r>
            <w:r>
              <w:rPr>
                <w:color w:val="auto"/>
                <w:sz w:val="24"/>
              </w:rPr>
              <w:t>废气、废水、噪声和固废作详细分析。</w:t>
            </w:r>
          </w:p>
          <w:p w14:paraId="0158BA4E">
            <w:pPr>
              <w:pStyle w:val="189"/>
              <w:widowControl w:val="0"/>
              <w:spacing w:line="360" w:lineRule="auto"/>
              <w:ind w:firstLine="482"/>
              <w:rPr>
                <w:b/>
                <w:bCs/>
                <w:color w:val="auto"/>
                <w:sz w:val="24"/>
              </w:rPr>
            </w:pPr>
            <w:r>
              <w:rPr>
                <w:b/>
                <w:bCs/>
                <w:color w:val="auto"/>
                <w:sz w:val="24"/>
              </w:rPr>
              <w:t>（一）废气</w:t>
            </w:r>
          </w:p>
          <w:p w14:paraId="43F00120">
            <w:pPr>
              <w:pStyle w:val="189"/>
              <w:spacing w:line="360" w:lineRule="auto"/>
              <w:ind w:firstLine="480"/>
              <w:rPr>
                <w:color w:val="auto"/>
                <w:sz w:val="24"/>
              </w:rPr>
            </w:pPr>
            <w:r>
              <w:rPr>
                <w:rFonts w:hint="eastAsia"/>
                <w:color w:val="auto"/>
                <w:sz w:val="24"/>
              </w:rPr>
              <w:t>本</w:t>
            </w:r>
            <w:r>
              <w:rPr>
                <w:rFonts w:hint="eastAsia"/>
                <w:color w:val="auto"/>
                <w:sz w:val="24"/>
                <w:lang w:eastAsia="zh-CN"/>
              </w:rPr>
              <w:t>改建</w:t>
            </w:r>
            <w:r>
              <w:rPr>
                <w:rFonts w:hint="eastAsia"/>
                <w:color w:val="auto"/>
                <w:sz w:val="24"/>
              </w:rPr>
              <w:t>项目项目废气污染物主要为</w:t>
            </w:r>
            <w:r>
              <w:rPr>
                <w:color w:val="auto"/>
                <w:kern w:val="0"/>
                <w:sz w:val="24"/>
              </w:rPr>
              <w:t>电泳</w:t>
            </w:r>
            <w:r>
              <w:rPr>
                <w:rFonts w:hint="eastAsia"/>
                <w:color w:val="auto"/>
                <w:kern w:val="0"/>
                <w:sz w:val="24"/>
              </w:rPr>
              <w:t>漆</w:t>
            </w:r>
            <w:r>
              <w:rPr>
                <w:color w:val="auto"/>
                <w:kern w:val="0"/>
                <w:sz w:val="24"/>
              </w:rPr>
              <w:t>涂装</w:t>
            </w:r>
            <w:r>
              <w:rPr>
                <w:rFonts w:hint="eastAsia"/>
                <w:color w:val="auto"/>
                <w:kern w:val="0"/>
                <w:sz w:val="24"/>
              </w:rPr>
              <w:t>、</w:t>
            </w:r>
            <w:r>
              <w:rPr>
                <w:color w:val="auto"/>
                <w:kern w:val="0"/>
                <w:sz w:val="24"/>
              </w:rPr>
              <w:t>烘干固化产生的有机废气</w:t>
            </w:r>
            <w:r>
              <w:rPr>
                <w:rFonts w:hint="eastAsia"/>
                <w:color w:val="auto"/>
                <w:kern w:val="0"/>
                <w:sz w:val="24"/>
              </w:rPr>
              <w:t>及臭气浓度</w:t>
            </w:r>
            <w:r>
              <w:rPr>
                <w:rFonts w:hint="eastAsia"/>
                <w:color w:val="auto"/>
                <w:sz w:val="24"/>
              </w:rPr>
              <w:t>。</w:t>
            </w:r>
            <w:r>
              <w:rPr>
                <w:color w:val="auto"/>
                <w:sz w:val="24"/>
              </w:rPr>
              <w:t>根据《建设项目环境影响报告表编制技术指南（污染影响类）（试行）》中“表1专项评价设置原则表”的要求。本项目无需设置大气专项评价。根据本项目规划，结合生产工艺，本项目废气产污环节、污染物项目、排放形式及污染防治设施见下表。</w:t>
            </w:r>
          </w:p>
          <w:p w14:paraId="69680AB5">
            <w:pPr>
              <w:pStyle w:val="189"/>
              <w:widowControl w:val="0"/>
              <w:spacing w:line="0" w:lineRule="atLeast"/>
              <w:ind w:firstLine="422"/>
              <w:jc w:val="center"/>
              <w:rPr>
                <w:b/>
                <w:bCs/>
                <w:color w:val="auto"/>
                <w:szCs w:val="21"/>
              </w:rPr>
            </w:pPr>
            <w:r>
              <w:rPr>
                <w:b/>
                <w:bCs/>
                <w:color w:val="auto"/>
                <w:szCs w:val="21"/>
              </w:rPr>
              <w:t>表4-1  本项目废气产污环节、污染物项目、排放形式及污染防治设施一览表</w:t>
            </w:r>
          </w:p>
          <w:tbl>
            <w:tblPr>
              <w:tblStyle w:val="42"/>
              <w:tblW w:w="9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3"/>
              <w:gridCol w:w="1620"/>
              <w:gridCol w:w="1350"/>
              <w:gridCol w:w="855"/>
              <w:gridCol w:w="2108"/>
              <w:gridCol w:w="915"/>
              <w:gridCol w:w="883"/>
            </w:tblGrid>
            <w:tr w14:paraId="362A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3" w:type="dxa"/>
                  <w:vMerge w:val="restart"/>
                  <w:tcBorders>
                    <w:top w:val="single" w:color="auto" w:sz="8" w:space="0"/>
                    <w:left w:val="single" w:color="auto" w:sz="4" w:space="0"/>
                    <w:bottom w:val="single" w:color="auto" w:sz="4" w:space="0"/>
                    <w:right w:val="single" w:color="auto" w:sz="4" w:space="0"/>
                  </w:tcBorders>
                  <w:vAlign w:val="center"/>
                </w:tcPr>
                <w:p w14:paraId="576F9E24">
                  <w:pPr>
                    <w:widowControl w:val="0"/>
                    <w:adjustRightInd w:val="0"/>
                    <w:snapToGrid w:val="0"/>
                    <w:jc w:val="center"/>
                    <w:rPr>
                      <w:b/>
                      <w:bCs/>
                      <w:color w:val="auto"/>
                      <w:szCs w:val="21"/>
                    </w:rPr>
                  </w:pPr>
                  <w:r>
                    <w:rPr>
                      <w:b/>
                      <w:bCs/>
                      <w:color w:val="auto"/>
                      <w:szCs w:val="21"/>
                    </w:rPr>
                    <w:t>产污环节</w:t>
                  </w:r>
                </w:p>
              </w:tc>
              <w:tc>
                <w:tcPr>
                  <w:tcW w:w="1620" w:type="dxa"/>
                  <w:vMerge w:val="restart"/>
                  <w:tcBorders>
                    <w:top w:val="single" w:color="auto" w:sz="8" w:space="0"/>
                    <w:left w:val="single" w:color="auto" w:sz="4" w:space="0"/>
                    <w:bottom w:val="single" w:color="auto" w:sz="4" w:space="0"/>
                    <w:right w:val="single" w:color="auto" w:sz="4" w:space="0"/>
                  </w:tcBorders>
                  <w:vAlign w:val="center"/>
                </w:tcPr>
                <w:p w14:paraId="7012A37E">
                  <w:pPr>
                    <w:widowControl w:val="0"/>
                    <w:adjustRightInd w:val="0"/>
                    <w:snapToGrid w:val="0"/>
                    <w:jc w:val="center"/>
                    <w:rPr>
                      <w:b/>
                      <w:bCs/>
                      <w:color w:val="auto"/>
                      <w:szCs w:val="21"/>
                    </w:rPr>
                  </w:pPr>
                  <w:r>
                    <w:rPr>
                      <w:b/>
                      <w:bCs/>
                      <w:color w:val="auto"/>
                      <w:szCs w:val="21"/>
                    </w:rPr>
                    <w:t>生产设施</w:t>
                  </w:r>
                </w:p>
              </w:tc>
              <w:tc>
                <w:tcPr>
                  <w:tcW w:w="1350" w:type="dxa"/>
                  <w:vMerge w:val="restart"/>
                  <w:tcBorders>
                    <w:top w:val="single" w:color="auto" w:sz="8" w:space="0"/>
                    <w:left w:val="single" w:color="auto" w:sz="4" w:space="0"/>
                    <w:bottom w:val="single" w:color="auto" w:sz="4" w:space="0"/>
                    <w:right w:val="single" w:color="auto" w:sz="4" w:space="0"/>
                  </w:tcBorders>
                  <w:vAlign w:val="center"/>
                </w:tcPr>
                <w:p w14:paraId="1616FF81">
                  <w:pPr>
                    <w:widowControl w:val="0"/>
                    <w:adjustRightInd w:val="0"/>
                    <w:snapToGrid w:val="0"/>
                    <w:jc w:val="center"/>
                    <w:rPr>
                      <w:b/>
                      <w:bCs/>
                      <w:color w:val="auto"/>
                      <w:szCs w:val="21"/>
                    </w:rPr>
                  </w:pPr>
                  <w:r>
                    <w:rPr>
                      <w:b/>
                      <w:bCs/>
                      <w:color w:val="auto"/>
                      <w:szCs w:val="21"/>
                    </w:rPr>
                    <w:t>污染项目</w:t>
                  </w:r>
                </w:p>
              </w:tc>
              <w:tc>
                <w:tcPr>
                  <w:tcW w:w="855" w:type="dxa"/>
                  <w:vMerge w:val="restart"/>
                  <w:tcBorders>
                    <w:top w:val="single" w:color="auto" w:sz="8" w:space="0"/>
                    <w:left w:val="single" w:color="auto" w:sz="4" w:space="0"/>
                    <w:bottom w:val="single" w:color="auto" w:sz="4" w:space="0"/>
                    <w:right w:val="single" w:color="auto" w:sz="4" w:space="0"/>
                  </w:tcBorders>
                  <w:vAlign w:val="center"/>
                </w:tcPr>
                <w:p w14:paraId="0B54AC8B">
                  <w:pPr>
                    <w:widowControl w:val="0"/>
                    <w:adjustRightInd w:val="0"/>
                    <w:snapToGrid w:val="0"/>
                    <w:jc w:val="center"/>
                    <w:rPr>
                      <w:b/>
                      <w:bCs/>
                      <w:color w:val="auto"/>
                      <w:szCs w:val="21"/>
                    </w:rPr>
                  </w:pPr>
                  <w:r>
                    <w:rPr>
                      <w:b/>
                      <w:bCs/>
                      <w:color w:val="auto"/>
                      <w:szCs w:val="21"/>
                    </w:rPr>
                    <w:t>排放形式</w:t>
                  </w:r>
                </w:p>
              </w:tc>
              <w:tc>
                <w:tcPr>
                  <w:tcW w:w="3023" w:type="dxa"/>
                  <w:gridSpan w:val="2"/>
                  <w:tcBorders>
                    <w:top w:val="single" w:color="auto" w:sz="8" w:space="0"/>
                    <w:left w:val="single" w:color="auto" w:sz="4" w:space="0"/>
                    <w:bottom w:val="single" w:color="auto" w:sz="4" w:space="0"/>
                    <w:right w:val="single" w:color="auto" w:sz="4" w:space="0"/>
                  </w:tcBorders>
                  <w:vAlign w:val="center"/>
                </w:tcPr>
                <w:p w14:paraId="4A6BF835">
                  <w:pPr>
                    <w:widowControl w:val="0"/>
                    <w:adjustRightInd w:val="0"/>
                    <w:snapToGrid w:val="0"/>
                    <w:jc w:val="center"/>
                    <w:rPr>
                      <w:b/>
                      <w:bCs/>
                      <w:color w:val="auto"/>
                      <w:szCs w:val="21"/>
                    </w:rPr>
                  </w:pPr>
                  <w:r>
                    <w:rPr>
                      <w:b/>
                      <w:bCs/>
                      <w:color w:val="auto"/>
                      <w:szCs w:val="21"/>
                    </w:rPr>
                    <w:t>污染防治技术</w:t>
                  </w:r>
                </w:p>
              </w:tc>
              <w:tc>
                <w:tcPr>
                  <w:tcW w:w="883" w:type="dxa"/>
                  <w:vMerge w:val="restart"/>
                  <w:tcBorders>
                    <w:top w:val="single" w:color="auto" w:sz="8" w:space="0"/>
                    <w:left w:val="single" w:color="auto" w:sz="4" w:space="0"/>
                    <w:bottom w:val="single" w:color="auto" w:sz="4" w:space="0"/>
                    <w:right w:val="single" w:color="auto" w:sz="8" w:space="0"/>
                  </w:tcBorders>
                  <w:vAlign w:val="center"/>
                </w:tcPr>
                <w:p w14:paraId="2B1DED6F">
                  <w:pPr>
                    <w:widowControl w:val="0"/>
                    <w:adjustRightInd w:val="0"/>
                    <w:snapToGrid w:val="0"/>
                    <w:jc w:val="center"/>
                    <w:rPr>
                      <w:b/>
                      <w:bCs/>
                      <w:color w:val="auto"/>
                      <w:szCs w:val="21"/>
                    </w:rPr>
                  </w:pPr>
                  <w:r>
                    <w:rPr>
                      <w:b/>
                      <w:bCs/>
                      <w:color w:val="auto"/>
                      <w:szCs w:val="21"/>
                    </w:rPr>
                    <w:t>排放口类型</w:t>
                  </w:r>
                </w:p>
              </w:tc>
            </w:tr>
            <w:tr w14:paraId="3B10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3" w:type="dxa"/>
                  <w:vMerge w:val="continue"/>
                  <w:tcBorders>
                    <w:top w:val="single" w:color="auto" w:sz="4" w:space="0"/>
                    <w:left w:val="single" w:color="auto" w:sz="4" w:space="0"/>
                    <w:bottom w:val="single" w:color="auto" w:sz="4" w:space="0"/>
                    <w:right w:val="single" w:color="auto" w:sz="4" w:space="0"/>
                  </w:tcBorders>
                  <w:vAlign w:val="center"/>
                </w:tcPr>
                <w:p w14:paraId="19D1A7A2">
                  <w:pPr>
                    <w:widowControl w:val="0"/>
                    <w:adjustRightInd w:val="0"/>
                    <w:snapToGrid w:val="0"/>
                    <w:jc w:val="center"/>
                    <w:rPr>
                      <w:b/>
                      <w:bCs/>
                      <w:color w:val="auto"/>
                      <w:szCs w:val="21"/>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14:paraId="1B18A70E">
                  <w:pPr>
                    <w:widowControl w:val="0"/>
                    <w:adjustRightInd w:val="0"/>
                    <w:snapToGrid w:val="0"/>
                    <w:jc w:val="center"/>
                    <w:rPr>
                      <w:b/>
                      <w:bCs/>
                      <w:color w:val="auto"/>
                      <w:szCs w:val="21"/>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1BCD7637">
                  <w:pPr>
                    <w:widowControl w:val="0"/>
                    <w:adjustRightInd w:val="0"/>
                    <w:snapToGrid w:val="0"/>
                    <w:jc w:val="center"/>
                    <w:rPr>
                      <w:b/>
                      <w:bCs/>
                      <w:color w:val="auto"/>
                      <w:szCs w:val="21"/>
                    </w:rPr>
                  </w:pPr>
                </w:p>
              </w:tc>
              <w:tc>
                <w:tcPr>
                  <w:tcW w:w="855" w:type="dxa"/>
                  <w:vMerge w:val="continue"/>
                  <w:tcBorders>
                    <w:top w:val="single" w:color="auto" w:sz="4" w:space="0"/>
                    <w:left w:val="single" w:color="auto" w:sz="4" w:space="0"/>
                    <w:bottom w:val="single" w:color="auto" w:sz="4" w:space="0"/>
                    <w:right w:val="single" w:color="auto" w:sz="4" w:space="0"/>
                  </w:tcBorders>
                  <w:vAlign w:val="center"/>
                </w:tcPr>
                <w:p w14:paraId="343CE350">
                  <w:pPr>
                    <w:widowControl w:val="0"/>
                    <w:adjustRightInd w:val="0"/>
                    <w:snapToGrid w:val="0"/>
                    <w:jc w:val="center"/>
                    <w:rPr>
                      <w:b/>
                      <w:bCs/>
                      <w:color w:val="auto"/>
                      <w:szCs w:val="21"/>
                    </w:rPr>
                  </w:pPr>
                </w:p>
              </w:tc>
              <w:tc>
                <w:tcPr>
                  <w:tcW w:w="2108" w:type="dxa"/>
                  <w:tcBorders>
                    <w:top w:val="single" w:color="auto" w:sz="4" w:space="0"/>
                    <w:left w:val="single" w:color="auto" w:sz="4" w:space="0"/>
                    <w:bottom w:val="single" w:color="auto" w:sz="4" w:space="0"/>
                    <w:right w:val="single" w:color="auto" w:sz="4" w:space="0"/>
                  </w:tcBorders>
                  <w:vAlign w:val="center"/>
                </w:tcPr>
                <w:p w14:paraId="1EE94AE8">
                  <w:pPr>
                    <w:widowControl w:val="0"/>
                    <w:adjustRightInd w:val="0"/>
                    <w:snapToGrid w:val="0"/>
                    <w:jc w:val="center"/>
                    <w:rPr>
                      <w:b/>
                      <w:bCs/>
                      <w:color w:val="auto"/>
                      <w:szCs w:val="21"/>
                    </w:rPr>
                  </w:pPr>
                  <w:r>
                    <w:rPr>
                      <w:b/>
                      <w:bCs/>
                      <w:color w:val="auto"/>
                      <w:szCs w:val="21"/>
                    </w:rPr>
                    <w:t>污染物防治设施名称及工艺</w:t>
                  </w:r>
                </w:p>
              </w:tc>
              <w:tc>
                <w:tcPr>
                  <w:tcW w:w="915" w:type="dxa"/>
                  <w:tcBorders>
                    <w:top w:val="single" w:color="auto" w:sz="4" w:space="0"/>
                    <w:left w:val="single" w:color="auto" w:sz="4" w:space="0"/>
                    <w:bottom w:val="single" w:color="auto" w:sz="4" w:space="0"/>
                    <w:right w:val="single" w:color="auto" w:sz="4" w:space="0"/>
                  </w:tcBorders>
                  <w:vAlign w:val="center"/>
                </w:tcPr>
                <w:p w14:paraId="76EB6DC3">
                  <w:pPr>
                    <w:widowControl w:val="0"/>
                    <w:adjustRightInd w:val="0"/>
                    <w:snapToGrid w:val="0"/>
                    <w:jc w:val="center"/>
                    <w:rPr>
                      <w:b/>
                      <w:bCs/>
                      <w:color w:val="auto"/>
                      <w:szCs w:val="21"/>
                    </w:rPr>
                  </w:pPr>
                  <w:r>
                    <w:rPr>
                      <w:b/>
                      <w:bCs/>
                      <w:color w:val="auto"/>
                      <w:szCs w:val="21"/>
                    </w:rPr>
                    <w:t>是否可行性技术</w:t>
                  </w:r>
                </w:p>
              </w:tc>
              <w:tc>
                <w:tcPr>
                  <w:tcW w:w="883" w:type="dxa"/>
                  <w:vMerge w:val="continue"/>
                  <w:tcBorders>
                    <w:top w:val="single" w:color="auto" w:sz="4" w:space="0"/>
                    <w:left w:val="single" w:color="auto" w:sz="4" w:space="0"/>
                    <w:bottom w:val="single" w:color="auto" w:sz="4" w:space="0"/>
                    <w:right w:val="single" w:color="auto" w:sz="8" w:space="0"/>
                  </w:tcBorders>
                  <w:vAlign w:val="center"/>
                </w:tcPr>
                <w:p w14:paraId="40DEB69E">
                  <w:pPr>
                    <w:widowControl w:val="0"/>
                    <w:adjustRightInd w:val="0"/>
                    <w:snapToGrid w:val="0"/>
                    <w:jc w:val="center"/>
                    <w:rPr>
                      <w:b/>
                      <w:bCs/>
                      <w:color w:val="auto"/>
                      <w:szCs w:val="21"/>
                    </w:rPr>
                  </w:pPr>
                </w:p>
              </w:tc>
            </w:tr>
            <w:tr w14:paraId="7D78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3" w:type="dxa"/>
                  <w:tcBorders>
                    <w:top w:val="single" w:color="auto" w:sz="4" w:space="0"/>
                    <w:left w:val="single" w:color="auto" w:sz="4" w:space="0"/>
                    <w:right w:val="single" w:color="auto" w:sz="4" w:space="0"/>
                  </w:tcBorders>
                  <w:vAlign w:val="center"/>
                </w:tcPr>
                <w:p w14:paraId="0A661267">
                  <w:pPr>
                    <w:widowControl w:val="0"/>
                    <w:adjustRightInd w:val="0"/>
                    <w:snapToGrid w:val="0"/>
                    <w:jc w:val="center"/>
                    <w:rPr>
                      <w:color w:val="auto"/>
                      <w:szCs w:val="21"/>
                    </w:rPr>
                  </w:pPr>
                  <w:r>
                    <w:rPr>
                      <w:color w:val="auto"/>
                      <w:kern w:val="0"/>
                      <w:szCs w:val="21"/>
                    </w:rPr>
                    <w:t>电泳</w:t>
                  </w:r>
                  <w:r>
                    <w:rPr>
                      <w:rFonts w:hint="eastAsia"/>
                      <w:color w:val="auto"/>
                      <w:kern w:val="0"/>
                      <w:szCs w:val="21"/>
                    </w:rPr>
                    <w:t>漆</w:t>
                  </w:r>
                  <w:r>
                    <w:rPr>
                      <w:color w:val="auto"/>
                      <w:kern w:val="0"/>
                      <w:szCs w:val="21"/>
                    </w:rPr>
                    <w:t>涂装</w:t>
                  </w:r>
                  <w:r>
                    <w:rPr>
                      <w:rFonts w:hint="eastAsia"/>
                      <w:color w:val="auto"/>
                      <w:kern w:val="0"/>
                      <w:szCs w:val="21"/>
                    </w:rPr>
                    <w:t>、</w:t>
                  </w:r>
                  <w:r>
                    <w:rPr>
                      <w:color w:val="auto"/>
                      <w:kern w:val="0"/>
                      <w:szCs w:val="21"/>
                    </w:rPr>
                    <w:t>烘干固化</w:t>
                  </w:r>
                </w:p>
              </w:tc>
              <w:tc>
                <w:tcPr>
                  <w:tcW w:w="1620" w:type="dxa"/>
                  <w:tcBorders>
                    <w:top w:val="single" w:color="auto" w:sz="4" w:space="0"/>
                    <w:left w:val="single" w:color="auto" w:sz="4" w:space="0"/>
                    <w:right w:val="single" w:color="auto" w:sz="4" w:space="0"/>
                  </w:tcBorders>
                  <w:vAlign w:val="center"/>
                </w:tcPr>
                <w:p w14:paraId="08DCAD7F">
                  <w:pPr>
                    <w:widowControl w:val="0"/>
                    <w:adjustRightInd w:val="0"/>
                    <w:snapToGrid w:val="0"/>
                    <w:jc w:val="center"/>
                    <w:rPr>
                      <w:color w:val="auto"/>
                      <w:kern w:val="0"/>
                      <w:szCs w:val="21"/>
                    </w:rPr>
                  </w:pPr>
                  <w:r>
                    <w:rPr>
                      <w:rFonts w:hint="eastAsia"/>
                      <w:color w:val="auto"/>
                      <w:kern w:val="0"/>
                      <w:szCs w:val="21"/>
                    </w:rPr>
                    <w:t>电泳漆加工生产线、电烤箱</w:t>
                  </w:r>
                </w:p>
              </w:tc>
              <w:tc>
                <w:tcPr>
                  <w:tcW w:w="1350" w:type="dxa"/>
                  <w:tcBorders>
                    <w:top w:val="single" w:color="auto" w:sz="4" w:space="0"/>
                    <w:left w:val="single" w:color="auto" w:sz="4" w:space="0"/>
                    <w:right w:val="single" w:color="auto" w:sz="4" w:space="0"/>
                  </w:tcBorders>
                  <w:vAlign w:val="center"/>
                </w:tcPr>
                <w:p w14:paraId="14F89DD5">
                  <w:pPr>
                    <w:widowControl w:val="0"/>
                    <w:adjustRightInd w:val="0"/>
                    <w:snapToGrid w:val="0"/>
                    <w:jc w:val="center"/>
                    <w:rPr>
                      <w:color w:val="auto"/>
                      <w:szCs w:val="21"/>
                    </w:rPr>
                  </w:pPr>
                  <w:r>
                    <w:rPr>
                      <w:rFonts w:hint="eastAsia"/>
                      <w:color w:val="auto"/>
                      <w:szCs w:val="21"/>
                    </w:rPr>
                    <w:t>VOCs</w:t>
                  </w:r>
                  <w:r>
                    <w:rPr>
                      <w:color w:val="auto"/>
                      <w:szCs w:val="21"/>
                    </w:rPr>
                    <w:t>、臭气浓度</w:t>
                  </w:r>
                </w:p>
              </w:tc>
              <w:tc>
                <w:tcPr>
                  <w:tcW w:w="855" w:type="dxa"/>
                  <w:tcBorders>
                    <w:top w:val="single" w:color="auto" w:sz="4" w:space="0"/>
                    <w:left w:val="single" w:color="auto" w:sz="4" w:space="0"/>
                    <w:right w:val="single" w:color="auto" w:sz="4" w:space="0"/>
                  </w:tcBorders>
                  <w:vAlign w:val="center"/>
                </w:tcPr>
                <w:p w14:paraId="20CBACCD">
                  <w:pPr>
                    <w:widowControl w:val="0"/>
                    <w:adjustRightInd w:val="0"/>
                    <w:snapToGrid w:val="0"/>
                    <w:jc w:val="center"/>
                    <w:rPr>
                      <w:color w:val="auto"/>
                      <w:szCs w:val="21"/>
                    </w:rPr>
                  </w:pPr>
                  <w:r>
                    <w:rPr>
                      <w:color w:val="auto"/>
                      <w:szCs w:val="21"/>
                    </w:rPr>
                    <w:t>有组织</w:t>
                  </w:r>
                </w:p>
              </w:tc>
              <w:tc>
                <w:tcPr>
                  <w:tcW w:w="2108" w:type="dxa"/>
                  <w:tcBorders>
                    <w:top w:val="single" w:color="auto" w:sz="4" w:space="0"/>
                    <w:left w:val="single" w:color="auto" w:sz="4" w:space="0"/>
                    <w:right w:val="single" w:color="auto" w:sz="4" w:space="0"/>
                  </w:tcBorders>
                  <w:vAlign w:val="center"/>
                </w:tcPr>
                <w:p w14:paraId="40B105B2">
                  <w:pPr>
                    <w:widowControl w:val="0"/>
                    <w:adjustRightInd w:val="0"/>
                    <w:snapToGrid w:val="0"/>
                    <w:jc w:val="center"/>
                    <w:rPr>
                      <w:color w:val="auto"/>
                      <w:szCs w:val="21"/>
                    </w:rPr>
                  </w:pPr>
                  <w:r>
                    <w:rPr>
                      <w:rFonts w:hint="eastAsia"/>
                      <w:color w:val="auto"/>
                      <w:szCs w:val="21"/>
                    </w:rPr>
                    <w:t>水喷淋塔+除雾器+</w:t>
                  </w:r>
                  <w:r>
                    <w:rPr>
                      <w:color w:val="auto"/>
                      <w:szCs w:val="21"/>
                    </w:rPr>
                    <w:t>两级活性炭吸附装置</w:t>
                  </w:r>
                </w:p>
              </w:tc>
              <w:tc>
                <w:tcPr>
                  <w:tcW w:w="915" w:type="dxa"/>
                  <w:tcBorders>
                    <w:top w:val="single" w:color="auto" w:sz="4" w:space="0"/>
                    <w:left w:val="single" w:color="auto" w:sz="4" w:space="0"/>
                    <w:right w:val="single" w:color="auto" w:sz="4" w:space="0"/>
                  </w:tcBorders>
                  <w:vAlign w:val="center"/>
                </w:tcPr>
                <w:p w14:paraId="6234539B">
                  <w:pPr>
                    <w:widowControl w:val="0"/>
                    <w:adjustRightInd w:val="0"/>
                    <w:snapToGrid w:val="0"/>
                    <w:jc w:val="center"/>
                    <w:rPr>
                      <w:color w:val="auto"/>
                      <w:szCs w:val="21"/>
                    </w:rPr>
                  </w:pPr>
                  <w:r>
                    <w:rPr>
                      <w:color w:val="auto"/>
                      <w:szCs w:val="21"/>
                    </w:rPr>
                    <w:t>是</w:t>
                  </w:r>
                </w:p>
              </w:tc>
              <w:tc>
                <w:tcPr>
                  <w:tcW w:w="883" w:type="dxa"/>
                  <w:tcBorders>
                    <w:top w:val="single" w:color="auto" w:sz="4" w:space="0"/>
                    <w:left w:val="single" w:color="auto" w:sz="4" w:space="0"/>
                    <w:right w:val="single" w:color="auto" w:sz="8" w:space="0"/>
                  </w:tcBorders>
                  <w:vAlign w:val="center"/>
                </w:tcPr>
                <w:p w14:paraId="0C784843">
                  <w:pPr>
                    <w:widowControl w:val="0"/>
                    <w:adjustRightInd w:val="0"/>
                    <w:snapToGrid w:val="0"/>
                    <w:jc w:val="center"/>
                    <w:rPr>
                      <w:color w:val="auto"/>
                      <w:szCs w:val="21"/>
                    </w:rPr>
                  </w:pPr>
                  <w:r>
                    <w:rPr>
                      <w:color w:val="auto"/>
                      <w:szCs w:val="21"/>
                    </w:rPr>
                    <w:t>一般排放口</w:t>
                  </w:r>
                </w:p>
              </w:tc>
            </w:tr>
            <w:tr w14:paraId="0854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83" w:type="dxa"/>
                  <w:tcBorders>
                    <w:top w:val="single" w:color="auto" w:sz="4" w:space="0"/>
                    <w:left w:val="single" w:color="auto" w:sz="4" w:space="0"/>
                    <w:right w:val="single" w:color="auto" w:sz="4" w:space="0"/>
                  </w:tcBorders>
                  <w:vAlign w:val="center"/>
                </w:tcPr>
                <w:p w14:paraId="25626E94">
                  <w:pPr>
                    <w:widowControl w:val="0"/>
                    <w:adjustRightInd w:val="0"/>
                    <w:snapToGrid w:val="0"/>
                    <w:jc w:val="center"/>
                    <w:rPr>
                      <w:color w:val="auto"/>
                      <w:szCs w:val="21"/>
                    </w:rPr>
                  </w:pPr>
                  <w:r>
                    <w:rPr>
                      <w:color w:val="auto"/>
                      <w:kern w:val="0"/>
                      <w:szCs w:val="21"/>
                    </w:rPr>
                    <w:t>电泳</w:t>
                  </w:r>
                  <w:r>
                    <w:rPr>
                      <w:rFonts w:hint="eastAsia"/>
                      <w:color w:val="auto"/>
                      <w:kern w:val="0"/>
                      <w:szCs w:val="21"/>
                    </w:rPr>
                    <w:t>漆</w:t>
                  </w:r>
                  <w:r>
                    <w:rPr>
                      <w:color w:val="auto"/>
                      <w:kern w:val="0"/>
                      <w:szCs w:val="21"/>
                    </w:rPr>
                    <w:t>涂装</w:t>
                  </w:r>
                  <w:r>
                    <w:rPr>
                      <w:rFonts w:hint="eastAsia"/>
                      <w:color w:val="auto"/>
                      <w:kern w:val="0"/>
                      <w:szCs w:val="21"/>
                    </w:rPr>
                    <w:t>、</w:t>
                  </w:r>
                  <w:r>
                    <w:rPr>
                      <w:color w:val="auto"/>
                      <w:kern w:val="0"/>
                      <w:szCs w:val="21"/>
                    </w:rPr>
                    <w:t>烘干固化</w:t>
                  </w:r>
                </w:p>
              </w:tc>
              <w:tc>
                <w:tcPr>
                  <w:tcW w:w="1620" w:type="dxa"/>
                  <w:tcBorders>
                    <w:top w:val="single" w:color="auto" w:sz="4" w:space="0"/>
                    <w:left w:val="single" w:color="auto" w:sz="4" w:space="0"/>
                    <w:right w:val="single" w:color="auto" w:sz="4" w:space="0"/>
                  </w:tcBorders>
                  <w:vAlign w:val="center"/>
                </w:tcPr>
                <w:p w14:paraId="4C38E6D3">
                  <w:pPr>
                    <w:widowControl w:val="0"/>
                    <w:adjustRightInd w:val="0"/>
                    <w:snapToGrid w:val="0"/>
                    <w:jc w:val="center"/>
                    <w:rPr>
                      <w:color w:val="auto"/>
                      <w:kern w:val="0"/>
                      <w:szCs w:val="21"/>
                    </w:rPr>
                  </w:pPr>
                  <w:r>
                    <w:rPr>
                      <w:rFonts w:hint="eastAsia"/>
                      <w:color w:val="auto"/>
                      <w:kern w:val="0"/>
                      <w:szCs w:val="21"/>
                    </w:rPr>
                    <w:t>电泳漆加工生产线、电烤箱</w:t>
                  </w:r>
                </w:p>
              </w:tc>
              <w:tc>
                <w:tcPr>
                  <w:tcW w:w="1350" w:type="dxa"/>
                  <w:tcBorders>
                    <w:top w:val="single" w:color="auto" w:sz="4" w:space="0"/>
                    <w:left w:val="single" w:color="auto" w:sz="4" w:space="0"/>
                    <w:right w:val="single" w:color="auto" w:sz="4" w:space="0"/>
                  </w:tcBorders>
                  <w:vAlign w:val="center"/>
                </w:tcPr>
                <w:p w14:paraId="3DFC1C4C">
                  <w:pPr>
                    <w:widowControl w:val="0"/>
                    <w:adjustRightInd w:val="0"/>
                    <w:snapToGrid w:val="0"/>
                    <w:jc w:val="center"/>
                    <w:rPr>
                      <w:color w:val="auto"/>
                      <w:szCs w:val="21"/>
                    </w:rPr>
                  </w:pPr>
                  <w:r>
                    <w:rPr>
                      <w:rFonts w:hint="eastAsia"/>
                      <w:color w:val="auto"/>
                      <w:szCs w:val="21"/>
                    </w:rPr>
                    <w:t>VOCs</w:t>
                  </w:r>
                  <w:r>
                    <w:rPr>
                      <w:color w:val="auto"/>
                      <w:szCs w:val="21"/>
                    </w:rPr>
                    <w:t>、臭气浓度</w:t>
                  </w:r>
                </w:p>
              </w:tc>
              <w:tc>
                <w:tcPr>
                  <w:tcW w:w="855" w:type="dxa"/>
                  <w:tcBorders>
                    <w:top w:val="single" w:color="auto" w:sz="4" w:space="0"/>
                    <w:left w:val="single" w:color="auto" w:sz="4" w:space="0"/>
                    <w:right w:val="single" w:color="auto" w:sz="4" w:space="0"/>
                  </w:tcBorders>
                  <w:vAlign w:val="center"/>
                </w:tcPr>
                <w:p w14:paraId="0BD65BD1">
                  <w:pPr>
                    <w:widowControl w:val="0"/>
                    <w:adjustRightInd w:val="0"/>
                    <w:snapToGrid w:val="0"/>
                    <w:jc w:val="center"/>
                    <w:rPr>
                      <w:color w:val="auto"/>
                      <w:szCs w:val="21"/>
                    </w:rPr>
                  </w:pPr>
                  <w:r>
                    <w:rPr>
                      <w:color w:val="auto"/>
                      <w:szCs w:val="21"/>
                    </w:rPr>
                    <w:t>无组织</w:t>
                  </w:r>
                </w:p>
              </w:tc>
              <w:tc>
                <w:tcPr>
                  <w:tcW w:w="2108" w:type="dxa"/>
                  <w:tcBorders>
                    <w:top w:val="single" w:color="auto" w:sz="4" w:space="0"/>
                    <w:left w:val="single" w:color="auto" w:sz="4" w:space="0"/>
                    <w:right w:val="single" w:color="auto" w:sz="4" w:space="0"/>
                  </w:tcBorders>
                  <w:vAlign w:val="center"/>
                </w:tcPr>
                <w:p w14:paraId="398D09FD">
                  <w:pPr>
                    <w:widowControl w:val="0"/>
                    <w:adjustRightInd w:val="0"/>
                    <w:snapToGrid w:val="0"/>
                    <w:jc w:val="center"/>
                    <w:rPr>
                      <w:color w:val="auto"/>
                      <w:szCs w:val="21"/>
                    </w:rPr>
                  </w:pPr>
                  <w:r>
                    <w:rPr>
                      <w:color w:val="auto"/>
                      <w:szCs w:val="21"/>
                    </w:rPr>
                    <w:t>加强通排风</w:t>
                  </w:r>
                </w:p>
              </w:tc>
              <w:tc>
                <w:tcPr>
                  <w:tcW w:w="915" w:type="dxa"/>
                  <w:tcBorders>
                    <w:top w:val="single" w:color="auto" w:sz="4" w:space="0"/>
                    <w:left w:val="single" w:color="auto" w:sz="4" w:space="0"/>
                    <w:right w:val="single" w:color="auto" w:sz="4" w:space="0"/>
                  </w:tcBorders>
                  <w:vAlign w:val="center"/>
                </w:tcPr>
                <w:p w14:paraId="72C4F710">
                  <w:pPr>
                    <w:widowControl w:val="0"/>
                    <w:adjustRightInd w:val="0"/>
                    <w:snapToGrid w:val="0"/>
                    <w:jc w:val="center"/>
                    <w:rPr>
                      <w:color w:val="auto"/>
                      <w:szCs w:val="21"/>
                    </w:rPr>
                  </w:pPr>
                  <w:r>
                    <w:rPr>
                      <w:color w:val="auto"/>
                      <w:szCs w:val="21"/>
                    </w:rPr>
                    <w:t>是</w:t>
                  </w:r>
                </w:p>
              </w:tc>
              <w:tc>
                <w:tcPr>
                  <w:tcW w:w="883" w:type="dxa"/>
                  <w:tcBorders>
                    <w:top w:val="single" w:color="auto" w:sz="4" w:space="0"/>
                    <w:left w:val="single" w:color="auto" w:sz="4" w:space="0"/>
                    <w:right w:val="single" w:color="auto" w:sz="8" w:space="0"/>
                  </w:tcBorders>
                  <w:vAlign w:val="center"/>
                </w:tcPr>
                <w:p w14:paraId="09471DF2">
                  <w:pPr>
                    <w:widowControl w:val="0"/>
                    <w:adjustRightInd w:val="0"/>
                    <w:snapToGrid w:val="0"/>
                    <w:jc w:val="center"/>
                    <w:rPr>
                      <w:color w:val="auto"/>
                      <w:szCs w:val="21"/>
                    </w:rPr>
                  </w:pPr>
                  <w:r>
                    <w:rPr>
                      <w:color w:val="auto"/>
                      <w:szCs w:val="21"/>
                    </w:rPr>
                    <w:t>/</w:t>
                  </w:r>
                </w:p>
              </w:tc>
            </w:tr>
          </w:tbl>
          <w:p w14:paraId="2EC8373D">
            <w:pPr>
              <w:pStyle w:val="189"/>
              <w:spacing w:line="360" w:lineRule="auto"/>
              <w:ind w:firstLine="482"/>
              <w:rPr>
                <w:b/>
                <w:bCs/>
                <w:color w:val="auto"/>
                <w:sz w:val="24"/>
              </w:rPr>
            </w:pPr>
            <w:r>
              <w:rPr>
                <w:b/>
                <w:bCs/>
                <w:color w:val="auto"/>
                <w:sz w:val="24"/>
              </w:rPr>
              <w:t>1、电泳</w:t>
            </w:r>
            <w:r>
              <w:rPr>
                <w:rFonts w:hint="eastAsia"/>
                <w:b/>
                <w:bCs/>
                <w:color w:val="auto"/>
                <w:sz w:val="24"/>
              </w:rPr>
              <w:t>漆</w:t>
            </w:r>
            <w:r>
              <w:rPr>
                <w:b/>
                <w:bCs/>
                <w:color w:val="auto"/>
                <w:sz w:val="24"/>
              </w:rPr>
              <w:t>涂装及烘干固化产生的有机废气</w:t>
            </w:r>
          </w:p>
          <w:p w14:paraId="51FBFC25">
            <w:pPr>
              <w:pStyle w:val="189"/>
              <w:spacing w:line="360" w:lineRule="auto"/>
              <w:ind w:firstLine="482"/>
              <w:rPr>
                <w:b/>
                <w:bCs/>
                <w:color w:val="auto"/>
                <w:sz w:val="24"/>
              </w:rPr>
            </w:pPr>
            <w:r>
              <w:rPr>
                <w:b/>
                <w:bCs/>
                <w:color w:val="auto"/>
                <w:sz w:val="24"/>
              </w:rPr>
              <w:t>（1）源强核算</w:t>
            </w:r>
          </w:p>
          <w:p w14:paraId="4B05013D">
            <w:pPr>
              <w:pStyle w:val="189"/>
              <w:spacing w:line="360" w:lineRule="auto"/>
              <w:ind w:firstLine="480"/>
              <w:rPr>
                <w:color w:val="auto"/>
                <w:sz w:val="24"/>
              </w:rPr>
            </w:pPr>
            <w:r>
              <w:rPr>
                <w:color w:val="auto"/>
                <w:sz w:val="24"/>
              </w:rPr>
              <w:t>本项目纯水洗后工件进入电泳槽内进行电泳涂装，电泳槽内通直流电，使电泳漆移向</w:t>
            </w:r>
            <w:r>
              <w:rPr>
                <w:rFonts w:hint="eastAsia"/>
                <w:color w:val="auto"/>
                <w:sz w:val="24"/>
              </w:rPr>
              <w:t>工件</w:t>
            </w:r>
            <w:r>
              <w:rPr>
                <w:color w:val="auto"/>
                <w:sz w:val="24"/>
              </w:rPr>
              <w:t>形成不溶于水的涂层，然后将</w:t>
            </w:r>
            <w:r>
              <w:rPr>
                <w:rFonts w:hint="eastAsia"/>
                <w:color w:val="auto"/>
                <w:sz w:val="24"/>
              </w:rPr>
              <w:t>工</w:t>
            </w:r>
            <w:r>
              <w:rPr>
                <w:color w:val="auto"/>
                <w:sz w:val="24"/>
              </w:rPr>
              <w:t>件移出电泳槽并静置一段时间，使附着的多余电泳漆流入电泳槽回收利用。</w:t>
            </w:r>
            <w:r>
              <w:rPr>
                <w:rFonts w:hint="eastAsia"/>
                <w:color w:val="auto"/>
                <w:sz w:val="24"/>
              </w:rPr>
              <w:t>工</w:t>
            </w:r>
            <w:r>
              <w:rPr>
                <w:color w:val="auto"/>
                <w:sz w:val="24"/>
              </w:rPr>
              <w:t>件经清洗后，</w:t>
            </w:r>
            <w:r>
              <w:rPr>
                <w:rFonts w:hint="eastAsia"/>
                <w:color w:val="auto"/>
                <w:sz w:val="24"/>
              </w:rPr>
              <w:t>工</w:t>
            </w:r>
            <w:r>
              <w:rPr>
                <w:color w:val="auto"/>
                <w:sz w:val="24"/>
              </w:rPr>
              <w:t>件随流水线进入</w:t>
            </w:r>
            <w:r>
              <w:rPr>
                <w:rFonts w:hint="eastAsia"/>
                <w:color w:val="auto"/>
                <w:sz w:val="24"/>
              </w:rPr>
              <w:t>电烤箱</w:t>
            </w:r>
            <w:r>
              <w:rPr>
                <w:color w:val="auto"/>
                <w:sz w:val="24"/>
              </w:rPr>
              <w:t>进行烘干固化。此过程项目电泳</w:t>
            </w:r>
            <w:r>
              <w:rPr>
                <w:rFonts w:hint="eastAsia"/>
                <w:color w:val="auto"/>
                <w:sz w:val="24"/>
              </w:rPr>
              <w:t>漆</w:t>
            </w:r>
            <w:r>
              <w:rPr>
                <w:color w:val="auto"/>
                <w:sz w:val="24"/>
              </w:rPr>
              <w:t>涂装及烘干固化生产过程会产生少量有机废气</w:t>
            </w:r>
            <w:r>
              <w:rPr>
                <w:rFonts w:hint="eastAsia"/>
                <w:color w:val="auto"/>
                <w:sz w:val="24"/>
              </w:rPr>
              <w:t>（</w:t>
            </w:r>
            <w:r>
              <w:rPr>
                <w:color w:val="auto"/>
                <w:sz w:val="24"/>
              </w:rPr>
              <w:t>污染因子主要为VOCs</w:t>
            </w:r>
            <w:r>
              <w:rPr>
                <w:rFonts w:hint="eastAsia"/>
                <w:color w:val="auto"/>
                <w:sz w:val="24"/>
              </w:rPr>
              <w:t>），本</w:t>
            </w:r>
            <w:r>
              <w:rPr>
                <w:color w:val="auto"/>
                <w:sz w:val="24"/>
              </w:rPr>
              <w:t>项目电泳</w:t>
            </w:r>
            <w:r>
              <w:rPr>
                <w:rFonts w:hint="eastAsia"/>
                <w:color w:val="auto"/>
                <w:sz w:val="24"/>
              </w:rPr>
              <w:t>的电泳漆需调配稳定剂使用，配比比例为3:1，</w:t>
            </w:r>
            <w:r>
              <w:rPr>
                <w:color w:val="auto"/>
                <w:sz w:val="24"/>
              </w:rPr>
              <w:t>根据建设单位提供的SDS</w:t>
            </w:r>
            <w:r>
              <w:rPr>
                <w:rFonts w:hint="eastAsia"/>
                <w:color w:val="auto"/>
                <w:sz w:val="24"/>
              </w:rPr>
              <w:t>报告及VOC含量检测报告</w:t>
            </w:r>
            <w:r>
              <w:rPr>
                <w:color w:val="auto"/>
                <w:sz w:val="24"/>
              </w:rPr>
              <w:t>（详见附件</w:t>
            </w:r>
            <w:r>
              <w:rPr>
                <w:rFonts w:hint="eastAsia"/>
                <w:color w:val="auto"/>
                <w:sz w:val="24"/>
              </w:rPr>
              <w:t>1</w:t>
            </w:r>
            <w:r>
              <w:rPr>
                <w:rFonts w:hint="eastAsia"/>
                <w:color w:val="auto"/>
                <w:sz w:val="24"/>
                <w:lang w:val="en-US" w:eastAsia="zh-CN"/>
              </w:rPr>
              <w:t>2</w:t>
            </w:r>
            <w:r>
              <w:rPr>
                <w:color w:val="auto"/>
                <w:sz w:val="24"/>
              </w:rPr>
              <w:t>），</w:t>
            </w:r>
            <w:r>
              <w:rPr>
                <w:rFonts w:hint="eastAsia"/>
                <w:color w:val="auto"/>
                <w:sz w:val="24"/>
              </w:rPr>
              <w:t>本项目电泳漆的VOC含量为134g/L，密度为1150g/L；稳定剂的VOC含量为1105g/L，密度为920g/L，根据计算电泳漆的VOC挥发量=134g/L÷1150g/L=11.7%</w:t>
            </w:r>
            <w:r>
              <w:rPr>
                <w:color w:val="auto"/>
                <w:sz w:val="24"/>
              </w:rPr>
              <w:t>，</w:t>
            </w:r>
            <w:r>
              <w:rPr>
                <w:rFonts w:hint="eastAsia"/>
                <w:color w:val="auto"/>
                <w:sz w:val="24"/>
              </w:rPr>
              <w:t>稳定剂的VOC挥发量=1105g/L÷920g/L=122.5%，即稳定剂为全挥发</w:t>
            </w:r>
            <w:r>
              <w:rPr>
                <w:color w:val="auto"/>
                <w:sz w:val="24"/>
              </w:rPr>
              <w:t>，本项目电泳</w:t>
            </w:r>
            <w:r>
              <w:rPr>
                <w:rFonts w:hint="eastAsia"/>
                <w:color w:val="auto"/>
                <w:sz w:val="24"/>
              </w:rPr>
              <w:t>漆</w:t>
            </w:r>
            <w:r>
              <w:rPr>
                <w:color w:val="auto"/>
                <w:sz w:val="24"/>
              </w:rPr>
              <w:t>涂装及烘干固化VOCs产生量计算见表4-</w:t>
            </w:r>
            <w:r>
              <w:rPr>
                <w:rFonts w:hint="eastAsia"/>
                <w:color w:val="auto"/>
                <w:sz w:val="24"/>
              </w:rPr>
              <w:t>2</w:t>
            </w:r>
            <w:r>
              <w:rPr>
                <w:color w:val="auto"/>
                <w:sz w:val="24"/>
              </w:rPr>
              <w:t>。</w:t>
            </w:r>
          </w:p>
          <w:p w14:paraId="1A0D6D49">
            <w:pPr>
              <w:ind w:firstLine="422" w:firstLineChars="200"/>
              <w:jc w:val="center"/>
              <w:textAlignment w:val="center"/>
              <w:rPr>
                <w:b/>
                <w:color w:val="auto"/>
                <w:kern w:val="0"/>
                <w:szCs w:val="21"/>
              </w:rPr>
            </w:pPr>
            <w:r>
              <w:rPr>
                <w:b/>
                <w:color w:val="auto"/>
                <w:kern w:val="0"/>
                <w:szCs w:val="21"/>
              </w:rPr>
              <w:t>表4-</w:t>
            </w:r>
            <w:r>
              <w:rPr>
                <w:rFonts w:hint="eastAsia"/>
                <w:b/>
                <w:color w:val="auto"/>
                <w:kern w:val="0"/>
                <w:szCs w:val="21"/>
              </w:rPr>
              <w:t>2</w:t>
            </w:r>
            <w:r>
              <w:rPr>
                <w:b/>
                <w:color w:val="auto"/>
                <w:kern w:val="0"/>
                <w:szCs w:val="21"/>
              </w:rPr>
              <w:t xml:space="preserve">  电泳</w:t>
            </w:r>
            <w:r>
              <w:rPr>
                <w:rFonts w:hint="eastAsia"/>
                <w:b/>
                <w:color w:val="auto"/>
                <w:kern w:val="0"/>
                <w:szCs w:val="21"/>
              </w:rPr>
              <w:t>漆</w:t>
            </w:r>
            <w:r>
              <w:rPr>
                <w:b/>
                <w:color w:val="auto"/>
                <w:kern w:val="0"/>
                <w:szCs w:val="21"/>
              </w:rPr>
              <w:t>涂装及烘干固化有机废气产生情况表</w:t>
            </w:r>
          </w:p>
          <w:tbl>
            <w:tblPr>
              <w:tblStyle w:val="42"/>
              <w:tblW w:w="9495" w:type="dxa"/>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2159"/>
              <w:gridCol w:w="2439"/>
              <w:gridCol w:w="2867"/>
            </w:tblGrid>
            <w:tr w14:paraId="2604F94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30" w:type="dxa"/>
                  <w:tcBorders>
                    <w:tl2br w:val="nil"/>
                    <w:tr2bl w:val="nil"/>
                  </w:tcBorders>
                  <w:vAlign w:val="center"/>
                </w:tcPr>
                <w:p w14:paraId="1026411F">
                  <w:pPr>
                    <w:jc w:val="center"/>
                    <w:textAlignment w:val="center"/>
                    <w:rPr>
                      <w:b/>
                      <w:color w:val="auto"/>
                      <w:kern w:val="0"/>
                      <w:szCs w:val="21"/>
                    </w:rPr>
                  </w:pPr>
                  <w:r>
                    <w:rPr>
                      <w:b/>
                      <w:color w:val="auto"/>
                      <w:kern w:val="0"/>
                      <w:szCs w:val="21"/>
                    </w:rPr>
                    <w:t>电泳漆名称</w:t>
                  </w:r>
                </w:p>
              </w:tc>
              <w:tc>
                <w:tcPr>
                  <w:tcW w:w="2159" w:type="dxa"/>
                  <w:tcBorders>
                    <w:tl2br w:val="nil"/>
                    <w:tr2bl w:val="nil"/>
                  </w:tcBorders>
                  <w:vAlign w:val="center"/>
                </w:tcPr>
                <w:p w14:paraId="269CED33">
                  <w:pPr>
                    <w:jc w:val="center"/>
                    <w:textAlignment w:val="center"/>
                    <w:rPr>
                      <w:b/>
                      <w:color w:val="auto"/>
                      <w:kern w:val="0"/>
                      <w:szCs w:val="21"/>
                    </w:rPr>
                  </w:pPr>
                  <w:r>
                    <w:rPr>
                      <w:b/>
                      <w:color w:val="auto"/>
                      <w:kern w:val="0"/>
                      <w:szCs w:val="21"/>
                    </w:rPr>
                    <w:t>电泳漆用量（t/a）</w:t>
                  </w:r>
                </w:p>
              </w:tc>
              <w:tc>
                <w:tcPr>
                  <w:tcW w:w="2439" w:type="dxa"/>
                  <w:tcBorders>
                    <w:tl2br w:val="nil"/>
                    <w:tr2bl w:val="nil"/>
                  </w:tcBorders>
                  <w:vAlign w:val="center"/>
                </w:tcPr>
                <w:p w14:paraId="6D447413">
                  <w:pPr>
                    <w:jc w:val="center"/>
                    <w:textAlignment w:val="center"/>
                    <w:rPr>
                      <w:b/>
                      <w:color w:val="auto"/>
                      <w:kern w:val="0"/>
                      <w:szCs w:val="21"/>
                    </w:rPr>
                  </w:pPr>
                  <w:r>
                    <w:rPr>
                      <w:b/>
                      <w:color w:val="auto"/>
                      <w:kern w:val="0"/>
                      <w:szCs w:val="21"/>
                    </w:rPr>
                    <w:t>VOCs挥发量（%）</w:t>
                  </w:r>
                </w:p>
              </w:tc>
              <w:tc>
                <w:tcPr>
                  <w:tcW w:w="2867" w:type="dxa"/>
                  <w:tcBorders>
                    <w:tl2br w:val="nil"/>
                    <w:tr2bl w:val="nil"/>
                  </w:tcBorders>
                  <w:vAlign w:val="center"/>
                </w:tcPr>
                <w:p w14:paraId="7625DFBB">
                  <w:pPr>
                    <w:jc w:val="center"/>
                    <w:textAlignment w:val="center"/>
                    <w:rPr>
                      <w:b/>
                      <w:color w:val="auto"/>
                      <w:kern w:val="0"/>
                      <w:szCs w:val="21"/>
                    </w:rPr>
                  </w:pPr>
                  <w:r>
                    <w:rPr>
                      <w:b/>
                      <w:color w:val="auto"/>
                      <w:kern w:val="0"/>
                      <w:szCs w:val="21"/>
                    </w:rPr>
                    <w:t>VOCs产生量（t/a）</w:t>
                  </w:r>
                </w:p>
              </w:tc>
            </w:tr>
            <w:tr w14:paraId="6D768D9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30" w:type="dxa"/>
                  <w:tcBorders>
                    <w:tl2br w:val="nil"/>
                    <w:tr2bl w:val="nil"/>
                  </w:tcBorders>
                  <w:vAlign w:val="center"/>
                </w:tcPr>
                <w:p w14:paraId="27DAF0E1">
                  <w:pPr>
                    <w:jc w:val="center"/>
                    <w:textAlignment w:val="center"/>
                    <w:rPr>
                      <w:rFonts w:hint="eastAsia"/>
                      <w:color w:val="auto"/>
                      <w:kern w:val="0"/>
                      <w:szCs w:val="21"/>
                    </w:rPr>
                  </w:pPr>
                  <w:r>
                    <w:rPr>
                      <w:rFonts w:hint="eastAsia"/>
                      <w:color w:val="auto"/>
                      <w:kern w:val="0"/>
                      <w:szCs w:val="21"/>
                    </w:rPr>
                    <w:t>电泳漆</w:t>
                  </w:r>
                </w:p>
              </w:tc>
              <w:tc>
                <w:tcPr>
                  <w:tcW w:w="2159" w:type="dxa"/>
                  <w:tcBorders>
                    <w:tl2br w:val="nil"/>
                    <w:tr2bl w:val="nil"/>
                  </w:tcBorders>
                  <w:vAlign w:val="center"/>
                </w:tcPr>
                <w:p w14:paraId="1557BF68">
                  <w:pPr>
                    <w:jc w:val="center"/>
                    <w:textAlignment w:val="center"/>
                    <w:rPr>
                      <w:color w:val="auto"/>
                      <w:kern w:val="0"/>
                      <w:szCs w:val="21"/>
                    </w:rPr>
                  </w:pPr>
                  <w:r>
                    <w:rPr>
                      <w:rFonts w:hint="eastAsia"/>
                      <w:color w:val="auto"/>
                      <w:kern w:val="0"/>
                      <w:szCs w:val="21"/>
                    </w:rPr>
                    <w:t>1.5</w:t>
                  </w:r>
                </w:p>
              </w:tc>
              <w:tc>
                <w:tcPr>
                  <w:tcW w:w="2439" w:type="dxa"/>
                  <w:tcBorders>
                    <w:tl2br w:val="nil"/>
                    <w:tr2bl w:val="nil"/>
                  </w:tcBorders>
                  <w:vAlign w:val="center"/>
                </w:tcPr>
                <w:p w14:paraId="6256C030">
                  <w:pPr>
                    <w:jc w:val="center"/>
                    <w:textAlignment w:val="center"/>
                    <w:rPr>
                      <w:color w:val="auto"/>
                      <w:kern w:val="0"/>
                      <w:szCs w:val="21"/>
                    </w:rPr>
                  </w:pPr>
                  <w:r>
                    <w:rPr>
                      <w:rFonts w:hint="eastAsia"/>
                      <w:color w:val="auto"/>
                      <w:kern w:val="0"/>
                      <w:szCs w:val="21"/>
                    </w:rPr>
                    <w:t>11.7</w:t>
                  </w:r>
                </w:p>
              </w:tc>
              <w:tc>
                <w:tcPr>
                  <w:tcW w:w="2867" w:type="dxa"/>
                  <w:tcBorders>
                    <w:tl2br w:val="nil"/>
                    <w:tr2bl w:val="nil"/>
                  </w:tcBorders>
                  <w:vAlign w:val="center"/>
                </w:tcPr>
                <w:p w14:paraId="3517CF40">
                  <w:pPr>
                    <w:jc w:val="center"/>
                    <w:textAlignment w:val="center"/>
                    <w:rPr>
                      <w:color w:val="auto"/>
                      <w:kern w:val="0"/>
                      <w:szCs w:val="21"/>
                    </w:rPr>
                  </w:pPr>
                  <w:r>
                    <w:rPr>
                      <w:color w:val="auto"/>
                      <w:kern w:val="0"/>
                      <w:szCs w:val="21"/>
                      <w:lang w:bidi="ar"/>
                    </w:rPr>
                    <w:t xml:space="preserve">0.1755 </w:t>
                  </w:r>
                </w:p>
              </w:tc>
            </w:tr>
            <w:tr w14:paraId="505D64A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30" w:type="dxa"/>
                  <w:tcBorders>
                    <w:tl2br w:val="nil"/>
                    <w:tr2bl w:val="nil"/>
                  </w:tcBorders>
                  <w:vAlign w:val="center"/>
                </w:tcPr>
                <w:p w14:paraId="78237ED2">
                  <w:pPr>
                    <w:jc w:val="center"/>
                    <w:textAlignment w:val="center"/>
                    <w:rPr>
                      <w:color w:val="auto"/>
                      <w:kern w:val="0"/>
                      <w:szCs w:val="21"/>
                    </w:rPr>
                  </w:pPr>
                  <w:r>
                    <w:rPr>
                      <w:rFonts w:hint="eastAsia"/>
                      <w:color w:val="auto"/>
                      <w:kern w:val="0"/>
                      <w:szCs w:val="21"/>
                    </w:rPr>
                    <w:t>稳定剂</w:t>
                  </w:r>
                </w:p>
              </w:tc>
              <w:tc>
                <w:tcPr>
                  <w:tcW w:w="2159" w:type="dxa"/>
                  <w:tcBorders>
                    <w:tl2br w:val="nil"/>
                    <w:tr2bl w:val="nil"/>
                  </w:tcBorders>
                  <w:vAlign w:val="center"/>
                </w:tcPr>
                <w:p w14:paraId="04C546E3">
                  <w:pPr>
                    <w:jc w:val="center"/>
                    <w:textAlignment w:val="center"/>
                    <w:rPr>
                      <w:color w:val="auto"/>
                      <w:kern w:val="0"/>
                      <w:szCs w:val="21"/>
                    </w:rPr>
                  </w:pPr>
                  <w:r>
                    <w:rPr>
                      <w:rFonts w:hint="eastAsia"/>
                      <w:color w:val="auto"/>
                      <w:kern w:val="0"/>
                      <w:szCs w:val="21"/>
                    </w:rPr>
                    <w:t>0.5</w:t>
                  </w:r>
                </w:p>
              </w:tc>
              <w:tc>
                <w:tcPr>
                  <w:tcW w:w="2439" w:type="dxa"/>
                  <w:tcBorders>
                    <w:tl2br w:val="nil"/>
                    <w:tr2bl w:val="nil"/>
                  </w:tcBorders>
                  <w:vAlign w:val="center"/>
                </w:tcPr>
                <w:p w14:paraId="1F3D2B0A">
                  <w:pPr>
                    <w:jc w:val="center"/>
                    <w:textAlignment w:val="center"/>
                    <w:rPr>
                      <w:color w:val="auto"/>
                      <w:kern w:val="0"/>
                      <w:szCs w:val="21"/>
                    </w:rPr>
                  </w:pPr>
                  <w:r>
                    <w:rPr>
                      <w:rFonts w:hint="eastAsia"/>
                      <w:color w:val="auto"/>
                      <w:kern w:val="0"/>
                      <w:szCs w:val="21"/>
                    </w:rPr>
                    <w:t>100</w:t>
                  </w:r>
                </w:p>
              </w:tc>
              <w:tc>
                <w:tcPr>
                  <w:tcW w:w="2867" w:type="dxa"/>
                  <w:tcBorders>
                    <w:tl2br w:val="nil"/>
                    <w:tr2bl w:val="nil"/>
                  </w:tcBorders>
                  <w:vAlign w:val="center"/>
                </w:tcPr>
                <w:p w14:paraId="08A8D76F">
                  <w:pPr>
                    <w:jc w:val="center"/>
                    <w:textAlignment w:val="center"/>
                    <w:rPr>
                      <w:rFonts w:hint="eastAsia"/>
                      <w:color w:val="auto"/>
                      <w:kern w:val="0"/>
                      <w:szCs w:val="21"/>
                    </w:rPr>
                  </w:pPr>
                  <w:r>
                    <w:rPr>
                      <w:color w:val="auto"/>
                      <w:kern w:val="0"/>
                      <w:szCs w:val="21"/>
                      <w:lang w:bidi="ar"/>
                    </w:rPr>
                    <w:t xml:space="preserve">0.5000 </w:t>
                  </w:r>
                </w:p>
              </w:tc>
            </w:tr>
            <w:tr w14:paraId="4A5397F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30" w:type="dxa"/>
                  <w:tcBorders>
                    <w:tl2br w:val="nil"/>
                    <w:tr2bl w:val="nil"/>
                  </w:tcBorders>
                  <w:vAlign w:val="center"/>
                </w:tcPr>
                <w:p w14:paraId="29EB8F19">
                  <w:pPr>
                    <w:jc w:val="center"/>
                    <w:textAlignment w:val="center"/>
                    <w:rPr>
                      <w:color w:val="auto"/>
                      <w:kern w:val="0"/>
                      <w:szCs w:val="21"/>
                    </w:rPr>
                  </w:pPr>
                  <w:r>
                    <w:rPr>
                      <w:rFonts w:hint="eastAsia"/>
                      <w:color w:val="auto"/>
                      <w:kern w:val="0"/>
                      <w:szCs w:val="21"/>
                    </w:rPr>
                    <w:t>合计</w:t>
                  </w:r>
                </w:p>
              </w:tc>
              <w:tc>
                <w:tcPr>
                  <w:tcW w:w="2159" w:type="dxa"/>
                  <w:tcBorders>
                    <w:tl2br w:val="nil"/>
                    <w:tr2bl w:val="nil"/>
                  </w:tcBorders>
                  <w:vAlign w:val="center"/>
                </w:tcPr>
                <w:p w14:paraId="4CDD748B">
                  <w:pPr>
                    <w:jc w:val="center"/>
                    <w:textAlignment w:val="center"/>
                    <w:rPr>
                      <w:color w:val="auto"/>
                      <w:kern w:val="0"/>
                      <w:szCs w:val="21"/>
                    </w:rPr>
                  </w:pPr>
                  <w:r>
                    <w:rPr>
                      <w:rFonts w:hint="eastAsia"/>
                      <w:color w:val="auto"/>
                      <w:kern w:val="0"/>
                      <w:szCs w:val="21"/>
                    </w:rPr>
                    <w:t>2.0</w:t>
                  </w:r>
                </w:p>
              </w:tc>
              <w:tc>
                <w:tcPr>
                  <w:tcW w:w="2439" w:type="dxa"/>
                  <w:tcBorders>
                    <w:tl2br w:val="nil"/>
                    <w:tr2bl w:val="nil"/>
                  </w:tcBorders>
                  <w:vAlign w:val="center"/>
                </w:tcPr>
                <w:p w14:paraId="66CCD6C1">
                  <w:pPr>
                    <w:jc w:val="center"/>
                    <w:textAlignment w:val="center"/>
                    <w:rPr>
                      <w:color w:val="auto"/>
                      <w:kern w:val="0"/>
                      <w:szCs w:val="21"/>
                    </w:rPr>
                  </w:pPr>
                  <w:r>
                    <w:rPr>
                      <w:rFonts w:hint="eastAsia"/>
                      <w:color w:val="auto"/>
                      <w:kern w:val="0"/>
                      <w:szCs w:val="21"/>
                    </w:rPr>
                    <w:t>/</w:t>
                  </w:r>
                </w:p>
              </w:tc>
              <w:tc>
                <w:tcPr>
                  <w:tcW w:w="2867" w:type="dxa"/>
                  <w:tcBorders>
                    <w:tl2br w:val="nil"/>
                    <w:tr2bl w:val="nil"/>
                  </w:tcBorders>
                  <w:vAlign w:val="center"/>
                </w:tcPr>
                <w:p w14:paraId="5B579748">
                  <w:pPr>
                    <w:jc w:val="center"/>
                    <w:textAlignment w:val="center"/>
                    <w:rPr>
                      <w:rFonts w:hint="eastAsia"/>
                      <w:color w:val="auto"/>
                      <w:kern w:val="0"/>
                      <w:szCs w:val="21"/>
                    </w:rPr>
                  </w:pPr>
                  <w:r>
                    <w:rPr>
                      <w:color w:val="auto"/>
                      <w:kern w:val="0"/>
                      <w:szCs w:val="21"/>
                      <w:lang w:bidi="ar"/>
                    </w:rPr>
                    <w:t>0.6755</w:t>
                  </w:r>
                </w:p>
              </w:tc>
            </w:tr>
          </w:tbl>
          <w:p w14:paraId="03F9033F">
            <w:pPr>
              <w:pStyle w:val="189"/>
              <w:spacing w:line="360" w:lineRule="auto"/>
              <w:ind w:firstLine="480"/>
              <w:rPr>
                <w:color w:val="auto"/>
                <w:sz w:val="24"/>
              </w:rPr>
            </w:pPr>
            <w:r>
              <w:rPr>
                <w:rFonts w:hint="eastAsia"/>
                <w:color w:val="auto"/>
                <w:sz w:val="24"/>
              </w:rPr>
              <w:t>根据上表分析可知，本</w:t>
            </w:r>
            <w:r>
              <w:rPr>
                <w:rFonts w:hint="eastAsia"/>
                <w:color w:val="auto"/>
                <w:sz w:val="24"/>
                <w:lang w:eastAsia="zh-CN"/>
              </w:rPr>
              <w:t>改建</w:t>
            </w:r>
            <w:r>
              <w:rPr>
                <w:rFonts w:hint="eastAsia"/>
                <w:color w:val="auto"/>
                <w:sz w:val="24"/>
              </w:rPr>
              <w:t>项目电泳漆涂装及烘干固化有机废气产生量为0.6755t/a</w:t>
            </w:r>
            <w:r>
              <w:rPr>
                <w:color w:val="auto"/>
                <w:sz w:val="24"/>
              </w:rPr>
              <w:t>。</w:t>
            </w:r>
            <w:r>
              <w:rPr>
                <w:rFonts w:hint="eastAsia"/>
                <w:color w:val="auto"/>
                <w:sz w:val="24"/>
              </w:rPr>
              <w:t>电泳漆涂装及烘干固化</w:t>
            </w:r>
            <w:r>
              <w:rPr>
                <w:color w:val="auto"/>
                <w:sz w:val="24"/>
              </w:rPr>
              <w:t>工序运行时间平均每天为</w:t>
            </w:r>
            <w:r>
              <w:rPr>
                <w:rFonts w:hint="eastAsia"/>
                <w:color w:val="auto"/>
                <w:sz w:val="24"/>
                <w:lang w:val="en-US" w:eastAsia="zh-CN"/>
              </w:rPr>
              <w:t>8</w:t>
            </w:r>
            <w:r>
              <w:rPr>
                <w:color w:val="auto"/>
                <w:sz w:val="24"/>
              </w:rPr>
              <w:t>小时，年工作300天，年工作</w:t>
            </w:r>
            <w:r>
              <w:rPr>
                <w:rFonts w:hint="eastAsia"/>
                <w:color w:val="auto"/>
                <w:sz w:val="24"/>
                <w:lang w:val="en-US" w:eastAsia="zh-CN"/>
              </w:rPr>
              <w:t>24</w:t>
            </w:r>
            <w:r>
              <w:rPr>
                <w:color w:val="auto"/>
                <w:sz w:val="24"/>
              </w:rPr>
              <w:t>00小时。</w:t>
            </w:r>
          </w:p>
          <w:p w14:paraId="02FE43AF">
            <w:pPr>
              <w:pStyle w:val="189"/>
              <w:spacing w:line="360" w:lineRule="auto"/>
              <w:ind w:firstLine="482"/>
              <w:rPr>
                <w:b/>
                <w:bCs/>
                <w:color w:val="auto"/>
                <w:sz w:val="24"/>
              </w:rPr>
            </w:pPr>
            <w:r>
              <w:rPr>
                <w:b/>
                <w:bCs/>
                <w:color w:val="auto"/>
                <w:sz w:val="24"/>
              </w:rPr>
              <w:t>（2）废气收集处理</w:t>
            </w:r>
          </w:p>
          <w:p w14:paraId="6F774219">
            <w:pPr>
              <w:pStyle w:val="189"/>
              <w:spacing w:line="360" w:lineRule="auto"/>
              <w:ind w:firstLine="480"/>
              <w:rPr>
                <w:color w:val="auto"/>
                <w:sz w:val="24"/>
              </w:rPr>
            </w:pPr>
            <w:r>
              <w:rPr>
                <w:color w:val="auto"/>
                <w:sz w:val="24"/>
              </w:rPr>
              <w:t>本项目对</w:t>
            </w:r>
            <w:r>
              <w:rPr>
                <w:rFonts w:hint="eastAsia"/>
                <w:color w:val="auto"/>
                <w:sz w:val="24"/>
              </w:rPr>
              <w:t>电泳漆涂装和烘干固化工</w:t>
            </w:r>
            <w:r>
              <w:rPr>
                <w:color w:val="auto"/>
                <w:sz w:val="24"/>
              </w:rPr>
              <w:t>序产生的废气进行收集处理，</w:t>
            </w:r>
            <w:r>
              <w:rPr>
                <w:rFonts w:hint="eastAsia"/>
                <w:color w:val="auto"/>
                <w:sz w:val="24"/>
              </w:rPr>
              <w:t>本项目电泳漆涂装和烘干固化均设置在密闭</w:t>
            </w:r>
            <w:r>
              <w:rPr>
                <w:rFonts w:hint="eastAsia"/>
                <w:color w:val="auto"/>
                <w:sz w:val="24"/>
                <w:lang w:val="en-US" w:eastAsia="zh-CN"/>
              </w:rPr>
              <w:t>负压</w:t>
            </w:r>
            <w:r>
              <w:rPr>
                <w:rFonts w:hint="eastAsia"/>
                <w:color w:val="auto"/>
                <w:sz w:val="24"/>
              </w:rPr>
              <w:t>空间作业，本项目采用直接对密闭空间进行抽风收集废气，本项目设计密闭空间电泳漆涂装面积为</w:t>
            </w:r>
            <w:r>
              <w:rPr>
                <w:rFonts w:hint="eastAsia"/>
                <w:color w:val="auto"/>
                <w:sz w:val="24"/>
                <w:lang w:val="en-US" w:eastAsia="zh-CN"/>
              </w:rPr>
              <w:t>6</w:t>
            </w:r>
            <w:r>
              <w:rPr>
                <w:rFonts w:hint="eastAsia"/>
                <w:color w:val="auto"/>
                <w:sz w:val="24"/>
              </w:rPr>
              <w:t>0m</w:t>
            </w:r>
            <w:r>
              <w:rPr>
                <w:rFonts w:hint="eastAsia"/>
                <w:color w:val="auto"/>
                <w:sz w:val="24"/>
                <w:vertAlign w:val="superscript"/>
              </w:rPr>
              <w:t>2</w:t>
            </w:r>
            <w:r>
              <w:rPr>
                <w:rFonts w:hint="eastAsia"/>
                <w:color w:val="auto"/>
                <w:sz w:val="24"/>
              </w:rPr>
              <w:t>，高度为2.5m，烘干固化面积为2m</w:t>
            </w:r>
            <w:r>
              <w:rPr>
                <w:rFonts w:hint="eastAsia"/>
                <w:color w:val="auto"/>
                <w:sz w:val="24"/>
                <w:vertAlign w:val="superscript"/>
              </w:rPr>
              <w:t>2</w:t>
            </w:r>
            <w:r>
              <w:rPr>
                <w:rFonts w:hint="eastAsia"/>
                <w:color w:val="auto"/>
                <w:sz w:val="24"/>
              </w:rPr>
              <w:t>，高度为2m</w:t>
            </w:r>
            <w:r>
              <w:rPr>
                <w:color w:val="auto"/>
                <w:sz w:val="24"/>
              </w:rPr>
              <w:t>，</w:t>
            </w:r>
            <w:r>
              <w:rPr>
                <w:rFonts w:hint="eastAsia"/>
                <w:color w:val="auto"/>
                <w:sz w:val="24"/>
              </w:rPr>
              <w:t>根据</w:t>
            </w:r>
            <w:r>
              <w:rPr>
                <w:color w:val="auto"/>
                <w:sz w:val="24"/>
              </w:rPr>
              <w:t>《三废处理工程技术手册</w:t>
            </w:r>
            <w:r>
              <w:rPr>
                <w:rFonts w:hint="eastAsia"/>
                <w:color w:val="auto"/>
                <w:sz w:val="24"/>
              </w:rPr>
              <w:t>（</w:t>
            </w:r>
            <w:r>
              <w:rPr>
                <w:color w:val="auto"/>
                <w:sz w:val="24"/>
              </w:rPr>
              <w:t>废气卷</w:t>
            </w:r>
            <w:r>
              <w:rPr>
                <w:rFonts w:hint="eastAsia"/>
                <w:color w:val="auto"/>
                <w:sz w:val="24"/>
              </w:rPr>
              <w:t>）</w:t>
            </w:r>
            <w:r>
              <w:rPr>
                <w:color w:val="auto"/>
                <w:sz w:val="24"/>
              </w:rPr>
              <w:t>》</w:t>
            </w:r>
            <w:r>
              <w:rPr>
                <w:rFonts w:hint="eastAsia"/>
                <w:color w:val="auto"/>
                <w:sz w:val="24"/>
              </w:rPr>
              <w:t>（</w:t>
            </w:r>
            <w:r>
              <w:rPr>
                <w:color w:val="auto"/>
                <w:sz w:val="24"/>
              </w:rPr>
              <w:t>化学工业出版社</w:t>
            </w:r>
            <w:r>
              <w:rPr>
                <w:rFonts w:hint="eastAsia"/>
                <w:color w:val="auto"/>
                <w:sz w:val="24"/>
              </w:rPr>
              <w:t>，</w:t>
            </w:r>
            <w:r>
              <w:rPr>
                <w:color w:val="auto"/>
                <w:sz w:val="24"/>
              </w:rPr>
              <w:t>刘天齐主编</w:t>
            </w:r>
            <w:r>
              <w:rPr>
                <w:rFonts w:hint="eastAsia"/>
                <w:color w:val="auto"/>
                <w:sz w:val="24"/>
              </w:rPr>
              <w:t>）“第</w:t>
            </w:r>
            <w:r>
              <w:rPr>
                <w:color w:val="auto"/>
                <w:sz w:val="24"/>
              </w:rPr>
              <w:t>568页</w:t>
            </w:r>
            <w:r>
              <w:rPr>
                <w:rFonts w:hint="eastAsia"/>
                <w:color w:val="auto"/>
                <w:sz w:val="24"/>
              </w:rPr>
              <w:t>中</w:t>
            </w:r>
            <w:r>
              <w:rPr>
                <w:color w:val="auto"/>
                <w:sz w:val="24"/>
              </w:rPr>
              <w:t>表17-1每小时各场所换气次数</w:t>
            </w:r>
            <w:r>
              <w:rPr>
                <w:rFonts w:hint="eastAsia"/>
                <w:color w:val="auto"/>
                <w:sz w:val="24"/>
              </w:rPr>
              <w:t>，</w:t>
            </w:r>
            <w:r>
              <w:rPr>
                <w:color w:val="auto"/>
                <w:sz w:val="24"/>
              </w:rPr>
              <w:t>有害气体尘埃发生地要求每小时换气20次以上</w:t>
            </w:r>
            <w:r>
              <w:rPr>
                <w:rFonts w:hint="eastAsia"/>
                <w:color w:val="auto"/>
                <w:sz w:val="24"/>
              </w:rPr>
              <w:t>”，因此本项目</w:t>
            </w:r>
            <w:r>
              <w:rPr>
                <w:color w:val="auto"/>
                <w:sz w:val="24"/>
              </w:rPr>
              <w:t>换气次数</w:t>
            </w:r>
            <w:r>
              <w:rPr>
                <w:rFonts w:hint="eastAsia"/>
                <w:color w:val="auto"/>
                <w:sz w:val="24"/>
              </w:rPr>
              <w:t>取值20</w:t>
            </w:r>
            <w:r>
              <w:rPr>
                <w:color w:val="auto"/>
                <w:sz w:val="24"/>
              </w:rPr>
              <w:t>次/h</w:t>
            </w:r>
            <w:r>
              <w:rPr>
                <w:rFonts w:hint="eastAsia"/>
                <w:color w:val="auto"/>
                <w:sz w:val="24"/>
              </w:rPr>
              <w:t>计算</w:t>
            </w:r>
            <w:r>
              <w:rPr>
                <w:color w:val="auto"/>
                <w:sz w:val="24"/>
              </w:rPr>
              <w:t>，按照</w:t>
            </w:r>
            <w:r>
              <w:rPr>
                <w:rFonts w:hint="eastAsia"/>
                <w:color w:val="auto"/>
                <w:sz w:val="24"/>
              </w:rPr>
              <w:t>上</w:t>
            </w:r>
            <w:r>
              <w:rPr>
                <w:color w:val="auto"/>
                <w:sz w:val="24"/>
              </w:rPr>
              <w:t>式计算风量。车间所需新风量=车间面积×车间高度×换气次数</w:t>
            </w:r>
            <w:r>
              <w:rPr>
                <w:rFonts w:hint="eastAsia"/>
                <w:color w:val="auto"/>
                <w:sz w:val="24"/>
              </w:rPr>
              <w:t>，</w:t>
            </w:r>
            <w:r>
              <w:rPr>
                <w:color w:val="auto"/>
                <w:sz w:val="24"/>
              </w:rPr>
              <w:t>故</w:t>
            </w:r>
            <w:r>
              <w:rPr>
                <w:rFonts w:hint="eastAsia"/>
                <w:color w:val="auto"/>
                <w:sz w:val="24"/>
              </w:rPr>
              <w:t>电泳漆涂装和烘干固化工序</w:t>
            </w:r>
            <w:r>
              <w:rPr>
                <w:color w:val="auto"/>
                <w:sz w:val="24"/>
              </w:rPr>
              <w:t>所需新风量为</w:t>
            </w:r>
            <w:r>
              <w:rPr>
                <w:rFonts w:hint="eastAsia"/>
                <w:color w:val="auto"/>
                <w:sz w:val="24"/>
                <w:lang w:val="en-US" w:eastAsia="zh-CN"/>
              </w:rPr>
              <w:t>6</w:t>
            </w:r>
            <w:r>
              <w:rPr>
                <w:rFonts w:hint="eastAsia"/>
                <w:color w:val="auto"/>
                <w:sz w:val="24"/>
              </w:rPr>
              <w:t>0m</w:t>
            </w:r>
            <w:r>
              <w:rPr>
                <w:rFonts w:hint="eastAsia"/>
                <w:color w:val="auto"/>
                <w:sz w:val="24"/>
                <w:vertAlign w:val="superscript"/>
              </w:rPr>
              <w:t>2</w:t>
            </w:r>
            <w:r>
              <w:rPr>
                <w:color w:val="auto"/>
                <w:sz w:val="24"/>
              </w:rPr>
              <w:t>×高2</w:t>
            </w:r>
            <w:r>
              <w:rPr>
                <w:rFonts w:hint="eastAsia"/>
                <w:color w:val="auto"/>
                <w:sz w:val="24"/>
              </w:rPr>
              <w:t>.5</w:t>
            </w:r>
            <w:r>
              <w:rPr>
                <w:color w:val="auto"/>
                <w:sz w:val="24"/>
              </w:rPr>
              <w:t>m×2</w:t>
            </w:r>
            <w:r>
              <w:rPr>
                <w:rFonts w:hint="eastAsia"/>
                <w:color w:val="auto"/>
                <w:sz w:val="24"/>
              </w:rPr>
              <w:t>0次/h+2m</w:t>
            </w:r>
            <w:r>
              <w:rPr>
                <w:rFonts w:hint="eastAsia"/>
                <w:color w:val="auto"/>
                <w:sz w:val="24"/>
                <w:vertAlign w:val="superscript"/>
              </w:rPr>
              <w:t>2</w:t>
            </w:r>
            <w:r>
              <w:rPr>
                <w:color w:val="auto"/>
                <w:sz w:val="24"/>
              </w:rPr>
              <w:t>×高</w:t>
            </w:r>
            <w:r>
              <w:rPr>
                <w:rFonts w:hint="eastAsia"/>
                <w:color w:val="auto"/>
                <w:sz w:val="24"/>
              </w:rPr>
              <w:t>2</w:t>
            </w:r>
            <w:r>
              <w:rPr>
                <w:color w:val="auto"/>
                <w:sz w:val="24"/>
              </w:rPr>
              <w:t>m×2</w:t>
            </w:r>
            <w:r>
              <w:rPr>
                <w:rFonts w:hint="eastAsia"/>
                <w:color w:val="auto"/>
                <w:sz w:val="24"/>
              </w:rPr>
              <w:t>0次/h</w:t>
            </w:r>
            <w:r>
              <w:rPr>
                <w:color w:val="auto"/>
                <w:sz w:val="24"/>
              </w:rPr>
              <w:t>=</w:t>
            </w:r>
            <w:r>
              <w:rPr>
                <w:rFonts w:hint="eastAsia"/>
                <w:color w:val="auto"/>
                <w:sz w:val="24"/>
                <w:lang w:val="en-US" w:eastAsia="zh-CN"/>
              </w:rPr>
              <w:t>30</w:t>
            </w:r>
            <w:r>
              <w:rPr>
                <w:rFonts w:hint="eastAsia"/>
                <w:color w:val="auto"/>
                <w:sz w:val="24"/>
              </w:rPr>
              <w:t>00</w:t>
            </w:r>
            <w:r>
              <w:rPr>
                <w:color w:val="auto"/>
                <w:sz w:val="24"/>
              </w:rPr>
              <w:t>m</w:t>
            </w:r>
            <w:r>
              <w:rPr>
                <w:color w:val="auto"/>
                <w:sz w:val="24"/>
                <w:vertAlign w:val="superscript"/>
              </w:rPr>
              <w:t>3</w:t>
            </w:r>
            <w:r>
              <w:rPr>
                <w:color w:val="auto"/>
                <w:sz w:val="24"/>
              </w:rPr>
              <w:t>/h</w:t>
            </w:r>
            <w:r>
              <w:rPr>
                <w:rFonts w:hint="eastAsia"/>
                <w:color w:val="auto"/>
                <w:sz w:val="24"/>
              </w:rPr>
              <w:t>+80</w:t>
            </w:r>
            <w:r>
              <w:rPr>
                <w:color w:val="auto"/>
                <w:sz w:val="24"/>
              </w:rPr>
              <w:t>m</w:t>
            </w:r>
            <w:r>
              <w:rPr>
                <w:color w:val="auto"/>
                <w:sz w:val="24"/>
                <w:vertAlign w:val="superscript"/>
              </w:rPr>
              <w:t>3</w:t>
            </w:r>
            <w:r>
              <w:rPr>
                <w:color w:val="auto"/>
                <w:sz w:val="24"/>
              </w:rPr>
              <w:t>/h</w:t>
            </w:r>
            <w:r>
              <w:rPr>
                <w:rFonts w:hint="eastAsia"/>
                <w:color w:val="auto"/>
                <w:sz w:val="24"/>
              </w:rPr>
              <w:t>=</w:t>
            </w:r>
            <w:r>
              <w:rPr>
                <w:rFonts w:hint="eastAsia"/>
                <w:color w:val="auto"/>
                <w:sz w:val="24"/>
                <w:lang w:val="en-US" w:eastAsia="zh-CN"/>
              </w:rPr>
              <w:t>3</w:t>
            </w:r>
            <w:r>
              <w:rPr>
                <w:rFonts w:hint="eastAsia"/>
                <w:color w:val="auto"/>
                <w:sz w:val="24"/>
              </w:rPr>
              <w:t>080</w:t>
            </w:r>
            <w:r>
              <w:rPr>
                <w:color w:val="auto"/>
                <w:sz w:val="24"/>
              </w:rPr>
              <w:t>m</w:t>
            </w:r>
            <w:r>
              <w:rPr>
                <w:color w:val="auto"/>
                <w:sz w:val="24"/>
                <w:vertAlign w:val="superscript"/>
              </w:rPr>
              <w:t>3</w:t>
            </w:r>
            <w:r>
              <w:rPr>
                <w:color w:val="auto"/>
                <w:sz w:val="24"/>
              </w:rPr>
              <w:t>/h</w:t>
            </w:r>
            <w:r>
              <w:rPr>
                <w:color w:val="auto"/>
                <w:sz w:val="24"/>
              </w:rPr>
              <w:t>，考虑到风阻等损失，故建议建设单位总风机设置风量为核算风量的120%或以上</w:t>
            </w:r>
            <w:r>
              <w:rPr>
                <w:rFonts w:hint="eastAsia"/>
                <w:color w:val="auto"/>
                <w:sz w:val="24"/>
              </w:rPr>
              <w:t>，</w:t>
            </w:r>
            <w:r>
              <w:rPr>
                <w:color w:val="auto"/>
                <w:sz w:val="24"/>
              </w:rPr>
              <w:t>建议</w:t>
            </w:r>
            <w:r>
              <w:rPr>
                <w:rFonts w:hint="eastAsia"/>
                <w:color w:val="auto"/>
                <w:sz w:val="24"/>
              </w:rPr>
              <w:t>电泳漆涂装和烘干固化工序收集风量为</w:t>
            </w:r>
            <w:r>
              <w:rPr>
                <w:rFonts w:hint="eastAsia"/>
                <w:color w:val="auto"/>
                <w:sz w:val="24"/>
                <w:lang w:val="en-US" w:eastAsia="zh-CN"/>
              </w:rPr>
              <w:t>3080</w:t>
            </w:r>
            <w:r>
              <w:rPr>
                <w:color w:val="auto"/>
                <w:sz w:val="24"/>
              </w:rPr>
              <w:t>m</w:t>
            </w:r>
            <w:r>
              <w:rPr>
                <w:color w:val="auto"/>
                <w:sz w:val="24"/>
                <w:vertAlign w:val="superscript"/>
              </w:rPr>
              <w:t>3</w:t>
            </w:r>
            <w:r>
              <w:rPr>
                <w:color w:val="auto"/>
                <w:sz w:val="24"/>
              </w:rPr>
              <w:t>/h×</w:t>
            </w:r>
            <w:r>
              <w:rPr>
                <w:rFonts w:hint="eastAsia"/>
                <w:color w:val="auto"/>
                <w:sz w:val="24"/>
                <w:lang w:val="en-US" w:eastAsia="zh-CN"/>
              </w:rPr>
              <w:t>120%</w:t>
            </w:r>
            <w:r>
              <w:rPr>
                <w:rFonts w:hint="eastAsia"/>
                <w:color w:val="auto"/>
                <w:sz w:val="24"/>
              </w:rPr>
              <w:t>≈</w:t>
            </w:r>
            <w:r>
              <w:rPr>
                <w:rFonts w:hint="eastAsia"/>
                <w:color w:val="auto"/>
                <w:sz w:val="24"/>
                <w:lang w:val="en-US" w:eastAsia="zh-CN"/>
              </w:rPr>
              <w:t>400</w:t>
            </w:r>
            <w:r>
              <w:rPr>
                <w:rFonts w:hint="eastAsia"/>
                <w:color w:val="auto"/>
                <w:sz w:val="24"/>
              </w:rPr>
              <w:t>0</w:t>
            </w:r>
            <w:r>
              <w:rPr>
                <w:color w:val="auto"/>
                <w:sz w:val="24"/>
              </w:rPr>
              <w:t>m</w:t>
            </w:r>
            <w:r>
              <w:rPr>
                <w:color w:val="auto"/>
                <w:sz w:val="24"/>
                <w:vertAlign w:val="superscript"/>
              </w:rPr>
              <w:t>3</w:t>
            </w:r>
            <w:r>
              <w:rPr>
                <w:color w:val="auto"/>
                <w:sz w:val="24"/>
              </w:rPr>
              <w:t>/h</w:t>
            </w:r>
            <w:r>
              <w:rPr>
                <w:color w:val="auto"/>
                <w:sz w:val="24"/>
              </w:rPr>
              <w:t>，确保产生的</w:t>
            </w:r>
            <w:r>
              <w:rPr>
                <w:rFonts w:hint="eastAsia"/>
                <w:color w:val="auto"/>
                <w:sz w:val="24"/>
              </w:rPr>
              <w:t>废气</w:t>
            </w:r>
            <w:r>
              <w:rPr>
                <w:color w:val="auto"/>
                <w:sz w:val="24"/>
              </w:rPr>
              <w:t>得到有效收集</w:t>
            </w:r>
            <w:r>
              <w:rPr>
                <w:rFonts w:hint="eastAsia"/>
                <w:color w:val="auto"/>
                <w:sz w:val="24"/>
              </w:rPr>
              <w:t>，保证密闭空间呈负压状态收集废气</w:t>
            </w:r>
            <w:r>
              <w:rPr>
                <w:color w:val="auto"/>
                <w:sz w:val="24"/>
              </w:rPr>
              <w:t>。根据《广东省生态环境厅关于印发工业源挥发性有机物和氮氧化物减排量核算方法的通知》（粤环函〔2023〕538号）附件1《广东省工业源挥发性有机物减排量核算方法（2023年修订版）》中表3.3-2废气收集集气效率参考值，“全密封设备/空间</w:t>
            </w:r>
            <w:r>
              <w:rPr>
                <w:rFonts w:hint="eastAsia"/>
                <w:color w:val="auto"/>
                <w:sz w:val="24"/>
              </w:rPr>
              <w:t>－</w:t>
            </w:r>
            <w:r>
              <w:rPr>
                <w:color w:val="auto"/>
                <w:sz w:val="24"/>
              </w:rPr>
              <w:t>单层密闭负压-VOCs产生源设置在密闭车间、密闭设备（含反应釜）、密闭管道内，所有开口处，包括人员或物料进出口处呈负压</w:t>
            </w:r>
            <w:r>
              <w:rPr>
                <w:rFonts w:hint="eastAsia"/>
                <w:color w:val="auto"/>
                <w:sz w:val="24"/>
              </w:rPr>
              <w:t>－</w:t>
            </w:r>
            <w:r>
              <w:rPr>
                <w:color w:val="auto"/>
                <w:sz w:val="24"/>
              </w:rPr>
              <w:t>收集效率为</w:t>
            </w:r>
            <w:r>
              <w:rPr>
                <w:rFonts w:hint="eastAsia"/>
                <w:color w:val="auto"/>
                <w:sz w:val="24"/>
              </w:rPr>
              <w:t>90</w:t>
            </w:r>
            <w:r>
              <w:rPr>
                <w:color w:val="auto"/>
                <w:sz w:val="24"/>
              </w:rPr>
              <w:t>%”</w:t>
            </w:r>
            <w:r>
              <w:rPr>
                <w:rFonts w:hint="eastAsia"/>
                <w:color w:val="auto"/>
                <w:sz w:val="24"/>
              </w:rPr>
              <w:t>，本项目收集效率按90%核算</w:t>
            </w:r>
            <w:r>
              <w:rPr>
                <w:color w:val="auto"/>
                <w:sz w:val="24"/>
              </w:rPr>
              <w:t>。</w:t>
            </w:r>
          </w:p>
          <w:p w14:paraId="4D2FBBC2">
            <w:pPr>
              <w:pStyle w:val="189"/>
              <w:spacing w:line="360" w:lineRule="auto"/>
              <w:ind w:firstLine="480"/>
              <w:rPr>
                <w:color w:val="auto"/>
                <w:sz w:val="24"/>
              </w:rPr>
            </w:pPr>
            <w:r>
              <w:rPr>
                <w:color w:val="auto"/>
                <w:sz w:val="24"/>
              </w:rPr>
              <w:t>本项目对</w:t>
            </w:r>
            <w:r>
              <w:rPr>
                <w:rFonts w:hint="eastAsia"/>
                <w:color w:val="auto"/>
                <w:sz w:val="24"/>
              </w:rPr>
              <w:t>电泳漆涂装和烘干固化工序</w:t>
            </w:r>
            <w:r>
              <w:rPr>
                <w:color w:val="auto"/>
                <w:sz w:val="24"/>
              </w:rPr>
              <w:t>产生的有机废气</w:t>
            </w:r>
            <w:r>
              <w:rPr>
                <w:rFonts w:hint="eastAsia"/>
                <w:color w:val="auto"/>
                <w:sz w:val="24"/>
                <w:lang w:val="en-US" w:eastAsia="zh-CN"/>
              </w:rPr>
              <w:t>依托现有项目的</w:t>
            </w:r>
            <w:r>
              <w:rPr>
                <w:color w:val="auto"/>
                <w:sz w:val="24"/>
              </w:rPr>
              <w:t>“</w:t>
            </w:r>
            <w:r>
              <w:rPr>
                <w:rFonts w:hint="eastAsia"/>
                <w:color w:val="auto"/>
                <w:sz w:val="24"/>
              </w:rPr>
              <w:t>水喷淋塔+除雾器+</w:t>
            </w:r>
            <w:r>
              <w:rPr>
                <w:color w:val="auto"/>
                <w:sz w:val="24"/>
              </w:rPr>
              <w:t>两级活性炭吸附装置”进行处理后通过20m高的排气筒（DA00</w:t>
            </w:r>
            <w:r>
              <w:rPr>
                <w:rFonts w:hint="eastAsia"/>
                <w:color w:val="auto"/>
                <w:sz w:val="24"/>
                <w:lang w:val="en-US" w:eastAsia="zh-CN"/>
              </w:rPr>
              <w:t>5</w:t>
            </w:r>
            <w:r>
              <w:rPr>
                <w:color w:val="auto"/>
                <w:sz w:val="24"/>
              </w:rPr>
              <w:t>）高空排放。根据《吸附法工业有机废气治理工程技术规范》（HJ2026-2013），活性炭吸附装置是可行的治理技术。参照《广东省表面涂装（汽车制造业）挥发性有机废气治理技术指南》（粤环〔2015〕4号）、《广东省制鞋行业挥发性有机废气治理技术指南》（粤环〔2015〕4号）、《广东省印刷行业挥发性有机化合物废气治理技术指南》（粤环〔2013〕79号）、《广东省木质家具制造行业挥发性有机化合物排放系数使用指南》（粤环函〔2013〕944号）吸附法治理率为50~90%，本项目第一级活性炭吸附效率取值60%，由于浓度降低的原因，第二级活性炭吸附效率有所下降，故取50%。则本项目两级活性炭吸附装置的综合处理效率为：1-（1-60%）×（1-50%）=80%。本项目</w:t>
            </w:r>
            <w:r>
              <w:rPr>
                <w:rFonts w:hint="eastAsia"/>
                <w:color w:val="auto"/>
                <w:sz w:val="24"/>
                <w:highlight w:val="none"/>
                <w:lang w:val="en-US" w:eastAsia="zh-CN"/>
              </w:rPr>
              <w:t>电泳漆涂装和烘干固化</w:t>
            </w:r>
            <w:r>
              <w:rPr>
                <w:color w:val="auto"/>
                <w:sz w:val="24"/>
                <w:highlight w:val="none"/>
              </w:rPr>
              <w:t>废</w:t>
            </w:r>
            <w:r>
              <w:rPr>
                <w:color w:val="auto"/>
                <w:sz w:val="24"/>
              </w:rPr>
              <w:t>气产排情况见下表。</w:t>
            </w:r>
          </w:p>
          <w:p w14:paraId="3B42EA01">
            <w:pPr>
              <w:spacing w:line="240" w:lineRule="auto"/>
              <w:ind w:firstLine="422" w:firstLineChars="200"/>
              <w:jc w:val="center"/>
              <w:rPr>
                <w:b/>
                <w:bCs/>
                <w:color w:val="auto"/>
                <w:szCs w:val="21"/>
              </w:rPr>
            </w:pPr>
            <w:r>
              <w:rPr>
                <w:b/>
                <w:bCs/>
                <w:color w:val="auto"/>
                <w:szCs w:val="21"/>
              </w:rPr>
              <w:t>表4-3本项目</w:t>
            </w:r>
            <w:r>
              <w:rPr>
                <w:rFonts w:hint="eastAsia"/>
                <w:b/>
                <w:bCs/>
                <w:color w:val="auto"/>
                <w:szCs w:val="21"/>
              </w:rPr>
              <w:t>电泳漆涂装和烘干固化</w:t>
            </w:r>
            <w:r>
              <w:rPr>
                <w:b/>
                <w:bCs/>
                <w:color w:val="auto"/>
                <w:szCs w:val="21"/>
              </w:rPr>
              <w:t>工序有机废气收集、处理情况</w:t>
            </w:r>
          </w:p>
          <w:tbl>
            <w:tblPr>
              <w:tblStyle w:val="43"/>
              <w:tblW w:w="94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461"/>
              <w:gridCol w:w="1440"/>
              <w:gridCol w:w="1515"/>
              <w:gridCol w:w="1515"/>
              <w:gridCol w:w="2012"/>
            </w:tblGrid>
            <w:tr w14:paraId="719A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26" w:type="dxa"/>
                  <w:vAlign w:val="center"/>
                </w:tcPr>
                <w:p w14:paraId="1117EAC1">
                  <w:pPr>
                    <w:pStyle w:val="21"/>
                    <w:adjustRightInd w:val="0"/>
                    <w:spacing w:before="0" w:after="0" w:line="240" w:lineRule="auto"/>
                    <w:ind w:right="0"/>
                    <w:jc w:val="center"/>
                    <w:rPr>
                      <w:b/>
                      <w:bCs/>
                      <w:color w:val="auto"/>
                      <w:sz w:val="21"/>
                      <w:szCs w:val="21"/>
                    </w:rPr>
                  </w:pPr>
                  <w:r>
                    <w:rPr>
                      <w:b/>
                      <w:bCs/>
                      <w:color w:val="auto"/>
                      <w:sz w:val="21"/>
                      <w:szCs w:val="21"/>
                    </w:rPr>
                    <w:t>车间</w:t>
                  </w:r>
                </w:p>
              </w:tc>
              <w:tc>
                <w:tcPr>
                  <w:tcW w:w="1461" w:type="dxa"/>
                  <w:vAlign w:val="center"/>
                </w:tcPr>
                <w:p w14:paraId="5D959F0A">
                  <w:pPr>
                    <w:pStyle w:val="21"/>
                    <w:adjustRightInd w:val="0"/>
                    <w:spacing w:before="0" w:after="0" w:line="240" w:lineRule="auto"/>
                    <w:ind w:right="0"/>
                    <w:jc w:val="center"/>
                    <w:rPr>
                      <w:b/>
                      <w:bCs/>
                      <w:color w:val="auto"/>
                      <w:sz w:val="21"/>
                      <w:szCs w:val="21"/>
                    </w:rPr>
                  </w:pPr>
                  <w:r>
                    <w:rPr>
                      <w:b/>
                      <w:bCs/>
                      <w:color w:val="auto"/>
                      <w:sz w:val="21"/>
                      <w:szCs w:val="21"/>
                    </w:rPr>
                    <w:t>污染物</w:t>
                  </w:r>
                </w:p>
              </w:tc>
              <w:tc>
                <w:tcPr>
                  <w:tcW w:w="1440" w:type="dxa"/>
                  <w:vAlign w:val="center"/>
                </w:tcPr>
                <w:p w14:paraId="500333EC">
                  <w:pPr>
                    <w:pStyle w:val="21"/>
                    <w:adjustRightInd w:val="0"/>
                    <w:spacing w:before="0" w:after="0" w:line="240" w:lineRule="auto"/>
                    <w:ind w:right="0"/>
                    <w:jc w:val="center"/>
                    <w:rPr>
                      <w:b/>
                      <w:bCs/>
                      <w:color w:val="auto"/>
                      <w:sz w:val="21"/>
                      <w:szCs w:val="21"/>
                    </w:rPr>
                  </w:pPr>
                  <w:r>
                    <w:rPr>
                      <w:b/>
                      <w:bCs/>
                      <w:color w:val="auto"/>
                      <w:sz w:val="21"/>
                      <w:szCs w:val="21"/>
                    </w:rPr>
                    <w:t>产生量（t/a）</w:t>
                  </w:r>
                </w:p>
              </w:tc>
              <w:tc>
                <w:tcPr>
                  <w:tcW w:w="1515" w:type="dxa"/>
                  <w:vAlign w:val="center"/>
                </w:tcPr>
                <w:p w14:paraId="25EBD727">
                  <w:pPr>
                    <w:pStyle w:val="21"/>
                    <w:adjustRightInd w:val="0"/>
                    <w:spacing w:before="0" w:after="0" w:line="240" w:lineRule="auto"/>
                    <w:ind w:right="0"/>
                    <w:jc w:val="center"/>
                    <w:rPr>
                      <w:b/>
                      <w:bCs/>
                      <w:color w:val="auto"/>
                      <w:sz w:val="21"/>
                      <w:szCs w:val="21"/>
                    </w:rPr>
                  </w:pPr>
                  <w:r>
                    <w:rPr>
                      <w:b/>
                      <w:bCs/>
                      <w:color w:val="auto"/>
                      <w:sz w:val="21"/>
                      <w:szCs w:val="21"/>
                    </w:rPr>
                    <w:t>收集的废气量（t/a）</w:t>
                  </w:r>
                </w:p>
              </w:tc>
              <w:tc>
                <w:tcPr>
                  <w:tcW w:w="1515" w:type="dxa"/>
                  <w:vAlign w:val="center"/>
                </w:tcPr>
                <w:p w14:paraId="63A9B4A7">
                  <w:pPr>
                    <w:pStyle w:val="21"/>
                    <w:adjustRightInd w:val="0"/>
                    <w:spacing w:before="0" w:after="0" w:line="240" w:lineRule="auto"/>
                    <w:ind w:right="0"/>
                    <w:jc w:val="center"/>
                    <w:rPr>
                      <w:b/>
                      <w:bCs/>
                      <w:color w:val="auto"/>
                      <w:sz w:val="21"/>
                      <w:szCs w:val="21"/>
                    </w:rPr>
                  </w:pPr>
                  <w:r>
                    <w:rPr>
                      <w:b/>
                      <w:bCs/>
                      <w:color w:val="auto"/>
                      <w:sz w:val="21"/>
                      <w:szCs w:val="21"/>
                    </w:rPr>
                    <w:t>处理量（t/a）</w:t>
                  </w:r>
                </w:p>
              </w:tc>
              <w:tc>
                <w:tcPr>
                  <w:tcW w:w="2012" w:type="dxa"/>
                  <w:vAlign w:val="center"/>
                </w:tcPr>
                <w:p w14:paraId="0084616F">
                  <w:pPr>
                    <w:pStyle w:val="21"/>
                    <w:adjustRightInd w:val="0"/>
                    <w:spacing w:before="0" w:after="0" w:line="240" w:lineRule="auto"/>
                    <w:ind w:right="0"/>
                    <w:jc w:val="center"/>
                    <w:rPr>
                      <w:b/>
                      <w:bCs/>
                      <w:color w:val="auto"/>
                      <w:sz w:val="21"/>
                      <w:szCs w:val="21"/>
                    </w:rPr>
                  </w:pPr>
                  <w:r>
                    <w:rPr>
                      <w:b/>
                      <w:bCs/>
                      <w:color w:val="auto"/>
                      <w:sz w:val="21"/>
                      <w:szCs w:val="21"/>
                    </w:rPr>
                    <w:t>无收集的废气量（t/a）</w:t>
                  </w:r>
                </w:p>
              </w:tc>
            </w:tr>
            <w:tr w14:paraId="7C3C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26" w:type="dxa"/>
                  <w:vAlign w:val="center"/>
                </w:tcPr>
                <w:p w14:paraId="516BFABE">
                  <w:pPr>
                    <w:spacing w:line="240" w:lineRule="auto"/>
                    <w:jc w:val="center"/>
                    <w:textAlignment w:val="center"/>
                    <w:rPr>
                      <w:color w:val="auto"/>
                      <w:kern w:val="0"/>
                      <w:szCs w:val="21"/>
                    </w:rPr>
                  </w:pPr>
                  <w:r>
                    <w:rPr>
                      <w:rFonts w:hint="eastAsia"/>
                      <w:color w:val="auto"/>
                      <w:kern w:val="0"/>
                      <w:szCs w:val="21"/>
                    </w:rPr>
                    <w:t>电泳车间</w:t>
                  </w:r>
                </w:p>
              </w:tc>
              <w:tc>
                <w:tcPr>
                  <w:tcW w:w="1461" w:type="dxa"/>
                  <w:vAlign w:val="center"/>
                </w:tcPr>
                <w:p w14:paraId="367F1C06">
                  <w:pPr>
                    <w:pStyle w:val="21"/>
                    <w:adjustRightInd w:val="0"/>
                    <w:spacing w:before="0" w:after="0" w:line="240" w:lineRule="auto"/>
                    <w:ind w:right="0"/>
                    <w:jc w:val="center"/>
                    <w:rPr>
                      <w:color w:val="auto"/>
                      <w:sz w:val="21"/>
                      <w:szCs w:val="21"/>
                    </w:rPr>
                  </w:pPr>
                  <w:r>
                    <w:rPr>
                      <w:rFonts w:hint="eastAsia"/>
                      <w:color w:val="auto"/>
                      <w:sz w:val="21"/>
                      <w:szCs w:val="21"/>
                    </w:rPr>
                    <w:t>VOCs</w:t>
                  </w:r>
                </w:p>
              </w:tc>
              <w:tc>
                <w:tcPr>
                  <w:tcW w:w="1440" w:type="dxa"/>
                  <w:vAlign w:val="center"/>
                </w:tcPr>
                <w:p w14:paraId="4562D338">
                  <w:pPr>
                    <w:jc w:val="center"/>
                    <w:textAlignment w:val="center"/>
                    <w:rPr>
                      <w:color w:val="auto"/>
                      <w:szCs w:val="21"/>
                    </w:rPr>
                  </w:pPr>
                  <w:r>
                    <w:rPr>
                      <w:color w:val="auto"/>
                      <w:kern w:val="0"/>
                      <w:szCs w:val="21"/>
                      <w:lang w:bidi="ar"/>
                    </w:rPr>
                    <w:t xml:space="preserve">0.6755 </w:t>
                  </w:r>
                </w:p>
              </w:tc>
              <w:tc>
                <w:tcPr>
                  <w:tcW w:w="1515" w:type="dxa"/>
                  <w:vAlign w:val="center"/>
                </w:tcPr>
                <w:p w14:paraId="7B4DD84B">
                  <w:pPr>
                    <w:jc w:val="center"/>
                    <w:textAlignment w:val="center"/>
                    <w:rPr>
                      <w:color w:val="auto"/>
                      <w:szCs w:val="21"/>
                    </w:rPr>
                  </w:pPr>
                  <w:r>
                    <w:rPr>
                      <w:color w:val="auto"/>
                      <w:kern w:val="0"/>
                      <w:szCs w:val="21"/>
                      <w:lang w:bidi="ar"/>
                    </w:rPr>
                    <w:t xml:space="preserve">0.6080 </w:t>
                  </w:r>
                </w:p>
              </w:tc>
              <w:tc>
                <w:tcPr>
                  <w:tcW w:w="1515" w:type="dxa"/>
                  <w:vAlign w:val="center"/>
                </w:tcPr>
                <w:p w14:paraId="746FA3FD">
                  <w:pPr>
                    <w:jc w:val="center"/>
                    <w:textAlignment w:val="center"/>
                    <w:rPr>
                      <w:color w:val="auto"/>
                      <w:szCs w:val="21"/>
                    </w:rPr>
                  </w:pPr>
                  <w:r>
                    <w:rPr>
                      <w:color w:val="auto"/>
                      <w:kern w:val="0"/>
                      <w:szCs w:val="21"/>
                      <w:lang w:bidi="ar"/>
                    </w:rPr>
                    <w:t xml:space="preserve">0.4864 </w:t>
                  </w:r>
                </w:p>
              </w:tc>
              <w:tc>
                <w:tcPr>
                  <w:tcW w:w="2012" w:type="dxa"/>
                  <w:vAlign w:val="center"/>
                </w:tcPr>
                <w:p w14:paraId="79F30CBB">
                  <w:pPr>
                    <w:jc w:val="center"/>
                    <w:textAlignment w:val="center"/>
                    <w:rPr>
                      <w:color w:val="auto"/>
                      <w:szCs w:val="21"/>
                    </w:rPr>
                  </w:pPr>
                  <w:r>
                    <w:rPr>
                      <w:color w:val="auto"/>
                      <w:kern w:val="0"/>
                      <w:szCs w:val="21"/>
                      <w:lang w:bidi="ar"/>
                    </w:rPr>
                    <w:t xml:space="preserve">0.0676 </w:t>
                  </w:r>
                </w:p>
              </w:tc>
            </w:tr>
            <w:tr w14:paraId="3DE6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469" w:type="dxa"/>
                  <w:gridSpan w:val="6"/>
                  <w:vAlign w:val="center"/>
                </w:tcPr>
                <w:p w14:paraId="30015354">
                  <w:pPr>
                    <w:pStyle w:val="21"/>
                    <w:adjustRightInd w:val="0"/>
                    <w:spacing w:before="0" w:after="0" w:line="240" w:lineRule="auto"/>
                    <w:ind w:right="0"/>
                    <w:jc w:val="both"/>
                    <w:rPr>
                      <w:color w:val="auto"/>
                      <w:sz w:val="21"/>
                      <w:szCs w:val="21"/>
                    </w:rPr>
                  </w:pPr>
                  <w:r>
                    <w:rPr>
                      <w:b/>
                      <w:bCs/>
                      <w:color w:val="auto"/>
                      <w:sz w:val="21"/>
                      <w:szCs w:val="21"/>
                    </w:rPr>
                    <w:t>备注：</w:t>
                  </w:r>
                  <w:r>
                    <w:rPr>
                      <w:color w:val="auto"/>
                      <w:sz w:val="21"/>
                      <w:szCs w:val="21"/>
                    </w:rPr>
                    <w:t>1.收集效率为</w:t>
                  </w:r>
                  <w:r>
                    <w:rPr>
                      <w:rFonts w:hint="eastAsia"/>
                      <w:color w:val="auto"/>
                      <w:sz w:val="21"/>
                      <w:szCs w:val="21"/>
                    </w:rPr>
                    <w:t>9</w:t>
                  </w:r>
                  <w:r>
                    <w:rPr>
                      <w:color w:val="auto"/>
                      <w:sz w:val="21"/>
                      <w:szCs w:val="21"/>
                    </w:rPr>
                    <w:t>0%，去除率为80%；2.工作时间为300天，每天</w:t>
                  </w:r>
                  <w:r>
                    <w:rPr>
                      <w:rFonts w:hint="eastAsia"/>
                      <w:color w:val="auto"/>
                      <w:sz w:val="21"/>
                      <w:szCs w:val="21"/>
                      <w:lang w:val="en-US" w:eastAsia="zh-CN"/>
                    </w:rPr>
                    <w:t>8</w:t>
                  </w:r>
                  <w:r>
                    <w:rPr>
                      <w:color w:val="auto"/>
                      <w:sz w:val="21"/>
                      <w:szCs w:val="21"/>
                    </w:rPr>
                    <w:t>小时，合计</w:t>
                  </w:r>
                  <w:r>
                    <w:rPr>
                      <w:rFonts w:hint="eastAsia"/>
                      <w:color w:val="auto"/>
                      <w:sz w:val="21"/>
                      <w:szCs w:val="21"/>
                      <w:lang w:val="en-US" w:eastAsia="zh-CN"/>
                    </w:rPr>
                    <w:t>24</w:t>
                  </w:r>
                  <w:r>
                    <w:rPr>
                      <w:color w:val="auto"/>
                      <w:sz w:val="21"/>
                      <w:szCs w:val="21"/>
                    </w:rPr>
                    <w:t>00小时。</w:t>
                  </w:r>
                </w:p>
              </w:tc>
            </w:tr>
          </w:tbl>
          <w:p w14:paraId="52F5C7F8">
            <w:pPr>
              <w:keepNext/>
              <w:keepLines/>
              <w:wordWrap w:val="0"/>
              <w:topLinePunct/>
              <w:adjustRightInd w:val="0"/>
              <w:snapToGrid w:val="0"/>
              <w:jc w:val="center"/>
              <w:rPr>
                <w:b/>
                <w:bCs/>
                <w:color w:val="auto"/>
                <w:szCs w:val="21"/>
              </w:rPr>
            </w:pPr>
            <w:r>
              <w:rPr>
                <w:b/>
                <w:bCs/>
                <w:color w:val="auto"/>
                <w:szCs w:val="21"/>
              </w:rPr>
              <w:t>表4-4本项目</w:t>
            </w:r>
            <w:r>
              <w:rPr>
                <w:rFonts w:hint="eastAsia"/>
                <w:b/>
                <w:bCs/>
                <w:color w:val="auto"/>
                <w:szCs w:val="21"/>
              </w:rPr>
              <w:t>电泳漆涂装和烘干固化</w:t>
            </w:r>
            <w:r>
              <w:rPr>
                <w:b/>
                <w:bCs/>
                <w:color w:val="auto"/>
                <w:szCs w:val="21"/>
              </w:rPr>
              <w:t>工序有机废气产排情况</w:t>
            </w:r>
          </w:p>
          <w:tbl>
            <w:tblPr>
              <w:tblStyle w:val="42"/>
              <w:tblW w:w="95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059"/>
              <w:gridCol w:w="533"/>
              <w:gridCol w:w="654"/>
              <w:gridCol w:w="800"/>
              <w:gridCol w:w="800"/>
              <w:gridCol w:w="720"/>
              <w:gridCol w:w="893"/>
              <w:gridCol w:w="947"/>
              <w:gridCol w:w="733"/>
              <w:gridCol w:w="973"/>
              <w:gridCol w:w="760"/>
            </w:tblGrid>
            <w:tr w14:paraId="487F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7" w:type="dxa"/>
                  <w:vMerge w:val="restart"/>
                  <w:tcBorders>
                    <w:top w:val="single" w:color="auto" w:sz="4" w:space="0"/>
                    <w:left w:val="single" w:color="auto" w:sz="4" w:space="0"/>
                    <w:right w:val="single" w:color="auto" w:sz="4" w:space="0"/>
                  </w:tcBorders>
                  <w:vAlign w:val="center"/>
                </w:tcPr>
                <w:p w14:paraId="3A0563C3">
                  <w:pPr>
                    <w:adjustRightInd w:val="0"/>
                    <w:snapToGrid w:val="0"/>
                    <w:jc w:val="center"/>
                    <w:rPr>
                      <w:b/>
                      <w:bCs/>
                      <w:color w:val="auto"/>
                      <w:szCs w:val="21"/>
                    </w:rPr>
                  </w:pPr>
                  <w:r>
                    <w:rPr>
                      <w:b/>
                      <w:bCs/>
                      <w:color w:val="auto"/>
                      <w:szCs w:val="21"/>
                    </w:rPr>
                    <w:t>车间</w:t>
                  </w:r>
                </w:p>
              </w:tc>
              <w:tc>
                <w:tcPr>
                  <w:tcW w:w="1059" w:type="dxa"/>
                  <w:vMerge w:val="restart"/>
                  <w:tcBorders>
                    <w:top w:val="single" w:color="auto" w:sz="4" w:space="0"/>
                    <w:left w:val="single" w:color="auto" w:sz="4" w:space="0"/>
                    <w:right w:val="single" w:color="auto" w:sz="4" w:space="0"/>
                  </w:tcBorders>
                  <w:vAlign w:val="center"/>
                </w:tcPr>
                <w:p w14:paraId="7BD1148A">
                  <w:pPr>
                    <w:adjustRightInd w:val="0"/>
                    <w:snapToGrid w:val="0"/>
                    <w:jc w:val="center"/>
                    <w:rPr>
                      <w:b/>
                      <w:bCs/>
                      <w:color w:val="auto"/>
                      <w:szCs w:val="21"/>
                    </w:rPr>
                  </w:pPr>
                  <w:r>
                    <w:rPr>
                      <w:b/>
                      <w:bCs/>
                      <w:color w:val="auto"/>
                      <w:szCs w:val="21"/>
                    </w:rPr>
                    <w:t>污染源</w:t>
                  </w:r>
                </w:p>
              </w:tc>
              <w:tc>
                <w:tcPr>
                  <w:tcW w:w="533" w:type="dxa"/>
                  <w:vMerge w:val="restart"/>
                  <w:tcBorders>
                    <w:top w:val="single" w:color="auto" w:sz="4" w:space="0"/>
                    <w:left w:val="single" w:color="auto" w:sz="4" w:space="0"/>
                    <w:right w:val="single" w:color="auto" w:sz="4" w:space="0"/>
                  </w:tcBorders>
                  <w:vAlign w:val="center"/>
                </w:tcPr>
                <w:p w14:paraId="1F0DF722">
                  <w:pPr>
                    <w:adjustRightInd w:val="0"/>
                    <w:snapToGrid w:val="0"/>
                    <w:jc w:val="center"/>
                    <w:rPr>
                      <w:b/>
                      <w:bCs/>
                      <w:color w:val="auto"/>
                      <w:szCs w:val="21"/>
                    </w:rPr>
                  </w:pPr>
                  <w:r>
                    <w:rPr>
                      <w:b/>
                      <w:bCs/>
                      <w:color w:val="auto"/>
                      <w:szCs w:val="21"/>
                    </w:rPr>
                    <w:t>污染物</w:t>
                  </w:r>
                </w:p>
              </w:tc>
              <w:tc>
                <w:tcPr>
                  <w:tcW w:w="654" w:type="dxa"/>
                  <w:vMerge w:val="restart"/>
                  <w:tcBorders>
                    <w:top w:val="single" w:color="auto" w:sz="4" w:space="0"/>
                    <w:left w:val="single" w:color="auto" w:sz="4" w:space="0"/>
                    <w:right w:val="single" w:color="auto" w:sz="4" w:space="0"/>
                  </w:tcBorders>
                  <w:vAlign w:val="center"/>
                </w:tcPr>
                <w:p w14:paraId="75CE96B6">
                  <w:pPr>
                    <w:adjustRightInd w:val="0"/>
                    <w:snapToGrid w:val="0"/>
                    <w:jc w:val="center"/>
                    <w:rPr>
                      <w:b/>
                      <w:bCs/>
                      <w:color w:val="auto"/>
                      <w:szCs w:val="21"/>
                    </w:rPr>
                  </w:pPr>
                  <w:r>
                    <w:rPr>
                      <w:b/>
                      <w:bCs/>
                      <w:color w:val="auto"/>
                      <w:szCs w:val="21"/>
                    </w:rPr>
                    <w:t>风量m</w:t>
                  </w:r>
                  <w:r>
                    <w:rPr>
                      <w:b/>
                      <w:bCs/>
                      <w:color w:val="auto"/>
                      <w:szCs w:val="21"/>
                      <w:vertAlign w:val="superscript"/>
                    </w:rPr>
                    <w:t>3</w:t>
                  </w:r>
                  <w:r>
                    <w:rPr>
                      <w:b/>
                      <w:bCs/>
                      <w:color w:val="auto"/>
                      <w:szCs w:val="21"/>
                    </w:rPr>
                    <w:t>/h</w:t>
                  </w:r>
                </w:p>
              </w:tc>
              <w:tc>
                <w:tcPr>
                  <w:tcW w:w="4893" w:type="dxa"/>
                  <w:gridSpan w:val="6"/>
                  <w:tcBorders>
                    <w:top w:val="single" w:color="auto" w:sz="4" w:space="0"/>
                    <w:left w:val="single" w:color="auto" w:sz="4" w:space="0"/>
                    <w:bottom w:val="single" w:color="auto" w:sz="4" w:space="0"/>
                    <w:right w:val="single" w:color="auto" w:sz="4" w:space="0"/>
                  </w:tcBorders>
                  <w:vAlign w:val="center"/>
                </w:tcPr>
                <w:p w14:paraId="1178A946">
                  <w:pPr>
                    <w:adjustRightInd w:val="0"/>
                    <w:snapToGrid w:val="0"/>
                    <w:jc w:val="center"/>
                    <w:rPr>
                      <w:b/>
                      <w:bCs/>
                      <w:color w:val="auto"/>
                      <w:szCs w:val="21"/>
                    </w:rPr>
                  </w:pPr>
                  <w:r>
                    <w:rPr>
                      <w:b/>
                      <w:bCs/>
                      <w:color w:val="auto"/>
                      <w:szCs w:val="21"/>
                    </w:rPr>
                    <w:t>有组织</w:t>
                  </w:r>
                </w:p>
              </w:tc>
              <w:tc>
                <w:tcPr>
                  <w:tcW w:w="1733" w:type="dxa"/>
                  <w:gridSpan w:val="2"/>
                  <w:tcBorders>
                    <w:top w:val="single" w:color="auto" w:sz="4" w:space="0"/>
                    <w:left w:val="single" w:color="auto" w:sz="4" w:space="0"/>
                    <w:bottom w:val="single" w:color="auto" w:sz="4" w:space="0"/>
                    <w:right w:val="single" w:color="auto" w:sz="4" w:space="0"/>
                  </w:tcBorders>
                  <w:vAlign w:val="center"/>
                </w:tcPr>
                <w:p w14:paraId="5D029E4C">
                  <w:pPr>
                    <w:adjustRightInd w:val="0"/>
                    <w:snapToGrid w:val="0"/>
                    <w:jc w:val="center"/>
                    <w:rPr>
                      <w:b/>
                      <w:bCs/>
                      <w:color w:val="auto"/>
                      <w:szCs w:val="21"/>
                    </w:rPr>
                  </w:pPr>
                  <w:r>
                    <w:rPr>
                      <w:b/>
                      <w:bCs/>
                      <w:color w:val="auto"/>
                      <w:szCs w:val="21"/>
                    </w:rPr>
                    <w:t>无组织</w:t>
                  </w:r>
                </w:p>
              </w:tc>
            </w:tr>
            <w:tr w14:paraId="065F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7" w:type="dxa"/>
                  <w:vMerge w:val="continue"/>
                  <w:tcBorders>
                    <w:left w:val="single" w:color="auto" w:sz="4" w:space="0"/>
                    <w:bottom w:val="single" w:color="auto" w:sz="4" w:space="0"/>
                    <w:right w:val="single" w:color="auto" w:sz="4" w:space="0"/>
                  </w:tcBorders>
                  <w:vAlign w:val="center"/>
                </w:tcPr>
                <w:p w14:paraId="646EDBC8">
                  <w:pPr>
                    <w:adjustRightInd w:val="0"/>
                    <w:snapToGrid w:val="0"/>
                    <w:jc w:val="center"/>
                    <w:rPr>
                      <w:b/>
                      <w:bCs/>
                      <w:color w:val="auto"/>
                      <w:szCs w:val="21"/>
                    </w:rPr>
                  </w:pPr>
                </w:p>
              </w:tc>
              <w:tc>
                <w:tcPr>
                  <w:tcW w:w="1059" w:type="dxa"/>
                  <w:vMerge w:val="continue"/>
                  <w:tcBorders>
                    <w:left w:val="single" w:color="auto" w:sz="4" w:space="0"/>
                    <w:bottom w:val="single" w:color="auto" w:sz="4" w:space="0"/>
                    <w:right w:val="single" w:color="auto" w:sz="4" w:space="0"/>
                  </w:tcBorders>
                  <w:vAlign w:val="center"/>
                </w:tcPr>
                <w:p w14:paraId="0BF27FD8">
                  <w:pPr>
                    <w:adjustRightInd w:val="0"/>
                    <w:snapToGrid w:val="0"/>
                    <w:jc w:val="center"/>
                    <w:rPr>
                      <w:b/>
                      <w:bCs/>
                      <w:color w:val="auto"/>
                      <w:szCs w:val="21"/>
                    </w:rPr>
                  </w:pPr>
                </w:p>
              </w:tc>
              <w:tc>
                <w:tcPr>
                  <w:tcW w:w="533" w:type="dxa"/>
                  <w:vMerge w:val="continue"/>
                  <w:tcBorders>
                    <w:left w:val="single" w:color="auto" w:sz="4" w:space="0"/>
                    <w:bottom w:val="single" w:color="auto" w:sz="4" w:space="0"/>
                    <w:right w:val="single" w:color="auto" w:sz="4" w:space="0"/>
                  </w:tcBorders>
                  <w:vAlign w:val="center"/>
                </w:tcPr>
                <w:p w14:paraId="711F426E">
                  <w:pPr>
                    <w:adjustRightInd w:val="0"/>
                    <w:snapToGrid w:val="0"/>
                    <w:jc w:val="center"/>
                    <w:rPr>
                      <w:b/>
                      <w:bCs/>
                      <w:color w:val="auto"/>
                      <w:szCs w:val="21"/>
                    </w:rPr>
                  </w:pPr>
                </w:p>
              </w:tc>
              <w:tc>
                <w:tcPr>
                  <w:tcW w:w="654" w:type="dxa"/>
                  <w:vMerge w:val="continue"/>
                  <w:tcBorders>
                    <w:left w:val="single" w:color="auto" w:sz="4" w:space="0"/>
                    <w:bottom w:val="single" w:color="auto" w:sz="4" w:space="0"/>
                    <w:right w:val="single" w:color="auto" w:sz="4" w:space="0"/>
                  </w:tcBorders>
                  <w:vAlign w:val="center"/>
                </w:tcPr>
                <w:p w14:paraId="5744624E">
                  <w:pPr>
                    <w:adjustRightInd w:val="0"/>
                    <w:snapToGrid w:val="0"/>
                    <w:jc w:val="center"/>
                    <w:rPr>
                      <w:b/>
                      <w:bCs/>
                      <w:color w:val="auto"/>
                      <w:szCs w:val="21"/>
                    </w:rPr>
                  </w:pPr>
                </w:p>
              </w:tc>
              <w:tc>
                <w:tcPr>
                  <w:tcW w:w="800" w:type="dxa"/>
                  <w:tcBorders>
                    <w:top w:val="single" w:color="auto" w:sz="4" w:space="0"/>
                    <w:left w:val="single" w:color="auto" w:sz="4" w:space="0"/>
                    <w:bottom w:val="single" w:color="auto" w:sz="4" w:space="0"/>
                    <w:right w:val="single" w:color="auto" w:sz="4" w:space="0"/>
                  </w:tcBorders>
                  <w:vAlign w:val="center"/>
                </w:tcPr>
                <w:p w14:paraId="757C3D59">
                  <w:pPr>
                    <w:adjustRightInd w:val="0"/>
                    <w:snapToGrid w:val="0"/>
                    <w:jc w:val="center"/>
                    <w:rPr>
                      <w:b/>
                      <w:bCs/>
                      <w:color w:val="auto"/>
                      <w:szCs w:val="21"/>
                    </w:rPr>
                  </w:pPr>
                  <w:r>
                    <w:rPr>
                      <w:b/>
                      <w:bCs/>
                      <w:color w:val="auto"/>
                      <w:szCs w:val="21"/>
                    </w:rPr>
                    <w:t>产生浓度mg/m</w:t>
                  </w:r>
                  <w:r>
                    <w:rPr>
                      <w:b/>
                      <w:bCs/>
                      <w:color w:val="auto"/>
                      <w:szCs w:val="21"/>
                      <w:vertAlign w:val="superscript"/>
                    </w:rPr>
                    <w:t>3</w:t>
                  </w:r>
                </w:p>
              </w:tc>
              <w:tc>
                <w:tcPr>
                  <w:tcW w:w="800" w:type="dxa"/>
                  <w:tcBorders>
                    <w:top w:val="single" w:color="auto" w:sz="4" w:space="0"/>
                    <w:left w:val="single" w:color="auto" w:sz="4" w:space="0"/>
                    <w:bottom w:val="single" w:color="auto" w:sz="4" w:space="0"/>
                    <w:right w:val="single" w:color="auto" w:sz="4" w:space="0"/>
                  </w:tcBorders>
                  <w:vAlign w:val="center"/>
                </w:tcPr>
                <w:p w14:paraId="3A4A7891">
                  <w:pPr>
                    <w:adjustRightInd w:val="0"/>
                    <w:snapToGrid w:val="0"/>
                    <w:jc w:val="center"/>
                    <w:rPr>
                      <w:b/>
                      <w:bCs/>
                      <w:color w:val="auto"/>
                      <w:szCs w:val="21"/>
                    </w:rPr>
                  </w:pPr>
                  <w:r>
                    <w:rPr>
                      <w:b/>
                      <w:bCs/>
                      <w:color w:val="auto"/>
                      <w:szCs w:val="21"/>
                    </w:rPr>
                    <w:t>产生速率kg/h</w:t>
                  </w:r>
                </w:p>
              </w:tc>
              <w:tc>
                <w:tcPr>
                  <w:tcW w:w="720" w:type="dxa"/>
                  <w:tcBorders>
                    <w:top w:val="single" w:color="auto" w:sz="4" w:space="0"/>
                    <w:left w:val="single" w:color="auto" w:sz="4" w:space="0"/>
                    <w:bottom w:val="single" w:color="auto" w:sz="4" w:space="0"/>
                    <w:right w:val="single" w:color="auto" w:sz="4" w:space="0"/>
                  </w:tcBorders>
                  <w:vAlign w:val="center"/>
                </w:tcPr>
                <w:p w14:paraId="5600289E">
                  <w:pPr>
                    <w:adjustRightInd w:val="0"/>
                    <w:snapToGrid w:val="0"/>
                    <w:jc w:val="center"/>
                    <w:rPr>
                      <w:b/>
                      <w:bCs/>
                      <w:color w:val="auto"/>
                      <w:szCs w:val="21"/>
                    </w:rPr>
                  </w:pPr>
                  <w:r>
                    <w:rPr>
                      <w:b/>
                      <w:bCs/>
                      <w:color w:val="auto"/>
                      <w:szCs w:val="21"/>
                    </w:rPr>
                    <w:t>产生量t/a</w:t>
                  </w:r>
                </w:p>
              </w:tc>
              <w:tc>
                <w:tcPr>
                  <w:tcW w:w="893" w:type="dxa"/>
                  <w:tcBorders>
                    <w:top w:val="single" w:color="auto" w:sz="4" w:space="0"/>
                    <w:left w:val="single" w:color="auto" w:sz="4" w:space="0"/>
                    <w:bottom w:val="single" w:color="auto" w:sz="4" w:space="0"/>
                    <w:right w:val="single" w:color="auto" w:sz="4" w:space="0"/>
                  </w:tcBorders>
                  <w:vAlign w:val="center"/>
                </w:tcPr>
                <w:p w14:paraId="5F231C59">
                  <w:pPr>
                    <w:adjustRightInd w:val="0"/>
                    <w:snapToGrid w:val="0"/>
                    <w:jc w:val="center"/>
                    <w:rPr>
                      <w:b/>
                      <w:bCs/>
                      <w:color w:val="auto"/>
                      <w:szCs w:val="21"/>
                    </w:rPr>
                  </w:pPr>
                  <w:r>
                    <w:rPr>
                      <w:b/>
                      <w:bCs/>
                      <w:color w:val="auto"/>
                      <w:szCs w:val="21"/>
                    </w:rPr>
                    <w:t>排放浓度mg/m</w:t>
                  </w:r>
                  <w:r>
                    <w:rPr>
                      <w:b/>
                      <w:bCs/>
                      <w:color w:val="auto"/>
                      <w:szCs w:val="21"/>
                      <w:vertAlign w:val="superscript"/>
                    </w:rPr>
                    <w:t>3</w:t>
                  </w:r>
                </w:p>
              </w:tc>
              <w:tc>
                <w:tcPr>
                  <w:tcW w:w="947" w:type="dxa"/>
                  <w:tcBorders>
                    <w:top w:val="single" w:color="auto" w:sz="4" w:space="0"/>
                    <w:left w:val="single" w:color="auto" w:sz="4" w:space="0"/>
                    <w:bottom w:val="single" w:color="auto" w:sz="4" w:space="0"/>
                    <w:right w:val="single" w:color="auto" w:sz="4" w:space="0"/>
                  </w:tcBorders>
                  <w:vAlign w:val="center"/>
                </w:tcPr>
                <w:p w14:paraId="61037233">
                  <w:pPr>
                    <w:adjustRightInd w:val="0"/>
                    <w:snapToGrid w:val="0"/>
                    <w:jc w:val="center"/>
                    <w:rPr>
                      <w:b/>
                      <w:bCs/>
                      <w:color w:val="auto"/>
                      <w:szCs w:val="21"/>
                    </w:rPr>
                  </w:pPr>
                  <w:r>
                    <w:rPr>
                      <w:b/>
                      <w:bCs/>
                      <w:color w:val="auto"/>
                      <w:szCs w:val="21"/>
                    </w:rPr>
                    <w:t>排放速率kg/h</w:t>
                  </w:r>
                </w:p>
              </w:tc>
              <w:tc>
                <w:tcPr>
                  <w:tcW w:w="733" w:type="dxa"/>
                  <w:tcBorders>
                    <w:top w:val="single" w:color="auto" w:sz="4" w:space="0"/>
                    <w:left w:val="single" w:color="auto" w:sz="4" w:space="0"/>
                    <w:bottom w:val="single" w:color="auto" w:sz="4" w:space="0"/>
                    <w:right w:val="single" w:color="auto" w:sz="4" w:space="0"/>
                  </w:tcBorders>
                  <w:vAlign w:val="center"/>
                </w:tcPr>
                <w:p w14:paraId="5C40EFA2">
                  <w:pPr>
                    <w:adjustRightInd w:val="0"/>
                    <w:snapToGrid w:val="0"/>
                    <w:jc w:val="center"/>
                    <w:rPr>
                      <w:b/>
                      <w:bCs/>
                      <w:color w:val="auto"/>
                      <w:szCs w:val="21"/>
                    </w:rPr>
                  </w:pPr>
                  <w:r>
                    <w:rPr>
                      <w:b/>
                      <w:bCs/>
                      <w:color w:val="auto"/>
                      <w:szCs w:val="21"/>
                    </w:rPr>
                    <w:t>排放量t/a</w:t>
                  </w:r>
                </w:p>
              </w:tc>
              <w:tc>
                <w:tcPr>
                  <w:tcW w:w="973" w:type="dxa"/>
                  <w:tcBorders>
                    <w:top w:val="single" w:color="auto" w:sz="4" w:space="0"/>
                    <w:left w:val="single" w:color="auto" w:sz="4" w:space="0"/>
                    <w:bottom w:val="single" w:color="auto" w:sz="4" w:space="0"/>
                    <w:right w:val="single" w:color="auto" w:sz="4" w:space="0"/>
                  </w:tcBorders>
                  <w:vAlign w:val="center"/>
                </w:tcPr>
                <w:p w14:paraId="42360347">
                  <w:pPr>
                    <w:adjustRightInd w:val="0"/>
                    <w:snapToGrid w:val="0"/>
                    <w:jc w:val="center"/>
                    <w:rPr>
                      <w:b/>
                      <w:bCs/>
                      <w:color w:val="auto"/>
                      <w:szCs w:val="21"/>
                    </w:rPr>
                  </w:pPr>
                  <w:r>
                    <w:rPr>
                      <w:b/>
                      <w:bCs/>
                      <w:color w:val="auto"/>
                      <w:szCs w:val="21"/>
                    </w:rPr>
                    <w:t>排放速率kg/h</w:t>
                  </w:r>
                </w:p>
              </w:tc>
              <w:tc>
                <w:tcPr>
                  <w:tcW w:w="760" w:type="dxa"/>
                  <w:tcBorders>
                    <w:top w:val="single" w:color="auto" w:sz="4" w:space="0"/>
                    <w:left w:val="single" w:color="auto" w:sz="4" w:space="0"/>
                    <w:bottom w:val="single" w:color="auto" w:sz="4" w:space="0"/>
                    <w:right w:val="single" w:color="auto" w:sz="4" w:space="0"/>
                  </w:tcBorders>
                  <w:vAlign w:val="center"/>
                </w:tcPr>
                <w:p w14:paraId="2D288413">
                  <w:pPr>
                    <w:adjustRightInd w:val="0"/>
                    <w:snapToGrid w:val="0"/>
                    <w:jc w:val="center"/>
                    <w:rPr>
                      <w:b/>
                      <w:bCs/>
                      <w:color w:val="auto"/>
                      <w:szCs w:val="21"/>
                    </w:rPr>
                  </w:pPr>
                  <w:r>
                    <w:rPr>
                      <w:b/>
                      <w:bCs/>
                      <w:color w:val="auto"/>
                      <w:szCs w:val="21"/>
                    </w:rPr>
                    <w:t>排放量t/a</w:t>
                  </w:r>
                </w:p>
              </w:tc>
            </w:tr>
            <w:tr w14:paraId="4E40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7" w:type="dxa"/>
                  <w:tcBorders>
                    <w:top w:val="single" w:color="auto" w:sz="4" w:space="0"/>
                    <w:left w:val="single" w:color="auto" w:sz="4" w:space="0"/>
                    <w:bottom w:val="single" w:color="auto" w:sz="4" w:space="0"/>
                    <w:right w:val="single" w:color="auto" w:sz="4" w:space="0"/>
                  </w:tcBorders>
                  <w:vAlign w:val="center"/>
                </w:tcPr>
                <w:p w14:paraId="1C81703C">
                  <w:pPr>
                    <w:jc w:val="center"/>
                    <w:textAlignment w:val="center"/>
                    <w:rPr>
                      <w:color w:val="auto"/>
                      <w:kern w:val="0"/>
                      <w:szCs w:val="21"/>
                    </w:rPr>
                  </w:pPr>
                  <w:r>
                    <w:rPr>
                      <w:rFonts w:hint="eastAsia"/>
                      <w:color w:val="auto"/>
                      <w:kern w:val="0"/>
                      <w:szCs w:val="21"/>
                    </w:rPr>
                    <w:t>电泳车间</w:t>
                  </w:r>
                </w:p>
              </w:tc>
              <w:tc>
                <w:tcPr>
                  <w:tcW w:w="1059" w:type="dxa"/>
                  <w:tcBorders>
                    <w:top w:val="single" w:color="auto" w:sz="4" w:space="0"/>
                    <w:left w:val="single" w:color="auto" w:sz="4" w:space="0"/>
                    <w:bottom w:val="single" w:color="auto" w:sz="4" w:space="0"/>
                    <w:right w:val="single" w:color="auto" w:sz="4" w:space="0"/>
                  </w:tcBorders>
                  <w:vAlign w:val="center"/>
                </w:tcPr>
                <w:p w14:paraId="2CBB75F4">
                  <w:pPr>
                    <w:jc w:val="center"/>
                    <w:textAlignment w:val="center"/>
                    <w:rPr>
                      <w:color w:val="auto"/>
                      <w:kern w:val="0"/>
                      <w:szCs w:val="21"/>
                    </w:rPr>
                  </w:pPr>
                  <w:r>
                    <w:rPr>
                      <w:rFonts w:hint="eastAsia"/>
                      <w:color w:val="auto"/>
                      <w:kern w:val="0"/>
                      <w:szCs w:val="21"/>
                    </w:rPr>
                    <w:t>电泳漆涂装和烘干固化</w:t>
                  </w:r>
                </w:p>
              </w:tc>
              <w:tc>
                <w:tcPr>
                  <w:tcW w:w="533" w:type="dxa"/>
                  <w:tcBorders>
                    <w:top w:val="single" w:color="auto" w:sz="4" w:space="0"/>
                    <w:left w:val="single" w:color="auto" w:sz="4" w:space="0"/>
                    <w:bottom w:val="single" w:color="auto" w:sz="4" w:space="0"/>
                    <w:right w:val="single" w:color="auto" w:sz="4" w:space="0"/>
                  </w:tcBorders>
                  <w:vAlign w:val="center"/>
                </w:tcPr>
                <w:p w14:paraId="2EA8E869">
                  <w:pPr>
                    <w:jc w:val="center"/>
                    <w:textAlignment w:val="center"/>
                    <w:rPr>
                      <w:color w:val="auto"/>
                      <w:kern w:val="0"/>
                      <w:szCs w:val="21"/>
                    </w:rPr>
                  </w:pPr>
                  <w:r>
                    <w:rPr>
                      <w:rFonts w:hint="eastAsia"/>
                      <w:color w:val="auto"/>
                      <w:kern w:val="0"/>
                      <w:szCs w:val="21"/>
                    </w:rPr>
                    <w:t>VOCs</w:t>
                  </w:r>
                </w:p>
              </w:tc>
              <w:tc>
                <w:tcPr>
                  <w:tcW w:w="654" w:type="dxa"/>
                  <w:tcBorders>
                    <w:top w:val="single" w:color="auto" w:sz="4" w:space="0"/>
                    <w:left w:val="single" w:color="auto" w:sz="4" w:space="0"/>
                    <w:bottom w:val="single" w:color="auto" w:sz="4" w:space="0"/>
                    <w:right w:val="single" w:color="auto" w:sz="4" w:space="0"/>
                  </w:tcBorders>
                  <w:vAlign w:val="center"/>
                </w:tcPr>
                <w:p w14:paraId="20E8C4A9">
                  <w:pPr>
                    <w:jc w:val="center"/>
                    <w:textAlignment w:val="center"/>
                    <w:rPr>
                      <w:rFonts w:hint="eastAsia" w:eastAsia="宋体"/>
                      <w:color w:val="auto"/>
                      <w:szCs w:val="21"/>
                      <w:lang w:eastAsia="zh-CN"/>
                    </w:rPr>
                  </w:pPr>
                  <w:r>
                    <w:rPr>
                      <w:rFonts w:hint="eastAsia"/>
                      <w:color w:val="auto"/>
                      <w:kern w:val="0"/>
                      <w:szCs w:val="21"/>
                      <w:lang w:eastAsia="zh-CN" w:bidi="ar"/>
                    </w:rPr>
                    <w:t>4000</w:t>
                  </w:r>
                </w:p>
              </w:tc>
              <w:tc>
                <w:tcPr>
                  <w:tcW w:w="800" w:type="dxa"/>
                  <w:tcBorders>
                    <w:top w:val="single" w:color="auto" w:sz="4" w:space="0"/>
                    <w:left w:val="single" w:color="auto" w:sz="4" w:space="0"/>
                    <w:bottom w:val="single" w:color="auto" w:sz="4" w:space="0"/>
                    <w:right w:val="single" w:color="auto" w:sz="4" w:space="0"/>
                  </w:tcBorders>
                  <w:vAlign w:val="center"/>
                </w:tcPr>
                <w:p w14:paraId="1CCD49EF">
                  <w:pPr>
                    <w:keepNext w:val="0"/>
                    <w:keepLines w:val="0"/>
                    <w:widowControl/>
                    <w:suppressLineNumbers w:val="0"/>
                    <w:jc w:val="center"/>
                    <w:textAlignment w:val="center"/>
                    <w:rPr>
                      <w:rFonts w:hint="eastAsia" w:eastAsia="宋体"/>
                      <w:color w:val="auto"/>
                      <w:szCs w:val="21"/>
                      <w:lang w:eastAsia="zh-CN"/>
                    </w:rPr>
                  </w:pPr>
                  <w:r>
                    <w:rPr>
                      <w:rFonts w:hint="default" w:ascii="Times New Roman" w:hAnsi="Times New Roman" w:eastAsia="宋体" w:cs="Times New Roman"/>
                      <w:i w:val="0"/>
                      <w:iCs w:val="0"/>
                      <w:color w:val="auto"/>
                      <w:kern w:val="0"/>
                      <w:sz w:val="21"/>
                      <w:szCs w:val="21"/>
                      <w:u w:val="none"/>
                      <w:lang w:val="en-US" w:eastAsia="zh-CN" w:bidi="ar"/>
                    </w:rPr>
                    <w:t xml:space="preserve">63.33 </w:t>
                  </w:r>
                </w:p>
              </w:tc>
              <w:tc>
                <w:tcPr>
                  <w:tcW w:w="800" w:type="dxa"/>
                  <w:tcBorders>
                    <w:top w:val="single" w:color="auto" w:sz="4" w:space="0"/>
                    <w:left w:val="single" w:color="auto" w:sz="4" w:space="0"/>
                    <w:bottom w:val="single" w:color="auto" w:sz="4" w:space="0"/>
                    <w:right w:val="single" w:color="auto" w:sz="4" w:space="0"/>
                  </w:tcBorders>
                  <w:vAlign w:val="center"/>
                </w:tcPr>
                <w:p w14:paraId="0A9A14B1">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0.2533 </w:t>
                  </w:r>
                </w:p>
              </w:tc>
              <w:tc>
                <w:tcPr>
                  <w:tcW w:w="720" w:type="dxa"/>
                  <w:tcBorders>
                    <w:top w:val="single" w:color="auto" w:sz="4" w:space="0"/>
                    <w:left w:val="single" w:color="auto" w:sz="4" w:space="0"/>
                    <w:bottom w:val="single" w:color="auto" w:sz="4" w:space="0"/>
                    <w:right w:val="single" w:color="auto" w:sz="4" w:space="0"/>
                  </w:tcBorders>
                  <w:vAlign w:val="center"/>
                </w:tcPr>
                <w:p w14:paraId="54188CFC">
                  <w:pPr>
                    <w:jc w:val="center"/>
                    <w:textAlignment w:val="center"/>
                    <w:rPr>
                      <w:color w:val="auto"/>
                      <w:szCs w:val="21"/>
                    </w:rPr>
                  </w:pPr>
                  <w:r>
                    <w:rPr>
                      <w:color w:val="auto"/>
                      <w:kern w:val="0"/>
                      <w:szCs w:val="21"/>
                      <w:lang w:bidi="ar"/>
                    </w:rPr>
                    <w:t xml:space="preserve">0.6080 </w:t>
                  </w:r>
                </w:p>
              </w:tc>
              <w:tc>
                <w:tcPr>
                  <w:tcW w:w="893" w:type="dxa"/>
                  <w:tcBorders>
                    <w:top w:val="single" w:color="auto" w:sz="4" w:space="0"/>
                    <w:left w:val="single" w:color="auto" w:sz="4" w:space="0"/>
                    <w:bottom w:val="single" w:color="auto" w:sz="4" w:space="0"/>
                    <w:right w:val="single" w:color="auto" w:sz="4" w:space="0"/>
                  </w:tcBorders>
                  <w:vAlign w:val="center"/>
                </w:tcPr>
                <w:p w14:paraId="4CE592B6">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12.67 </w:t>
                  </w:r>
                </w:p>
              </w:tc>
              <w:tc>
                <w:tcPr>
                  <w:tcW w:w="947" w:type="dxa"/>
                  <w:tcBorders>
                    <w:top w:val="single" w:color="auto" w:sz="4" w:space="0"/>
                    <w:left w:val="single" w:color="auto" w:sz="4" w:space="0"/>
                    <w:bottom w:val="single" w:color="auto" w:sz="4" w:space="0"/>
                    <w:right w:val="single" w:color="auto" w:sz="4" w:space="0"/>
                  </w:tcBorders>
                  <w:vAlign w:val="center"/>
                </w:tcPr>
                <w:p w14:paraId="1E3A30ED">
                  <w:pPr>
                    <w:keepNext w:val="0"/>
                    <w:keepLines w:val="0"/>
                    <w:widowControl/>
                    <w:suppressLineNumbers w:val="0"/>
                    <w:jc w:val="center"/>
                    <w:textAlignment w:val="center"/>
                    <w:rPr>
                      <w:color w:val="auto"/>
                      <w:szCs w:val="21"/>
                    </w:rPr>
                  </w:pPr>
                  <w:r>
                    <w:rPr>
                      <w:rFonts w:hint="default" w:ascii="Times New Roman" w:hAnsi="Times New Roman" w:eastAsia="宋体" w:cs="Times New Roman"/>
                      <w:i w:val="0"/>
                      <w:iCs w:val="0"/>
                      <w:color w:val="auto"/>
                      <w:kern w:val="0"/>
                      <w:sz w:val="21"/>
                      <w:szCs w:val="21"/>
                      <w:u w:val="none"/>
                      <w:lang w:val="en-US" w:eastAsia="zh-CN" w:bidi="ar"/>
                    </w:rPr>
                    <w:t xml:space="preserve">0.0507 </w:t>
                  </w:r>
                </w:p>
              </w:tc>
              <w:tc>
                <w:tcPr>
                  <w:tcW w:w="733" w:type="dxa"/>
                  <w:tcBorders>
                    <w:top w:val="single" w:color="auto" w:sz="4" w:space="0"/>
                    <w:left w:val="single" w:color="auto" w:sz="4" w:space="0"/>
                    <w:bottom w:val="single" w:color="auto" w:sz="4" w:space="0"/>
                    <w:right w:val="single" w:color="auto" w:sz="4" w:space="0"/>
                  </w:tcBorders>
                  <w:vAlign w:val="center"/>
                </w:tcPr>
                <w:p w14:paraId="3973C1A6">
                  <w:pPr>
                    <w:jc w:val="center"/>
                    <w:textAlignment w:val="center"/>
                    <w:rPr>
                      <w:color w:val="auto"/>
                      <w:szCs w:val="21"/>
                    </w:rPr>
                  </w:pPr>
                  <w:r>
                    <w:rPr>
                      <w:color w:val="auto"/>
                      <w:kern w:val="0"/>
                      <w:szCs w:val="21"/>
                      <w:lang w:bidi="ar"/>
                    </w:rPr>
                    <w:t xml:space="preserve">0.1216 </w:t>
                  </w:r>
                </w:p>
              </w:tc>
              <w:tc>
                <w:tcPr>
                  <w:tcW w:w="973" w:type="dxa"/>
                  <w:tcBorders>
                    <w:top w:val="single" w:color="auto" w:sz="4" w:space="0"/>
                    <w:left w:val="single" w:color="auto" w:sz="4" w:space="0"/>
                    <w:bottom w:val="single" w:color="auto" w:sz="4" w:space="0"/>
                    <w:right w:val="single" w:color="auto" w:sz="4" w:space="0"/>
                  </w:tcBorders>
                  <w:vAlign w:val="center"/>
                </w:tcPr>
                <w:p w14:paraId="28D8D712">
                  <w:pPr>
                    <w:jc w:val="center"/>
                    <w:textAlignment w:val="center"/>
                    <w:rPr>
                      <w:color w:val="auto"/>
                      <w:szCs w:val="21"/>
                    </w:rPr>
                  </w:pPr>
                  <w:r>
                    <w:rPr>
                      <w:rFonts w:hint="eastAsia"/>
                      <w:color w:val="auto"/>
                      <w:kern w:val="0"/>
                      <w:szCs w:val="21"/>
                      <w:lang w:val="en-US" w:eastAsia="zh-CN" w:bidi="ar"/>
                    </w:rPr>
                    <w:t>0.0281</w:t>
                  </w:r>
                  <w:r>
                    <w:rPr>
                      <w:color w:val="auto"/>
                      <w:kern w:val="0"/>
                      <w:szCs w:val="21"/>
                      <w:lang w:bidi="ar"/>
                    </w:rPr>
                    <w:t xml:space="preserve"> </w:t>
                  </w:r>
                </w:p>
              </w:tc>
              <w:tc>
                <w:tcPr>
                  <w:tcW w:w="760" w:type="dxa"/>
                  <w:tcBorders>
                    <w:top w:val="single" w:color="auto" w:sz="4" w:space="0"/>
                    <w:left w:val="single" w:color="auto" w:sz="4" w:space="0"/>
                    <w:bottom w:val="single" w:color="auto" w:sz="4" w:space="0"/>
                    <w:right w:val="single" w:color="auto" w:sz="4" w:space="0"/>
                  </w:tcBorders>
                  <w:vAlign w:val="center"/>
                </w:tcPr>
                <w:p w14:paraId="21BF983F">
                  <w:pPr>
                    <w:jc w:val="center"/>
                    <w:textAlignment w:val="center"/>
                    <w:rPr>
                      <w:color w:val="auto"/>
                      <w:szCs w:val="21"/>
                    </w:rPr>
                  </w:pPr>
                  <w:r>
                    <w:rPr>
                      <w:color w:val="auto"/>
                      <w:kern w:val="0"/>
                      <w:szCs w:val="21"/>
                      <w:lang w:bidi="ar"/>
                    </w:rPr>
                    <w:t xml:space="preserve">0.0676 </w:t>
                  </w:r>
                </w:p>
              </w:tc>
            </w:tr>
            <w:tr w14:paraId="206A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9" w:type="dxa"/>
                  <w:gridSpan w:val="12"/>
                  <w:tcBorders>
                    <w:top w:val="single" w:color="auto" w:sz="4" w:space="0"/>
                    <w:left w:val="single" w:color="auto" w:sz="4" w:space="0"/>
                    <w:bottom w:val="single" w:color="auto" w:sz="4" w:space="0"/>
                    <w:right w:val="single" w:color="auto" w:sz="4" w:space="0"/>
                  </w:tcBorders>
                  <w:vAlign w:val="center"/>
                </w:tcPr>
                <w:p w14:paraId="16B1071F">
                  <w:pPr>
                    <w:rPr>
                      <w:color w:val="auto"/>
                      <w:szCs w:val="21"/>
                    </w:rPr>
                  </w:pPr>
                  <w:r>
                    <w:rPr>
                      <w:b/>
                      <w:bCs/>
                      <w:color w:val="auto"/>
                      <w:szCs w:val="21"/>
                    </w:rPr>
                    <w:t>备注：</w:t>
                  </w:r>
                  <w:r>
                    <w:rPr>
                      <w:color w:val="auto"/>
                    </w:rPr>
                    <w:t>参考《广东省工业源挥发性有机物减排量核算方法（试行）》，废气收集效率取</w:t>
                  </w:r>
                  <w:r>
                    <w:rPr>
                      <w:rFonts w:hint="eastAsia"/>
                      <w:color w:val="auto"/>
                    </w:rPr>
                    <w:t>9</w:t>
                  </w:r>
                  <w:r>
                    <w:rPr>
                      <w:color w:val="auto"/>
                    </w:rPr>
                    <w:t>0%；本次治理工程拟采用“</w:t>
                  </w:r>
                  <w:r>
                    <w:rPr>
                      <w:rFonts w:hint="eastAsia"/>
                      <w:color w:val="auto"/>
                    </w:rPr>
                    <w:t>水喷淋塔+除雾器+</w:t>
                  </w:r>
                  <w:r>
                    <w:rPr>
                      <w:color w:val="auto"/>
                    </w:rPr>
                    <w:t>两级活性炭吸附”治理工艺，其去除效率为80%。</w:t>
                  </w:r>
                  <w:r>
                    <w:rPr>
                      <w:rFonts w:hint="eastAsia"/>
                      <w:color w:val="auto"/>
                    </w:rPr>
                    <w:t>电泳漆涂装和烘干固化</w:t>
                  </w:r>
                  <w:r>
                    <w:rPr>
                      <w:color w:val="auto"/>
                    </w:rPr>
                    <w:t>工序工作时</w:t>
                  </w:r>
                  <w:r>
                    <w:rPr>
                      <w:rFonts w:hint="eastAsia"/>
                      <w:color w:val="auto"/>
                    </w:rPr>
                    <w:t>间为</w:t>
                  </w:r>
                  <w:r>
                    <w:rPr>
                      <w:rFonts w:hint="eastAsia"/>
                      <w:color w:val="auto"/>
                      <w:lang w:val="en-US" w:eastAsia="zh-CN"/>
                    </w:rPr>
                    <w:t>24</w:t>
                  </w:r>
                  <w:r>
                    <w:rPr>
                      <w:color w:val="auto"/>
                    </w:rPr>
                    <w:t>00小时</w:t>
                  </w:r>
                  <w:r>
                    <w:rPr>
                      <w:color w:val="auto"/>
                      <w:szCs w:val="21"/>
                    </w:rPr>
                    <w:t>。</w:t>
                  </w:r>
                </w:p>
              </w:tc>
            </w:tr>
          </w:tbl>
          <w:p w14:paraId="43DA0B5A">
            <w:pPr>
              <w:pStyle w:val="50"/>
              <w:spacing w:line="360" w:lineRule="auto"/>
              <w:ind w:firstLine="482" w:firstLineChars="200"/>
              <w:jc w:val="both"/>
              <w:rPr>
                <w:rFonts w:ascii="Times New Roman" w:hAnsi="Times New Roman" w:cs="Times New Roman"/>
                <w:b/>
                <w:bCs/>
                <w:color w:val="auto"/>
              </w:rPr>
            </w:pPr>
            <w:r>
              <w:rPr>
                <w:rFonts w:ascii="Times New Roman" w:hAnsi="Times New Roman" w:cs="Times New Roman"/>
                <w:b/>
                <w:bCs/>
                <w:color w:val="auto"/>
              </w:rPr>
              <w:t>2、恶臭</w:t>
            </w:r>
          </w:p>
          <w:p w14:paraId="1EF25AB5">
            <w:pPr>
              <w:pStyle w:val="50"/>
              <w:spacing w:line="360" w:lineRule="auto"/>
              <w:ind w:firstLine="480" w:firstLineChars="200"/>
              <w:jc w:val="both"/>
              <w:rPr>
                <w:rFonts w:ascii="Times New Roman" w:hAnsi="Times New Roman" w:cs="Times New Roman"/>
                <w:color w:val="auto"/>
              </w:rPr>
            </w:pPr>
            <w:r>
              <w:rPr>
                <w:rFonts w:ascii="Times New Roman" w:hAnsi="Times New Roman" w:cs="Times New Roman"/>
                <w:color w:val="auto"/>
              </w:rPr>
              <w:t>本项目</w:t>
            </w:r>
            <w:r>
              <w:rPr>
                <w:rFonts w:hint="eastAsia" w:ascii="Times New Roman" w:hAnsi="Times New Roman" w:cs="Times New Roman"/>
                <w:color w:val="auto"/>
                <w:kern w:val="0"/>
              </w:rPr>
              <w:t>电泳漆涂装和烘干固化</w:t>
            </w:r>
            <w:r>
              <w:rPr>
                <w:rFonts w:ascii="Times New Roman" w:hAnsi="Times New Roman" w:cs="Times New Roman"/>
                <w:color w:val="auto"/>
              </w:rPr>
              <w:t>工序产生的有机废气会伴有轻微的异味，该异味主要为过程中产生的可挥发性有机污染物散发产生的刺激性气味或</w:t>
            </w:r>
            <w:r>
              <w:rPr>
                <w:rFonts w:hint="eastAsia" w:ascii="Times New Roman" w:hAnsi="Times New Roman" w:cs="Times New Roman"/>
                <w:color w:val="auto"/>
              </w:rPr>
              <w:t>油漆</w:t>
            </w:r>
            <w:r>
              <w:rPr>
                <w:rFonts w:ascii="Times New Roman" w:hAnsi="Times New Roman" w:cs="Times New Roman"/>
                <w:color w:val="auto"/>
              </w:rPr>
              <w:t>味，需要作为恶臭进行管理和控制，本次评价统一以臭气浓度为评价因子。</w:t>
            </w:r>
          </w:p>
          <w:p w14:paraId="528E9184">
            <w:pPr>
              <w:pStyle w:val="50"/>
              <w:spacing w:line="360" w:lineRule="auto"/>
              <w:ind w:firstLine="480" w:firstLineChars="200"/>
              <w:jc w:val="both"/>
              <w:rPr>
                <w:rFonts w:ascii="Times New Roman" w:hAnsi="Times New Roman" w:cs="Times New Roman"/>
                <w:color w:val="auto"/>
              </w:rPr>
            </w:pPr>
            <w:r>
              <w:rPr>
                <w:rFonts w:ascii="Times New Roman" w:hAnsi="Times New Roman" w:cs="Times New Roman"/>
                <w:color w:val="auto"/>
              </w:rPr>
              <w:t>根据查阅资料表明，加工工艺产生的恶臭气体实际上是一种低浓度，多组分的混合物，仅以某种或几种恶臭物质来衡量是不够的，应是以全部恶臭源的组合给人以整体的感觉。参考论文《臭气强度与臭气浓度间的定量关系研究》(耿静，韩萌，王亘，翟增秀，鲁富蕾，臭气强度与臭气浓度间的定量关系研究[J].城市环境与城市生态，2014，27[4]:27-30），臭气强度可采用日本的6级强度测试法，将人对气体的嗅觉感觉划分为0~5级，并根据论文中的样品检测统计结果，列明了臭气强度与臭气浓度区间关系。臭气强度与臭气浓度区间关系详见下表。</w:t>
            </w:r>
          </w:p>
          <w:p w14:paraId="427164E5">
            <w:pPr>
              <w:pStyle w:val="13"/>
              <w:numPr>
                <w:ilvl w:val="0"/>
                <w:numId w:val="0"/>
              </w:numPr>
              <w:spacing w:line="240" w:lineRule="auto"/>
              <w:jc w:val="center"/>
              <w:rPr>
                <w:b/>
                <w:bCs/>
                <w:color w:val="auto"/>
                <w:szCs w:val="21"/>
              </w:rPr>
            </w:pPr>
          </w:p>
          <w:p w14:paraId="13388D45">
            <w:pPr>
              <w:pStyle w:val="13"/>
              <w:numPr>
                <w:ilvl w:val="0"/>
                <w:numId w:val="0"/>
              </w:numPr>
              <w:spacing w:line="240" w:lineRule="auto"/>
              <w:jc w:val="center"/>
              <w:rPr>
                <w:b/>
                <w:bCs/>
                <w:color w:val="auto"/>
                <w:szCs w:val="21"/>
              </w:rPr>
            </w:pPr>
          </w:p>
          <w:p w14:paraId="28319304">
            <w:pPr>
              <w:pStyle w:val="13"/>
              <w:numPr>
                <w:ilvl w:val="0"/>
                <w:numId w:val="0"/>
              </w:numPr>
              <w:spacing w:line="240" w:lineRule="auto"/>
              <w:jc w:val="center"/>
              <w:rPr>
                <w:b/>
                <w:bCs/>
                <w:color w:val="auto"/>
                <w:szCs w:val="21"/>
              </w:rPr>
            </w:pPr>
          </w:p>
          <w:p w14:paraId="6A33C961">
            <w:pPr>
              <w:pStyle w:val="13"/>
              <w:numPr>
                <w:ilvl w:val="0"/>
                <w:numId w:val="0"/>
              </w:numPr>
              <w:spacing w:line="240" w:lineRule="auto"/>
              <w:jc w:val="center"/>
              <w:rPr>
                <w:b/>
                <w:bCs/>
                <w:color w:val="auto"/>
                <w:szCs w:val="21"/>
              </w:rPr>
            </w:pPr>
            <w:r>
              <w:rPr>
                <w:b/>
                <w:bCs/>
                <w:color w:val="auto"/>
                <w:szCs w:val="21"/>
              </w:rPr>
              <w:t>表4-5恶臭强度6级表示法</w:t>
            </w:r>
          </w:p>
          <w:tbl>
            <w:tblPr>
              <w:tblStyle w:val="42"/>
              <w:tblW w:w="924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02"/>
              <w:gridCol w:w="5817"/>
              <w:gridCol w:w="2527"/>
            </w:tblGrid>
            <w:tr w14:paraId="2F68DD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02" w:type="dxa"/>
                  <w:tcBorders>
                    <w:tl2br w:val="nil"/>
                    <w:tr2bl w:val="nil"/>
                  </w:tcBorders>
                  <w:vAlign w:val="center"/>
                </w:tcPr>
                <w:p w14:paraId="5FC17D5B">
                  <w:pPr>
                    <w:pStyle w:val="92"/>
                    <w:spacing w:line="240" w:lineRule="auto"/>
                    <w:ind w:firstLine="0"/>
                    <w:jc w:val="center"/>
                    <w:rPr>
                      <w:b/>
                      <w:bCs/>
                      <w:color w:val="auto"/>
                      <w:sz w:val="21"/>
                    </w:rPr>
                  </w:pPr>
                  <w:r>
                    <w:rPr>
                      <w:b/>
                      <w:bCs/>
                      <w:color w:val="auto"/>
                      <w:sz w:val="21"/>
                    </w:rPr>
                    <w:t>级别</w:t>
                  </w:r>
                </w:p>
              </w:tc>
              <w:tc>
                <w:tcPr>
                  <w:tcW w:w="5817" w:type="dxa"/>
                  <w:tcBorders>
                    <w:tl2br w:val="nil"/>
                    <w:tr2bl w:val="nil"/>
                  </w:tcBorders>
                  <w:vAlign w:val="center"/>
                </w:tcPr>
                <w:p w14:paraId="1CF2F436">
                  <w:pPr>
                    <w:pStyle w:val="92"/>
                    <w:spacing w:line="240" w:lineRule="auto"/>
                    <w:ind w:firstLine="0"/>
                    <w:jc w:val="center"/>
                    <w:rPr>
                      <w:b/>
                      <w:bCs/>
                      <w:color w:val="auto"/>
                      <w:sz w:val="21"/>
                    </w:rPr>
                  </w:pPr>
                  <w:r>
                    <w:rPr>
                      <w:b/>
                      <w:bCs/>
                      <w:color w:val="auto"/>
                      <w:sz w:val="21"/>
                    </w:rPr>
                    <w:t>嗅觉感觉</w:t>
                  </w:r>
                </w:p>
              </w:tc>
              <w:tc>
                <w:tcPr>
                  <w:tcW w:w="2527" w:type="dxa"/>
                  <w:tcBorders>
                    <w:tl2br w:val="nil"/>
                    <w:tr2bl w:val="nil"/>
                  </w:tcBorders>
                  <w:vAlign w:val="center"/>
                </w:tcPr>
                <w:p w14:paraId="2F8F8187">
                  <w:pPr>
                    <w:pStyle w:val="92"/>
                    <w:spacing w:line="240" w:lineRule="auto"/>
                    <w:ind w:firstLine="0"/>
                    <w:jc w:val="center"/>
                    <w:rPr>
                      <w:b/>
                      <w:bCs/>
                      <w:color w:val="auto"/>
                      <w:sz w:val="21"/>
                    </w:rPr>
                  </w:pPr>
                  <w:r>
                    <w:rPr>
                      <w:b/>
                      <w:bCs/>
                      <w:color w:val="auto"/>
                      <w:sz w:val="21"/>
                    </w:rPr>
                    <w:t>臭气浓度</w:t>
                  </w:r>
                </w:p>
              </w:tc>
            </w:tr>
            <w:tr w14:paraId="674FB9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02" w:type="dxa"/>
                  <w:tcBorders>
                    <w:tl2br w:val="nil"/>
                    <w:tr2bl w:val="nil"/>
                  </w:tcBorders>
                  <w:vAlign w:val="center"/>
                </w:tcPr>
                <w:p w14:paraId="65093FD2">
                  <w:pPr>
                    <w:pStyle w:val="92"/>
                    <w:spacing w:line="240" w:lineRule="auto"/>
                    <w:ind w:firstLine="0"/>
                    <w:jc w:val="center"/>
                    <w:rPr>
                      <w:color w:val="auto"/>
                      <w:sz w:val="21"/>
                    </w:rPr>
                  </w:pPr>
                  <w:r>
                    <w:rPr>
                      <w:color w:val="auto"/>
                      <w:sz w:val="21"/>
                    </w:rPr>
                    <w:t>0</w:t>
                  </w:r>
                </w:p>
              </w:tc>
              <w:tc>
                <w:tcPr>
                  <w:tcW w:w="5817" w:type="dxa"/>
                  <w:tcBorders>
                    <w:tl2br w:val="nil"/>
                    <w:tr2bl w:val="nil"/>
                  </w:tcBorders>
                  <w:vAlign w:val="center"/>
                </w:tcPr>
                <w:p w14:paraId="2EE238F3">
                  <w:pPr>
                    <w:pStyle w:val="92"/>
                    <w:spacing w:line="240" w:lineRule="auto"/>
                    <w:ind w:firstLine="0"/>
                    <w:jc w:val="center"/>
                    <w:rPr>
                      <w:color w:val="auto"/>
                      <w:sz w:val="21"/>
                    </w:rPr>
                  </w:pPr>
                  <w:r>
                    <w:rPr>
                      <w:color w:val="auto"/>
                      <w:sz w:val="21"/>
                    </w:rPr>
                    <w:t>无臭</w:t>
                  </w:r>
                </w:p>
              </w:tc>
              <w:tc>
                <w:tcPr>
                  <w:tcW w:w="2527" w:type="dxa"/>
                  <w:tcBorders>
                    <w:tl2br w:val="nil"/>
                    <w:tr2bl w:val="nil"/>
                  </w:tcBorders>
                  <w:vAlign w:val="center"/>
                </w:tcPr>
                <w:p w14:paraId="37AF9E11">
                  <w:pPr>
                    <w:pStyle w:val="92"/>
                    <w:spacing w:line="240" w:lineRule="auto"/>
                    <w:ind w:firstLine="0"/>
                    <w:jc w:val="center"/>
                    <w:rPr>
                      <w:color w:val="auto"/>
                      <w:sz w:val="21"/>
                    </w:rPr>
                  </w:pPr>
                  <w:r>
                    <w:rPr>
                      <w:color w:val="auto"/>
                      <w:sz w:val="21"/>
                    </w:rPr>
                    <w:t>&lt;10</w:t>
                  </w:r>
                </w:p>
              </w:tc>
            </w:tr>
            <w:tr w14:paraId="766210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02" w:type="dxa"/>
                  <w:tcBorders>
                    <w:tl2br w:val="nil"/>
                    <w:tr2bl w:val="nil"/>
                  </w:tcBorders>
                  <w:vAlign w:val="center"/>
                </w:tcPr>
                <w:p w14:paraId="78810795">
                  <w:pPr>
                    <w:pStyle w:val="92"/>
                    <w:spacing w:line="240" w:lineRule="auto"/>
                    <w:ind w:firstLine="0"/>
                    <w:jc w:val="center"/>
                    <w:rPr>
                      <w:color w:val="auto"/>
                      <w:sz w:val="21"/>
                    </w:rPr>
                  </w:pPr>
                  <w:r>
                    <w:rPr>
                      <w:color w:val="auto"/>
                      <w:sz w:val="21"/>
                    </w:rPr>
                    <w:t>1</w:t>
                  </w:r>
                </w:p>
              </w:tc>
              <w:tc>
                <w:tcPr>
                  <w:tcW w:w="5817" w:type="dxa"/>
                  <w:tcBorders>
                    <w:tl2br w:val="nil"/>
                    <w:tr2bl w:val="nil"/>
                  </w:tcBorders>
                  <w:vAlign w:val="center"/>
                </w:tcPr>
                <w:p w14:paraId="090CDD76">
                  <w:pPr>
                    <w:pStyle w:val="92"/>
                    <w:spacing w:line="240" w:lineRule="auto"/>
                    <w:ind w:firstLine="0"/>
                    <w:jc w:val="center"/>
                    <w:rPr>
                      <w:color w:val="auto"/>
                      <w:sz w:val="21"/>
                    </w:rPr>
                  </w:pPr>
                  <w:r>
                    <w:rPr>
                      <w:color w:val="auto"/>
                      <w:sz w:val="21"/>
                    </w:rPr>
                    <w:t>能稍微感觉出极微弱的臭味，对应</w:t>
                  </w:r>
                  <w:r>
                    <w:rPr>
                      <w:rFonts w:eastAsia="宋体"/>
                      <w:color w:val="auto"/>
                      <w:sz w:val="21"/>
                    </w:rPr>
                    <w:t>感知</w:t>
                  </w:r>
                  <w:r>
                    <w:rPr>
                      <w:color w:val="auto"/>
                      <w:sz w:val="21"/>
                    </w:rPr>
                    <w:t>阈值的浓度范围</w:t>
                  </w:r>
                </w:p>
              </w:tc>
              <w:tc>
                <w:tcPr>
                  <w:tcW w:w="2527" w:type="dxa"/>
                  <w:tcBorders>
                    <w:tl2br w:val="nil"/>
                    <w:tr2bl w:val="nil"/>
                  </w:tcBorders>
                  <w:vAlign w:val="center"/>
                </w:tcPr>
                <w:p w14:paraId="4D98B4EF">
                  <w:pPr>
                    <w:pStyle w:val="92"/>
                    <w:spacing w:line="240" w:lineRule="auto"/>
                    <w:ind w:firstLine="0"/>
                    <w:jc w:val="center"/>
                    <w:rPr>
                      <w:color w:val="auto"/>
                      <w:sz w:val="21"/>
                    </w:rPr>
                  </w:pPr>
                  <w:r>
                    <w:rPr>
                      <w:color w:val="auto"/>
                      <w:sz w:val="21"/>
                    </w:rPr>
                    <w:t>&lt;49</w:t>
                  </w:r>
                </w:p>
              </w:tc>
            </w:tr>
            <w:tr w14:paraId="40BF13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02" w:type="dxa"/>
                  <w:tcBorders>
                    <w:tl2br w:val="nil"/>
                    <w:tr2bl w:val="nil"/>
                  </w:tcBorders>
                  <w:vAlign w:val="center"/>
                </w:tcPr>
                <w:p w14:paraId="2B0FFEF9">
                  <w:pPr>
                    <w:pStyle w:val="92"/>
                    <w:spacing w:line="240" w:lineRule="auto"/>
                    <w:ind w:firstLine="0"/>
                    <w:jc w:val="center"/>
                    <w:rPr>
                      <w:color w:val="auto"/>
                      <w:sz w:val="21"/>
                    </w:rPr>
                  </w:pPr>
                  <w:r>
                    <w:rPr>
                      <w:color w:val="auto"/>
                      <w:sz w:val="21"/>
                    </w:rPr>
                    <w:t>2</w:t>
                  </w:r>
                </w:p>
              </w:tc>
              <w:tc>
                <w:tcPr>
                  <w:tcW w:w="5817" w:type="dxa"/>
                  <w:tcBorders>
                    <w:tl2br w:val="nil"/>
                    <w:tr2bl w:val="nil"/>
                  </w:tcBorders>
                  <w:vAlign w:val="center"/>
                </w:tcPr>
                <w:p w14:paraId="1FB56E5A">
                  <w:pPr>
                    <w:pStyle w:val="92"/>
                    <w:spacing w:line="240" w:lineRule="auto"/>
                    <w:ind w:firstLine="0"/>
                    <w:jc w:val="center"/>
                    <w:rPr>
                      <w:color w:val="auto"/>
                      <w:sz w:val="21"/>
                    </w:rPr>
                  </w:pPr>
                  <w:r>
                    <w:rPr>
                      <w:color w:val="auto"/>
                      <w:sz w:val="21"/>
                    </w:rPr>
                    <w:t>能勉强辨别出臭味的品质，对应确认阈值的浓度范围</w:t>
                  </w:r>
                </w:p>
              </w:tc>
              <w:tc>
                <w:tcPr>
                  <w:tcW w:w="2527" w:type="dxa"/>
                  <w:tcBorders>
                    <w:tl2br w:val="nil"/>
                    <w:tr2bl w:val="nil"/>
                  </w:tcBorders>
                  <w:vAlign w:val="center"/>
                </w:tcPr>
                <w:p w14:paraId="0E5728A6">
                  <w:pPr>
                    <w:pStyle w:val="92"/>
                    <w:spacing w:line="240" w:lineRule="auto"/>
                    <w:ind w:firstLine="0"/>
                    <w:jc w:val="center"/>
                    <w:rPr>
                      <w:color w:val="auto"/>
                      <w:sz w:val="21"/>
                    </w:rPr>
                  </w:pPr>
                  <w:r>
                    <w:rPr>
                      <w:color w:val="auto"/>
                      <w:sz w:val="21"/>
                    </w:rPr>
                    <w:t>49~234</w:t>
                  </w:r>
                </w:p>
              </w:tc>
            </w:tr>
            <w:tr w14:paraId="172C1B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02" w:type="dxa"/>
                  <w:tcBorders>
                    <w:tl2br w:val="nil"/>
                    <w:tr2bl w:val="nil"/>
                  </w:tcBorders>
                  <w:vAlign w:val="center"/>
                </w:tcPr>
                <w:p w14:paraId="7D57A7CF">
                  <w:pPr>
                    <w:pStyle w:val="92"/>
                    <w:spacing w:line="240" w:lineRule="auto"/>
                    <w:ind w:firstLine="0"/>
                    <w:jc w:val="center"/>
                    <w:rPr>
                      <w:color w:val="auto"/>
                      <w:sz w:val="21"/>
                    </w:rPr>
                  </w:pPr>
                  <w:r>
                    <w:rPr>
                      <w:color w:val="auto"/>
                      <w:sz w:val="21"/>
                    </w:rPr>
                    <w:t>3</w:t>
                  </w:r>
                </w:p>
              </w:tc>
              <w:tc>
                <w:tcPr>
                  <w:tcW w:w="5817" w:type="dxa"/>
                  <w:tcBorders>
                    <w:tl2br w:val="nil"/>
                    <w:tr2bl w:val="nil"/>
                  </w:tcBorders>
                  <w:vAlign w:val="center"/>
                </w:tcPr>
                <w:p w14:paraId="26CDB127">
                  <w:pPr>
                    <w:pStyle w:val="92"/>
                    <w:spacing w:line="240" w:lineRule="auto"/>
                    <w:ind w:firstLine="0"/>
                    <w:jc w:val="center"/>
                    <w:rPr>
                      <w:color w:val="auto"/>
                      <w:sz w:val="21"/>
                    </w:rPr>
                  </w:pPr>
                  <w:r>
                    <w:rPr>
                      <w:color w:val="auto"/>
                      <w:sz w:val="21"/>
                    </w:rPr>
                    <w:t>可明显感觉到有臭味</w:t>
                  </w:r>
                </w:p>
              </w:tc>
              <w:tc>
                <w:tcPr>
                  <w:tcW w:w="2527" w:type="dxa"/>
                  <w:tcBorders>
                    <w:tl2br w:val="nil"/>
                    <w:tr2bl w:val="nil"/>
                  </w:tcBorders>
                  <w:vAlign w:val="center"/>
                </w:tcPr>
                <w:p w14:paraId="3C11EFDF">
                  <w:pPr>
                    <w:pStyle w:val="92"/>
                    <w:spacing w:line="240" w:lineRule="auto"/>
                    <w:ind w:firstLine="0"/>
                    <w:jc w:val="center"/>
                    <w:rPr>
                      <w:color w:val="auto"/>
                      <w:sz w:val="21"/>
                    </w:rPr>
                  </w:pPr>
                  <w:r>
                    <w:rPr>
                      <w:color w:val="auto"/>
                      <w:sz w:val="21"/>
                    </w:rPr>
                    <w:t>234~1318</w:t>
                  </w:r>
                </w:p>
              </w:tc>
            </w:tr>
            <w:tr w14:paraId="65F5B6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02" w:type="dxa"/>
                  <w:tcBorders>
                    <w:tl2br w:val="nil"/>
                    <w:tr2bl w:val="nil"/>
                  </w:tcBorders>
                  <w:vAlign w:val="center"/>
                </w:tcPr>
                <w:p w14:paraId="1228B189">
                  <w:pPr>
                    <w:pStyle w:val="92"/>
                    <w:spacing w:line="240" w:lineRule="auto"/>
                    <w:ind w:firstLine="0"/>
                    <w:jc w:val="center"/>
                    <w:rPr>
                      <w:color w:val="auto"/>
                      <w:sz w:val="21"/>
                    </w:rPr>
                  </w:pPr>
                  <w:r>
                    <w:rPr>
                      <w:color w:val="auto"/>
                      <w:sz w:val="21"/>
                    </w:rPr>
                    <w:t>4</w:t>
                  </w:r>
                </w:p>
              </w:tc>
              <w:tc>
                <w:tcPr>
                  <w:tcW w:w="5817" w:type="dxa"/>
                  <w:tcBorders>
                    <w:tl2br w:val="nil"/>
                    <w:tr2bl w:val="nil"/>
                  </w:tcBorders>
                  <w:vAlign w:val="center"/>
                </w:tcPr>
                <w:p w14:paraId="3E2F7DAE">
                  <w:pPr>
                    <w:pStyle w:val="92"/>
                    <w:spacing w:line="240" w:lineRule="auto"/>
                    <w:ind w:firstLine="0"/>
                    <w:jc w:val="center"/>
                    <w:rPr>
                      <w:color w:val="auto"/>
                      <w:sz w:val="21"/>
                    </w:rPr>
                  </w:pPr>
                  <w:r>
                    <w:rPr>
                      <w:color w:val="auto"/>
                      <w:sz w:val="21"/>
                    </w:rPr>
                    <w:t>强烈的臭味</w:t>
                  </w:r>
                </w:p>
              </w:tc>
              <w:tc>
                <w:tcPr>
                  <w:tcW w:w="2527" w:type="dxa"/>
                  <w:tcBorders>
                    <w:tl2br w:val="nil"/>
                    <w:tr2bl w:val="nil"/>
                  </w:tcBorders>
                  <w:vAlign w:val="center"/>
                </w:tcPr>
                <w:p w14:paraId="3EF55CCB">
                  <w:pPr>
                    <w:pStyle w:val="92"/>
                    <w:spacing w:line="240" w:lineRule="auto"/>
                    <w:ind w:firstLine="0"/>
                    <w:jc w:val="center"/>
                    <w:rPr>
                      <w:color w:val="auto"/>
                      <w:sz w:val="21"/>
                    </w:rPr>
                  </w:pPr>
                  <w:r>
                    <w:rPr>
                      <w:color w:val="auto"/>
                      <w:sz w:val="21"/>
                    </w:rPr>
                    <w:t>1318~7413</w:t>
                  </w:r>
                </w:p>
              </w:tc>
            </w:tr>
            <w:tr w14:paraId="0F77B0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02" w:type="dxa"/>
                  <w:tcBorders>
                    <w:tl2br w:val="nil"/>
                    <w:tr2bl w:val="nil"/>
                  </w:tcBorders>
                  <w:vAlign w:val="center"/>
                </w:tcPr>
                <w:p w14:paraId="1E70F03E">
                  <w:pPr>
                    <w:pStyle w:val="92"/>
                    <w:spacing w:line="240" w:lineRule="auto"/>
                    <w:ind w:firstLine="0"/>
                    <w:jc w:val="center"/>
                    <w:rPr>
                      <w:color w:val="auto"/>
                      <w:sz w:val="21"/>
                    </w:rPr>
                  </w:pPr>
                  <w:r>
                    <w:rPr>
                      <w:color w:val="auto"/>
                      <w:sz w:val="21"/>
                    </w:rPr>
                    <w:t>5</w:t>
                  </w:r>
                </w:p>
              </w:tc>
              <w:tc>
                <w:tcPr>
                  <w:tcW w:w="5817" w:type="dxa"/>
                  <w:tcBorders>
                    <w:tl2br w:val="nil"/>
                    <w:tr2bl w:val="nil"/>
                  </w:tcBorders>
                  <w:vAlign w:val="center"/>
                </w:tcPr>
                <w:p w14:paraId="6DBD441A">
                  <w:pPr>
                    <w:pStyle w:val="92"/>
                    <w:spacing w:line="240" w:lineRule="auto"/>
                    <w:ind w:firstLine="0"/>
                    <w:jc w:val="center"/>
                    <w:rPr>
                      <w:color w:val="auto"/>
                      <w:sz w:val="21"/>
                    </w:rPr>
                  </w:pPr>
                  <w:r>
                    <w:rPr>
                      <w:color w:val="auto"/>
                      <w:sz w:val="21"/>
                    </w:rPr>
                    <w:t>让人无法忍受的强烈臭味</w:t>
                  </w:r>
                </w:p>
              </w:tc>
              <w:tc>
                <w:tcPr>
                  <w:tcW w:w="2527" w:type="dxa"/>
                  <w:tcBorders>
                    <w:tl2br w:val="nil"/>
                    <w:tr2bl w:val="nil"/>
                  </w:tcBorders>
                  <w:vAlign w:val="center"/>
                </w:tcPr>
                <w:p w14:paraId="10EA8186">
                  <w:pPr>
                    <w:pStyle w:val="92"/>
                    <w:spacing w:line="240" w:lineRule="auto"/>
                    <w:ind w:firstLine="0"/>
                    <w:jc w:val="center"/>
                    <w:rPr>
                      <w:color w:val="auto"/>
                      <w:sz w:val="21"/>
                    </w:rPr>
                  </w:pPr>
                  <w:r>
                    <w:rPr>
                      <w:color w:val="auto"/>
                      <w:sz w:val="21"/>
                    </w:rPr>
                    <w:t>&gt;7413</w:t>
                  </w:r>
                </w:p>
              </w:tc>
            </w:tr>
          </w:tbl>
          <w:p w14:paraId="7DC26D49">
            <w:pPr>
              <w:spacing w:line="360" w:lineRule="auto"/>
              <w:ind w:firstLine="480" w:firstLineChars="200"/>
              <w:rPr>
                <w:color w:val="auto"/>
                <w:sz w:val="24"/>
              </w:rPr>
            </w:pPr>
            <w:r>
              <w:rPr>
                <w:color w:val="auto"/>
                <w:sz w:val="24"/>
              </w:rPr>
              <w:t>通过类比嗅辨，本项目产生的臭气强度一般为1~2级左右，其对应的臭气浓度为49~234之间。本项目</w:t>
            </w:r>
            <w:r>
              <w:rPr>
                <w:rFonts w:hint="eastAsia"/>
                <w:color w:val="auto"/>
                <w:kern w:val="0"/>
                <w:sz w:val="24"/>
              </w:rPr>
              <w:t>电泳漆涂装和烘干固化</w:t>
            </w:r>
            <w:r>
              <w:rPr>
                <w:color w:val="auto"/>
                <w:sz w:val="24"/>
              </w:rPr>
              <w:t>产生的生产异味经废气收集系统以及“</w:t>
            </w:r>
            <w:r>
              <w:rPr>
                <w:rFonts w:hint="eastAsia"/>
                <w:color w:val="auto"/>
                <w:sz w:val="24"/>
              </w:rPr>
              <w:t>水喷淋塔+除雾器+</w:t>
            </w:r>
            <w:r>
              <w:rPr>
                <w:color w:val="auto"/>
                <w:sz w:val="24"/>
              </w:rPr>
              <w:t>两级活性炭吸附装置”处理后与有机废气一并排放，少量未被收集的异味在车间无组织排放，生产异味对周边环境的影响不大。</w:t>
            </w:r>
          </w:p>
          <w:p w14:paraId="26E77472">
            <w:pPr>
              <w:pStyle w:val="189"/>
              <w:spacing w:line="360" w:lineRule="auto"/>
              <w:ind w:firstLine="482"/>
              <w:rPr>
                <w:b/>
                <w:bCs/>
                <w:color w:val="auto"/>
                <w:sz w:val="24"/>
              </w:rPr>
            </w:pPr>
            <w:r>
              <w:rPr>
                <w:rFonts w:hint="eastAsia"/>
                <w:b/>
                <w:bCs/>
                <w:color w:val="auto"/>
                <w:sz w:val="24"/>
              </w:rPr>
              <w:t>3</w:t>
            </w:r>
            <w:r>
              <w:rPr>
                <w:b/>
                <w:bCs/>
                <w:color w:val="auto"/>
                <w:sz w:val="24"/>
              </w:rPr>
              <w:t>、废气处理措施可行性分析</w:t>
            </w:r>
          </w:p>
          <w:p w14:paraId="186AF4AF">
            <w:pPr>
              <w:pStyle w:val="189"/>
              <w:spacing w:line="360" w:lineRule="auto"/>
              <w:ind w:firstLine="482"/>
              <w:rPr>
                <w:color w:val="auto"/>
                <w:sz w:val="24"/>
              </w:rPr>
            </w:pPr>
            <w:r>
              <w:rPr>
                <w:b/>
                <w:bCs/>
                <w:color w:val="auto"/>
                <w:sz w:val="24"/>
              </w:rPr>
              <w:t>（1）</w:t>
            </w:r>
            <w:r>
              <w:rPr>
                <w:rFonts w:hint="eastAsia"/>
                <w:b/>
                <w:bCs/>
                <w:color w:val="auto"/>
                <w:sz w:val="24"/>
              </w:rPr>
              <w:t>电泳漆涂装和烘干固化</w:t>
            </w:r>
            <w:r>
              <w:rPr>
                <w:b/>
                <w:bCs/>
                <w:color w:val="auto"/>
                <w:sz w:val="24"/>
              </w:rPr>
              <w:t>工序废气“</w:t>
            </w:r>
            <w:r>
              <w:rPr>
                <w:rFonts w:hint="eastAsia"/>
                <w:b/>
                <w:bCs/>
                <w:color w:val="auto"/>
                <w:sz w:val="24"/>
              </w:rPr>
              <w:t>水喷淋塔+除雾器+</w:t>
            </w:r>
            <w:r>
              <w:rPr>
                <w:b/>
                <w:bCs/>
                <w:color w:val="auto"/>
                <w:sz w:val="24"/>
              </w:rPr>
              <w:t>两级活性炭吸附装置”处理设施：</w:t>
            </w:r>
            <w:r>
              <w:rPr>
                <w:color w:val="auto"/>
                <w:kern w:val="0"/>
                <w:sz w:val="24"/>
              </w:rPr>
              <w:t>参照《排污许可证申请与核发技术规范 总则》（HJ942-2018）4.5.2.1“废气产排污环节、污染物种类、排放形式及污染治理设施”章节，“有机废气收集治理设施（焚烧、吸附、催化分解、其他）”</w:t>
            </w:r>
            <w:r>
              <w:rPr>
                <w:rFonts w:hint="eastAsia"/>
                <w:color w:val="auto"/>
                <w:kern w:val="0"/>
                <w:sz w:val="24"/>
              </w:rPr>
              <w:t>。</w:t>
            </w:r>
            <w:r>
              <w:rPr>
                <w:color w:val="auto"/>
                <w:kern w:val="0"/>
                <w:sz w:val="24"/>
              </w:rPr>
              <w:t>电泳</w:t>
            </w:r>
            <w:r>
              <w:rPr>
                <w:rFonts w:hint="eastAsia"/>
                <w:color w:val="auto"/>
                <w:kern w:val="0"/>
                <w:sz w:val="24"/>
              </w:rPr>
              <w:t>漆涂装和</w:t>
            </w:r>
            <w:r>
              <w:rPr>
                <w:color w:val="auto"/>
                <w:kern w:val="0"/>
                <w:sz w:val="24"/>
              </w:rPr>
              <w:t>烘干固化产生的有机废气</w:t>
            </w:r>
            <w:r>
              <w:rPr>
                <w:rFonts w:hint="eastAsia"/>
                <w:color w:val="auto"/>
                <w:kern w:val="0"/>
                <w:sz w:val="24"/>
              </w:rPr>
              <w:t>和恶臭</w:t>
            </w:r>
            <w:r>
              <w:rPr>
                <w:color w:val="auto"/>
                <w:kern w:val="0"/>
                <w:sz w:val="24"/>
              </w:rPr>
              <w:t>采用“</w:t>
            </w:r>
            <w:r>
              <w:rPr>
                <w:rFonts w:hint="eastAsia"/>
                <w:color w:val="auto"/>
                <w:kern w:val="0"/>
                <w:sz w:val="24"/>
              </w:rPr>
              <w:t>水喷淋塔+除雾器+二级</w:t>
            </w:r>
            <w:r>
              <w:rPr>
                <w:color w:val="auto"/>
                <w:kern w:val="0"/>
                <w:sz w:val="24"/>
              </w:rPr>
              <w:t>活性炭吸附装置”进行处理后通过20m高的排气筒排放，属于可行技术中的“吸附”。</w:t>
            </w:r>
            <w:r>
              <w:rPr>
                <w:rFonts w:hint="eastAsia"/>
                <w:color w:val="auto"/>
                <w:kern w:val="0"/>
                <w:sz w:val="24"/>
              </w:rPr>
              <w:t>因此本项目采取的废气处理措施</w:t>
            </w:r>
            <w:r>
              <w:rPr>
                <w:color w:val="auto"/>
                <w:kern w:val="0"/>
                <w:sz w:val="24"/>
              </w:rPr>
              <w:t>属于可行技术。</w:t>
            </w:r>
          </w:p>
          <w:p w14:paraId="5A39AB0C">
            <w:pPr>
              <w:spacing w:line="360" w:lineRule="auto"/>
              <w:jc w:val="center"/>
              <w:rPr>
                <w:b/>
                <w:bCs/>
                <w:color w:val="auto"/>
                <w:kern w:val="0"/>
                <w:sz w:val="24"/>
              </w:rPr>
            </w:pPr>
            <w:r>
              <w:rPr>
                <w:b/>
                <w:bCs/>
                <w:color w:val="auto"/>
                <w:kern w:val="0"/>
                <w:sz w:val="24"/>
              </w:rPr>
              <w:object>
                <v:shape id="_x0000_i1034" o:spt="75" type="#_x0000_t75" style="height:27.65pt;width:473.05pt;" o:ole="t" filled="f" o:preferrelative="t" stroked="f" coordsize="21600,21600">
                  <v:path/>
                  <v:fill on="f" focussize="0,0"/>
                  <v:stroke on="f"/>
                  <v:imagedata r:id="rId35" o:title=""/>
                  <o:lock v:ext="edit" aspectratio="f"/>
                  <w10:wrap type="none"/>
                  <w10:anchorlock/>
                </v:shape>
                <o:OLEObject Type="Embed" ProgID="Visio.Drawing.15" ShapeID="_x0000_i1034" DrawAspect="Content" ObjectID="_1468075734" r:id="rId34">
                  <o:LockedField>false</o:LockedField>
                </o:OLEObject>
              </w:object>
            </w:r>
          </w:p>
          <w:p w14:paraId="7163E484">
            <w:pPr>
              <w:spacing w:line="360" w:lineRule="auto"/>
              <w:jc w:val="center"/>
              <w:rPr>
                <w:b/>
                <w:color w:val="auto"/>
                <w:szCs w:val="21"/>
              </w:rPr>
            </w:pPr>
            <w:r>
              <w:rPr>
                <w:b/>
                <w:color w:val="auto"/>
                <w:szCs w:val="21"/>
              </w:rPr>
              <w:t>图4-</w:t>
            </w:r>
            <w:r>
              <w:rPr>
                <w:rFonts w:hint="eastAsia"/>
                <w:b/>
                <w:color w:val="auto"/>
                <w:szCs w:val="21"/>
              </w:rPr>
              <w:t>1电泳漆涂装和烘干固化</w:t>
            </w:r>
            <w:r>
              <w:rPr>
                <w:b/>
                <w:color w:val="auto"/>
                <w:szCs w:val="21"/>
              </w:rPr>
              <w:t>废气处理工艺流程图</w:t>
            </w:r>
          </w:p>
          <w:p w14:paraId="20429125">
            <w:pPr>
              <w:spacing w:line="360" w:lineRule="auto"/>
              <w:ind w:firstLine="482" w:firstLineChars="200"/>
              <w:rPr>
                <w:b/>
                <w:bCs/>
                <w:color w:val="auto"/>
                <w:sz w:val="24"/>
              </w:rPr>
            </w:pPr>
            <w:r>
              <w:rPr>
                <w:b/>
                <w:bCs/>
                <w:color w:val="auto"/>
                <w:sz w:val="24"/>
              </w:rPr>
              <w:t>两级活性炭处理废气工艺简述：</w:t>
            </w:r>
          </w:p>
          <w:p w14:paraId="34C6EF37">
            <w:pPr>
              <w:spacing w:line="360" w:lineRule="auto"/>
              <w:ind w:firstLine="480" w:firstLineChars="200"/>
              <w:rPr>
                <w:color w:val="auto"/>
                <w:sz w:val="24"/>
                <w:szCs w:val="24"/>
              </w:rPr>
            </w:pPr>
            <w:r>
              <w:rPr>
                <w:color w:val="auto"/>
                <w:sz w:val="24"/>
              </w:rPr>
              <w:t>活性炭吸附装置是利用活性炭层的吸附性能，有机废气流经活性炭层时被比表面积很大的活性炭截留，在其颗粒表面形成一层平衡的表面浓度，并将有机物等吸附到活性炭的细孔；使用初期的吸附效果很高，时间一长，活性炭的吸附能力会不同程度地减弱，需要及时更换。本项目废气的活性炭吸附装置设计采用颗粒状活性炭对工艺废气进行处理。废气从</w:t>
            </w:r>
            <w:r>
              <w:rPr>
                <w:color w:val="auto"/>
                <w:sz w:val="24"/>
                <w:szCs w:val="24"/>
              </w:rPr>
              <w:t>箱体侧面抽入，经挡板分流、活性炭吸附处理后经箱体另外一侧排出，活性炭塔塔体、炭层长度、炭层厚度等按照《吸附法工业有机废气治理工程技术规范》（HJ2026-2013）的要求设计，采用颗粒状吸附剂时气体流速宜低于0.6m/s。为保证活性炭的吸附效率，建议吸附系统的活性炭定期更换，以确保废气稳定达标排放。</w:t>
            </w:r>
          </w:p>
          <w:p w14:paraId="4ED3E25A">
            <w:pPr>
              <w:spacing w:line="360" w:lineRule="auto"/>
              <w:ind w:firstLine="480" w:firstLineChars="200"/>
              <w:rPr>
                <w:rFonts w:hint="default" w:eastAsia="宋体"/>
                <w:color w:val="auto"/>
                <w:sz w:val="24"/>
                <w:szCs w:val="24"/>
                <w:lang w:val="en-US" w:eastAsia="zh-CN"/>
              </w:rPr>
            </w:pPr>
            <w:r>
              <w:rPr>
                <w:rFonts w:hint="eastAsia"/>
                <w:color w:val="auto"/>
                <w:sz w:val="24"/>
                <w:szCs w:val="24"/>
                <w:lang w:val="en-US" w:eastAsia="zh-CN"/>
              </w:rPr>
              <w:t>现有项目单级活性炭箱尺寸</w:t>
            </w:r>
            <w:r>
              <w:rPr>
                <w:color w:val="auto"/>
                <w:sz w:val="24"/>
                <w:szCs w:val="24"/>
              </w:rPr>
              <w:t>为长</w:t>
            </w:r>
            <w:r>
              <w:rPr>
                <w:rFonts w:hint="eastAsia"/>
                <w:color w:val="auto"/>
                <w:sz w:val="24"/>
                <w:szCs w:val="24"/>
                <w:lang w:val="en-US" w:eastAsia="zh-CN"/>
              </w:rPr>
              <w:t>2.5</w:t>
            </w:r>
            <w:r>
              <w:rPr>
                <w:color w:val="auto"/>
                <w:sz w:val="24"/>
                <w:szCs w:val="24"/>
              </w:rPr>
              <w:t>m×宽</w:t>
            </w:r>
            <w:r>
              <w:rPr>
                <w:rFonts w:hint="eastAsia"/>
                <w:color w:val="auto"/>
                <w:sz w:val="24"/>
                <w:szCs w:val="24"/>
                <w:lang w:val="en-US" w:eastAsia="zh-CN"/>
              </w:rPr>
              <w:t>1.7</w:t>
            </w:r>
            <w:r>
              <w:rPr>
                <w:color w:val="auto"/>
                <w:sz w:val="24"/>
                <w:szCs w:val="24"/>
              </w:rPr>
              <w:t>m×高1</w:t>
            </w:r>
            <w:r>
              <w:rPr>
                <w:rFonts w:hint="eastAsia"/>
                <w:color w:val="auto"/>
                <w:sz w:val="24"/>
                <w:szCs w:val="24"/>
                <w:lang w:val="en-US" w:eastAsia="zh-CN"/>
              </w:rPr>
              <w:t>.8</w:t>
            </w:r>
            <w:r>
              <w:rPr>
                <w:color w:val="auto"/>
                <w:sz w:val="24"/>
                <w:szCs w:val="24"/>
              </w:rPr>
              <w:t>m，活性炭箱体内设活性炭层为2层，单层厚规格为300mm。本项目活性炭密度为0.5t/m</w:t>
            </w:r>
            <w:r>
              <w:rPr>
                <w:color w:val="auto"/>
                <w:sz w:val="24"/>
                <w:szCs w:val="24"/>
                <w:vertAlign w:val="superscript"/>
              </w:rPr>
              <w:t>3</w:t>
            </w:r>
            <w:r>
              <w:rPr>
                <w:color w:val="auto"/>
                <w:sz w:val="24"/>
                <w:szCs w:val="24"/>
              </w:rPr>
              <w:t>，碘值大于800mg/g的颗粒状活性炭，单层炭体长、宽、厚规格为</w:t>
            </w:r>
            <w:r>
              <w:rPr>
                <w:rFonts w:hint="eastAsia"/>
                <w:color w:val="auto"/>
                <w:sz w:val="24"/>
                <w:szCs w:val="24"/>
                <w:lang w:val="en-US" w:eastAsia="zh-CN"/>
              </w:rPr>
              <w:t>2.4</w:t>
            </w:r>
            <w:r>
              <w:rPr>
                <w:color w:val="auto"/>
                <w:sz w:val="24"/>
                <w:szCs w:val="24"/>
              </w:rPr>
              <w:t>m、</w:t>
            </w:r>
            <w:r>
              <w:rPr>
                <w:rFonts w:hint="eastAsia"/>
                <w:color w:val="auto"/>
                <w:sz w:val="24"/>
                <w:szCs w:val="24"/>
                <w:lang w:val="en-US" w:eastAsia="zh-CN"/>
              </w:rPr>
              <w:t>1.6</w:t>
            </w:r>
            <w:r>
              <w:rPr>
                <w:color w:val="auto"/>
                <w:sz w:val="24"/>
                <w:szCs w:val="24"/>
              </w:rPr>
              <w:t>m、0.3m，即每层炭体体积为</w:t>
            </w:r>
            <w:r>
              <w:rPr>
                <w:rFonts w:hint="eastAsia"/>
                <w:color w:val="auto"/>
                <w:sz w:val="24"/>
                <w:szCs w:val="24"/>
                <w:lang w:val="en-US" w:eastAsia="zh-CN"/>
              </w:rPr>
              <w:t>2.4</w:t>
            </w:r>
            <w:r>
              <w:rPr>
                <w:color w:val="auto"/>
                <w:sz w:val="24"/>
                <w:szCs w:val="24"/>
              </w:rPr>
              <w:t>×</w:t>
            </w:r>
            <w:r>
              <w:rPr>
                <w:rFonts w:hint="eastAsia"/>
                <w:color w:val="auto"/>
                <w:sz w:val="24"/>
                <w:szCs w:val="24"/>
                <w:lang w:val="en-US" w:eastAsia="zh-CN"/>
              </w:rPr>
              <w:t>1.6</w:t>
            </w:r>
            <w:r>
              <w:rPr>
                <w:color w:val="auto"/>
                <w:sz w:val="24"/>
                <w:szCs w:val="24"/>
              </w:rPr>
              <w:t>m×0.3m=</w:t>
            </w:r>
            <w:r>
              <w:rPr>
                <w:rFonts w:hint="eastAsia"/>
                <w:color w:val="auto"/>
                <w:sz w:val="24"/>
                <w:szCs w:val="24"/>
                <w:lang w:val="en-US" w:eastAsia="zh-CN"/>
              </w:rPr>
              <w:t>1.152</w:t>
            </w:r>
            <w:r>
              <w:rPr>
                <w:color w:val="auto"/>
                <w:sz w:val="24"/>
                <w:szCs w:val="24"/>
              </w:rPr>
              <w:t>m</w:t>
            </w:r>
            <w:r>
              <w:rPr>
                <w:color w:val="auto"/>
                <w:sz w:val="24"/>
                <w:szCs w:val="24"/>
                <w:vertAlign w:val="superscript"/>
              </w:rPr>
              <w:t>3</w:t>
            </w:r>
            <w:r>
              <w:rPr>
                <w:color w:val="auto"/>
                <w:sz w:val="24"/>
                <w:szCs w:val="24"/>
              </w:rPr>
              <w:t>，每层炭体装载量为</w:t>
            </w:r>
            <w:r>
              <w:rPr>
                <w:rFonts w:hint="eastAsia"/>
                <w:color w:val="auto"/>
                <w:sz w:val="24"/>
                <w:szCs w:val="24"/>
                <w:lang w:val="en-US" w:eastAsia="zh-CN"/>
              </w:rPr>
              <w:t>1.152</w:t>
            </w:r>
            <w:r>
              <w:rPr>
                <w:color w:val="auto"/>
                <w:sz w:val="24"/>
                <w:szCs w:val="24"/>
              </w:rPr>
              <w:t>m</w:t>
            </w:r>
            <w:r>
              <w:rPr>
                <w:color w:val="auto"/>
                <w:sz w:val="24"/>
                <w:szCs w:val="24"/>
                <w:vertAlign w:val="superscript"/>
              </w:rPr>
              <w:t>3</w:t>
            </w:r>
            <w:r>
              <w:rPr>
                <w:color w:val="auto"/>
                <w:sz w:val="24"/>
                <w:szCs w:val="24"/>
              </w:rPr>
              <w:t>×0.5t/m</w:t>
            </w:r>
            <w:r>
              <w:rPr>
                <w:color w:val="auto"/>
                <w:sz w:val="24"/>
                <w:szCs w:val="24"/>
                <w:vertAlign w:val="superscript"/>
              </w:rPr>
              <w:t>3</w:t>
            </w:r>
            <w:r>
              <w:rPr>
                <w:color w:val="auto"/>
                <w:sz w:val="24"/>
                <w:szCs w:val="24"/>
              </w:rPr>
              <w:t>=</w:t>
            </w:r>
            <w:r>
              <w:rPr>
                <w:rFonts w:hint="eastAsia"/>
                <w:color w:val="auto"/>
                <w:sz w:val="24"/>
                <w:szCs w:val="24"/>
                <w:lang w:val="en-US" w:eastAsia="zh-CN"/>
              </w:rPr>
              <w:t>0.576</w:t>
            </w:r>
            <w:r>
              <w:rPr>
                <w:color w:val="auto"/>
                <w:sz w:val="24"/>
                <w:szCs w:val="24"/>
              </w:rPr>
              <w:t>t，单级活性炭箱布置2层，则单级活性炭装载量为</w:t>
            </w:r>
            <w:r>
              <w:rPr>
                <w:rFonts w:hint="eastAsia"/>
                <w:color w:val="auto"/>
                <w:sz w:val="24"/>
                <w:szCs w:val="24"/>
                <w:lang w:val="en-US" w:eastAsia="zh-CN"/>
              </w:rPr>
              <w:t>0.576</w:t>
            </w:r>
            <w:r>
              <w:rPr>
                <w:color w:val="auto"/>
                <w:sz w:val="24"/>
                <w:szCs w:val="24"/>
              </w:rPr>
              <w:t>×2=</w:t>
            </w:r>
            <w:r>
              <w:rPr>
                <w:rFonts w:hint="eastAsia"/>
                <w:color w:val="auto"/>
                <w:sz w:val="24"/>
                <w:szCs w:val="24"/>
                <w:lang w:val="en-US" w:eastAsia="zh-CN"/>
              </w:rPr>
              <w:t>1.152</w:t>
            </w:r>
            <w:r>
              <w:rPr>
                <w:color w:val="auto"/>
                <w:sz w:val="24"/>
                <w:szCs w:val="24"/>
              </w:rPr>
              <w:t>t，两级活性炭装载量为</w:t>
            </w:r>
            <w:r>
              <w:rPr>
                <w:rFonts w:hint="eastAsia"/>
                <w:color w:val="auto"/>
                <w:sz w:val="24"/>
                <w:szCs w:val="24"/>
                <w:lang w:val="en-US" w:eastAsia="zh-CN"/>
              </w:rPr>
              <w:t>1.152</w:t>
            </w:r>
            <w:r>
              <w:rPr>
                <w:color w:val="auto"/>
                <w:sz w:val="24"/>
                <w:szCs w:val="24"/>
              </w:rPr>
              <w:t>×2=</w:t>
            </w:r>
            <w:r>
              <w:rPr>
                <w:rFonts w:hint="eastAsia"/>
                <w:color w:val="auto"/>
                <w:sz w:val="24"/>
                <w:szCs w:val="24"/>
                <w:lang w:val="en-US" w:eastAsia="zh-CN"/>
              </w:rPr>
              <w:t>2.304</w:t>
            </w:r>
            <w:r>
              <w:rPr>
                <w:color w:val="auto"/>
                <w:sz w:val="24"/>
                <w:szCs w:val="24"/>
              </w:rPr>
              <w:t>t。根据《广东省生态环境厅关于印发工业源挥发性有机物和氮氧化物减排量核算方法的通知》（粤环函〔2023〕538号）附件1《广东省工业源挥发性有机物减排量核算方法（2023年修订版）》废气治理效率参考值，吸附比例建议取值15%，1吨活性炭0.15吨VOCs。</w:t>
            </w:r>
            <w:r>
              <w:rPr>
                <w:rFonts w:hint="eastAsia"/>
                <w:color w:val="auto"/>
                <w:sz w:val="24"/>
                <w:szCs w:val="24"/>
                <w:lang w:val="en-US" w:eastAsia="zh-CN"/>
              </w:rPr>
              <w:t>现有项目“水喷淋塔+除雾器+两级活性炭吸附装置”主要用于注塑、着色、烘干产生的有机废气（以非甲烷总烃表征）的处理。由于现有项目注塑实际开工时间约1350h/a，削减的有机废气量为0.2179t/a，所需的活性炭量为1.4527t/a；本次改建项目削减的有机废气量为0.4864t/a，所需的活性炭量为3.2424t/a，因此改建后全厂总需活性炭量为4.6951t/a。则现有项目两级活性炭吸附装置需每年更换3次（活性炭量为6.912t/a大于所需的活性炭量4.6951t/a）则可满足增加改建项目的吸附量</w:t>
            </w:r>
            <w:r>
              <w:rPr>
                <w:rFonts w:hint="eastAsia"/>
                <w:color w:val="auto"/>
                <w:sz w:val="24"/>
                <w:szCs w:val="24"/>
                <w:lang w:val="en-US" w:eastAsia="zh-CN"/>
              </w:rPr>
              <w:t>。</w:t>
            </w:r>
          </w:p>
          <w:p w14:paraId="5C3DB769">
            <w:pPr>
              <w:widowControl w:val="0"/>
              <w:adjustRightInd w:val="0"/>
              <w:snapToGrid w:val="0"/>
              <w:spacing w:line="360" w:lineRule="auto"/>
              <w:ind w:firstLine="482" w:firstLineChars="200"/>
              <w:rPr>
                <w:color w:val="auto"/>
                <w:sz w:val="24"/>
              </w:rPr>
            </w:pPr>
            <w:r>
              <w:rPr>
                <w:b/>
                <w:bCs/>
                <w:color w:val="auto"/>
                <w:sz w:val="24"/>
              </w:rPr>
              <w:t>工作原理：</w:t>
            </w:r>
            <w:r>
              <w:rPr>
                <w:color w:val="auto"/>
                <w:sz w:val="24"/>
              </w:rPr>
              <w:t>吸附法是用固体吸附剂吸附处理废气中有害气体的一种方法。选择吸附剂的原则是比表面积大，容易吸附和脱附再生，来源容易，价格较低。有机废气适宜采用活性炭作吸附剂。活性炭是一种由含碳材料制成的外观呈黑色，比表面积大、吸附能力强的一类微晶质碳素材料。活性炭材料中有大量肉眼看不见的微孔，1g活性炭材料中微孔的总内表面积可高达700～2300m</w:t>
            </w:r>
            <w:r>
              <w:rPr>
                <w:color w:val="auto"/>
                <w:sz w:val="24"/>
                <w:vertAlign w:val="superscript"/>
              </w:rPr>
              <w:t>2</w:t>
            </w:r>
            <w:r>
              <w:rPr>
                <w:color w:val="auto"/>
                <w:sz w:val="24"/>
              </w:rPr>
              <w:t>。正是这些微孔使得活性炭能“捕捉”各种有毒有害气体和杂质。由于气相分子和吸附剂表面分子之间的吸引力，使气相分子吸附在吸附剂表面。吸附剂表面面积愈大、单位质量吸附剂吸附物质愈多。活性炭是一种具有非极性表面、疏水性、亲有机物的吸附剂。所以活性炭常常被用来吸附回收空气中的有机溶剂和恶臭物质，它可以根据需要制成不同性状和粒度，如粉末活性炭、颗粒活性炭、蜂窝活性炭及柱状活性炭。活性炭是由各种含碳物质（如木材、泥煤、果核、椰壳等原料）在高温下炭化后，再用水蒸气或化学药品（如氯化锌、氯化锰、氯化钙和磷酸等）进行活化处理，然后制成的孔隙十分丰富的吸附剂，其孔径平均为（10～40）×10</w:t>
            </w:r>
            <w:r>
              <w:rPr>
                <w:color w:val="auto"/>
                <w:sz w:val="24"/>
                <w:vertAlign w:val="superscript"/>
              </w:rPr>
              <w:t>-8</w:t>
            </w:r>
            <w:r>
              <w:rPr>
                <w:color w:val="auto"/>
                <w:sz w:val="24"/>
              </w:rPr>
              <w:t>cm，比表面积一般在600～1500m</w:t>
            </w:r>
            <w:r>
              <w:rPr>
                <w:color w:val="auto"/>
                <w:sz w:val="24"/>
                <w:vertAlign w:val="superscript"/>
              </w:rPr>
              <w:t>2</w:t>
            </w:r>
            <w:r>
              <w:rPr>
                <w:color w:val="auto"/>
                <w:sz w:val="24"/>
              </w:rPr>
              <w:t>/g范围内，具有优良的吸附能力。当吸附载体吸附饱和时，应及时进行更换活性炭。</w:t>
            </w:r>
          </w:p>
          <w:p w14:paraId="46B21E9F">
            <w:pPr>
              <w:widowControl w:val="0"/>
              <w:tabs>
                <w:tab w:val="right" w:pos="9069"/>
              </w:tabs>
              <w:adjustRightInd w:val="0"/>
              <w:snapToGrid w:val="0"/>
              <w:spacing w:line="360" w:lineRule="auto"/>
              <w:ind w:firstLine="480" w:firstLineChars="200"/>
              <w:rPr>
                <w:color w:val="auto"/>
                <w:sz w:val="24"/>
              </w:rPr>
            </w:pPr>
            <w:r>
              <w:rPr>
                <w:color w:val="auto"/>
                <w:sz w:val="24"/>
              </w:rPr>
              <w:t>综上所述，本项目</w:t>
            </w:r>
            <w:r>
              <w:rPr>
                <w:rFonts w:hint="eastAsia"/>
                <w:color w:val="auto"/>
                <w:sz w:val="24"/>
              </w:rPr>
              <w:t>电泳漆涂装和烘干固化</w:t>
            </w:r>
            <w:r>
              <w:rPr>
                <w:color w:val="auto"/>
                <w:sz w:val="24"/>
              </w:rPr>
              <w:t>有机废气、臭气浓度经“</w:t>
            </w:r>
            <w:r>
              <w:rPr>
                <w:rFonts w:hint="eastAsia"/>
                <w:color w:val="auto"/>
                <w:sz w:val="24"/>
              </w:rPr>
              <w:t>水喷淋塔+除雾器+</w:t>
            </w:r>
            <w:r>
              <w:rPr>
                <w:color w:val="auto"/>
                <w:sz w:val="24"/>
              </w:rPr>
              <w:t>两级活性炭吸附装置”处理后通过20m高的排气筒排放，未能收集的有机废气、臭气浓度通过加强车间管理和通排风无组织排放。</w:t>
            </w:r>
            <w:r>
              <w:rPr>
                <w:rFonts w:hint="eastAsia"/>
                <w:color w:val="auto"/>
                <w:sz w:val="24"/>
                <w:lang w:val="en-US" w:eastAsia="zh-CN"/>
              </w:rPr>
              <w:t>TVOC</w:t>
            </w:r>
            <w:r>
              <w:rPr>
                <w:color w:val="auto"/>
                <w:sz w:val="24"/>
              </w:rPr>
              <w:t>有组织排放浓度可满足</w:t>
            </w:r>
            <w:r>
              <w:rPr>
                <w:rFonts w:hint="eastAsia"/>
                <w:color w:val="auto"/>
                <w:kern w:val="0"/>
                <w:sz w:val="24"/>
              </w:rPr>
              <w:t>广东省《固定污染源挥发性有机物综合排放标准》（DB44/2367-2022）表1挥发性有机物排放限值</w:t>
            </w:r>
            <w:r>
              <w:rPr>
                <w:rFonts w:hint="eastAsia"/>
                <w:color w:val="auto"/>
                <w:kern w:val="0"/>
                <w:sz w:val="24"/>
                <w:lang w:eastAsia="zh-CN"/>
              </w:rPr>
              <w:t>，</w:t>
            </w:r>
            <w:r>
              <w:rPr>
                <w:rFonts w:hint="eastAsia"/>
                <w:color w:val="auto"/>
                <w:kern w:val="0"/>
                <w:sz w:val="24"/>
                <w:lang w:val="en-US" w:eastAsia="zh-CN"/>
              </w:rPr>
              <w:t>非甲烷总烃有组织排放浓度可满足</w:t>
            </w:r>
            <w:r>
              <w:rPr>
                <w:rFonts w:hint="eastAsia"/>
                <w:color w:val="auto"/>
                <w:sz w:val="24"/>
              </w:rPr>
              <w:t>广东省《固定污染源挥发性有机物综合排放标准》（DB44/2367-2022）表1挥发性有机物排放限值</w:t>
            </w:r>
            <w:r>
              <w:rPr>
                <w:rFonts w:hint="eastAsia"/>
                <w:color w:val="auto"/>
                <w:sz w:val="24"/>
                <w:lang w:val="en-US" w:eastAsia="zh-CN"/>
              </w:rPr>
              <w:t>和</w:t>
            </w:r>
            <w:r>
              <w:rPr>
                <w:rFonts w:hint="default" w:ascii="Times New Roman" w:hAnsi="Times New Roman" w:eastAsia="宋体" w:cs="Times New Roman"/>
                <w:color w:val="auto"/>
                <w:sz w:val="24"/>
                <w:highlight w:val="none"/>
                <w:lang w:eastAsia="zh-CN"/>
              </w:rPr>
              <w:t>《合成树脂工业污染物排放标准》（GB31572-2015，含2024年修改单）</w:t>
            </w:r>
            <w:r>
              <w:rPr>
                <w:rFonts w:hint="default" w:ascii="Times New Roman" w:hAnsi="Times New Roman" w:cs="Times New Roman"/>
                <w:color w:val="auto"/>
                <w:sz w:val="24"/>
                <w:szCs w:val="24"/>
                <w:lang w:val="en-US" w:eastAsia="zh-CN"/>
              </w:rPr>
              <w:t>表4</w:t>
            </w:r>
            <w:r>
              <w:rPr>
                <w:rFonts w:hint="default" w:ascii="Times New Roman" w:hAnsi="Times New Roman" w:cs="Times New Roman"/>
                <w:color w:val="auto"/>
                <w:sz w:val="24"/>
                <w:szCs w:val="24"/>
                <w:lang w:val="en-US"/>
              </w:rPr>
              <w:t>大气污染物排放限值</w:t>
            </w:r>
            <w:r>
              <w:rPr>
                <w:rFonts w:hint="eastAsia" w:ascii="Times New Roman" w:hAnsi="Times New Roman" w:cs="Times New Roman"/>
                <w:color w:val="auto"/>
                <w:sz w:val="24"/>
                <w:szCs w:val="24"/>
                <w:lang w:val="en-US" w:eastAsia="zh-CN"/>
              </w:rPr>
              <w:t>较严值</w:t>
            </w:r>
            <w:r>
              <w:rPr>
                <w:color w:val="auto"/>
                <w:sz w:val="24"/>
              </w:rPr>
              <w:t>，厂内</w:t>
            </w:r>
            <w:r>
              <w:rPr>
                <w:rFonts w:hint="eastAsia"/>
                <w:color w:val="auto"/>
                <w:sz w:val="24"/>
              </w:rPr>
              <w:t>有机废气</w:t>
            </w:r>
            <w:r>
              <w:rPr>
                <w:color w:val="auto"/>
                <w:sz w:val="24"/>
              </w:rPr>
              <w:t>无组织排放符合广东省地方标准《固定污染源挥发性有机物综合排放标准》（DB44/2367-2022）表3厂区内VOCs无组织排放限值。臭气浓度有组织排放可满足《恶臭污染物排放标准》（GB14554-93）表2恶臭污染物排放标准值，厂界无组织排放可满足《恶臭污染物排放标准》（GB14554-93）表1恶臭污染物厂界标准值中二级新改扩建标准。</w:t>
            </w:r>
          </w:p>
          <w:p w14:paraId="3A4D8DAF">
            <w:pPr>
              <w:pStyle w:val="189"/>
              <w:spacing w:line="360" w:lineRule="auto"/>
              <w:ind w:firstLine="482"/>
              <w:rPr>
                <w:b/>
                <w:bCs/>
                <w:color w:val="auto"/>
                <w:sz w:val="24"/>
              </w:rPr>
            </w:pPr>
            <w:r>
              <w:rPr>
                <w:rFonts w:hint="eastAsia"/>
                <w:b/>
                <w:bCs/>
                <w:color w:val="auto"/>
                <w:sz w:val="24"/>
              </w:rPr>
              <w:t>4</w:t>
            </w:r>
            <w:r>
              <w:rPr>
                <w:b/>
                <w:bCs/>
                <w:color w:val="auto"/>
                <w:sz w:val="24"/>
              </w:rPr>
              <w:t>、废气污染物排放统计</w:t>
            </w:r>
          </w:p>
          <w:p w14:paraId="4C4136D5">
            <w:pPr>
              <w:pStyle w:val="189"/>
              <w:spacing w:line="360" w:lineRule="auto"/>
              <w:ind w:firstLine="480"/>
              <w:rPr>
                <w:color w:val="auto"/>
                <w:sz w:val="24"/>
              </w:rPr>
            </w:pPr>
            <w:r>
              <w:rPr>
                <w:color w:val="auto"/>
                <w:sz w:val="24"/>
              </w:rPr>
              <w:t>综合上述，废气污染物排放情况见下表。</w:t>
            </w:r>
          </w:p>
          <w:p w14:paraId="7CE1756C">
            <w:pPr>
              <w:pStyle w:val="192"/>
              <w:jc w:val="center"/>
              <w:rPr>
                <w:rFonts w:ascii="Times New Roman" w:hAnsi="Times New Roman" w:cs="Times New Roman"/>
                <w:color w:val="auto"/>
                <w:sz w:val="21"/>
                <w:szCs w:val="21"/>
              </w:rPr>
            </w:pPr>
            <w:r>
              <w:rPr>
                <w:rFonts w:ascii="Times New Roman" w:hAnsi="Times New Roman" w:cs="Times New Roman"/>
                <w:color w:val="auto"/>
                <w:sz w:val="21"/>
                <w:szCs w:val="21"/>
              </w:rPr>
              <w:t>表</w:t>
            </w:r>
            <w:r>
              <w:rPr>
                <w:rFonts w:ascii="Times New Roman" w:hAnsi="Times New Roman" w:cs="Times New Roman"/>
                <w:color w:val="auto"/>
                <w:sz w:val="21"/>
                <w:szCs w:val="21"/>
                <w:lang w:val="en-US" w:eastAsia="zh-CN"/>
              </w:rPr>
              <w:t>4-</w:t>
            </w:r>
            <w:r>
              <w:rPr>
                <w:rFonts w:hint="eastAsia" w:ascii="Times New Roman" w:hAnsi="Times New Roman" w:cs="Times New Roman"/>
                <w:color w:val="auto"/>
                <w:sz w:val="21"/>
                <w:szCs w:val="21"/>
                <w:lang w:val="en-US" w:eastAsia="zh-CN"/>
              </w:rPr>
              <w:t>6</w:t>
            </w:r>
            <w:r>
              <w:rPr>
                <w:rFonts w:ascii="Times New Roman" w:hAnsi="Times New Roman" w:cs="Times New Roman"/>
                <w:color w:val="auto"/>
                <w:sz w:val="21"/>
                <w:szCs w:val="21"/>
                <w:lang w:val="en-US" w:eastAsia="zh-CN"/>
              </w:rPr>
              <w:t xml:space="preserve"> </w:t>
            </w:r>
            <w:r>
              <w:rPr>
                <w:rFonts w:ascii="Times New Roman" w:hAnsi="Times New Roman" w:cs="Times New Roman"/>
                <w:color w:val="auto"/>
                <w:sz w:val="21"/>
                <w:szCs w:val="21"/>
                <w:lang w:val="en-US" w:eastAsia="zh-CN" w:bidi="en-US"/>
              </w:rPr>
              <w:t>本</w:t>
            </w:r>
            <w:r>
              <w:rPr>
                <w:rFonts w:hint="eastAsia" w:ascii="Times New Roman" w:hAnsi="Times New Roman" w:cs="Times New Roman"/>
                <w:color w:val="auto"/>
                <w:sz w:val="21"/>
                <w:szCs w:val="21"/>
                <w:lang w:val="en-US" w:eastAsia="zh-CN" w:bidi="en-US"/>
              </w:rPr>
              <w:t>改建</w:t>
            </w:r>
            <w:r>
              <w:rPr>
                <w:rFonts w:ascii="Times New Roman" w:hAnsi="Times New Roman" w:cs="Times New Roman"/>
                <w:color w:val="auto"/>
                <w:sz w:val="21"/>
                <w:szCs w:val="21"/>
              </w:rPr>
              <w:t>项目大气污染物有组织排放量核算表</w:t>
            </w:r>
          </w:p>
          <w:tbl>
            <w:tblPr>
              <w:tblStyle w:val="42"/>
              <w:tblW w:w="94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16"/>
              <w:gridCol w:w="693"/>
              <w:gridCol w:w="840"/>
              <w:gridCol w:w="1152"/>
              <w:gridCol w:w="747"/>
              <w:gridCol w:w="2901"/>
              <w:gridCol w:w="825"/>
              <w:gridCol w:w="735"/>
              <w:gridCol w:w="739"/>
            </w:tblGrid>
            <w:tr w14:paraId="10AD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6" w:type="dxa"/>
                  <w:tcBorders>
                    <w:tl2br w:val="nil"/>
                    <w:tr2bl w:val="nil"/>
                  </w:tcBorders>
                  <w:noWrap/>
                  <w:vAlign w:val="center"/>
                </w:tcPr>
                <w:p w14:paraId="7062AD96">
                  <w:pPr>
                    <w:spacing w:line="240" w:lineRule="auto"/>
                    <w:ind w:left="21" w:leftChars="10" w:right="21" w:rightChars="10"/>
                    <w:jc w:val="center"/>
                    <w:rPr>
                      <w:b/>
                      <w:bCs/>
                      <w:color w:val="auto"/>
                      <w:sz w:val="21"/>
                      <w:szCs w:val="21"/>
                    </w:rPr>
                  </w:pPr>
                  <w:r>
                    <w:rPr>
                      <w:b/>
                      <w:bCs/>
                      <w:color w:val="auto"/>
                      <w:sz w:val="21"/>
                      <w:szCs w:val="21"/>
                    </w:rPr>
                    <w:t>污染源</w:t>
                  </w:r>
                </w:p>
              </w:tc>
              <w:tc>
                <w:tcPr>
                  <w:tcW w:w="693" w:type="dxa"/>
                  <w:tcBorders>
                    <w:tl2br w:val="nil"/>
                    <w:tr2bl w:val="nil"/>
                  </w:tcBorders>
                  <w:noWrap/>
                  <w:vAlign w:val="center"/>
                </w:tcPr>
                <w:p w14:paraId="14AA4F5A">
                  <w:pPr>
                    <w:spacing w:line="240" w:lineRule="auto"/>
                    <w:ind w:left="21" w:leftChars="10" w:right="21" w:rightChars="10"/>
                    <w:jc w:val="center"/>
                    <w:rPr>
                      <w:b/>
                      <w:bCs/>
                      <w:color w:val="auto"/>
                      <w:sz w:val="21"/>
                      <w:szCs w:val="21"/>
                    </w:rPr>
                  </w:pPr>
                  <w:r>
                    <w:rPr>
                      <w:b/>
                      <w:bCs/>
                      <w:color w:val="auto"/>
                      <w:sz w:val="21"/>
                      <w:szCs w:val="21"/>
                    </w:rPr>
                    <w:t>污染物</w:t>
                  </w:r>
                </w:p>
              </w:tc>
              <w:tc>
                <w:tcPr>
                  <w:tcW w:w="840" w:type="dxa"/>
                  <w:tcBorders>
                    <w:tl2br w:val="nil"/>
                    <w:tr2bl w:val="nil"/>
                  </w:tcBorders>
                  <w:noWrap/>
                  <w:vAlign w:val="center"/>
                </w:tcPr>
                <w:p w14:paraId="64B2ECE9">
                  <w:pPr>
                    <w:spacing w:line="240" w:lineRule="auto"/>
                    <w:ind w:left="21" w:leftChars="10" w:right="21" w:rightChars="10"/>
                    <w:jc w:val="center"/>
                    <w:rPr>
                      <w:b/>
                      <w:bCs/>
                      <w:color w:val="auto"/>
                      <w:sz w:val="21"/>
                      <w:szCs w:val="21"/>
                    </w:rPr>
                  </w:pPr>
                  <w:r>
                    <w:rPr>
                      <w:b/>
                      <w:bCs/>
                      <w:color w:val="auto"/>
                      <w:sz w:val="21"/>
                      <w:szCs w:val="21"/>
                    </w:rPr>
                    <w:t>排放浓度</w:t>
                  </w:r>
                  <w:r>
                    <w:rPr>
                      <w:b/>
                      <w:bCs/>
                      <w:color w:val="auto"/>
                      <w:sz w:val="21"/>
                      <w:szCs w:val="21"/>
                      <w:lang w:eastAsia="en-US"/>
                    </w:rPr>
                    <w:t>mg/m</w:t>
                  </w:r>
                  <w:r>
                    <w:rPr>
                      <w:b/>
                      <w:bCs/>
                      <w:color w:val="auto"/>
                      <w:sz w:val="21"/>
                      <w:szCs w:val="21"/>
                      <w:vertAlign w:val="superscript"/>
                      <w:lang w:eastAsia="en-US"/>
                    </w:rPr>
                    <w:t>3</w:t>
                  </w:r>
                </w:p>
              </w:tc>
              <w:tc>
                <w:tcPr>
                  <w:tcW w:w="1152" w:type="dxa"/>
                  <w:tcBorders>
                    <w:tl2br w:val="nil"/>
                    <w:tr2bl w:val="nil"/>
                  </w:tcBorders>
                  <w:noWrap/>
                  <w:vAlign w:val="center"/>
                </w:tcPr>
                <w:p w14:paraId="3F378FD8">
                  <w:pPr>
                    <w:spacing w:line="240" w:lineRule="auto"/>
                    <w:ind w:left="21" w:leftChars="10" w:right="21" w:rightChars="10"/>
                    <w:jc w:val="center"/>
                    <w:rPr>
                      <w:b/>
                      <w:bCs/>
                      <w:color w:val="auto"/>
                      <w:sz w:val="21"/>
                      <w:szCs w:val="21"/>
                    </w:rPr>
                  </w:pPr>
                  <w:r>
                    <w:rPr>
                      <w:b/>
                      <w:bCs/>
                      <w:color w:val="auto"/>
                      <w:sz w:val="21"/>
                      <w:szCs w:val="21"/>
                    </w:rPr>
                    <w:t>排放速率</w:t>
                  </w:r>
                  <w:r>
                    <w:rPr>
                      <w:b/>
                      <w:bCs/>
                      <w:color w:val="auto"/>
                      <w:sz w:val="21"/>
                      <w:szCs w:val="21"/>
                      <w:lang w:eastAsia="en-US"/>
                    </w:rPr>
                    <w:t>kg/h</w:t>
                  </w:r>
                </w:p>
              </w:tc>
              <w:tc>
                <w:tcPr>
                  <w:tcW w:w="747" w:type="dxa"/>
                  <w:tcBorders>
                    <w:tl2br w:val="nil"/>
                    <w:tr2bl w:val="nil"/>
                  </w:tcBorders>
                  <w:noWrap/>
                  <w:vAlign w:val="center"/>
                </w:tcPr>
                <w:p w14:paraId="51962C35">
                  <w:pPr>
                    <w:spacing w:line="240" w:lineRule="auto"/>
                    <w:ind w:left="21" w:leftChars="10" w:right="21" w:rightChars="10"/>
                    <w:jc w:val="center"/>
                    <w:rPr>
                      <w:b/>
                      <w:bCs/>
                      <w:color w:val="auto"/>
                      <w:sz w:val="21"/>
                      <w:szCs w:val="21"/>
                    </w:rPr>
                  </w:pPr>
                  <w:r>
                    <w:rPr>
                      <w:b/>
                      <w:bCs/>
                      <w:color w:val="auto"/>
                      <w:sz w:val="21"/>
                      <w:szCs w:val="21"/>
                    </w:rPr>
                    <w:t>排放量</w:t>
                  </w:r>
                  <w:r>
                    <w:rPr>
                      <w:b/>
                      <w:bCs/>
                      <w:color w:val="auto"/>
                      <w:sz w:val="21"/>
                      <w:szCs w:val="21"/>
                      <w:lang w:eastAsia="en-US"/>
                    </w:rPr>
                    <w:t>t/a</w:t>
                  </w:r>
                </w:p>
              </w:tc>
              <w:tc>
                <w:tcPr>
                  <w:tcW w:w="2901" w:type="dxa"/>
                  <w:tcBorders>
                    <w:tl2br w:val="nil"/>
                    <w:tr2bl w:val="nil"/>
                  </w:tcBorders>
                  <w:noWrap/>
                  <w:vAlign w:val="center"/>
                </w:tcPr>
                <w:p w14:paraId="092AC5D3">
                  <w:pPr>
                    <w:spacing w:line="240" w:lineRule="auto"/>
                    <w:ind w:left="21" w:leftChars="10" w:right="21" w:rightChars="10"/>
                    <w:jc w:val="center"/>
                    <w:rPr>
                      <w:b/>
                      <w:bCs/>
                      <w:color w:val="auto"/>
                      <w:sz w:val="21"/>
                      <w:szCs w:val="21"/>
                    </w:rPr>
                  </w:pPr>
                  <w:r>
                    <w:rPr>
                      <w:b/>
                      <w:bCs/>
                      <w:color w:val="auto"/>
                      <w:sz w:val="21"/>
                      <w:szCs w:val="21"/>
                    </w:rPr>
                    <w:t>执行标准</w:t>
                  </w:r>
                </w:p>
              </w:tc>
              <w:tc>
                <w:tcPr>
                  <w:tcW w:w="825" w:type="dxa"/>
                  <w:tcBorders>
                    <w:tl2br w:val="nil"/>
                    <w:tr2bl w:val="nil"/>
                  </w:tcBorders>
                  <w:noWrap/>
                  <w:vAlign w:val="center"/>
                </w:tcPr>
                <w:p w14:paraId="48F3D797">
                  <w:pPr>
                    <w:spacing w:line="240" w:lineRule="auto"/>
                    <w:ind w:left="21" w:leftChars="10" w:right="21" w:rightChars="10"/>
                    <w:jc w:val="center"/>
                    <w:rPr>
                      <w:b/>
                      <w:bCs/>
                      <w:color w:val="auto"/>
                      <w:sz w:val="21"/>
                      <w:szCs w:val="21"/>
                    </w:rPr>
                  </w:pPr>
                  <w:r>
                    <w:rPr>
                      <w:b/>
                      <w:bCs/>
                      <w:color w:val="auto"/>
                      <w:sz w:val="21"/>
                      <w:szCs w:val="21"/>
                    </w:rPr>
                    <w:t>浓度限值</w:t>
                  </w:r>
                  <w:r>
                    <w:rPr>
                      <w:b/>
                      <w:bCs/>
                      <w:color w:val="auto"/>
                      <w:sz w:val="21"/>
                      <w:szCs w:val="21"/>
                      <w:lang w:eastAsia="en-US"/>
                    </w:rPr>
                    <w:t>mg/m</w:t>
                  </w:r>
                  <w:r>
                    <w:rPr>
                      <w:b/>
                      <w:bCs/>
                      <w:color w:val="auto"/>
                      <w:sz w:val="21"/>
                      <w:szCs w:val="21"/>
                      <w:vertAlign w:val="superscript"/>
                      <w:lang w:eastAsia="en-US"/>
                    </w:rPr>
                    <w:t>3</w:t>
                  </w:r>
                </w:p>
              </w:tc>
              <w:tc>
                <w:tcPr>
                  <w:tcW w:w="735" w:type="dxa"/>
                  <w:tcBorders>
                    <w:tl2br w:val="nil"/>
                    <w:tr2bl w:val="nil"/>
                  </w:tcBorders>
                  <w:noWrap/>
                  <w:vAlign w:val="center"/>
                </w:tcPr>
                <w:p w14:paraId="4DA28E93">
                  <w:pPr>
                    <w:spacing w:line="240" w:lineRule="auto"/>
                    <w:ind w:left="21" w:leftChars="10" w:right="21" w:rightChars="10"/>
                    <w:jc w:val="center"/>
                    <w:rPr>
                      <w:b/>
                      <w:bCs/>
                      <w:color w:val="auto"/>
                      <w:sz w:val="21"/>
                      <w:szCs w:val="21"/>
                    </w:rPr>
                  </w:pPr>
                  <w:r>
                    <w:rPr>
                      <w:b/>
                      <w:bCs/>
                      <w:color w:val="auto"/>
                      <w:sz w:val="21"/>
                      <w:szCs w:val="21"/>
                    </w:rPr>
                    <w:t>速率限值</w:t>
                  </w:r>
                  <w:r>
                    <w:rPr>
                      <w:b/>
                      <w:bCs/>
                      <w:color w:val="auto"/>
                      <w:sz w:val="21"/>
                      <w:szCs w:val="21"/>
                      <w:lang w:eastAsia="en-US"/>
                    </w:rPr>
                    <w:t>kg/h</w:t>
                  </w:r>
                </w:p>
              </w:tc>
              <w:tc>
                <w:tcPr>
                  <w:tcW w:w="739" w:type="dxa"/>
                  <w:tcBorders>
                    <w:tl2br w:val="nil"/>
                    <w:tr2bl w:val="nil"/>
                  </w:tcBorders>
                  <w:noWrap/>
                  <w:vAlign w:val="center"/>
                </w:tcPr>
                <w:p w14:paraId="70448B9F">
                  <w:pPr>
                    <w:spacing w:line="240" w:lineRule="auto"/>
                    <w:ind w:left="21" w:leftChars="10" w:right="21" w:rightChars="10"/>
                    <w:jc w:val="center"/>
                    <w:rPr>
                      <w:b/>
                      <w:bCs/>
                      <w:color w:val="auto"/>
                      <w:sz w:val="21"/>
                      <w:szCs w:val="21"/>
                    </w:rPr>
                  </w:pPr>
                  <w:r>
                    <w:rPr>
                      <w:b/>
                      <w:bCs/>
                      <w:color w:val="auto"/>
                      <w:sz w:val="21"/>
                      <w:szCs w:val="21"/>
                    </w:rPr>
                    <w:t>达标情况</w:t>
                  </w:r>
                </w:p>
              </w:tc>
            </w:tr>
            <w:tr w14:paraId="1D9C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6" w:type="dxa"/>
                  <w:vMerge w:val="restart"/>
                  <w:tcBorders>
                    <w:tl2br w:val="nil"/>
                    <w:tr2bl w:val="nil"/>
                  </w:tcBorders>
                  <w:noWrap/>
                  <w:vAlign w:val="center"/>
                </w:tcPr>
                <w:p w14:paraId="5FB174F6">
                  <w:pPr>
                    <w:spacing w:line="240" w:lineRule="auto"/>
                    <w:ind w:left="21" w:leftChars="10" w:right="21" w:rightChars="10"/>
                    <w:jc w:val="center"/>
                    <w:rPr>
                      <w:color w:val="auto"/>
                      <w:sz w:val="21"/>
                      <w:szCs w:val="21"/>
                    </w:rPr>
                  </w:pPr>
                  <w:r>
                    <w:rPr>
                      <w:color w:val="auto"/>
                      <w:sz w:val="21"/>
                      <w:szCs w:val="21"/>
                    </w:rPr>
                    <w:t>DA00</w:t>
                  </w:r>
                  <w:r>
                    <w:rPr>
                      <w:rFonts w:hint="eastAsia"/>
                      <w:color w:val="auto"/>
                      <w:sz w:val="21"/>
                      <w:szCs w:val="21"/>
                      <w:lang w:val="en-US" w:eastAsia="zh-CN"/>
                    </w:rPr>
                    <w:t>5</w:t>
                  </w:r>
                  <w:r>
                    <w:rPr>
                      <w:color w:val="auto"/>
                      <w:sz w:val="21"/>
                      <w:szCs w:val="21"/>
                    </w:rPr>
                    <w:t>排气筒（</w:t>
                  </w:r>
                  <w:r>
                    <w:rPr>
                      <w:rFonts w:hint="eastAsia"/>
                      <w:color w:val="auto"/>
                      <w:sz w:val="21"/>
                      <w:szCs w:val="21"/>
                    </w:rPr>
                    <w:t>电泳涂装和烘干固化</w:t>
                  </w:r>
                  <w:r>
                    <w:rPr>
                      <w:color w:val="auto"/>
                      <w:sz w:val="21"/>
                      <w:szCs w:val="21"/>
                    </w:rPr>
                    <w:t>）</w:t>
                  </w:r>
                </w:p>
              </w:tc>
              <w:tc>
                <w:tcPr>
                  <w:tcW w:w="693" w:type="dxa"/>
                  <w:tcBorders>
                    <w:tl2br w:val="nil"/>
                    <w:tr2bl w:val="nil"/>
                  </w:tcBorders>
                  <w:noWrap/>
                  <w:vAlign w:val="center"/>
                </w:tcPr>
                <w:p w14:paraId="35E0F6B5">
                  <w:pPr>
                    <w:spacing w:line="240" w:lineRule="auto"/>
                    <w:ind w:left="21" w:leftChars="10" w:right="21" w:rightChars="10"/>
                    <w:jc w:val="center"/>
                    <w:rPr>
                      <w:color w:val="auto"/>
                      <w:sz w:val="21"/>
                      <w:szCs w:val="21"/>
                    </w:rPr>
                  </w:pPr>
                  <w:r>
                    <w:rPr>
                      <w:color w:val="auto"/>
                      <w:sz w:val="21"/>
                      <w:szCs w:val="21"/>
                    </w:rPr>
                    <w:t>非甲烷总烃</w:t>
                  </w:r>
                </w:p>
              </w:tc>
              <w:tc>
                <w:tcPr>
                  <w:tcW w:w="840" w:type="dxa"/>
                  <w:vMerge w:val="restart"/>
                  <w:tcBorders>
                    <w:tl2br w:val="nil"/>
                    <w:tr2bl w:val="nil"/>
                  </w:tcBorders>
                  <w:noWrap/>
                  <w:vAlign w:val="center"/>
                </w:tcPr>
                <w:p w14:paraId="12654277">
                  <w:pPr>
                    <w:jc w:val="center"/>
                    <w:textAlignment w:val="center"/>
                    <w:rPr>
                      <w:rFonts w:hint="default"/>
                      <w:color w:val="auto"/>
                      <w:sz w:val="21"/>
                      <w:szCs w:val="21"/>
                      <w:lang w:val="en-US"/>
                    </w:rPr>
                  </w:pPr>
                  <w:r>
                    <w:rPr>
                      <w:rFonts w:hint="eastAsia"/>
                      <w:color w:val="auto"/>
                      <w:kern w:val="0"/>
                      <w:sz w:val="21"/>
                      <w:szCs w:val="21"/>
                      <w:lang w:val="en-US" w:eastAsia="zh-CN" w:bidi="ar"/>
                    </w:rPr>
                    <w:t>12.67</w:t>
                  </w:r>
                </w:p>
              </w:tc>
              <w:tc>
                <w:tcPr>
                  <w:tcW w:w="1152" w:type="dxa"/>
                  <w:vMerge w:val="restart"/>
                  <w:tcBorders>
                    <w:tl2br w:val="nil"/>
                    <w:tr2bl w:val="nil"/>
                  </w:tcBorders>
                  <w:noWrap/>
                  <w:vAlign w:val="center"/>
                </w:tcPr>
                <w:p w14:paraId="51B3985C">
                  <w:pPr>
                    <w:jc w:val="center"/>
                    <w:textAlignment w:val="center"/>
                    <w:rPr>
                      <w:rFonts w:hint="default" w:eastAsia="宋体"/>
                      <w:color w:val="auto"/>
                      <w:sz w:val="21"/>
                      <w:szCs w:val="21"/>
                      <w:lang w:val="en-US" w:eastAsia="zh-CN"/>
                    </w:rPr>
                  </w:pPr>
                  <w:r>
                    <w:rPr>
                      <w:rFonts w:hint="eastAsia"/>
                      <w:color w:val="auto"/>
                      <w:kern w:val="0"/>
                      <w:sz w:val="21"/>
                      <w:szCs w:val="21"/>
                      <w:lang w:val="en-US" w:eastAsia="zh-CN" w:bidi="ar"/>
                    </w:rPr>
                    <w:t>0.0507</w:t>
                  </w:r>
                </w:p>
              </w:tc>
              <w:tc>
                <w:tcPr>
                  <w:tcW w:w="747" w:type="dxa"/>
                  <w:vMerge w:val="restart"/>
                  <w:tcBorders>
                    <w:tl2br w:val="nil"/>
                    <w:tr2bl w:val="nil"/>
                  </w:tcBorders>
                  <w:noWrap/>
                  <w:vAlign w:val="center"/>
                </w:tcPr>
                <w:p w14:paraId="71E8E60C">
                  <w:pPr>
                    <w:jc w:val="center"/>
                    <w:textAlignment w:val="center"/>
                    <w:rPr>
                      <w:color w:val="auto"/>
                      <w:sz w:val="21"/>
                      <w:szCs w:val="21"/>
                    </w:rPr>
                  </w:pPr>
                  <w:r>
                    <w:rPr>
                      <w:color w:val="auto"/>
                      <w:kern w:val="0"/>
                      <w:sz w:val="21"/>
                      <w:szCs w:val="21"/>
                      <w:lang w:bidi="ar"/>
                    </w:rPr>
                    <w:t xml:space="preserve">0.1216 </w:t>
                  </w:r>
                </w:p>
              </w:tc>
              <w:tc>
                <w:tcPr>
                  <w:tcW w:w="2901" w:type="dxa"/>
                  <w:tcBorders>
                    <w:tl2br w:val="nil"/>
                    <w:tr2bl w:val="nil"/>
                  </w:tcBorders>
                  <w:noWrap/>
                  <w:vAlign w:val="center"/>
                </w:tcPr>
                <w:p w14:paraId="0ECE5864">
                  <w:pPr>
                    <w:spacing w:line="240" w:lineRule="auto"/>
                    <w:ind w:left="21" w:leftChars="10" w:right="21" w:rightChars="10"/>
                    <w:jc w:val="center"/>
                    <w:rPr>
                      <w:color w:val="auto"/>
                      <w:sz w:val="21"/>
                      <w:szCs w:val="21"/>
                    </w:rPr>
                  </w:pPr>
                  <w:r>
                    <w:rPr>
                      <w:rFonts w:hint="eastAsia"/>
                      <w:color w:val="auto"/>
                      <w:sz w:val="21"/>
                      <w:szCs w:val="21"/>
                    </w:rPr>
                    <w:t>广东省《固定污染源挥发性有机物综合排放标准》（DB44/2367-2022）表1挥发性有机物排放限值</w:t>
                  </w:r>
                  <w:r>
                    <w:rPr>
                      <w:rFonts w:hint="eastAsia"/>
                      <w:color w:val="auto"/>
                      <w:sz w:val="21"/>
                      <w:szCs w:val="21"/>
                      <w:lang w:val="en-US" w:eastAsia="zh-CN"/>
                    </w:rPr>
                    <w:t>和</w:t>
                  </w:r>
                  <w:r>
                    <w:rPr>
                      <w:rFonts w:hint="default" w:ascii="Times New Roman" w:hAnsi="Times New Roman" w:eastAsia="宋体" w:cs="Times New Roman"/>
                      <w:color w:val="auto"/>
                      <w:sz w:val="21"/>
                      <w:szCs w:val="21"/>
                      <w:highlight w:val="none"/>
                      <w:lang w:eastAsia="zh-CN"/>
                    </w:rPr>
                    <w:t>《合成树脂工业污染物排放标准》（GB31572-2015，含2024年修改单）</w:t>
                  </w:r>
                  <w:r>
                    <w:rPr>
                      <w:rFonts w:hint="default" w:ascii="Times New Roman" w:hAnsi="Times New Roman" w:cs="Times New Roman"/>
                      <w:color w:val="auto"/>
                      <w:sz w:val="21"/>
                      <w:szCs w:val="21"/>
                      <w:lang w:val="en-US" w:eastAsia="zh-CN"/>
                    </w:rPr>
                    <w:t>表4</w:t>
                  </w:r>
                  <w:r>
                    <w:rPr>
                      <w:rFonts w:hint="default" w:ascii="Times New Roman" w:hAnsi="Times New Roman" w:cs="Times New Roman"/>
                      <w:color w:val="auto"/>
                      <w:sz w:val="21"/>
                      <w:szCs w:val="21"/>
                      <w:lang w:val="en-US"/>
                    </w:rPr>
                    <w:t>大气污染物排放限值</w:t>
                  </w:r>
                  <w:r>
                    <w:rPr>
                      <w:rFonts w:hint="eastAsia" w:ascii="Times New Roman" w:hAnsi="Times New Roman" w:cs="Times New Roman"/>
                      <w:color w:val="auto"/>
                      <w:sz w:val="21"/>
                      <w:szCs w:val="21"/>
                      <w:lang w:val="en-US" w:eastAsia="zh-CN"/>
                    </w:rPr>
                    <w:t>较严值</w:t>
                  </w:r>
                </w:p>
              </w:tc>
              <w:tc>
                <w:tcPr>
                  <w:tcW w:w="825" w:type="dxa"/>
                  <w:tcBorders>
                    <w:tl2br w:val="nil"/>
                    <w:tr2bl w:val="nil"/>
                  </w:tcBorders>
                  <w:noWrap/>
                  <w:vAlign w:val="center"/>
                </w:tcPr>
                <w:p w14:paraId="1D21BBE3">
                  <w:pPr>
                    <w:spacing w:line="240" w:lineRule="auto"/>
                    <w:ind w:left="21" w:leftChars="10" w:right="21" w:rightChars="10"/>
                    <w:jc w:val="center"/>
                    <w:rPr>
                      <w:color w:val="auto"/>
                      <w:sz w:val="21"/>
                      <w:szCs w:val="21"/>
                    </w:rPr>
                  </w:pPr>
                  <w:r>
                    <w:rPr>
                      <w:rFonts w:hint="eastAsia"/>
                      <w:color w:val="auto"/>
                      <w:sz w:val="21"/>
                      <w:szCs w:val="21"/>
                    </w:rPr>
                    <w:t>8</w:t>
                  </w:r>
                  <w:r>
                    <w:rPr>
                      <w:color w:val="auto"/>
                      <w:sz w:val="21"/>
                      <w:szCs w:val="21"/>
                    </w:rPr>
                    <w:t>0</w:t>
                  </w:r>
                </w:p>
              </w:tc>
              <w:tc>
                <w:tcPr>
                  <w:tcW w:w="735" w:type="dxa"/>
                  <w:tcBorders>
                    <w:tl2br w:val="nil"/>
                    <w:tr2bl w:val="nil"/>
                  </w:tcBorders>
                  <w:noWrap/>
                  <w:vAlign w:val="center"/>
                </w:tcPr>
                <w:p w14:paraId="3231B8DA">
                  <w:pPr>
                    <w:spacing w:line="240" w:lineRule="auto"/>
                    <w:ind w:left="21" w:leftChars="10" w:right="21" w:rightChars="10"/>
                    <w:jc w:val="center"/>
                    <w:rPr>
                      <w:color w:val="auto"/>
                      <w:sz w:val="21"/>
                      <w:szCs w:val="21"/>
                    </w:rPr>
                  </w:pPr>
                  <w:r>
                    <w:rPr>
                      <w:color w:val="auto"/>
                      <w:sz w:val="21"/>
                      <w:szCs w:val="21"/>
                    </w:rPr>
                    <w:t>/</w:t>
                  </w:r>
                </w:p>
              </w:tc>
              <w:tc>
                <w:tcPr>
                  <w:tcW w:w="739" w:type="dxa"/>
                  <w:tcBorders>
                    <w:tl2br w:val="nil"/>
                    <w:tr2bl w:val="nil"/>
                  </w:tcBorders>
                  <w:noWrap/>
                  <w:vAlign w:val="center"/>
                </w:tcPr>
                <w:p w14:paraId="388D3E51">
                  <w:pPr>
                    <w:spacing w:line="240" w:lineRule="auto"/>
                    <w:ind w:left="21" w:leftChars="10" w:right="21" w:rightChars="10"/>
                    <w:jc w:val="center"/>
                    <w:rPr>
                      <w:color w:val="auto"/>
                      <w:sz w:val="21"/>
                      <w:szCs w:val="21"/>
                    </w:rPr>
                  </w:pPr>
                  <w:r>
                    <w:rPr>
                      <w:color w:val="auto"/>
                      <w:sz w:val="21"/>
                      <w:szCs w:val="21"/>
                    </w:rPr>
                    <w:t>达标</w:t>
                  </w:r>
                </w:p>
              </w:tc>
            </w:tr>
            <w:tr w14:paraId="6600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6" w:type="dxa"/>
                  <w:vMerge w:val="continue"/>
                  <w:tcBorders>
                    <w:tl2br w:val="nil"/>
                    <w:tr2bl w:val="nil"/>
                  </w:tcBorders>
                  <w:noWrap/>
                  <w:vAlign w:val="center"/>
                </w:tcPr>
                <w:p w14:paraId="1473A6C5">
                  <w:pPr>
                    <w:spacing w:line="240" w:lineRule="auto"/>
                    <w:ind w:left="21" w:leftChars="10" w:right="21" w:rightChars="10"/>
                    <w:jc w:val="center"/>
                    <w:rPr>
                      <w:color w:val="auto"/>
                      <w:sz w:val="21"/>
                      <w:szCs w:val="21"/>
                    </w:rPr>
                  </w:pPr>
                </w:p>
              </w:tc>
              <w:tc>
                <w:tcPr>
                  <w:tcW w:w="693" w:type="dxa"/>
                  <w:tcBorders>
                    <w:tl2br w:val="nil"/>
                    <w:tr2bl w:val="nil"/>
                  </w:tcBorders>
                  <w:noWrap/>
                  <w:vAlign w:val="center"/>
                </w:tcPr>
                <w:p w14:paraId="33D1A1A5">
                  <w:pPr>
                    <w:spacing w:line="240" w:lineRule="auto"/>
                    <w:ind w:left="21" w:leftChars="10" w:right="21" w:rightChars="10"/>
                    <w:jc w:val="center"/>
                    <w:rPr>
                      <w:color w:val="auto"/>
                      <w:sz w:val="21"/>
                      <w:szCs w:val="21"/>
                    </w:rPr>
                  </w:pPr>
                  <w:r>
                    <w:rPr>
                      <w:rFonts w:hint="eastAsia"/>
                      <w:color w:val="auto"/>
                      <w:sz w:val="21"/>
                      <w:szCs w:val="21"/>
                    </w:rPr>
                    <w:t>TVOC</w:t>
                  </w:r>
                </w:p>
              </w:tc>
              <w:tc>
                <w:tcPr>
                  <w:tcW w:w="840" w:type="dxa"/>
                  <w:vMerge w:val="continue"/>
                  <w:tcBorders>
                    <w:tl2br w:val="nil"/>
                    <w:tr2bl w:val="nil"/>
                  </w:tcBorders>
                  <w:noWrap/>
                  <w:vAlign w:val="center"/>
                </w:tcPr>
                <w:p w14:paraId="0C32F4C3">
                  <w:pPr>
                    <w:jc w:val="center"/>
                    <w:textAlignment w:val="center"/>
                    <w:rPr>
                      <w:color w:val="auto"/>
                      <w:kern w:val="0"/>
                      <w:sz w:val="21"/>
                      <w:szCs w:val="21"/>
                      <w:lang w:bidi="ar"/>
                    </w:rPr>
                  </w:pPr>
                </w:p>
              </w:tc>
              <w:tc>
                <w:tcPr>
                  <w:tcW w:w="1152" w:type="dxa"/>
                  <w:vMerge w:val="continue"/>
                  <w:tcBorders>
                    <w:tl2br w:val="nil"/>
                    <w:tr2bl w:val="nil"/>
                  </w:tcBorders>
                  <w:noWrap/>
                  <w:vAlign w:val="center"/>
                </w:tcPr>
                <w:p w14:paraId="19E48AB3">
                  <w:pPr>
                    <w:jc w:val="center"/>
                    <w:textAlignment w:val="center"/>
                    <w:rPr>
                      <w:color w:val="auto"/>
                      <w:kern w:val="0"/>
                      <w:sz w:val="21"/>
                      <w:szCs w:val="21"/>
                      <w:lang w:bidi="ar"/>
                    </w:rPr>
                  </w:pPr>
                </w:p>
              </w:tc>
              <w:tc>
                <w:tcPr>
                  <w:tcW w:w="747" w:type="dxa"/>
                  <w:vMerge w:val="continue"/>
                  <w:tcBorders>
                    <w:tl2br w:val="nil"/>
                    <w:tr2bl w:val="nil"/>
                  </w:tcBorders>
                  <w:noWrap/>
                  <w:vAlign w:val="center"/>
                </w:tcPr>
                <w:p w14:paraId="6FA9AECB">
                  <w:pPr>
                    <w:jc w:val="center"/>
                    <w:textAlignment w:val="center"/>
                    <w:rPr>
                      <w:color w:val="auto"/>
                      <w:kern w:val="0"/>
                      <w:sz w:val="21"/>
                      <w:szCs w:val="21"/>
                      <w:lang w:bidi="ar"/>
                    </w:rPr>
                  </w:pPr>
                </w:p>
              </w:tc>
              <w:tc>
                <w:tcPr>
                  <w:tcW w:w="2901" w:type="dxa"/>
                  <w:tcBorders>
                    <w:tl2br w:val="nil"/>
                    <w:tr2bl w:val="nil"/>
                  </w:tcBorders>
                  <w:noWrap/>
                  <w:vAlign w:val="center"/>
                </w:tcPr>
                <w:p w14:paraId="5BA3A3AC">
                  <w:pPr>
                    <w:spacing w:line="240" w:lineRule="auto"/>
                    <w:ind w:left="21" w:leftChars="10" w:right="21" w:rightChars="10"/>
                    <w:jc w:val="center"/>
                    <w:rPr>
                      <w:color w:val="auto"/>
                      <w:sz w:val="21"/>
                      <w:szCs w:val="21"/>
                    </w:rPr>
                  </w:pPr>
                  <w:r>
                    <w:rPr>
                      <w:rFonts w:hint="eastAsia"/>
                      <w:color w:val="auto"/>
                      <w:kern w:val="0"/>
                      <w:sz w:val="21"/>
                      <w:szCs w:val="21"/>
                    </w:rPr>
                    <w:t>广东省《固定污染源挥发性有机物综合排放标准》（DB44/2367-2022）表1挥发性有机物排放限值</w:t>
                  </w:r>
                </w:p>
              </w:tc>
              <w:tc>
                <w:tcPr>
                  <w:tcW w:w="825" w:type="dxa"/>
                  <w:tcBorders>
                    <w:tl2br w:val="nil"/>
                    <w:tr2bl w:val="nil"/>
                  </w:tcBorders>
                  <w:noWrap/>
                  <w:vAlign w:val="center"/>
                </w:tcPr>
                <w:p w14:paraId="2FCAD620">
                  <w:pPr>
                    <w:spacing w:line="240" w:lineRule="auto"/>
                    <w:ind w:left="21" w:leftChars="10" w:right="21" w:rightChars="10"/>
                    <w:jc w:val="center"/>
                    <w:rPr>
                      <w:color w:val="auto"/>
                      <w:sz w:val="21"/>
                      <w:szCs w:val="21"/>
                    </w:rPr>
                  </w:pPr>
                  <w:r>
                    <w:rPr>
                      <w:rFonts w:hint="eastAsia"/>
                      <w:color w:val="auto"/>
                      <w:sz w:val="21"/>
                      <w:szCs w:val="21"/>
                    </w:rPr>
                    <w:t>100</w:t>
                  </w:r>
                </w:p>
              </w:tc>
              <w:tc>
                <w:tcPr>
                  <w:tcW w:w="735" w:type="dxa"/>
                  <w:tcBorders>
                    <w:tl2br w:val="nil"/>
                    <w:tr2bl w:val="nil"/>
                  </w:tcBorders>
                  <w:noWrap/>
                  <w:vAlign w:val="center"/>
                </w:tcPr>
                <w:p w14:paraId="13855EE5">
                  <w:pPr>
                    <w:spacing w:line="240" w:lineRule="auto"/>
                    <w:ind w:left="21" w:leftChars="10" w:right="21" w:rightChars="10"/>
                    <w:jc w:val="center"/>
                    <w:rPr>
                      <w:color w:val="auto"/>
                      <w:sz w:val="21"/>
                      <w:szCs w:val="21"/>
                    </w:rPr>
                  </w:pPr>
                  <w:r>
                    <w:rPr>
                      <w:rFonts w:hint="eastAsia"/>
                      <w:color w:val="auto"/>
                      <w:sz w:val="21"/>
                      <w:szCs w:val="21"/>
                    </w:rPr>
                    <w:t>/</w:t>
                  </w:r>
                </w:p>
              </w:tc>
              <w:tc>
                <w:tcPr>
                  <w:tcW w:w="739" w:type="dxa"/>
                  <w:tcBorders>
                    <w:tl2br w:val="nil"/>
                    <w:tr2bl w:val="nil"/>
                  </w:tcBorders>
                  <w:noWrap/>
                  <w:vAlign w:val="center"/>
                </w:tcPr>
                <w:p w14:paraId="7E9645CA">
                  <w:pPr>
                    <w:spacing w:line="240" w:lineRule="auto"/>
                    <w:ind w:left="21" w:leftChars="10" w:right="21" w:rightChars="10"/>
                    <w:jc w:val="center"/>
                    <w:rPr>
                      <w:rFonts w:hint="eastAsia"/>
                      <w:color w:val="auto"/>
                      <w:sz w:val="21"/>
                      <w:szCs w:val="21"/>
                    </w:rPr>
                  </w:pPr>
                  <w:r>
                    <w:rPr>
                      <w:rFonts w:hint="eastAsia"/>
                      <w:color w:val="auto"/>
                      <w:sz w:val="21"/>
                      <w:szCs w:val="21"/>
                    </w:rPr>
                    <w:t>达标</w:t>
                  </w:r>
                </w:p>
              </w:tc>
            </w:tr>
            <w:tr w14:paraId="6F5F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6" w:type="dxa"/>
                  <w:vMerge w:val="continue"/>
                  <w:tcBorders>
                    <w:tl2br w:val="nil"/>
                    <w:tr2bl w:val="nil"/>
                  </w:tcBorders>
                  <w:noWrap/>
                  <w:vAlign w:val="center"/>
                </w:tcPr>
                <w:p w14:paraId="3363088F">
                  <w:pPr>
                    <w:spacing w:line="240" w:lineRule="auto"/>
                    <w:ind w:left="21" w:leftChars="10" w:right="21" w:rightChars="10"/>
                    <w:jc w:val="center"/>
                    <w:rPr>
                      <w:color w:val="auto"/>
                      <w:sz w:val="21"/>
                      <w:szCs w:val="21"/>
                    </w:rPr>
                  </w:pPr>
                </w:p>
              </w:tc>
              <w:tc>
                <w:tcPr>
                  <w:tcW w:w="693" w:type="dxa"/>
                  <w:tcBorders>
                    <w:tl2br w:val="nil"/>
                    <w:tr2bl w:val="nil"/>
                  </w:tcBorders>
                  <w:noWrap/>
                  <w:vAlign w:val="center"/>
                </w:tcPr>
                <w:p w14:paraId="794C1257">
                  <w:pPr>
                    <w:spacing w:line="240" w:lineRule="auto"/>
                    <w:ind w:left="21" w:leftChars="10" w:right="21" w:rightChars="10"/>
                    <w:jc w:val="center"/>
                    <w:rPr>
                      <w:color w:val="auto"/>
                      <w:sz w:val="21"/>
                      <w:szCs w:val="21"/>
                    </w:rPr>
                  </w:pPr>
                  <w:r>
                    <w:rPr>
                      <w:color w:val="auto"/>
                      <w:sz w:val="21"/>
                      <w:szCs w:val="21"/>
                    </w:rPr>
                    <w:t>臭气浓度</w:t>
                  </w:r>
                </w:p>
              </w:tc>
              <w:tc>
                <w:tcPr>
                  <w:tcW w:w="840" w:type="dxa"/>
                  <w:tcBorders>
                    <w:tl2br w:val="nil"/>
                    <w:tr2bl w:val="nil"/>
                  </w:tcBorders>
                  <w:noWrap/>
                  <w:vAlign w:val="center"/>
                </w:tcPr>
                <w:p w14:paraId="76687CE0">
                  <w:pPr>
                    <w:jc w:val="center"/>
                    <w:textAlignment w:val="center"/>
                    <w:rPr>
                      <w:color w:val="auto"/>
                      <w:kern w:val="0"/>
                      <w:sz w:val="21"/>
                      <w:szCs w:val="21"/>
                      <w:lang w:bidi="ar"/>
                    </w:rPr>
                  </w:pPr>
                  <w:r>
                    <w:rPr>
                      <w:color w:val="auto"/>
                      <w:kern w:val="0"/>
                      <w:sz w:val="21"/>
                      <w:szCs w:val="21"/>
                      <w:lang w:bidi="ar"/>
                    </w:rPr>
                    <w:t>/</w:t>
                  </w:r>
                </w:p>
              </w:tc>
              <w:tc>
                <w:tcPr>
                  <w:tcW w:w="1152" w:type="dxa"/>
                  <w:tcBorders>
                    <w:tl2br w:val="nil"/>
                    <w:tr2bl w:val="nil"/>
                  </w:tcBorders>
                  <w:noWrap/>
                  <w:vAlign w:val="center"/>
                </w:tcPr>
                <w:p w14:paraId="218BA586">
                  <w:pPr>
                    <w:jc w:val="center"/>
                    <w:textAlignment w:val="center"/>
                    <w:rPr>
                      <w:color w:val="auto"/>
                      <w:kern w:val="0"/>
                      <w:sz w:val="21"/>
                      <w:szCs w:val="21"/>
                      <w:lang w:bidi="ar"/>
                    </w:rPr>
                  </w:pPr>
                  <w:r>
                    <w:rPr>
                      <w:color w:val="auto"/>
                      <w:kern w:val="0"/>
                      <w:sz w:val="21"/>
                      <w:szCs w:val="21"/>
                      <w:lang w:bidi="ar"/>
                    </w:rPr>
                    <w:t>/</w:t>
                  </w:r>
                </w:p>
              </w:tc>
              <w:tc>
                <w:tcPr>
                  <w:tcW w:w="747" w:type="dxa"/>
                  <w:tcBorders>
                    <w:tl2br w:val="nil"/>
                    <w:tr2bl w:val="nil"/>
                  </w:tcBorders>
                  <w:noWrap/>
                  <w:vAlign w:val="center"/>
                </w:tcPr>
                <w:p w14:paraId="0559BACF">
                  <w:pPr>
                    <w:jc w:val="center"/>
                    <w:textAlignment w:val="center"/>
                    <w:rPr>
                      <w:color w:val="auto"/>
                      <w:kern w:val="0"/>
                      <w:sz w:val="21"/>
                      <w:szCs w:val="21"/>
                      <w:lang w:bidi="ar"/>
                    </w:rPr>
                  </w:pPr>
                  <w:r>
                    <w:rPr>
                      <w:color w:val="auto"/>
                      <w:kern w:val="0"/>
                      <w:sz w:val="21"/>
                      <w:szCs w:val="21"/>
                      <w:lang w:bidi="ar"/>
                    </w:rPr>
                    <w:t>/</w:t>
                  </w:r>
                </w:p>
              </w:tc>
              <w:tc>
                <w:tcPr>
                  <w:tcW w:w="2901" w:type="dxa"/>
                  <w:tcBorders>
                    <w:tl2br w:val="nil"/>
                    <w:tr2bl w:val="nil"/>
                  </w:tcBorders>
                  <w:noWrap/>
                  <w:vAlign w:val="center"/>
                </w:tcPr>
                <w:p w14:paraId="5E60425B">
                  <w:pPr>
                    <w:spacing w:line="240" w:lineRule="auto"/>
                    <w:ind w:left="21" w:leftChars="10" w:right="21" w:rightChars="10"/>
                    <w:jc w:val="center"/>
                    <w:rPr>
                      <w:color w:val="auto"/>
                      <w:sz w:val="21"/>
                      <w:szCs w:val="21"/>
                    </w:rPr>
                  </w:pPr>
                  <w:r>
                    <w:rPr>
                      <w:color w:val="auto"/>
                      <w:kern w:val="0"/>
                      <w:sz w:val="21"/>
                      <w:szCs w:val="21"/>
                    </w:rPr>
                    <w:t>《恶臭污染物排放标准》（GB14554-93）表2恶臭污染物排放标准值</w:t>
                  </w:r>
                </w:p>
              </w:tc>
              <w:tc>
                <w:tcPr>
                  <w:tcW w:w="825" w:type="dxa"/>
                  <w:tcBorders>
                    <w:tl2br w:val="nil"/>
                    <w:tr2bl w:val="nil"/>
                  </w:tcBorders>
                  <w:noWrap/>
                  <w:vAlign w:val="center"/>
                </w:tcPr>
                <w:p w14:paraId="2DDE8EE0">
                  <w:pPr>
                    <w:spacing w:line="240" w:lineRule="auto"/>
                    <w:ind w:left="21" w:leftChars="10" w:right="21" w:rightChars="10"/>
                    <w:jc w:val="center"/>
                    <w:rPr>
                      <w:color w:val="auto"/>
                      <w:sz w:val="21"/>
                      <w:szCs w:val="21"/>
                    </w:rPr>
                  </w:pPr>
                  <w:r>
                    <w:rPr>
                      <w:color w:val="auto"/>
                      <w:sz w:val="21"/>
                      <w:szCs w:val="21"/>
                    </w:rPr>
                    <w:t>2000（无量纲）</w:t>
                  </w:r>
                </w:p>
              </w:tc>
              <w:tc>
                <w:tcPr>
                  <w:tcW w:w="735" w:type="dxa"/>
                  <w:tcBorders>
                    <w:tl2br w:val="nil"/>
                    <w:tr2bl w:val="nil"/>
                  </w:tcBorders>
                  <w:noWrap/>
                  <w:vAlign w:val="center"/>
                </w:tcPr>
                <w:p w14:paraId="4E1BFDD7">
                  <w:pPr>
                    <w:spacing w:line="240" w:lineRule="auto"/>
                    <w:ind w:left="21" w:leftChars="10" w:right="21" w:rightChars="10"/>
                    <w:jc w:val="center"/>
                    <w:rPr>
                      <w:color w:val="auto"/>
                      <w:sz w:val="21"/>
                      <w:szCs w:val="21"/>
                    </w:rPr>
                  </w:pPr>
                  <w:r>
                    <w:rPr>
                      <w:color w:val="auto"/>
                      <w:sz w:val="21"/>
                      <w:szCs w:val="21"/>
                    </w:rPr>
                    <w:t>/</w:t>
                  </w:r>
                </w:p>
              </w:tc>
              <w:tc>
                <w:tcPr>
                  <w:tcW w:w="739" w:type="dxa"/>
                  <w:tcBorders>
                    <w:tl2br w:val="nil"/>
                    <w:tr2bl w:val="nil"/>
                  </w:tcBorders>
                  <w:noWrap/>
                  <w:vAlign w:val="center"/>
                </w:tcPr>
                <w:p w14:paraId="22E61279">
                  <w:pPr>
                    <w:spacing w:line="240" w:lineRule="auto"/>
                    <w:ind w:left="21" w:leftChars="10" w:right="21" w:rightChars="10"/>
                    <w:jc w:val="center"/>
                    <w:rPr>
                      <w:color w:val="auto"/>
                      <w:sz w:val="21"/>
                      <w:szCs w:val="21"/>
                    </w:rPr>
                  </w:pPr>
                  <w:r>
                    <w:rPr>
                      <w:color w:val="auto"/>
                      <w:sz w:val="21"/>
                      <w:szCs w:val="21"/>
                    </w:rPr>
                    <w:t>达标</w:t>
                  </w:r>
                </w:p>
              </w:tc>
            </w:tr>
            <w:tr w14:paraId="1BFD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1509" w:type="dxa"/>
                  <w:gridSpan w:val="2"/>
                  <w:vMerge w:val="restart"/>
                  <w:tcBorders>
                    <w:tl2br w:val="nil"/>
                    <w:tr2bl w:val="nil"/>
                  </w:tcBorders>
                  <w:noWrap/>
                  <w:vAlign w:val="center"/>
                </w:tcPr>
                <w:p w14:paraId="3D97208D">
                  <w:pPr>
                    <w:spacing w:line="240" w:lineRule="auto"/>
                    <w:ind w:left="21" w:leftChars="10" w:right="21" w:rightChars="10"/>
                    <w:jc w:val="center"/>
                    <w:rPr>
                      <w:color w:val="auto"/>
                      <w:sz w:val="21"/>
                      <w:szCs w:val="21"/>
                      <w:lang w:val="zh-CN"/>
                    </w:rPr>
                  </w:pPr>
                  <w:r>
                    <w:rPr>
                      <w:color w:val="auto"/>
                      <w:sz w:val="21"/>
                      <w:szCs w:val="21"/>
                      <w:lang w:val="zh-CN"/>
                    </w:rPr>
                    <w:t>有组织排放总计</w:t>
                  </w:r>
                </w:p>
              </w:tc>
              <w:tc>
                <w:tcPr>
                  <w:tcW w:w="1992" w:type="dxa"/>
                  <w:gridSpan w:val="2"/>
                  <w:tcBorders>
                    <w:tl2br w:val="nil"/>
                    <w:tr2bl w:val="nil"/>
                  </w:tcBorders>
                  <w:noWrap/>
                  <w:vAlign w:val="center"/>
                </w:tcPr>
                <w:p w14:paraId="69C89211">
                  <w:pPr>
                    <w:spacing w:line="240" w:lineRule="auto"/>
                    <w:ind w:left="21" w:leftChars="10" w:right="21" w:rightChars="10"/>
                    <w:jc w:val="center"/>
                    <w:rPr>
                      <w:color w:val="auto"/>
                      <w:sz w:val="21"/>
                      <w:szCs w:val="21"/>
                    </w:rPr>
                  </w:pPr>
                  <w:r>
                    <w:rPr>
                      <w:rFonts w:hint="eastAsia"/>
                      <w:color w:val="auto"/>
                      <w:sz w:val="21"/>
                      <w:szCs w:val="21"/>
                    </w:rPr>
                    <w:t>VOCs（以非甲烷总烃或TVOC标准）</w:t>
                  </w:r>
                </w:p>
              </w:tc>
              <w:tc>
                <w:tcPr>
                  <w:tcW w:w="747" w:type="dxa"/>
                  <w:tcBorders>
                    <w:tl2br w:val="nil"/>
                    <w:tr2bl w:val="nil"/>
                  </w:tcBorders>
                  <w:noWrap/>
                  <w:vAlign w:val="center"/>
                </w:tcPr>
                <w:p w14:paraId="4E989601">
                  <w:pPr>
                    <w:spacing w:line="240" w:lineRule="auto"/>
                    <w:ind w:left="21" w:leftChars="10" w:right="21" w:rightChars="10"/>
                    <w:jc w:val="center"/>
                    <w:textAlignment w:val="center"/>
                    <w:rPr>
                      <w:color w:val="auto"/>
                      <w:sz w:val="21"/>
                      <w:szCs w:val="21"/>
                    </w:rPr>
                  </w:pPr>
                  <w:r>
                    <w:rPr>
                      <w:color w:val="auto"/>
                      <w:kern w:val="0"/>
                      <w:sz w:val="21"/>
                      <w:szCs w:val="21"/>
                      <w:lang w:bidi="ar"/>
                    </w:rPr>
                    <w:t>0.</w:t>
                  </w:r>
                  <w:r>
                    <w:rPr>
                      <w:rFonts w:hint="eastAsia"/>
                      <w:color w:val="auto"/>
                      <w:kern w:val="0"/>
                      <w:sz w:val="21"/>
                      <w:szCs w:val="21"/>
                      <w:lang w:bidi="ar"/>
                    </w:rPr>
                    <w:t>1216</w:t>
                  </w:r>
                </w:p>
              </w:tc>
              <w:tc>
                <w:tcPr>
                  <w:tcW w:w="2901" w:type="dxa"/>
                  <w:tcBorders>
                    <w:tl2br w:val="nil"/>
                    <w:tr2bl w:val="nil"/>
                  </w:tcBorders>
                  <w:noWrap/>
                  <w:vAlign w:val="center"/>
                </w:tcPr>
                <w:p w14:paraId="4EBF798E">
                  <w:pPr>
                    <w:spacing w:line="240" w:lineRule="auto"/>
                    <w:ind w:left="21" w:leftChars="10" w:right="21" w:rightChars="10"/>
                    <w:jc w:val="center"/>
                    <w:rPr>
                      <w:color w:val="auto"/>
                      <w:sz w:val="21"/>
                      <w:szCs w:val="21"/>
                    </w:rPr>
                  </w:pPr>
                  <w:r>
                    <w:rPr>
                      <w:color w:val="auto"/>
                      <w:sz w:val="21"/>
                      <w:szCs w:val="21"/>
                    </w:rPr>
                    <w:t>/</w:t>
                  </w:r>
                </w:p>
              </w:tc>
              <w:tc>
                <w:tcPr>
                  <w:tcW w:w="825" w:type="dxa"/>
                  <w:tcBorders>
                    <w:tl2br w:val="nil"/>
                    <w:tr2bl w:val="nil"/>
                  </w:tcBorders>
                  <w:noWrap/>
                  <w:vAlign w:val="center"/>
                </w:tcPr>
                <w:p w14:paraId="22A72A95">
                  <w:pPr>
                    <w:spacing w:line="240" w:lineRule="auto"/>
                    <w:ind w:left="21" w:leftChars="10" w:right="21" w:rightChars="10"/>
                    <w:jc w:val="center"/>
                    <w:rPr>
                      <w:color w:val="auto"/>
                      <w:sz w:val="21"/>
                      <w:szCs w:val="21"/>
                    </w:rPr>
                  </w:pPr>
                  <w:r>
                    <w:rPr>
                      <w:color w:val="auto"/>
                      <w:sz w:val="21"/>
                      <w:szCs w:val="21"/>
                    </w:rPr>
                    <w:t>/</w:t>
                  </w:r>
                </w:p>
              </w:tc>
              <w:tc>
                <w:tcPr>
                  <w:tcW w:w="735" w:type="dxa"/>
                  <w:tcBorders>
                    <w:tl2br w:val="nil"/>
                    <w:tr2bl w:val="nil"/>
                  </w:tcBorders>
                  <w:noWrap/>
                  <w:vAlign w:val="center"/>
                </w:tcPr>
                <w:p w14:paraId="0219627C">
                  <w:pPr>
                    <w:spacing w:line="240" w:lineRule="auto"/>
                    <w:ind w:left="21" w:leftChars="10" w:right="21" w:rightChars="10"/>
                    <w:jc w:val="center"/>
                    <w:rPr>
                      <w:color w:val="auto"/>
                      <w:sz w:val="21"/>
                      <w:szCs w:val="21"/>
                    </w:rPr>
                  </w:pPr>
                  <w:r>
                    <w:rPr>
                      <w:color w:val="auto"/>
                      <w:sz w:val="21"/>
                      <w:szCs w:val="21"/>
                    </w:rPr>
                    <w:t>/</w:t>
                  </w:r>
                </w:p>
              </w:tc>
              <w:tc>
                <w:tcPr>
                  <w:tcW w:w="739" w:type="dxa"/>
                  <w:tcBorders>
                    <w:tl2br w:val="nil"/>
                    <w:tr2bl w:val="nil"/>
                  </w:tcBorders>
                  <w:noWrap/>
                  <w:vAlign w:val="center"/>
                </w:tcPr>
                <w:p w14:paraId="22E3E60C">
                  <w:pPr>
                    <w:spacing w:line="240" w:lineRule="auto"/>
                    <w:ind w:left="21" w:leftChars="10" w:right="21" w:rightChars="10"/>
                    <w:jc w:val="center"/>
                    <w:rPr>
                      <w:color w:val="auto"/>
                      <w:sz w:val="21"/>
                      <w:szCs w:val="21"/>
                    </w:rPr>
                  </w:pPr>
                  <w:r>
                    <w:rPr>
                      <w:color w:val="auto"/>
                      <w:sz w:val="21"/>
                      <w:szCs w:val="21"/>
                    </w:rPr>
                    <w:t>/</w:t>
                  </w:r>
                </w:p>
              </w:tc>
            </w:tr>
            <w:tr w14:paraId="154C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1509" w:type="dxa"/>
                  <w:gridSpan w:val="2"/>
                  <w:vMerge w:val="continue"/>
                  <w:tcBorders>
                    <w:tl2br w:val="nil"/>
                    <w:tr2bl w:val="nil"/>
                  </w:tcBorders>
                  <w:noWrap/>
                  <w:vAlign w:val="center"/>
                </w:tcPr>
                <w:p w14:paraId="57E5DDF3">
                  <w:pPr>
                    <w:spacing w:line="240" w:lineRule="auto"/>
                    <w:ind w:left="21" w:leftChars="10" w:right="21" w:rightChars="10"/>
                    <w:jc w:val="center"/>
                    <w:rPr>
                      <w:color w:val="auto"/>
                      <w:sz w:val="21"/>
                      <w:szCs w:val="21"/>
                      <w:lang w:val="zh-CN"/>
                    </w:rPr>
                  </w:pPr>
                </w:p>
              </w:tc>
              <w:tc>
                <w:tcPr>
                  <w:tcW w:w="1992" w:type="dxa"/>
                  <w:gridSpan w:val="2"/>
                  <w:tcBorders>
                    <w:tl2br w:val="nil"/>
                    <w:tr2bl w:val="nil"/>
                  </w:tcBorders>
                  <w:noWrap/>
                  <w:vAlign w:val="center"/>
                </w:tcPr>
                <w:p w14:paraId="28808A0C">
                  <w:pPr>
                    <w:spacing w:line="240" w:lineRule="auto"/>
                    <w:ind w:left="21" w:leftChars="10" w:right="21" w:rightChars="10"/>
                    <w:jc w:val="center"/>
                    <w:rPr>
                      <w:color w:val="auto"/>
                      <w:sz w:val="21"/>
                      <w:szCs w:val="21"/>
                    </w:rPr>
                  </w:pPr>
                  <w:r>
                    <w:rPr>
                      <w:color w:val="auto"/>
                      <w:sz w:val="21"/>
                      <w:szCs w:val="21"/>
                    </w:rPr>
                    <w:t>臭气浓度</w:t>
                  </w:r>
                </w:p>
              </w:tc>
              <w:tc>
                <w:tcPr>
                  <w:tcW w:w="747" w:type="dxa"/>
                  <w:tcBorders>
                    <w:tl2br w:val="nil"/>
                    <w:tr2bl w:val="nil"/>
                  </w:tcBorders>
                  <w:noWrap/>
                  <w:vAlign w:val="center"/>
                </w:tcPr>
                <w:p w14:paraId="663CAEDF">
                  <w:pPr>
                    <w:spacing w:line="240" w:lineRule="auto"/>
                    <w:ind w:left="21" w:leftChars="10" w:right="21" w:rightChars="10"/>
                    <w:jc w:val="center"/>
                    <w:textAlignment w:val="center"/>
                    <w:rPr>
                      <w:color w:val="auto"/>
                      <w:sz w:val="21"/>
                      <w:szCs w:val="21"/>
                    </w:rPr>
                  </w:pPr>
                  <w:r>
                    <w:rPr>
                      <w:color w:val="auto"/>
                      <w:sz w:val="21"/>
                      <w:szCs w:val="21"/>
                    </w:rPr>
                    <w:t>/</w:t>
                  </w:r>
                </w:p>
              </w:tc>
              <w:tc>
                <w:tcPr>
                  <w:tcW w:w="2901" w:type="dxa"/>
                  <w:tcBorders>
                    <w:tl2br w:val="nil"/>
                    <w:tr2bl w:val="nil"/>
                  </w:tcBorders>
                  <w:noWrap/>
                  <w:vAlign w:val="center"/>
                </w:tcPr>
                <w:p w14:paraId="410D89E9">
                  <w:pPr>
                    <w:spacing w:line="240" w:lineRule="auto"/>
                    <w:ind w:left="21" w:leftChars="10" w:right="21" w:rightChars="10"/>
                    <w:jc w:val="center"/>
                    <w:rPr>
                      <w:color w:val="auto"/>
                      <w:sz w:val="21"/>
                      <w:szCs w:val="21"/>
                    </w:rPr>
                  </w:pPr>
                  <w:r>
                    <w:rPr>
                      <w:color w:val="auto"/>
                      <w:sz w:val="21"/>
                      <w:szCs w:val="21"/>
                    </w:rPr>
                    <w:t>/</w:t>
                  </w:r>
                </w:p>
              </w:tc>
              <w:tc>
                <w:tcPr>
                  <w:tcW w:w="825" w:type="dxa"/>
                  <w:tcBorders>
                    <w:tl2br w:val="nil"/>
                    <w:tr2bl w:val="nil"/>
                  </w:tcBorders>
                  <w:noWrap/>
                  <w:vAlign w:val="center"/>
                </w:tcPr>
                <w:p w14:paraId="3F7094DF">
                  <w:pPr>
                    <w:spacing w:line="240" w:lineRule="auto"/>
                    <w:ind w:left="21" w:leftChars="10" w:right="21" w:rightChars="10"/>
                    <w:jc w:val="center"/>
                    <w:rPr>
                      <w:color w:val="auto"/>
                      <w:sz w:val="21"/>
                      <w:szCs w:val="21"/>
                    </w:rPr>
                  </w:pPr>
                  <w:r>
                    <w:rPr>
                      <w:color w:val="auto"/>
                      <w:sz w:val="21"/>
                      <w:szCs w:val="21"/>
                    </w:rPr>
                    <w:t>/</w:t>
                  </w:r>
                </w:p>
              </w:tc>
              <w:tc>
                <w:tcPr>
                  <w:tcW w:w="735" w:type="dxa"/>
                  <w:tcBorders>
                    <w:tl2br w:val="nil"/>
                    <w:tr2bl w:val="nil"/>
                  </w:tcBorders>
                  <w:noWrap/>
                  <w:vAlign w:val="center"/>
                </w:tcPr>
                <w:p w14:paraId="5D0C180F">
                  <w:pPr>
                    <w:spacing w:line="240" w:lineRule="auto"/>
                    <w:ind w:left="21" w:leftChars="10" w:right="21" w:rightChars="10"/>
                    <w:jc w:val="center"/>
                    <w:rPr>
                      <w:color w:val="auto"/>
                      <w:sz w:val="21"/>
                      <w:szCs w:val="21"/>
                    </w:rPr>
                  </w:pPr>
                  <w:r>
                    <w:rPr>
                      <w:color w:val="auto"/>
                      <w:sz w:val="21"/>
                      <w:szCs w:val="21"/>
                    </w:rPr>
                    <w:t>/</w:t>
                  </w:r>
                </w:p>
              </w:tc>
              <w:tc>
                <w:tcPr>
                  <w:tcW w:w="739" w:type="dxa"/>
                  <w:tcBorders>
                    <w:tl2br w:val="nil"/>
                    <w:tr2bl w:val="nil"/>
                  </w:tcBorders>
                  <w:noWrap/>
                  <w:vAlign w:val="center"/>
                </w:tcPr>
                <w:p w14:paraId="3403EA9D">
                  <w:pPr>
                    <w:spacing w:line="240" w:lineRule="auto"/>
                    <w:ind w:left="21" w:leftChars="10" w:right="21" w:rightChars="10"/>
                    <w:jc w:val="center"/>
                    <w:rPr>
                      <w:color w:val="auto"/>
                      <w:sz w:val="21"/>
                      <w:szCs w:val="21"/>
                    </w:rPr>
                  </w:pPr>
                  <w:r>
                    <w:rPr>
                      <w:color w:val="auto"/>
                      <w:sz w:val="21"/>
                      <w:szCs w:val="21"/>
                    </w:rPr>
                    <w:t>/</w:t>
                  </w:r>
                </w:p>
              </w:tc>
            </w:tr>
          </w:tbl>
          <w:p w14:paraId="5737831E">
            <w:pPr>
              <w:pStyle w:val="192"/>
              <w:jc w:val="center"/>
              <w:rPr>
                <w:rFonts w:ascii="Times New Roman" w:hAnsi="Times New Roman" w:cs="Times New Roman"/>
                <w:color w:val="auto"/>
                <w:sz w:val="21"/>
                <w:szCs w:val="21"/>
              </w:rPr>
            </w:pPr>
            <w:r>
              <w:rPr>
                <w:rFonts w:ascii="Times New Roman" w:hAnsi="Times New Roman" w:cs="Times New Roman"/>
                <w:color w:val="auto"/>
                <w:sz w:val="21"/>
                <w:szCs w:val="21"/>
              </w:rPr>
              <w:t>表</w:t>
            </w:r>
            <w:r>
              <w:rPr>
                <w:rFonts w:ascii="Times New Roman" w:hAnsi="Times New Roman" w:cs="Times New Roman"/>
                <w:color w:val="auto"/>
                <w:sz w:val="21"/>
                <w:szCs w:val="21"/>
                <w:lang w:val="en-US" w:eastAsia="zh-CN"/>
              </w:rPr>
              <w:t>4-</w:t>
            </w:r>
            <w:r>
              <w:rPr>
                <w:rFonts w:hint="eastAsia" w:ascii="Times New Roman" w:hAnsi="Times New Roman" w:cs="Times New Roman"/>
                <w:color w:val="auto"/>
                <w:sz w:val="21"/>
                <w:szCs w:val="21"/>
                <w:lang w:val="en-US" w:eastAsia="zh-CN"/>
              </w:rPr>
              <w:t>7</w:t>
            </w:r>
            <w:r>
              <w:rPr>
                <w:rFonts w:ascii="Times New Roman" w:hAnsi="Times New Roman" w:cs="Times New Roman"/>
                <w:color w:val="auto"/>
                <w:sz w:val="21"/>
                <w:szCs w:val="21"/>
                <w:lang w:val="en-US" w:eastAsia="zh-CN"/>
              </w:rPr>
              <w:t xml:space="preserve"> </w:t>
            </w:r>
            <w:r>
              <w:rPr>
                <w:rFonts w:ascii="Times New Roman" w:hAnsi="Times New Roman" w:cs="Times New Roman"/>
                <w:color w:val="auto"/>
                <w:sz w:val="21"/>
                <w:szCs w:val="21"/>
                <w:lang w:val="en-US" w:eastAsia="zh-CN" w:bidi="en-US"/>
              </w:rPr>
              <w:t>本</w:t>
            </w:r>
            <w:r>
              <w:rPr>
                <w:rFonts w:hint="eastAsia" w:ascii="Times New Roman" w:hAnsi="Times New Roman" w:cs="Times New Roman"/>
                <w:color w:val="auto"/>
                <w:sz w:val="21"/>
                <w:szCs w:val="21"/>
                <w:lang w:val="en-US" w:eastAsia="zh-CN" w:bidi="en-US"/>
              </w:rPr>
              <w:t>改建</w:t>
            </w:r>
            <w:r>
              <w:rPr>
                <w:rFonts w:ascii="Times New Roman" w:hAnsi="Times New Roman" w:cs="Times New Roman"/>
                <w:color w:val="auto"/>
                <w:sz w:val="21"/>
                <w:szCs w:val="21"/>
              </w:rPr>
              <w:t>项目</w:t>
            </w:r>
            <w:r>
              <w:rPr>
                <w:rFonts w:hint="eastAsia" w:ascii="Times New Roman" w:hAnsi="Times New Roman" w:cs="Times New Roman"/>
                <w:color w:val="auto"/>
                <w:sz w:val="21"/>
                <w:szCs w:val="21"/>
                <w:lang w:val="en-US" w:eastAsia="zh-CN"/>
              </w:rPr>
              <w:t>叠加现有项目的</w:t>
            </w:r>
            <w:r>
              <w:rPr>
                <w:rFonts w:ascii="Times New Roman" w:hAnsi="Times New Roman" w:cs="Times New Roman"/>
                <w:color w:val="auto"/>
                <w:sz w:val="21"/>
                <w:szCs w:val="21"/>
              </w:rPr>
              <w:t>大气污染物有组织排放量核算表</w:t>
            </w:r>
          </w:p>
          <w:tbl>
            <w:tblPr>
              <w:tblStyle w:val="42"/>
              <w:tblW w:w="94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16"/>
              <w:gridCol w:w="693"/>
              <w:gridCol w:w="840"/>
              <w:gridCol w:w="1152"/>
              <w:gridCol w:w="747"/>
              <w:gridCol w:w="2901"/>
              <w:gridCol w:w="825"/>
              <w:gridCol w:w="735"/>
              <w:gridCol w:w="739"/>
            </w:tblGrid>
            <w:tr w14:paraId="17BA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6" w:type="dxa"/>
                  <w:tcBorders>
                    <w:tl2br w:val="nil"/>
                    <w:tr2bl w:val="nil"/>
                  </w:tcBorders>
                  <w:noWrap/>
                  <w:vAlign w:val="center"/>
                </w:tcPr>
                <w:p w14:paraId="3829F782">
                  <w:pPr>
                    <w:spacing w:line="240" w:lineRule="auto"/>
                    <w:ind w:left="21" w:leftChars="10" w:right="21" w:rightChars="10"/>
                    <w:jc w:val="center"/>
                    <w:rPr>
                      <w:b/>
                      <w:bCs/>
                      <w:color w:val="auto"/>
                      <w:sz w:val="21"/>
                      <w:szCs w:val="21"/>
                    </w:rPr>
                  </w:pPr>
                  <w:r>
                    <w:rPr>
                      <w:b/>
                      <w:bCs/>
                      <w:color w:val="auto"/>
                      <w:sz w:val="21"/>
                      <w:szCs w:val="21"/>
                    </w:rPr>
                    <w:t>污染源</w:t>
                  </w:r>
                </w:p>
              </w:tc>
              <w:tc>
                <w:tcPr>
                  <w:tcW w:w="693" w:type="dxa"/>
                  <w:tcBorders>
                    <w:tl2br w:val="nil"/>
                    <w:tr2bl w:val="nil"/>
                  </w:tcBorders>
                  <w:noWrap/>
                  <w:vAlign w:val="center"/>
                </w:tcPr>
                <w:p w14:paraId="310B3334">
                  <w:pPr>
                    <w:spacing w:line="240" w:lineRule="auto"/>
                    <w:ind w:left="21" w:leftChars="10" w:right="21" w:rightChars="10"/>
                    <w:jc w:val="center"/>
                    <w:rPr>
                      <w:b/>
                      <w:bCs/>
                      <w:color w:val="auto"/>
                      <w:sz w:val="21"/>
                      <w:szCs w:val="21"/>
                    </w:rPr>
                  </w:pPr>
                  <w:r>
                    <w:rPr>
                      <w:b/>
                      <w:bCs/>
                      <w:color w:val="auto"/>
                      <w:sz w:val="21"/>
                      <w:szCs w:val="21"/>
                    </w:rPr>
                    <w:t>污染物</w:t>
                  </w:r>
                </w:p>
              </w:tc>
              <w:tc>
                <w:tcPr>
                  <w:tcW w:w="840" w:type="dxa"/>
                  <w:tcBorders>
                    <w:tl2br w:val="nil"/>
                    <w:tr2bl w:val="nil"/>
                  </w:tcBorders>
                  <w:noWrap/>
                  <w:vAlign w:val="center"/>
                </w:tcPr>
                <w:p w14:paraId="41F4E15F">
                  <w:pPr>
                    <w:spacing w:line="240" w:lineRule="auto"/>
                    <w:ind w:left="21" w:leftChars="10" w:right="21" w:rightChars="10"/>
                    <w:jc w:val="center"/>
                    <w:rPr>
                      <w:b/>
                      <w:bCs/>
                      <w:color w:val="auto"/>
                      <w:sz w:val="21"/>
                      <w:szCs w:val="21"/>
                    </w:rPr>
                  </w:pPr>
                  <w:r>
                    <w:rPr>
                      <w:b/>
                      <w:bCs/>
                      <w:color w:val="auto"/>
                      <w:sz w:val="21"/>
                      <w:szCs w:val="21"/>
                    </w:rPr>
                    <w:t>排放浓度</w:t>
                  </w:r>
                  <w:r>
                    <w:rPr>
                      <w:b/>
                      <w:bCs/>
                      <w:color w:val="auto"/>
                      <w:sz w:val="21"/>
                      <w:szCs w:val="21"/>
                      <w:lang w:eastAsia="en-US"/>
                    </w:rPr>
                    <w:t>mg/m</w:t>
                  </w:r>
                  <w:r>
                    <w:rPr>
                      <w:b/>
                      <w:bCs/>
                      <w:color w:val="auto"/>
                      <w:sz w:val="21"/>
                      <w:szCs w:val="21"/>
                      <w:vertAlign w:val="superscript"/>
                      <w:lang w:eastAsia="en-US"/>
                    </w:rPr>
                    <w:t>3</w:t>
                  </w:r>
                </w:p>
              </w:tc>
              <w:tc>
                <w:tcPr>
                  <w:tcW w:w="1152" w:type="dxa"/>
                  <w:tcBorders>
                    <w:tl2br w:val="nil"/>
                    <w:tr2bl w:val="nil"/>
                  </w:tcBorders>
                  <w:noWrap/>
                  <w:vAlign w:val="center"/>
                </w:tcPr>
                <w:p w14:paraId="1C0B22CB">
                  <w:pPr>
                    <w:spacing w:line="240" w:lineRule="auto"/>
                    <w:ind w:left="21" w:leftChars="10" w:right="21" w:rightChars="10"/>
                    <w:jc w:val="center"/>
                    <w:rPr>
                      <w:b/>
                      <w:bCs/>
                      <w:color w:val="auto"/>
                      <w:sz w:val="21"/>
                      <w:szCs w:val="21"/>
                    </w:rPr>
                  </w:pPr>
                  <w:r>
                    <w:rPr>
                      <w:b/>
                      <w:bCs/>
                      <w:color w:val="auto"/>
                      <w:sz w:val="21"/>
                      <w:szCs w:val="21"/>
                    </w:rPr>
                    <w:t>排放速率</w:t>
                  </w:r>
                  <w:r>
                    <w:rPr>
                      <w:b/>
                      <w:bCs/>
                      <w:color w:val="auto"/>
                      <w:sz w:val="21"/>
                      <w:szCs w:val="21"/>
                      <w:lang w:eastAsia="en-US"/>
                    </w:rPr>
                    <w:t>kg/h</w:t>
                  </w:r>
                </w:p>
              </w:tc>
              <w:tc>
                <w:tcPr>
                  <w:tcW w:w="747" w:type="dxa"/>
                  <w:tcBorders>
                    <w:tl2br w:val="nil"/>
                    <w:tr2bl w:val="nil"/>
                  </w:tcBorders>
                  <w:noWrap/>
                  <w:vAlign w:val="center"/>
                </w:tcPr>
                <w:p w14:paraId="545E0046">
                  <w:pPr>
                    <w:spacing w:line="240" w:lineRule="auto"/>
                    <w:ind w:left="21" w:leftChars="10" w:right="21" w:rightChars="10"/>
                    <w:jc w:val="center"/>
                    <w:rPr>
                      <w:b/>
                      <w:bCs/>
                      <w:color w:val="auto"/>
                      <w:sz w:val="21"/>
                      <w:szCs w:val="21"/>
                    </w:rPr>
                  </w:pPr>
                  <w:r>
                    <w:rPr>
                      <w:b/>
                      <w:bCs/>
                      <w:color w:val="auto"/>
                      <w:sz w:val="21"/>
                      <w:szCs w:val="21"/>
                    </w:rPr>
                    <w:t>排放量</w:t>
                  </w:r>
                  <w:r>
                    <w:rPr>
                      <w:b/>
                      <w:bCs/>
                      <w:color w:val="auto"/>
                      <w:sz w:val="21"/>
                      <w:szCs w:val="21"/>
                      <w:lang w:eastAsia="en-US"/>
                    </w:rPr>
                    <w:t>t/a</w:t>
                  </w:r>
                </w:p>
              </w:tc>
              <w:tc>
                <w:tcPr>
                  <w:tcW w:w="2901" w:type="dxa"/>
                  <w:tcBorders>
                    <w:tl2br w:val="nil"/>
                    <w:tr2bl w:val="nil"/>
                  </w:tcBorders>
                  <w:noWrap/>
                  <w:vAlign w:val="center"/>
                </w:tcPr>
                <w:p w14:paraId="5BA5CB75">
                  <w:pPr>
                    <w:spacing w:line="240" w:lineRule="auto"/>
                    <w:ind w:left="21" w:leftChars="10" w:right="21" w:rightChars="10"/>
                    <w:jc w:val="center"/>
                    <w:rPr>
                      <w:b/>
                      <w:bCs/>
                      <w:color w:val="auto"/>
                      <w:sz w:val="21"/>
                      <w:szCs w:val="21"/>
                    </w:rPr>
                  </w:pPr>
                  <w:r>
                    <w:rPr>
                      <w:b/>
                      <w:bCs/>
                      <w:color w:val="auto"/>
                      <w:sz w:val="21"/>
                      <w:szCs w:val="21"/>
                    </w:rPr>
                    <w:t>执行标准</w:t>
                  </w:r>
                </w:p>
              </w:tc>
              <w:tc>
                <w:tcPr>
                  <w:tcW w:w="825" w:type="dxa"/>
                  <w:tcBorders>
                    <w:tl2br w:val="nil"/>
                    <w:tr2bl w:val="nil"/>
                  </w:tcBorders>
                  <w:noWrap/>
                  <w:vAlign w:val="center"/>
                </w:tcPr>
                <w:p w14:paraId="5877DAB1">
                  <w:pPr>
                    <w:spacing w:line="240" w:lineRule="auto"/>
                    <w:ind w:left="21" w:leftChars="10" w:right="21" w:rightChars="10"/>
                    <w:jc w:val="center"/>
                    <w:rPr>
                      <w:b/>
                      <w:bCs/>
                      <w:color w:val="auto"/>
                      <w:sz w:val="21"/>
                      <w:szCs w:val="21"/>
                    </w:rPr>
                  </w:pPr>
                  <w:r>
                    <w:rPr>
                      <w:b/>
                      <w:bCs/>
                      <w:color w:val="auto"/>
                      <w:sz w:val="21"/>
                      <w:szCs w:val="21"/>
                    </w:rPr>
                    <w:t>浓度限值</w:t>
                  </w:r>
                  <w:r>
                    <w:rPr>
                      <w:b/>
                      <w:bCs/>
                      <w:color w:val="auto"/>
                      <w:sz w:val="21"/>
                      <w:szCs w:val="21"/>
                      <w:lang w:eastAsia="en-US"/>
                    </w:rPr>
                    <w:t>mg/m</w:t>
                  </w:r>
                  <w:r>
                    <w:rPr>
                      <w:b/>
                      <w:bCs/>
                      <w:color w:val="auto"/>
                      <w:sz w:val="21"/>
                      <w:szCs w:val="21"/>
                      <w:vertAlign w:val="superscript"/>
                      <w:lang w:eastAsia="en-US"/>
                    </w:rPr>
                    <w:t>3</w:t>
                  </w:r>
                </w:p>
              </w:tc>
              <w:tc>
                <w:tcPr>
                  <w:tcW w:w="735" w:type="dxa"/>
                  <w:tcBorders>
                    <w:tl2br w:val="nil"/>
                    <w:tr2bl w:val="nil"/>
                  </w:tcBorders>
                  <w:noWrap/>
                  <w:vAlign w:val="center"/>
                </w:tcPr>
                <w:p w14:paraId="281D1839">
                  <w:pPr>
                    <w:spacing w:line="240" w:lineRule="auto"/>
                    <w:ind w:left="21" w:leftChars="10" w:right="21" w:rightChars="10"/>
                    <w:jc w:val="center"/>
                    <w:rPr>
                      <w:b/>
                      <w:bCs/>
                      <w:color w:val="auto"/>
                      <w:sz w:val="21"/>
                      <w:szCs w:val="21"/>
                    </w:rPr>
                  </w:pPr>
                  <w:r>
                    <w:rPr>
                      <w:b/>
                      <w:bCs/>
                      <w:color w:val="auto"/>
                      <w:sz w:val="21"/>
                      <w:szCs w:val="21"/>
                    </w:rPr>
                    <w:t>速率限值</w:t>
                  </w:r>
                  <w:r>
                    <w:rPr>
                      <w:b/>
                      <w:bCs/>
                      <w:color w:val="auto"/>
                      <w:sz w:val="21"/>
                      <w:szCs w:val="21"/>
                      <w:lang w:eastAsia="en-US"/>
                    </w:rPr>
                    <w:t>kg/h</w:t>
                  </w:r>
                </w:p>
              </w:tc>
              <w:tc>
                <w:tcPr>
                  <w:tcW w:w="739" w:type="dxa"/>
                  <w:tcBorders>
                    <w:tl2br w:val="nil"/>
                    <w:tr2bl w:val="nil"/>
                  </w:tcBorders>
                  <w:noWrap/>
                  <w:vAlign w:val="center"/>
                </w:tcPr>
                <w:p w14:paraId="34003682">
                  <w:pPr>
                    <w:spacing w:line="240" w:lineRule="auto"/>
                    <w:ind w:left="21" w:leftChars="10" w:right="21" w:rightChars="10"/>
                    <w:jc w:val="center"/>
                    <w:rPr>
                      <w:b/>
                      <w:bCs/>
                      <w:color w:val="auto"/>
                      <w:sz w:val="21"/>
                      <w:szCs w:val="21"/>
                    </w:rPr>
                  </w:pPr>
                  <w:r>
                    <w:rPr>
                      <w:b/>
                      <w:bCs/>
                      <w:color w:val="auto"/>
                      <w:sz w:val="21"/>
                      <w:szCs w:val="21"/>
                    </w:rPr>
                    <w:t>达标情况</w:t>
                  </w:r>
                </w:p>
              </w:tc>
            </w:tr>
            <w:tr w14:paraId="2519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6" w:type="dxa"/>
                  <w:vMerge w:val="restart"/>
                  <w:tcBorders>
                    <w:tl2br w:val="nil"/>
                    <w:tr2bl w:val="nil"/>
                  </w:tcBorders>
                  <w:noWrap/>
                  <w:vAlign w:val="center"/>
                </w:tcPr>
                <w:p w14:paraId="3F2FE575">
                  <w:pPr>
                    <w:spacing w:line="240" w:lineRule="auto"/>
                    <w:ind w:left="21" w:leftChars="10" w:right="21" w:rightChars="10"/>
                    <w:jc w:val="center"/>
                    <w:rPr>
                      <w:color w:val="auto"/>
                      <w:sz w:val="21"/>
                      <w:szCs w:val="21"/>
                    </w:rPr>
                  </w:pPr>
                  <w:r>
                    <w:rPr>
                      <w:color w:val="auto"/>
                      <w:sz w:val="21"/>
                      <w:szCs w:val="21"/>
                    </w:rPr>
                    <w:t>DA00</w:t>
                  </w:r>
                  <w:r>
                    <w:rPr>
                      <w:rFonts w:hint="eastAsia"/>
                      <w:color w:val="auto"/>
                      <w:sz w:val="21"/>
                      <w:szCs w:val="21"/>
                      <w:lang w:val="en-US" w:eastAsia="zh-CN"/>
                    </w:rPr>
                    <w:t>5</w:t>
                  </w:r>
                  <w:r>
                    <w:rPr>
                      <w:color w:val="auto"/>
                      <w:sz w:val="21"/>
                      <w:szCs w:val="21"/>
                    </w:rPr>
                    <w:t>排气筒（</w:t>
                  </w:r>
                  <w:r>
                    <w:rPr>
                      <w:rFonts w:hint="eastAsia"/>
                      <w:color w:val="auto"/>
                      <w:sz w:val="21"/>
                      <w:szCs w:val="21"/>
                    </w:rPr>
                    <w:t>电泳涂装和烘干固化</w:t>
                  </w:r>
                  <w:r>
                    <w:rPr>
                      <w:color w:val="auto"/>
                      <w:sz w:val="21"/>
                      <w:szCs w:val="21"/>
                    </w:rPr>
                    <w:t>）</w:t>
                  </w:r>
                </w:p>
              </w:tc>
              <w:tc>
                <w:tcPr>
                  <w:tcW w:w="693" w:type="dxa"/>
                  <w:tcBorders>
                    <w:tl2br w:val="nil"/>
                    <w:tr2bl w:val="nil"/>
                  </w:tcBorders>
                  <w:noWrap/>
                  <w:vAlign w:val="center"/>
                </w:tcPr>
                <w:p w14:paraId="5B7013C2">
                  <w:pPr>
                    <w:spacing w:line="240" w:lineRule="auto"/>
                    <w:ind w:left="21" w:leftChars="10" w:right="21" w:rightChars="10"/>
                    <w:jc w:val="center"/>
                    <w:rPr>
                      <w:color w:val="auto"/>
                      <w:sz w:val="21"/>
                      <w:szCs w:val="21"/>
                    </w:rPr>
                  </w:pPr>
                  <w:r>
                    <w:rPr>
                      <w:color w:val="auto"/>
                      <w:sz w:val="21"/>
                      <w:szCs w:val="21"/>
                    </w:rPr>
                    <w:t>非甲烷总烃</w:t>
                  </w:r>
                </w:p>
              </w:tc>
              <w:tc>
                <w:tcPr>
                  <w:tcW w:w="840" w:type="dxa"/>
                  <w:vMerge w:val="restart"/>
                  <w:tcBorders>
                    <w:tl2br w:val="nil"/>
                    <w:tr2bl w:val="nil"/>
                  </w:tcBorders>
                  <w:noWrap/>
                  <w:vAlign w:val="center"/>
                </w:tcPr>
                <w:p w14:paraId="7F57223E">
                  <w:pPr>
                    <w:jc w:val="center"/>
                    <w:textAlignment w:val="center"/>
                    <w:rPr>
                      <w:rFonts w:hint="default"/>
                      <w:color w:val="auto"/>
                      <w:sz w:val="21"/>
                      <w:szCs w:val="21"/>
                      <w:lang w:val="en-US"/>
                    </w:rPr>
                  </w:pPr>
                  <w:r>
                    <w:rPr>
                      <w:rFonts w:hint="eastAsia"/>
                      <w:color w:val="auto"/>
                      <w:kern w:val="0"/>
                      <w:sz w:val="21"/>
                      <w:szCs w:val="21"/>
                      <w:lang w:val="en-US" w:eastAsia="zh-CN" w:bidi="ar"/>
                    </w:rPr>
                    <w:t>14.53</w:t>
                  </w:r>
                </w:p>
              </w:tc>
              <w:tc>
                <w:tcPr>
                  <w:tcW w:w="1152" w:type="dxa"/>
                  <w:vMerge w:val="restart"/>
                  <w:tcBorders>
                    <w:tl2br w:val="nil"/>
                    <w:tr2bl w:val="nil"/>
                  </w:tcBorders>
                  <w:noWrap/>
                  <w:vAlign w:val="center"/>
                </w:tcPr>
                <w:p w14:paraId="1CA883AB">
                  <w:pPr>
                    <w:jc w:val="center"/>
                    <w:textAlignment w:val="center"/>
                    <w:rPr>
                      <w:rFonts w:hint="default" w:eastAsia="宋体"/>
                      <w:color w:val="auto"/>
                      <w:sz w:val="21"/>
                      <w:szCs w:val="21"/>
                      <w:lang w:val="en-US" w:eastAsia="zh-CN"/>
                    </w:rPr>
                  </w:pPr>
                  <w:r>
                    <w:rPr>
                      <w:rFonts w:hint="eastAsia"/>
                      <w:color w:val="auto"/>
                      <w:kern w:val="0"/>
                      <w:sz w:val="21"/>
                      <w:szCs w:val="21"/>
                      <w:lang w:val="en-US" w:eastAsia="zh-CN" w:bidi="ar"/>
                    </w:rPr>
                    <w:t>0.0853</w:t>
                  </w:r>
                </w:p>
              </w:tc>
              <w:tc>
                <w:tcPr>
                  <w:tcW w:w="747" w:type="dxa"/>
                  <w:vMerge w:val="restart"/>
                  <w:tcBorders>
                    <w:tl2br w:val="nil"/>
                    <w:tr2bl w:val="nil"/>
                  </w:tcBorders>
                  <w:noWrap/>
                  <w:vAlign w:val="center"/>
                </w:tcPr>
                <w:p w14:paraId="5B911A2E">
                  <w:pPr>
                    <w:jc w:val="center"/>
                    <w:textAlignment w:val="center"/>
                    <w:rPr>
                      <w:color w:val="auto"/>
                      <w:sz w:val="21"/>
                      <w:szCs w:val="21"/>
                    </w:rPr>
                  </w:pPr>
                  <w:r>
                    <w:rPr>
                      <w:rFonts w:hint="eastAsia"/>
                      <w:color w:val="auto"/>
                      <w:kern w:val="0"/>
                      <w:sz w:val="21"/>
                      <w:szCs w:val="21"/>
                      <w:lang w:val="en-US" w:eastAsia="zh-CN" w:bidi="ar"/>
                    </w:rPr>
                    <w:t>0.2046</w:t>
                  </w:r>
                  <w:r>
                    <w:rPr>
                      <w:color w:val="auto"/>
                      <w:kern w:val="0"/>
                      <w:sz w:val="21"/>
                      <w:szCs w:val="21"/>
                      <w:lang w:bidi="ar"/>
                    </w:rPr>
                    <w:t xml:space="preserve"> </w:t>
                  </w:r>
                </w:p>
              </w:tc>
              <w:tc>
                <w:tcPr>
                  <w:tcW w:w="2901" w:type="dxa"/>
                  <w:tcBorders>
                    <w:tl2br w:val="nil"/>
                    <w:tr2bl w:val="nil"/>
                  </w:tcBorders>
                  <w:noWrap/>
                  <w:vAlign w:val="center"/>
                </w:tcPr>
                <w:p w14:paraId="4E4236ED">
                  <w:pPr>
                    <w:spacing w:line="240" w:lineRule="auto"/>
                    <w:ind w:left="21" w:leftChars="10" w:right="21" w:rightChars="10"/>
                    <w:jc w:val="center"/>
                    <w:rPr>
                      <w:color w:val="auto"/>
                      <w:sz w:val="21"/>
                      <w:szCs w:val="21"/>
                    </w:rPr>
                  </w:pPr>
                  <w:r>
                    <w:rPr>
                      <w:rFonts w:hint="eastAsia"/>
                      <w:color w:val="auto"/>
                      <w:sz w:val="21"/>
                      <w:szCs w:val="21"/>
                    </w:rPr>
                    <w:t>广东省《固定污染源挥发性有机物综合排放标准》（DB44/2367-2022）表1挥发性有机物排放限值</w:t>
                  </w:r>
                  <w:r>
                    <w:rPr>
                      <w:rFonts w:hint="eastAsia"/>
                      <w:color w:val="auto"/>
                      <w:sz w:val="21"/>
                      <w:szCs w:val="21"/>
                      <w:lang w:val="en-US" w:eastAsia="zh-CN"/>
                    </w:rPr>
                    <w:t>和</w:t>
                  </w:r>
                  <w:r>
                    <w:rPr>
                      <w:rFonts w:hint="default" w:ascii="Times New Roman" w:hAnsi="Times New Roman" w:eastAsia="宋体" w:cs="Times New Roman"/>
                      <w:color w:val="auto"/>
                      <w:sz w:val="21"/>
                      <w:szCs w:val="21"/>
                      <w:highlight w:val="none"/>
                      <w:lang w:eastAsia="zh-CN"/>
                    </w:rPr>
                    <w:t>《合成树脂工业污染物排放标准》（GB31572-2015，含2024年修改单）</w:t>
                  </w:r>
                  <w:r>
                    <w:rPr>
                      <w:rFonts w:hint="default" w:ascii="Times New Roman" w:hAnsi="Times New Roman" w:cs="Times New Roman"/>
                      <w:color w:val="auto"/>
                      <w:sz w:val="21"/>
                      <w:szCs w:val="21"/>
                      <w:lang w:val="en-US" w:eastAsia="zh-CN"/>
                    </w:rPr>
                    <w:t>表4</w:t>
                  </w:r>
                  <w:r>
                    <w:rPr>
                      <w:rFonts w:hint="default" w:ascii="Times New Roman" w:hAnsi="Times New Roman" w:cs="Times New Roman"/>
                      <w:color w:val="auto"/>
                      <w:sz w:val="21"/>
                      <w:szCs w:val="21"/>
                      <w:lang w:val="en-US"/>
                    </w:rPr>
                    <w:t>大气污染物排放限值</w:t>
                  </w:r>
                  <w:r>
                    <w:rPr>
                      <w:rFonts w:hint="eastAsia" w:ascii="Times New Roman" w:hAnsi="Times New Roman" w:cs="Times New Roman"/>
                      <w:color w:val="auto"/>
                      <w:sz w:val="21"/>
                      <w:szCs w:val="21"/>
                      <w:lang w:val="en-US" w:eastAsia="zh-CN"/>
                    </w:rPr>
                    <w:t>较严值</w:t>
                  </w:r>
                </w:p>
              </w:tc>
              <w:tc>
                <w:tcPr>
                  <w:tcW w:w="825" w:type="dxa"/>
                  <w:tcBorders>
                    <w:tl2br w:val="nil"/>
                    <w:tr2bl w:val="nil"/>
                  </w:tcBorders>
                  <w:noWrap/>
                  <w:vAlign w:val="center"/>
                </w:tcPr>
                <w:p w14:paraId="77273F74">
                  <w:pPr>
                    <w:spacing w:line="240" w:lineRule="auto"/>
                    <w:ind w:left="21" w:leftChars="10" w:right="21" w:rightChars="10"/>
                    <w:jc w:val="center"/>
                    <w:rPr>
                      <w:color w:val="auto"/>
                      <w:sz w:val="21"/>
                      <w:szCs w:val="21"/>
                    </w:rPr>
                  </w:pPr>
                  <w:r>
                    <w:rPr>
                      <w:rFonts w:hint="eastAsia"/>
                      <w:color w:val="auto"/>
                      <w:sz w:val="21"/>
                      <w:szCs w:val="21"/>
                    </w:rPr>
                    <w:t>8</w:t>
                  </w:r>
                  <w:r>
                    <w:rPr>
                      <w:color w:val="auto"/>
                      <w:sz w:val="21"/>
                      <w:szCs w:val="21"/>
                    </w:rPr>
                    <w:t>0</w:t>
                  </w:r>
                </w:p>
              </w:tc>
              <w:tc>
                <w:tcPr>
                  <w:tcW w:w="735" w:type="dxa"/>
                  <w:tcBorders>
                    <w:tl2br w:val="nil"/>
                    <w:tr2bl w:val="nil"/>
                  </w:tcBorders>
                  <w:noWrap/>
                  <w:vAlign w:val="center"/>
                </w:tcPr>
                <w:p w14:paraId="60EA9115">
                  <w:pPr>
                    <w:spacing w:line="240" w:lineRule="auto"/>
                    <w:ind w:left="21" w:leftChars="10" w:right="21" w:rightChars="10"/>
                    <w:jc w:val="center"/>
                    <w:rPr>
                      <w:color w:val="auto"/>
                      <w:sz w:val="21"/>
                      <w:szCs w:val="21"/>
                    </w:rPr>
                  </w:pPr>
                  <w:r>
                    <w:rPr>
                      <w:color w:val="auto"/>
                      <w:sz w:val="21"/>
                      <w:szCs w:val="21"/>
                    </w:rPr>
                    <w:t>/</w:t>
                  </w:r>
                </w:p>
              </w:tc>
              <w:tc>
                <w:tcPr>
                  <w:tcW w:w="739" w:type="dxa"/>
                  <w:tcBorders>
                    <w:tl2br w:val="nil"/>
                    <w:tr2bl w:val="nil"/>
                  </w:tcBorders>
                  <w:noWrap/>
                  <w:vAlign w:val="center"/>
                </w:tcPr>
                <w:p w14:paraId="3C1E7EE9">
                  <w:pPr>
                    <w:spacing w:line="240" w:lineRule="auto"/>
                    <w:ind w:left="21" w:leftChars="10" w:right="21" w:rightChars="10"/>
                    <w:jc w:val="center"/>
                    <w:rPr>
                      <w:color w:val="auto"/>
                      <w:sz w:val="21"/>
                      <w:szCs w:val="21"/>
                    </w:rPr>
                  </w:pPr>
                  <w:r>
                    <w:rPr>
                      <w:color w:val="auto"/>
                      <w:sz w:val="21"/>
                      <w:szCs w:val="21"/>
                    </w:rPr>
                    <w:t>达标</w:t>
                  </w:r>
                </w:p>
              </w:tc>
            </w:tr>
            <w:tr w14:paraId="0DE6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6" w:type="dxa"/>
                  <w:vMerge w:val="continue"/>
                  <w:tcBorders>
                    <w:tl2br w:val="nil"/>
                    <w:tr2bl w:val="nil"/>
                  </w:tcBorders>
                  <w:noWrap/>
                  <w:vAlign w:val="center"/>
                </w:tcPr>
                <w:p w14:paraId="3FE856D3">
                  <w:pPr>
                    <w:spacing w:line="240" w:lineRule="auto"/>
                    <w:ind w:left="21" w:leftChars="10" w:right="21" w:rightChars="10"/>
                    <w:jc w:val="center"/>
                    <w:rPr>
                      <w:color w:val="auto"/>
                      <w:sz w:val="21"/>
                      <w:szCs w:val="21"/>
                    </w:rPr>
                  </w:pPr>
                </w:p>
              </w:tc>
              <w:tc>
                <w:tcPr>
                  <w:tcW w:w="693" w:type="dxa"/>
                  <w:tcBorders>
                    <w:tl2br w:val="nil"/>
                    <w:tr2bl w:val="nil"/>
                  </w:tcBorders>
                  <w:noWrap/>
                  <w:vAlign w:val="center"/>
                </w:tcPr>
                <w:p w14:paraId="7695944B">
                  <w:pPr>
                    <w:spacing w:line="240" w:lineRule="auto"/>
                    <w:ind w:left="21" w:leftChars="10" w:right="21" w:rightChars="10"/>
                    <w:jc w:val="center"/>
                    <w:rPr>
                      <w:color w:val="auto"/>
                      <w:sz w:val="21"/>
                      <w:szCs w:val="21"/>
                    </w:rPr>
                  </w:pPr>
                  <w:r>
                    <w:rPr>
                      <w:rFonts w:hint="eastAsia"/>
                      <w:color w:val="auto"/>
                      <w:sz w:val="21"/>
                      <w:szCs w:val="21"/>
                    </w:rPr>
                    <w:t>TVOC</w:t>
                  </w:r>
                </w:p>
              </w:tc>
              <w:tc>
                <w:tcPr>
                  <w:tcW w:w="840" w:type="dxa"/>
                  <w:vMerge w:val="continue"/>
                  <w:tcBorders>
                    <w:tl2br w:val="nil"/>
                    <w:tr2bl w:val="nil"/>
                  </w:tcBorders>
                  <w:noWrap/>
                  <w:vAlign w:val="center"/>
                </w:tcPr>
                <w:p w14:paraId="26BC77F1">
                  <w:pPr>
                    <w:jc w:val="center"/>
                    <w:textAlignment w:val="center"/>
                    <w:rPr>
                      <w:color w:val="auto"/>
                      <w:kern w:val="0"/>
                      <w:sz w:val="21"/>
                      <w:szCs w:val="21"/>
                      <w:lang w:bidi="ar"/>
                    </w:rPr>
                  </w:pPr>
                </w:p>
              </w:tc>
              <w:tc>
                <w:tcPr>
                  <w:tcW w:w="1152" w:type="dxa"/>
                  <w:vMerge w:val="continue"/>
                  <w:tcBorders>
                    <w:tl2br w:val="nil"/>
                    <w:tr2bl w:val="nil"/>
                  </w:tcBorders>
                  <w:noWrap/>
                  <w:vAlign w:val="center"/>
                </w:tcPr>
                <w:p w14:paraId="2D19634A">
                  <w:pPr>
                    <w:jc w:val="center"/>
                    <w:textAlignment w:val="center"/>
                    <w:rPr>
                      <w:color w:val="auto"/>
                      <w:kern w:val="0"/>
                      <w:sz w:val="21"/>
                      <w:szCs w:val="21"/>
                      <w:lang w:bidi="ar"/>
                    </w:rPr>
                  </w:pPr>
                </w:p>
              </w:tc>
              <w:tc>
                <w:tcPr>
                  <w:tcW w:w="747" w:type="dxa"/>
                  <w:vMerge w:val="continue"/>
                  <w:tcBorders>
                    <w:tl2br w:val="nil"/>
                    <w:tr2bl w:val="nil"/>
                  </w:tcBorders>
                  <w:noWrap/>
                  <w:vAlign w:val="center"/>
                </w:tcPr>
                <w:p w14:paraId="17EF9536">
                  <w:pPr>
                    <w:jc w:val="center"/>
                    <w:textAlignment w:val="center"/>
                    <w:rPr>
                      <w:color w:val="auto"/>
                      <w:kern w:val="0"/>
                      <w:sz w:val="21"/>
                      <w:szCs w:val="21"/>
                      <w:lang w:bidi="ar"/>
                    </w:rPr>
                  </w:pPr>
                </w:p>
              </w:tc>
              <w:tc>
                <w:tcPr>
                  <w:tcW w:w="2901" w:type="dxa"/>
                  <w:tcBorders>
                    <w:tl2br w:val="nil"/>
                    <w:tr2bl w:val="nil"/>
                  </w:tcBorders>
                  <w:noWrap/>
                  <w:vAlign w:val="center"/>
                </w:tcPr>
                <w:p w14:paraId="793F8B40">
                  <w:pPr>
                    <w:spacing w:line="240" w:lineRule="auto"/>
                    <w:ind w:left="21" w:leftChars="10" w:right="21" w:rightChars="10"/>
                    <w:jc w:val="center"/>
                    <w:rPr>
                      <w:color w:val="auto"/>
                      <w:sz w:val="21"/>
                      <w:szCs w:val="21"/>
                    </w:rPr>
                  </w:pPr>
                  <w:r>
                    <w:rPr>
                      <w:rFonts w:hint="eastAsia"/>
                      <w:color w:val="auto"/>
                      <w:kern w:val="0"/>
                      <w:sz w:val="21"/>
                      <w:szCs w:val="21"/>
                    </w:rPr>
                    <w:t>广东省《固定污染源挥发性有机物综合排放标准》（DB44/2367-2022）表1挥发性有机物排放限值</w:t>
                  </w:r>
                </w:p>
              </w:tc>
              <w:tc>
                <w:tcPr>
                  <w:tcW w:w="825" w:type="dxa"/>
                  <w:tcBorders>
                    <w:tl2br w:val="nil"/>
                    <w:tr2bl w:val="nil"/>
                  </w:tcBorders>
                  <w:noWrap/>
                  <w:vAlign w:val="center"/>
                </w:tcPr>
                <w:p w14:paraId="67AC70C8">
                  <w:pPr>
                    <w:spacing w:line="240" w:lineRule="auto"/>
                    <w:ind w:left="21" w:leftChars="10" w:right="21" w:rightChars="10"/>
                    <w:jc w:val="center"/>
                    <w:rPr>
                      <w:color w:val="auto"/>
                      <w:sz w:val="21"/>
                      <w:szCs w:val="21"/>
                    </w:rPr>
                  </w:pPr>
                  <w:r>
                    <w:rPr>
                      <w:rFonts w:hint="eastAsia"/>
                      <w:color w:val="auto"/>
                      <w:sz w:val="21"/>
                      <w:szCs w:val="21"/>
                    </w:rPr>
                    <w:t>100</w:t>
                  </w:r>
                </w:p>
              </w:tc>
              <w:tc>
                <w:tcPr>
                  <w:tcW w:w="735" w:type="dxa"/>
                  <w:tcBorders>
                    <w:tl2br w:val="nil"/>
                    <w:tr2bl w:val="nil"/>
                  </w:tcBorders>
                  <w:noWrap/>
                  <w:vAlign w:val="center"/>
                </w:tcPr>
                <w:p w14:paraId="37CB8FDF">
                  <w:pPr>
                    <w:spacing w:line="240" w:lineRule="auto"/>
                    <w:ind w:left="21" w:leftChars="10" w:right="21" w:rightChars="10"/>
                    <w:jc w:val="center"/>
                    <w:rPr>
                      <w:color w:val="auto"/>
                      <w:sz w:val="21"/>
                      <w:szCs w:val="21"/>
                    </w:rPr>
                  </w:pPr>
                  <w:r>
                    <w:rPr>
                      <w:rFonts w:hint="eastAsia"/>
                      <w:color w:val="auto"/>
                      <w:sz w:val="21"/>
                      <w:szCs w:val="21"/>
                    </w:rPr>
                    <w:t>/</w:t>
                  </w:r>
                </w:p>
              </w:tc>
              <w:tc>
                <w:tcPr>
                  <w:tcW w:w="739" w:type="dxa"/>
                  <w:tcBorders>
                    <w:tl2br w:val="nil"/>
                    <w:tr2bl w:val="nil"/>
                  </w:tcBorders>
                  <w:noWrap/>
                  <w:vAlign w:val="center"/>
                </w:tcPr>
                <w:p w14:paraId="099781A7">
                  <w:pPr>
                    <w:spacing w:line="240" w:lineRule="auto"/>
                    <w:ind w:left="21" w:leftChars="10" w:right="21" w:rightChars="10"/>
                    <w:jc w:val="center"/>
                    <w:rPr>
                      <w:rFonts w:hint="eastAsia"/>
                      <w:color w:val="auto"/>
                      <w:sz w:val="21"/>
                      <w:szCs w:val="21"/>
                    </w:rPr>
                  </w:pPr>
                  <w:r>
                    <w:rPr>
                      <w:rFonts w:hint="eastAsia"/>
                      <w:color w:val="auto"/>
                      <w:sz w:val="21"/>
                      <w:szCs w:val="21"/>
                    </w:rPr>
                    <w:t>达标</w:t>
                  </w:r>
                </w:p>
              </w:tc>
            </w:tr>
          </w:tbl>
          <w:p w14:paraId="2F855105">
            <w:pPr>
              <w:pStyle w:val="50"/>
              <w:snapToGrid w:val="0"/>
              <w:spacing w:before="120" w:beforeLines="5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表4-</w:t>
            </w:r>
            <w:r>
              <w:rPr>
                <w:rFonts w:hint="eastAsia" w:ascii="Times New Roman" w:hAnsi="Times New Roman" w:cs="Times New Roman"/>
                <w:b/>
                <w:bCs/>
                <w:color w:val="auto"/>
                <w:sz w:val="21"/>
                <w:szCs w:val="21"/>
                <w:lang w:val="en-US" w:eastAsia="zh-CN"/>
              </w:rPr>
              <w:t>8</w:t>
            </w:r>
            <w:r>
              <w:rPr>
                <w:rFonts w:hint="eastAsia" w:ascii="Times New Roman" w:hAnsi="Times New Roman" w:cs="Times New Roman"/>
                <w:b/>
                <w:bCs/>
                <w:color w:val="auto"/>
                <w:sz w:val="21"/>
                <w:szCs w:val="21"/>
              </w:rPr>
              <w:t xml:space="preserve"> </w:t>
            </w:r>
            <w:r>
              <w:rPr>
                <w:rFonts w:ascii="Times New Roman" w:hAnsi="Times New Roman" w:cs="Times New Roman"/>
                <w:b/>
                <w:bCs/>
                <w:color w:val="auto"/>
                <w:sz w:val="21"/>
                <w:szCs w:val="21"/>
              </w:rPr>
              <w:t>本项目大气污染物无组织排放量核算表</w:t>
            </w:r>
          </w:p>
          <w:tbl>
            <w:tblPr>
              <w:tblStyle w:val="42"/>
              <w:tblW w:w="92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1145"/>
              <w:gridCol w:w="690"/>
              <w:gridCol w:w="935"/>
              <w:gridCol w:w="3391"/>
              <w:gridCol w:w="1637"/>
              <w:gridCol w:w="984"/>
            </w:tblGrid>
            <w:tr w14:paraId="0E67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70" w:type="dxa"/>
                  <w:vMerge w:val="restart"/>
                  <w:tcBorders>
                    <w:top w:val="single" w:color="auto" w:sz="4" w:space="0"/>
                    <w:left w:val="single" w:color="auto" w:sz="4" w:space="0"/>
                    <w:bottom w:val="single" w:color="auto" w:sz="4" w:space="0"/>
                    <w:right w:val="single" w:color="auto" w:sz="4" w:space="0"/>
                  </w:tcBorders>
                  <w:vAlign w:val="center"/>
                </w:tcPr>
                <w:p w14:paraId="28820695">
                  <w:pPr>
                    <w:spacing w:line="240" w:lineRule="auto"/>
                    <w:jc w:val="center"/>
                    <w:rPr>
                      <w:b/>
                      <w:bCs/>
                      <w:color w:val="auto"/>
                      <w:szCs w:val="21"/>
                    </w:rPr>
                  </w:pPr>
                  <w:r>
                    <w:rPr>
                      <w:b/>
                      <w:bCs/>
                      <w:color w:val="auto"/>
                      <w:szCs w:val="21"/>
                    </w:rPr>
                    <w:t>序号</w:t>
                  </w:r>
                </w:p>
              </w:tc>
              <w:tc>
                <w:tcPr>
                  <w:tcW w:w="1146" w:type="dxa"/>
                  <w:vMerge w:val="restart"/>
                  <w:tcBorders>
                    <w:top w:val="single" w:color="auto" w:sz="4" w:space="0"/>
                    <w:left w:val="single" w:color="auto" w:sz="4" w:space="0"/>
                    <w:bottom w:val="single" w:color="auto" w:sz="4" w:space="0"/>
                    <w:right w:val="single" w:color="auto" w:sz="4" w:space="0"/>
                  </w:tcBorders>
                  <w:vAlign w:val="center"/>
                </w:tcPr>
                <w:p w14:paraId="1F434CD6">
                  <w:pPr>
                    <w:spacing w:line="240" w:lineRule="auto"/>
                    <w:jc w:val="center"/>
                    <w:rPr>
                      <w:b/>
                      <w:bCs/>
                      <w:color w:val="auto"/>
                      <w:szCs w:val="21"/>
                    </w:rPr>
                  </w:pPr>
                  <w:r>
                    <w:rPr>
                      <w:b/>
                      <w:bCs/>
                      <w:color w:val="auto"/>
                      <w:szCs w:val="21"/>
                    </w:rPr>
                    <w:t>产污环节</w:t>
                  </w:r>
                </w:p>
              </w:tc>
              <w:tc>
                <w:tcPr>
                  <w:tcW w:w="690" w:type="dxa"/>
                  <w:vMerge w:val="restart"/>
                  <w:tcBorders>
                    <w:top w:val="single" w:color="auto" w:sz="4" w:space="0"/>
                    <w:left w:val="single" w:color="auto" w:sz="4" w:space="0"/>
                    <w:bottom w:val="single" w:color="auto" w:sz="4" w:space="0"/>
                    <w:right w:val="single" w:color="auto" w:sz="4" w:space="0"/>
                  </w:tcBorders>
                  <w:vAlign w:val="center"/>
                </w:tcPr>
                <w:p w14:paraId="73E764E3">
                  <w:pPr>
                    <w:spacing w:line="240" w:lineRule="auto"/>
                    <w:jc w:val="center"/>
                    <w:rPr>
                      <w:b/>
                      <w:bCs/>
                      <w:color w:val="auto"/>
                      <w:szCs w:val="21"/>
                    </w:rPr>
                  </w:pPr>
                  <w:r>
                    <w:rPr>
                      <w:b/>
                      <w:bCs/>
                      <w:color w:val="auto"/>
                      <w:szCs w:val="21"/>
                    </w:rPr>
                    <w:t>污染物</w:t>
                  </w:r>
                </w:p>
              </w:tc>
              <w:tc>
                <w:tcPr>
                  <w:tcW w:w="930" w:type="dxa"/>
                  <w:vMerge w:val="restart"/>
                  <w:tcBorders>
                    <w:top w:val="single" w:color="auto" w:sz="4" w:space="0"/>
                    <w:left w:val="single" w:color="auto" w:sz="4" w:space="0"/>
                    <w:bottom w:val="single" w:color="auto" w:sz="4" w:space="0"/>
                    <w:right w:val="single" w:color="auto" w:sz="4" w:space="0"/>
                  </w:tcBorders>
                  <w:vAlign w:val="center"/>
                </w:tcPr>
                <w:p w14:paraId="0F164CAF">
                  <w:pPr>
                    <w:spacing w:line="240" w:lineRule="auto"/>
                    <w:jc w:val="center"/>
                    <w:rPr>
                      <w:b/>
                      <w:bCs/>
                      <w:color w:val="auto"/>
                      <w:szCs w:val="21"/>
                    </w:rPr>
                  </w:pPr>
                  <w:r>
                    <w:rPr>
                      <w:b/>
                      <w:bCs/>
                      <w:color w:val="auto"/>
                      <w:szCs w:val="21"/>
                    </w:rPr>
                    <w:t>主要污染防治措施</w:t>
                  </w:r>
                </w:p>
              </w:tc>
              <w:tc>
                <w:tcPr>
                  <w:tcW w:w="5031" w:type="dxa"/>
                  <w:gridSpan w:val="2"/>
                  <w:tcBorders>
                    <w:top w:val="single" w:color="auto" w:sz="4" w:space="0"/>
                    <w:left w:val="single" w:color="auto" w:sz="4" w:space="0"/>
                    <w:bottom w:val="single" w:color="auto" w:sz="4" w:space="0"/>
                    <w:right w:val="single" w:color="auto" w:sz="4" w:space="0"/>
                  </w:tcBorders>
                  <w:vAlign w:val="center"/>
                </w:tcPr>
                <w:p w14:paraId="65887E8F">
                  <w:pPr>
                    <w:spacing w:line="240" w:lineRule="auto"/>
                    <w:jc w:val="center"/>
                    <w:rPr>
                      <w:b/>
                      <w:bCs/>
                      <w:color w:val="auto"/>
                      <w:szCs w:val="21"/>
                    </w:rPr>
                  </w:pPr>
                  <w:r>
                    <w:rPr>
                      <w:b/>
                      <w:bCs/>
                      <w:color w:val="auto"/>
                      <w:szCs w:val="21"/>
                    </w:rPr>
                    <w:t>国家或地方污染物排放标准</w:t>
                  </w:r>
                </w:p>
              </w:tc>
              <w:tc>
                <w:tcPr>
                  <w:tcW w:w="984" w:type="dxa"/>
                  <w:vMerge w:val="restart"/>
                  <w:tcBorders>
                    <w:top w:val="single" w:color="auto" w:sz="4" w:space="0"/>
                    <w:left w:val="single" w:color="auto" w:sz="4" w:space="0"/>
                    <w:bottom w:val="single" w:color="auto" w:sz="4" w:space="0"/>
                    <w:right w:val="single" w:color="auto" w:sz="4" w:space="0"/>
                  </w:tcBorders>
                  <w:vAlign w:val="center"/>
                </w:tcPr>
                <w:p w14:paraId="406C1B80">
                  <w:pPr>
                    <w:spacing w:line="240" w:lineRule="auto"/>
                    <w:jc w:val="center"/>
                    <w:rPr>
                      <w:b/>
                      <w:bCs/>
                      <w:color w:val="auto"/>
                      <w:szCs w:val="21"/>
                    </w:rPr>
                  </w:pPr>
                  <w:r>
                    <w:rPr>
                      <w:b/>
                      <w:bCs/>
                      <w:color w:val="auto"/>
                      <w:szCs w:val="21"/>
                    </w:rPr>
                    <w:t>年排放量（t/a）</w:t>
                  </w:r>
                </w:p>
              </w:tc>
            </w:tr>
            <w:tr w14:paraId="59AA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0" w:type="dxa"/>
                  <w:vMerge w:val="continue"/>
                  <w:tcBorders>
                    <w:top w:val="single" w:color="auto" w:sz="4" w:space="0"/>
                    <w:left w:val="single" w:color="auto" w:sz="4" w:space="0"/>
                    <w:bottom w:val="single" w:color="auto" w:sz="4" w:space="0"/>
                    <w:right w:val="single" w:color="auto" w:sz="4" w:space="0"/>
                  </w:tcBorders>
                  <w:vAlign w:val="center"/>
                </w:tcPr>
                <w:p w14:paraId="40E53478">
                  <w:pPr>
                    <w:spacing w:line="240" w:lineRule="auto"/>
                    <w:jc w:val="center"/>
                    <w:rPr>
                      <w:b/>
                      <w:bCs/>
                      <w:color w:val="auto"/>
                      <w:szCs w:val="21"/>
                    </w:rPr>
                  </w:pPr>
                </w:p>
              </w:tc>
              <w:tc>
                <w:tcPr>
                  <w:tcW w:w="1146" w:type="dxa"/>
                  <w:vMerge w:val="continue"/>
                  <w:tcBorders>
                    <w:top w:val="single" w:color="auto" w:sz="4" w:space="0"/>
                    <w:left w:val="single" w:color="auto" w:sz="4" w:space="0"/>
                    <w:bottom w:val="single" w:color="auto" w:sz="4" w:space="0"/>
                    <w:right w:val="single" w:color="auto" w:sz="4" w:space="0"/>
                  </w:tcBorders>
                  <w:vAlign w:val="center"/>
                </w:tcPr>
                <w:p w14:paraId="341AA5A7">
                  <w:pPr>
                    <w:spacing w:line="240" w:lineRule="auto"/>
                    <w:jc w:val="center"/>
                    <w:rPr>
                      <w:b/>
                      <w:bCs/>
                      <w:color w:val="auto"/>
                      <w:szCs w:val="21"/>
                    </w:rPr>
                  </w:pPr>
                </w:p>
              </w:tc>
              <w:tc>
                <w:tcPr>
                  <w:tcW w:w="690" w:type="dxa"/>
                  <w:vMerge w:val="continue"/>
                  <w:tcBorders>
                    <w:top w:val="single" w:color="auto" w:sz="4" w:space="0"/>
                    <w:left w:val="single" w:color="auto" w:sz="4" w:space="0"/>
                    <w:bottom w:val="single" w:color="auto" w:sz="4" w:space="0"/>
                    <w:right w:val="single" w:color="auto" w:sz="4" w:space="0"/>
                  </w:tcBorders>
                  <w:vAlign w:val="center"/>
                </w:tcPr>
                <w:p w14:paraId="7D51CB22">
                  <w:pPr>
                    <w:spacing w:line="240" w:lineRule="auto"/>
                    <w:jc w:val="center"/>
                    <w:rPr>
                      <w:b/>
                      <w:bCs/>
                      <w:color w:val="auto"/>
                      <w:szCs w:val="21"/>
                    </w:rPr>
                  </w:pPr>
                </w:p>
              </w:tc>
              <w:tc>
                <w:tcPr>
                  <w:tcW w:w="930" w:type="dxa"/>
                  <w:vMerge w:val="continue"/>
                  <w:tcBorders>
                    <w:top w:val="single" w:color="auto" w:sz="4" w:space="0"/>
                    <w:left w:val="single" w:color="auto" w:sz="4" w:space="0"/>
                    <w:bottom w:val="single" w:color="auto" w:sz="4" w:space="0"/>
                    <w:right w:val="single" w:color="auto" w:sz="4" w:space="0"/>
                  </w:tcBorders>
                  <w:vAlign w:val="center"/>
                </w:tcPr>
                <w:p w14:paraId="45EAE4E4">
                  <w:pPr>
                    <w:spacing w:line="240" w:lineRule="auto"/>
                    <w:jc w:val="center"/>
                    <w:rPr>
                      <w:b/>
                      <w:bCs/>
                      <w:color w:val="auto"/>
                      <w:szCs w:val="21"/>
                    </w:rPr>
                  </w:pPr>
                </w:p>
              </w:tc>
              <w:tc>
                <w:tcPr>
                  <w:tcW w:w="3393" w:type="dxa"/>
                  <w:tcBorders>
                    <w:top w:val="single" w:color="auto" w:sz="4" w:space="0"/>
                    <w:left w:val="single" w:color="auto" w:sz="4" w:space="0"/>
                    <w:bottom w:val="single" w:color="auto" w:sz="4" w:space="0"/>
                    <w:right w:val="single" w:color="auto" w:sz="4" w:space="0"/>
                  </w:tcBorders>
                  <w:vAlign w:val="center"/>
                </w:tcPr>
                <w:p w14:paraId="5F5BDD50">
                  <w:pPr>
                    <w:spacing w:line="240" w:lineRule="auto"/>
                    <w:jc w:val="center"/>
                    <w:rPr>
                      <w:b/>
                      <w:bCs/>
                      <w:color w:val="auto"/>
                      <w:szCs w:val="21"/>
                    </w:rPr>
                  </w:pPr>
                  <w:r>
                    <w:rPr>
                      <w:b/>
                      <w:bCs/>
                      <w:color w:val="auto"/>
                      <w:szCs w:val="21"/>
                    </w:rPr>
                    <w:t>标准名称</w:t>
                  </w:r>
                </w:p>
              </w:tc>
              <w:tc>
                <w:tcPr>
                  <w:tcW w:w="1638" w:type="dxa"/>
                  <w:tcBorders>
                    <w:top w:val="single" w:color="auto" w:sz="4" w:space="0"/>
                    <w:left w:val="single" w:color="auto" w:sz="4" w:space="0"/>
                    <w:bottom w:val="single" w:color="auto" w:sz="4" w:space="0"/>
                    <w:right w:val="single" w:color="auto" w:sz="4" w:space="0"/>
                  </w:tcBorders>
                  <w:vAlign w:val="center"/>
                </w:tcPr>
                <w:p w14:paraId="624621C6">
                  <w:pPr>
                    <w:spacing w:line="240" w:lineRule="auto"/>
                    <w:jc w:val="center"/>
                    <w:rPr>
                      <w:b/>
                      <w:bCs/>
                      <w:color w:val="auto"/>
                      <w:szCs w:val="21"/>
                    </w:rPr>
                  </w:pPr>
                  <w:r>
                    <w:rPr>
                      <w:b/>
                      <w:bCs/>
                      <w:color w:val="auto"/>
                      <w:szCs w:val="21"/>
                    </w:rPr>
                    <w:t>排放限值（mg/m</w:t>
                  </w:r>
                  <w:r>
                    <w:rPr>
                      <w:b/>
                      <w:bCs/>
                      <w:color w:val="auto"/>
                      <w:szCs w:val="21"/>
                      <w:vertAlign w:val="superscript"/>
                    </w:rPr>
                    <w:t>3</w:t>
                  </w:r>
                  <w:r>
                    <w:rPr>
                      <w:b/>
                      <w:bCs/>
                      <w:color w:val="auto"/>
                      <w:szCs w:val="21"/>
                    </w:rPr>
                    <w:t>）</w:t>
                  </w:r>
                </w:p>
              </w:tc>
              <w:tc>
                <w:tcPr>
                  <w:tcW w:w="984" w:type="dxa"/>
                  <w:vMerge w:val="continue"/>
                  <w:tcBorders>
                    <w:top w:val="single" w:color="auto" w:sz="4" w:space="0"/>
                    <w:left w:val="single" w:color="auto" w:sz="4" w:space="0"/>
                    <w:bottom w:val="single" w:color="auto" w:sz="4" w:space="0"/>
                    <w:right w:val="single" w:color="auto" w:sz="4" w:space="0"/>
                  </w:tcBorders>
                  <w:vAlign w:val="center"/>
                </w:tcPr>
                <w:p w14:paraId="378A8F5C">
                  <w:pPr>
                    <w:spacing w:line="240" w:lineRule="auto"/>
                    <w:jc w:val="center"/>
                    <w:rPr>
                      <w:b/>
                      <w:bCs/>
                      <w:color w:val="auto"/>
                      <w:szCs w:val="21"/>
                    </w:rPr>
                  </w:pPr>
                </w:p>
              </w:tc>
            </w:tr>
            <w:tr w14:paraId="21DA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0" w:type="dxa"/>
                  <w:tcBorders>
                    <w:top w:val="single" w:color="auto" w:sz="4" w:space="0"/>
                    <w:left w:val="single" w:color="auto" w:sz="4" w:space="0"/>
                    <w:right w:val="single" w:color="auto" w:sz="4" w:space="0"/>
                  </w:tcBorders>
                  <w:vAlign w:val="center"/>
                </w:tcPr>
                <w:p w14:paraId="7C51282D">
                  <w:pPr>
                    <w:spacing w:line="240" w:lineRule="auto"/>
                    <w:jc w:val="center"/>
                    <w:rPr>
                      <w:color w:val="auto"/>
                      <w:szCs w:val="21"/>
                    </w:rPr>
                  </w:pPr>
                  <w:r>
                    <w:rPr>
                      <w:color w:val="auto"/>
                      <w:szCs w:val="21"/>
                    </w:rPr>
                    <w:t>1</w:t>
                  </w:r>
                </w:p>
              </w:tc>
              <w:tc>
                <w:tcPr>
                  <w:tcW w:w="1146" w:type="dxa"/>
                  <w:vMerge w:val="restart"/>
                  <w:tcBorders>
                    <w:top w:val="single" w:color="auto" w:sz="4" w:space="0"/>
                    <w:left w:val="single" w:color="auto" w:sz="4" w:space="0"/>
                    <w:right w:val="single" w:color="auto" w:sz="4" w:space="0"/>
                  </w:tcBorders>
                  <w:vAlign w:val="center"/>
                </w:tcPr>
                <w:p w14:paraId="507F5383">
                  <w:pPr>
                    <w:spacing w:line="240" w:lineRule="auto"/>
                    <w:jc w:val="center"/>
                    <w:rPr>
                      <w:color w:val="auto"/>
                      <w:szCs w:val="21"/>
                    </w:rPr>
                  </w:pPr>
                  <w:r>
                    <w:rPr>
                      <w:rFonts w:hint="eastAsia"/>
                      <w:color w:val="auto"/>
                      <w:szCs w:val="21"/>
                    </w:rPr>
                    <w:t>电泳涂装和烘干固化</w:t>
                  </w:r>
                </w:p>
              </w:tc>
              <w:tc>
                <w:tcPr>
                  <w:tcW w:w="690" w:type="dxa"/>
                  <w:tcBorders>
                    <w:top w:val="single" w:color="auto" w:sz="4" w:space="0"/>
                    <w:left w:val="single" w:color="auto" w:sz="4" w:space="0"/>
                    <w:right w:val="single" w:color="auto" w:sz="4" w:space="0"/>
                  </w:tcBorders>
                  <w:vAlign w:val="center"/>
                </w:tcPr>
                <w:p w14:paraId="3FB3AA85">
                  <w:pPr>
                    <w:spacing w:line="240" w:lineRule="auto"/>
                    <w:jc w:val="center"/>
                    <w:rPr>
                      <w:color w:val="auto"/>
                      <w:szCs w:val="21"/>
                    </w:rPr>
                  </w:pPr>
                  <w:r>
                    <w:rPr>
                      <w:rFonts w:hint="eastAsia"/>
                      <w:color w:val="auto"/>
                      <w:szCs w:val="21"/>
                    </w:rPr>
                    <w:t>VOCs</w:t>
                  </w:r>
                </w:p>
              </w:tc>
              <w:tc>
                <w:tcPr>
                  <w:tcW w:w="930" w:type="dxa"/>
                  <w:vMerge w:val="restart"/>
                  <w:tcBorders>
                    <w:top w:val="single" w:color="auto" w:sz="4" w:space="0"/>
                    <w:left w:val="single" w:color="auto" w:sz="4" w:space="0"/>
                    <w:right w:val="single" w:color="auto" w:sz="4" w:space="0"/>
                  </w:tcBorders>
                  <w:vAlign w:val="center"/>
                </w:tcPr>
                <w:p w14:paraId="6AA199AA">
                  <w:pPr>
                    <w:spacing w:line="240" w:lineRule="auto"/>
                    <w:jc w:val="center"/>
                    <w:rPr>
                      <w:color w:val="auto"/>
                      <w:szCs w:val="21"/>
                    </w:rPr>
                  </w:pPr>
                  <w:r>
                    <w:rPr>
                      <w:color w:val="auto"/>
                      <w:szCs w:val="21"/>
                    </w:rPr>
                    <w:t>通风</w:t>
                  </w:r>
                </w:p>
              </w:tc>
              <w:tc>
                <w:tcPr>
                  <w:tcW w:w="3393" w:type="dxa"/>
                  <w:tcBorders>
                    <w:top w:val="single" w:color="auto" w:sz="4" w:space="0"/>
                    <w:left w:val="single" w:color="auto" w:sz="4" w:space="0"/>
                    <w:right w:val="single" w:color="auto" w:sz="4" w:space="0"/>
                  </w:tcBorders>
                  <w:vAlign w:val="center"/>
                </w:tcPr>
                <w:p w14:paraId="5490F76F">
                  <w:pPr>
                    <w:jc w:val="center"/>
                    <w:textAlignment w:val="center"/>
                    <w:rPr>
                      <w:color w:val="auto"/>
                      <w:kern w:val="0"/>
                      <w:szCs w:val="21"/>
                    </w:rPr>
                  </w:pPr>
                  <w:r>
                    <w:rPr>
                      <w:color w:val="auto"/>
                      <w:kern w:val="0"/>
                      <w:szCs w:val="21"/>
                    </w:rPr>
                    <w:t>厂区内执行《挥发性有机物无组织排放控制标准》（GB37822-2019）附录A.1厂区内VOCs 无组织特别排放限值要求</w:t>
                  </w:r>
                </w:p>
              </w:tc>
              <w:tc>
                <w:tcPr>
                  <w:tcW w:w="1638" w:type="dxa"/>
                  <w:tcBorders>
                    <w:top w:val="single" w:color="auto" w:sz="4" w:space="0"/>
                    <w:left w:val="single" w:color="auto" w:sz="4" w:space="0"/>
                    <w:right w:val="single" w:color="auto" w:sz="4" w:space="0"/>
                  </w:tcBorders>
                  <w:vAlign w:val="center"/>
                </w:tcPr>
                <w:p w14:paraId="58712DA5">
                  <w:pPr>
                    <w:jc w:val="center"/>
                    <w:textAlignment w:val="center"/>
                    <w:rPr>
                      <w:color w:val="auto"/>
                      <w:kern w:val="0"/>
                      <w:szCs w:val="21"/>
                    </w:rPr>
                  </w:pPr>
                  <w:r>
                    <w:rPr>
                      <w:rFonts w:hint="eastAsia"/>
                      <w:color w:val="auto"/>
                      <w:kern w:val="0"/>
                      <w:szCs w:val="21"/>
                    </w:rPr>
                    <w:t>厂区内执行6（</w:t>
                  </w:r>
                  <w:r>
                    <w:rPr>
                      <w:color w:val="auto"/>
                      <w:szCs w:val="21"/>
                    </w:rPr>
                    <w:t>监控点处1h平均浓度值</w:t>
                  </w:r>
                  <w:r>
                    <w:rPr>
                      <w:rFonts w:hint="eastAsia"/>
                      <w:color w:val="auto"/>
                      <w:kern w:val="0"/>
                      <w:szCs w:val="21"/>
                    </w:rPr>
                    <w:t>），20（</w:t>
                  </w:r>
                  <w:r>
                    <w:rPr>
                      <w:color w:val="auto"/>
                      <w:szCs w:val="21"/>
                    </w:rPr>
                    <w:t>监控点处任意一次浓度值</w:t>
                  </w:r>
                  <w:r>
                    <w:rPr>
                      <w:rFonts w:hint="eastAsia"/>
                      <w:color w:val="auto"/>
                      <w:kern w:val="0"/>
                      <w:szCs w:val="21"/>
                    </w:rPr>
                    <w:t>）</w:t>
                  </w:r>
                </w:p>
              </w:tc>
              <w:tc>
                <w:tcPr>
                  <w:tcW w:w="984" w:type="dxa"/>
                  <w:tcBorders>
                    <w:top w:val="single" w:color="auto" w:sz="4" w:space="0"/>
                    <w:left w:val="single" w:color="auto" w:sz="4" w:space="0"/>
                    <w:right w:val="single" w:color="auto" w:sz="4" w:space="0"/>
                  </w:tcBorders>
                  <w:vAlign w:val="center"/>
                </w:tcPr>
                <w:p w14:paraId="08F1085C">
                  <w:pPr>
                    <w:spacing w:line="240" w:lineRule="auto"/>
                    <w:jc w:val="center"/>
                    <w:rPr>
                      <w:color w:val="auto"/>
                      <w:szCs w:val="21"/>
                    </w:rPr>
                  </w:pPr>
                  <w:r>
                    <w:rPr>
                      <w:color w:val="auto"/>
                      <w:szCs w:val="21"/>
                    </w:rPr>
                    <w:t>0.0</w:t>
                  </w:r>
                  <w:r>
                    <w:rPr>
                      <w:rFonts w:hint="eastAsia"/>
                      <w:color w:val="auto"/>
                      <w:szCs w:val="21"/>
                    </w:rPr>
                    <w:t>676</w:t>
                  </w:r>
                </w:p>
              </w:tc>
            </w:tr>
            <w:tr w14:paraId="636A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0" w:type="dxa"/>
                  <w:tcBorders>
                    <w:left w:val="single" w:color="auto" w:sz="4" w:space="0"/>
                    <w:right w:val="single" w:color="auto" w:sz="4" w:space="0"/>
                  </w:tcBorders>
                  <w:vAlign w:val="center"/>
                </w:tcPr>
                <w:p w14:paraId="503E55AB">
                  <w:pPr>
                    <w:spacing w:line="240" w:lineRule="auto"/>
                    <w:jc w:val="center"/>
                    <w:rPr>
                      <w:color w:val="auto"/>
                      <w:szCs w:val="21"/>
                    </w:rPr>
                  </w:pPr>
                  <w:r>
                    <w:rPr>
                      <w:color w:val="auto"/>
                      <w:szCs w:val="21"/>
                    </w:rPr>
                    <w:t>2</w:t>
                  </w:r>
                </w:p>
              </w:tc>
              <w:tc>
                <w:tcPr>
                  <w:tcW w:w="1146" w:type="dxa"/>
                  <w:vMerge w:val="continue"/>
                  <w:tcBorders>
                    <w:left w:val="single" w:color="auto" w:sz="4" w:space="0"/>
                    <w:right w:val="single" w:color="auto" w:sz="4" w:space="0"/>
                  </w:tcBorders>
                  <w:vAlign w:val="center"/>
                </w:tcPr>
                <w:p w14:paraId="02696621">
                  <w:pPr>
                    <w:spacing w:line="240" w:lineRule="auto"/>
                    <w:jc w:val="center"/>
                    <w:rPr>
                      <w:color w:val="auto"/>
                      <w:szCs w:val="21"/>
                    </w:rPr>
                  </w:pPr>
                </w:p>
              </w:tc>
              <w:tc>
                <w:tcPr>
                  <w:tcW w:w="690" w:type="dxa"/>
                  <w:tcBorders>
                    <w:top w:val="single" w:color="auto" w:sz="4" w:space="0"/>
                    <w:left w:val="single" w:color="auto" w:sz="4" w:space="0"/>
                    <w:right w:val="single" w:color="auto" w:sz="4" w:space="0"/>
                  </w:tcBorders>
                  <w:vAlign w:val="center"/>
                </w:tcPr>
                <w:p w14:paraId="207FADC6">
                  <w:pPr>
                    <w:spacing w:line="240" w:lineRule="auto"/>
                    <w:jc w:val="center"/>
                    <w:rPr>
                      <w:color w:val="auto"/>
                      <w:szCs w:val="21"/>
                    </w:rPr>
                  </w:pPr>
                  <w:r>
                    <w:rPr>
                      <w:color w:val="auto"/>
                      <w:szCs w:val="21"/>
                    </w:rPr>
                    <w:t>臭气浓度</w:t>
                  </w:r>
                </w:p>
              </w:tc>
              <w:tc>
                <w:tcPr>
                  <w:tcW w:w="930" w:type="dxa"/>
                  <w:vMerge w:val="continue"/>
                  <w:tcBorders>
                    <w:left w:val="single" w:color="auto" w:sz="4" w:space="0"/>
                    <w:right w:val="single" w:color="auto" w:sz="4" w:space="0"/>
                  </w:tcBorders>
                  <w:vAlign w:val="center"/>
                </w:tcPr>
                <w:p w14:paraId="5D3A37BB">
                  <w:pPr>
                    <w:spacing w:line="240" w:lineRule="auto"/>
                    <w:jc w:val="center"/>
                    <w:rPr>
                      <w:color w:val="auto"/>
                      <w:szCs w:val="21"/>
                    </w:rPr>
                  </w:pPr>
                </w:p>
              </w:tc>
              <w:tc>
                <w:tcPr>
                  <w:tcW w:w="3393" w:type="dxa"/>
                  <w:tcBorders>
                    <w:left w:val="single" w:color="auto" w:sz="4" w:space="0"/>
                    <w:right w:val="single" w:color="auto" w:sz="4" w:space="0"/>
                  </w:tcBorders>
                  <w:vAlign w:val="center"/>
                </w:tcPr>
                <w:p w14:paraId="1D78F79F">
                  <w:pPr>
                    <w:spacing w:line="240" w:lineRule="auto"/>
                    <w:jc w:val="center"/>
                    <w:rPr>
                      <w:color w:val="auto"/>
                      <w:szCs w:val="21"/>
                    </w:rPr>
                  </w:pPr>
                  <w:r>
                    <w:rPr>
                      <w:color w:val="auto"/>
                      <w:szCs w:val="21"/>
                    </w:rPr>
                    <w:t>厂界无组织排放执行</w:t>
                  </w:r>
                  <w:r>
                    <w:rPr>
                      <w:color w:val="auto"/>
                      <w:kern w:val="0"/>
                      <w:szCs w:val="21"/>
                    </w:rPr>
                    <w:t>《恶臭污染物排放标准》（GB14554-93）表1恶臭污染物二级新扩改建厂界标准值</w:t>
                  </w:r>
                </w:p>
              </w:tc>
              <w:tc>
                <w:tcPr>
                  <w:tcW w:w="1638" w:type="dxa"/>
                  <w:tcBorders>
                    <w:left w:val="single" w:color="auto" w:sz="4" w:space="0"/>
                    <w:right w:val="single" w:color="auto" w:sz="4" w:space="0"/>
                  </w:tcBorders>
                  <w:vAlign w:val="center"/>
                </w:tcPr>
                <w:p w14:paraId="44C05DD0">
                  <w:pPr>
                    <w:spacing w:line="240" w:lineRule="auto"/>
                    <w:jc w:val="center"/>
                    <w:rPr>
                      <w:color w:val="auto"/>
                      <w:szCs w:val="21"/>
                    </w:rPr>
                  </w:pPr>
                  <w:r>
                    <w:rPr>
                      <w:color w:val="auto"/>
                      <w:szCs w:val="21"/>
                    </w:rPr>
                    <w:t>20（无量纲）</w:t>
                  </w:r>
                </w:p>
              </w:tc>
              <w:tc>
                <w:tcPr>
                  <w:tcW w:w="984" w:type="dxa"/>
                  <w:tcBorders>
                    <w:top w:val="single" w:color="auto" w:sz="4" w:space="0"/>
                    <w:left w:val="single" w:color="auto" w:sz="4" w:space="0"/>
                    <w:right w:val="single" w:color="auto" w:sz="4" w:space="0"/>
                  </w:tcBorders>
                  <w:vAlign w:val="center"/>
                </w:tcPr>
                <w:p w14:paraId="22DBC03E">
                  <w:pPr>
                    <w:spacing w:line="240" w:lineRule="auto"/>
                    <w:jc w:val="center"/>
                    <w:rPr>
                      <w:color w:val="auto"/>
                      <w:szCs w:val="21"/>
                    </w:rPr>
                  </w:pPr>
                  <w:r>
                    <w:rPr>
                      <w:color w:val="auto"/>
                      <w:szCs w:val="21"/>
                    </w:rPr>
                    <w:t>/</w:t>
                  </w:r>
                </w:p>
              </w:tc>
            </w:tr>
            <w:tr w14:paraId="0BF0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1" w:type="dxa"/>
                  <w:gridSpan w:val="4"/>
                  <w:vMerge w:val="restart"/>
                  <w:tcBorders>
                    <w:top w:val="single" w:color="auto" w:sz="4" w:space="0"/>
                    <w:left w:val="single" w:color="auto" w:sz="4" w:space="0"/>
                    <w:right w:val="single" w:color="auto" w:sz="4" w:space="0"/>
                  </w:tcBorders>
                  <w:vAlign w:val="center"/>
                </w:tcPr>
                <w:p w14:paraId="13A8796A">
                  <w:pPr>
                    <w:spacing w:line="240" w:lineRule="auto"/>
                    <w:jc w:val="center"/>
                    <w:rPr>
                      <w:color w:val="auto"/>
                      <w:szCs w:val="21"/>
                    </w:rPr>
                  </w:pPr>
                  <w:r>
                    <w:rPr>
                      <w:color w:val="auto"/>
                      <w:szCs w:val="21"/>
                    </w:rPr>
                    <w:t>合计</w:t>
                  </w:r>
                </w:p>
              </w:tc>
              <w:tc>
                <w:tcPr>
                  <w:tcW w:w="5026" w:type="dxa"/>
                  <w:gridSpan w:val="2"/>
                  <w:tcBorders>
                    <w:top w:val="single" w:color="auto" w:sz="4" w:space="0"/>
                    <w:left w:val="single" w:color="auto" w:sz="4" w:space="0"/>
                    <w:bottom w:val="single" w:color="auto" w:sz="4" w:space="0"/>
                    <w:right w:val="single" w:color="auto" w:sz="4" w:space="0"/>
                  </w:tcBorders>
                  <w:vAlign w:val="center"/>
                </w:tcPr>
                <w:p w14:paraId="4146854A">
                  <w:pPr>
                    <w:spacing w:line="240" w:lineRule="auto"/>
                    <w:jc w:val="center"/>
                    <w:rPr>
                      <w:color w:val="auto"/>
                      <w:szCs w:val="21"/>
                    </w:rPr>
                  </w:pPr>
                  <w:r>
                    <w:rPr>
                      <w:color w:val="auto"/>
                      <w:szCs w:val="21"/>
                    </w:rPr>
                    <w:t>非甲烷总烃</w:t>
                  </w:r>
                </w:p>
              </w:tc>
              <w:tc>
                <w:tcPr>
                  <w:tcW w:w="984" w:type="dxa"/>
                  <w:tcBorders>
                    <w:top w:val="single" w:color="auto" w:sz="4" w:space="0"/>
                    <w:left w:val="single" w:color="auto" w:sz="4" w:space="0"/>
                    <w:bottom w:val="single" w:color="auto" w:sz="4" w:space="0"/>
                    <w:right w:val="single" w:color="auto" w:sz="4" w:space="0"/>
                  </w:tcBorders>
                  <w:vAlign w:val="center"/>
                </w:tcPr>
                <w:p w14:paraId="4974410C">
                  <w:pPr>
                    <w:spacing w:line="240" w:lineRule="auto"/>
                    <w:jc w:val="center"/>
                    <w:rPr>
                      <w:color w:val="auto"/>
                      <w:szCs w:val="21"/>
                    </w:rPr>
                  </w:pPr>
                  <w:r>
                    <w:rPr>
                      <w:color w:val="auto"/>
                      <w:szCs w:val="21"/>
                    </w:rPr>
                    <w:t>0.</w:t>
                  </w:r>
                  <w:r>
                    <w:rPr>
                      <w:rFonts w:hint="eastAsia"/>
                      <w:color w:val="auto"/>
                      <w:szCs w:val="21"/>
                    </w:rPr>
                    <w:t>0676</w:t>
                  </w:r>
                </w:p>
              </w:tc>
            </w:tr>
            <w:tr w14:paraId="5766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1" w:type="dxa"/>
                  <w:gridSpan w:val="4"/>
                  <w:vMerge w:val="continue"/>
                  <w:tcBorders>
                    <w:left w:val="single" w:color="auto" w:sz="4" w:space="0"/>
                    <w:bottom w:val="single" w:color="auto" w:sz="4" w:space="0"/>
                    <w:right w:val="single" w:color="auto" w:sz="4" w:space="0"/>
                  </w:tcBorders>
                  <w:vAlign w:val="center"/>
                </w:tcPr>
                <w:p w14:paraId="1C2F031D">
                  <w:pPr>
                    <w:spacing w:line="240" w:lineRule="auto"/>
                    <w:jc w:val="center"/>
                    <w:rPr>
                      <w:color w:val="auto"/>
                      <w:szCs w:val="21"/>
                    </w:rPr>
                  </w:pPr>
                </w:p>
              </w:tc>
              <w:tc>
                <w:tcPr>
                  <w:tcW w:w="5026" w:type="dxa"/>
                  <w:gridSpan w:val="2"/>
                  <w:tcBorders>
                    <w:top w:val="single" w:color="auto" w:sz="4" w:space="0"/>
                    <w:left w:val="single" w:color="auto" w:sz="4" w:space="0"/>
                    <w:bottom w:val="single" w:color="auto" w:sz="4" w:space="0"/>
                    <w:right w:val="single" w:color="auto" w:sz="4" w:space="0"/>
                  </w:tcBorders>
                  <w:vAlign w:val="center"/>
                </w:tcPr>
                <w:p w14:paraId="52973A63">
                  <w:pPr>
                    <w:spacing w:line="240" w:lineRule="auto"/>
                    <w:jc w:val="center"/>
                    <w:rPr>
                      <w:color w:val="auto"/>
                      <w:szCs w:val="21"/>
                    </w:rPr>
                  </w:pPr>
                  <w:r>
                    <w:rPr>
                      <w:color w:val="auto"/>
                      <w:szCs w:val="21"/>
                    </w:rPr>
                    <w:t>臭气浓度</w:t>
                  </w:r>
                </w:p>
              </w:tc>
              <w:tc>
                <w:tcPr>
                  <w:tcW w:w="984" w:type="dxa"/>
                  <w:tcBorders>
                    <w:top w:val="single" w:color="auto" w:sz="4" w:space="0"/>
                    <w:left w:val="single" w:color="auto" w:sz="4" w:space="0"/>
                    <w:bottom w:val="single" w:color="auto" w:sz="4" w:space="0"/>
                    <w:right w:val="single" w:color="auto" w:sz="4" w:space="0"/>
                  </w:tcBorders>
                  <w:vAlign w:val="center"/>
                </w:tcPr>
                <w:p w14:paraId="0EA7D36A">
                  <w:pPr>
                    <w:jc w:val="center"/>
                    <w:textAlignment w:val="center"/>
                    <w:rPr>
                      <w:color w:val="auto"/>
                      <w:szCs w:val="21"/>
                    </w:rPr>
                  </w:pPr>
                  <w:r>
                    <w:rPr>
                      <w:color w:val="auto"/>
                      <w:kern w:val="0"/>
                      <w:szCs w:val="21"/>
                      <w:lang w:bidi="ar"/>
                    </w:rPr>
                    <w:t>/</w:t>
                  </w:r>
                </w:p>
              </w:tc>
            </w:tr>
          </w:tbl>
          <w:p w14:paraId="0AF601ED">
            <w:pPr>
              <w:pStyle w:val="50"/>
              <w:snapToGrid w:val="0"/>
              <w:spacing w:before="120" w:beforeLines="5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表4-</w:t>
            </w:r>
            <w:r>
              <w:rPr>
                <w:rFonts w:hint="eastAsia" w:ascii="Times New Roman" w:hAnsi="Times New Roman" w:cs="Times New Roman"/>
                <w:b/>
                <w:bCs/>
                <w:color w:val="auto"/>
                <w:sz w:val="21"/>
                <w:szCs w:val="21"/>
                <w:lang w:val="en-US" w:eastAsia="zh-CN"/>
              </w:rPr>
              <w:t>9</w:t>
            </w:r>
            <w:r>
              <w:rPr>
                <w:rFonts w:ascii="Times New Roman" w:hAnsi="Times New Roman" w:cs="Times New Roman"/>
                <w:b/>
                <w:bCs/>
                <w:color w:val="auto"/>
                <w:sz w:val="21"/>
                <w:szCs w:val="21"/>
              </w:rPr>
              <w:t xml:space="preserve"> 本项目大气污染物年排放量核算表</w:t>
            </w:r>
          </w:p>
          <w:tbl>
            <w:tblPr>
              <w:tblStyle w:val="42"/>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8"/>
              <w:gridCol w:w="3832"/>
              <w:gridCol w:w="3479"/>
            </w:tblGrid>
            <w:tr w14:paraId="3BBE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8" w:type="dxa"/>
                  <w:vAlign w:val="center"/>
                </w:tcPr>
                <w:p w14:paraId="1AB49447">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序号</w:t>
                  </w:r>
                </w:p>
              </w:tc>
              <w:tc>
                <w:tcPr>
                  <w:tcW w:w="3832" w:type="dxa"/>
                  <w:vAlign w:val="center"/>
                </w:tcPr>
                <w:p w14:paraId="1CA91D98">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污染物</w:t>
                  </w:r>
                </w:p>
              </w:tc>
              <w:tc>
                <w:tcPr>
                  <w:tcW w:w="3479" w:type="dxa"/>
                  <w:vAlign w:val="center"/>
                </w:tcPr>
                <w:p w14:paraId="1EE113BB">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年排放量（t/a）</w:t>
                  </w:r>
                </w:p>
              </w:tc>
            </w:tr>
            <w:tr w14:paraId="6CDB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8" w:type="dxa"/>
                  <w:vAlign w:val="center"/>
                </w:tcPr>
                <w:p w14:paraId="1EE5623C">
                  <w:pPr>
                    <w:pStyle w:val="24"/>
                    <w:widowControl w:val="0"/>
                    <w:adjustRightInd w:val="0"/>
                    <w:snapToGrid w:val="0"/>
                    <w:spacing w:line="240" w:lineRule="auto"/>
                    <w:jc w:val="center"/>
                    <w:rPr>
                      <w:rFonts w:ascii="Times New Roman" w:hAnsi="Times New Roman" w:cs="Times New Roman"/>
                      <w:color w:val="auto"/>
                    </w:rPr>
                  </w:pPr>
                  <w:r>
                    <w:rPr>
                      <w:rFonts w:ascii="Times New Roman" w:hAnsi="Times New Roman" w:cs="Times New Roman"/>
                      <w:color w:val="auto"/>
                    </w:rPr>
                    <w:t>1</w:t>
                  </w:r>
                </w:p>
              </w:tc>
              <w:tc>
                <w:tcPr>
                  <w:tcW w:w="3832" w:type="dxa"/>
                  <w:vAlign w:val="center"/>
                </w:tcPr>
                <w:p w14:paraId="60F66978">
                  <w:pPr>
                    <w:spacing w:line="240" w:lineRule="auto"/>
                    <w:jc w:val="center"/>
                    <w:rPr>
                      <w:color w:val="auto"/>
                      <w:szCs w:val="21"/>
                    </w:rPr>
                  </w:pPr>
                  <w:r>
                    <w:rPr>
                      <w:color w:val="auto"/>
                      <w:szCs w:val="21"/>
                    </w:rPr>
                    <w:t>非甲烷总烃</w:t>
                  </w:r>
                </w:p>
              </w:tc>
              <w:tc>
                <w:tcPr>
                  <w:tcW w:w="3479" w:type="dxa"/>
                  <w:vAlign w:val="center"/>
                </w:tcPr>
                <w:p w14:paraId="6838F9FB">
                  <w:pPr>
                    <w:spacing w:line="240" w:lineRule="auto"/>
                    <w:jc w:val="center"/>
                    <w:rPr>
                      <w:color w:val="auto"/>
                      <w:szCs w:val="21"/>
                    </w:rPr>
                  </w:pPr>
                  <w:r>
                    <w:rPr>
                      <w:rFonts w:hint="eastAsia"/>
                      <w:color w:val="auto"/>
                      <w:szCs w:val="21"/>
                    </w:rPr>
                    <w:t>0.1892</w:t>
                  </w:r>
                </w:p>
              </w:tc>
            </w:tr>
            <w:tr w14:paraId="5458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98" w:type="dxa"/>
                  <w:vAlign w:val="center"/>
                </w:tcPr>
                <w:p w14:paraId="299FA5AF">
                  <w:pPr>
                    <w:pStyle w:val="24"/>
                    <w:widowControl w:val="0"/>
                    <w:adjustRightInd w:val="0"/>
                    <w:snapToGrid w:val="0"/>
                    <w:spacing w:line="240" w:lineRule="auto"/>
                    <w:jc w:val="center"/>
                    <w:rPr>
                      <w:rFonts w:ascii="Times New Roman" w:hAnsi="Times New Roman" w:cs="Times New Roman"/>
                      <w:color w:val="auto"/>
                    </w:rPr>
                  </w:pPr>
                  <w:r>
                    <w:rPr>
                      <w:rFonts w:hint="eastAsia" w:ascii="Times New Roman" w:hAnsi="Times New Roman" w:cs="Times New Roman"/>
                      <w:color w:val="auto"/>
                    </w:rPr>
                    <w:t>2</w:t>
                  </w:r>
                </w:p>
              </w:tc>
              <w:tc>
                <w:tcPr>
                  <w:tcW w:w="3832" w:type="dxa"/>
                  <w:vAlign w:val="center"/>
                </w:tcPr>
                <w:p w14:paraId="6CA3F6A0">
                  <w:pPr>
                    <w:spacing w:line="240" w:lineRule="auto"/>
                    <w:jc w:val="center"/>
                    <w:rPr>
                      <w:color w:val="auto"/>
                      <w:szCs w:val="21"/>
                    </w:rPr>
                  </w:pPr>
                  <w:r>
                    <w:rPr>
                      <w:color w:val="auto"/>
                      <w:szCs w:val="21"/>
                    </w:rPr>
                    <w:t>臭气浓度</w:t>
                  </w:r>
                </w:p>
              </w:tc>
              <w:tc>
                <w:tcPr>
                  <w:tcW w:w="3479" w:type="dxa"/>
                  <w:vAlign w:val="center"/>
                </w:tcPr>
                <w:p w14:paraId="69393FF9">
                  <w:pPr>
                    <w:spacing w:line="240" w:lineRule="auto"/>
                    <w:jc w:val="center"/>
                    <w:rPr>
                      <w:color w:val="auto"/>
                      <w:szCs w:val="21"/>
                    </w:rPr>
                  </w:pPr>
                  <w:r>
                    <w:rPr>
                      <w:color w:val="auto"/>
                      <w:szCs w:val="21"/>
                    </w:rPr>
                    <w:t>/</w:t>
                  </w:r>
                </w:p>
              </w:tc>
            </w:tr>
          </w:tbl>
          <w:p w14:paraId="555E3C1A">
            <w:pPr>
              <w:pStyle w:val="189"/>
              <w:spacing w:line="360" w:lineRule="auto"/>
              <w:ind w:firstLine="482"/>
              <w:rPr>
                <w:b/>
                <w:bCs/>
                <w:color w:val="auto"/>
                <w:sz w:val="24"/>
              </w:rPr>
            </w:pPr>
            <w:r>
              <w:rPr>
                <w:rFonts w:hint="eastAsia"/>
                <w:b/>
                <w:bCs/>
                <w:color w:val="auto"/>
                <w:sz w:val="24"/>
              </w:rPr>
              <w:t>5</w:t>
            </w:r>
            <w:r>
              <w:rPr>
                <w:b/>
                <w:bCs/>
                <w:color w:val="auto"/>
                <w:sz w:val="24"/>
              </w:rPr>
              <w:t>、非正常工况下分析</w:t>
            </w:r>
          </w:p>
          <w:p w14:paraId="1B349720">
            <w:pPr>
              <w:pStyle w:val="189"/>
              <w:spacing w:line="360" w:lineRule="auto"/>
              <w:ind w:firstLine="480"/>
              <w:rPr>
                <w:color w:val="auto"/>
                <w:sz w:val="24"/>
              </w:rPr>
            </w:pPr>
            <w:r>
              <w:rPr>
                <w:color w:val="auto"/>
                <w:sz w:val="24"/>
              </w:rPr>
              <w:t>非正常工况下主要考虑污染物治理设施发生故障，导致废气处理效率下降（按处理效率为0考虑），本项目非正常工况下排放量核算情况见下表。</w:t>
            </w:r>
          </w:p>
          <w:p w14:paraId="4B966CC2">
            <w:pPr>
              <w:pStyle w:val="50"/>
              <w:snapToGrid w:val="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表4-</w:t>
            </w:r>
            <w:r>
              <w:rPr>
                <w:rFonts w:hint="eastAsia" w:ascii="Times New Roman" w:hAnsi="Times New Roman" w:cs="Times New Roman"/>
                <w:b/>
                <w:bCs/>
                <w:color w:val="auto"/>
                <w:sz w:val="21"/>
                <w:szCs w:val="21"/>
                <w:lang w:val="en-US" w:eastAsia="zh-CN"/>
              </w:rPr>
              <w:t>10</w:t>
            </w:r>
            <w:r>
              <w:rPr>
                <w:rFonts w:ascii="Times New Roman" w:hAnsi="Times New Roman" w:cs="Times New Roman"/>
                <w:b/>
                <w:bCs/>
                <w:color w:val="auto"/>
                <w:sz w:val="21"/>
                <w:szCs w:val="21"/>
              </w:rPr>
              <w:t>本项目大气污染物非正常排放量核算表</w:t>
            </w:r>
          </w:p>
          <w:tbl>
            <w:tblPr>
              <w:tblStyle w:val="42"/>
              <w:tblW w:w="9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1689"/>
              <w:gridCol w:w="1170"/>
              <w:gridCol w:w="945"/>
              <w:gridCol w:w="1230"/>
              <w:gridCol w:w="1065"/>
              <w:gridCol w:w="870"/>
              <w:gridCol w:w="915"/>
              <w:gridCol w:w="1442"/>
            </w:tblGrid>
            <w:tr w14:paraId="7972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tblHeader/>
                <w:jc w:val="center"/>
              </w:trPr>
              <w:tc>
                <w:tcPr>
                  <w:tcW w:w="1689" w:type="dxa"/>
                  <w:tcBorders>
                    <w:top w:val="single" w:color="auto" w:sz="4" w:space="0"/>
                    <w:left w:val="single" w:color="auto" w:sz="4" w:space="0"/>
                    <w:bottom w:val="single" w:color="auto" w:sz="4" w:space="0"/>
                    <w:right w:val="single" w:color="auto" w:sz="4" w:space="0"/>
                  </w:tcBorders>
                  <w:vAlign w:val="center"/>
                </w:tcPr>
                <w:p w14:paraId="64D728EA">
                  <w:pPr>
                    <w:widowControl w:val="0"/>
                    <w:adjustRightInd w:val="0"/>
                    <w:snapToGrid w:val="0"/>
                    <w:spacing w:line="240" w:lineRule="auto"/>
                    <w:jc w:val="center"/>
                    <w:rPr>
                      <w:b/>
                      <w:bCs/>
                      <w:color w:val="auto"/>
                    </w:rPr>
                  </w:pPr>
                  <w:r>
                    <w:rPr>
                      <w:b/>
                      <w:bCs/>
                      <w:color w:val="auto"/>
                    </w:rPr>
                    <w:t>污染源</w:t>
                  </w:r>
                </w:p>
              </w:tc>
              <w:tc>
                <w:tcPr>
                  <w:tcW w:w="1170" w:type="dxa"/>
                  <w:tcBorders>
                    <w:top w:val="single" w:color="auto" w:sz="4" w:space="0"/>
                    <w:left w:val="single" w:color="auto" w:sz="4" w:space="0"/>
                    <w:bottom w:val="single" w:color="auto" w:sz="4" w:space="0"/>
                    <w:right w:val="single" w:color="auto" w:sz="4" w:space="0"/>
                  </w:tcBorders>
                  <w:vAlign w:val="center"/>
                </w:tcPr>
                <w:p w14:paraId="2D497C11">
                  <w:pPr>
                    <w:widowControl w:val="0"/>
                    <w:adjustRightInd w:val="0"/>
                    <w:snapToGrid w:val="0"/>
                    <w:spacing w:line="240" w:lineRule="auto"/>
                    <w:jc w:val="center"/>
                    <w:rPr>
                      <w:b/>
                      <w:bCs/>
                      <w:color w:val="auto"/>
                    </w:rPr>
                  </w:pPr>
                  <w:r>
                    <w:rPr>
                      <w:b/>
                      <w:bCs/>
                      <w:color w:val="auto"/>
                    </w:rPr>
                    <w:t>非正常排放原因</w:t>
                  </w:r>
                </w:p>
              </w:tc>
              <w:tc>
                <w:tcPr>
                  <w:tcW w:w="945" w:type="dxa"/>
                  <w:tcBorders>
                    <w:top w:val="single" w:color="auto" w:sz="4" w:space="0"/>
                    <w:left w:val="single" w:color="auto" w:sz="4" w:space="0"/>
                    <w:bottom w:val="single" w:color="auto" w:sz="4" w:space="0"/>
                    <w:right w:val="single" w:color="auto" w:sz="4" w:space="0"/>
                  </w:tcBorders>
                  <w:vAlign w:val="center"/>
                </w:tcPr>
                <w:p w14:paraId="77295098">
                  <w:pPr>
                    <w:widowControl w:val="0"/>
                    <w:adjustRightInd w:val="0"/>
                    <w:snapToGrid w:val="0"/>
                    <w:spacing w:line="240" w:lineRule="auto"/>
                    <w:jc w:val="center"/>
                    <w:rPr>
                      <w:b/>
                      <w:bCs/>
                      <w:color w:val="auto"/>
                    </w:rPr>
                  </w:pPr>
                  <w:r>
                    <w:rPr>
                      <w:b/>
                      <w:bCs/>
                      <w:color w:val="auto"/>
                    </w:rPr>
                    <w:t>污染物</w:t>
                  </w:r>
                </w:p>
              </w:tc>
              <w:tc>
                <w:tcPr>
                  <w:tcW w:w="1230" w:type="dxa"/>
                  <w:tcBorders>
                    <w:top w:val="single" w:color="auto" w:sz="4" w:space="0"/>
                    <w:left w:val="single" w:color="auto" w:sz="4" w:space="0"/>
                    <w:bottom w:val="single" w:color="auto" w:sz="4" w:space="0"/>
                    <w:right w:val="single" w:color="auto" w:sz="4" w:space="0"/>
                  </w:tcBorders>
                  <w:vAlign w:val="center"/>
                </w:tcPr>
                <w:p w14:paraId="0705CECF">
                  <w:pPr>
                    <w:widowControl w:val="0"/>
                    <w:adjustRightInd w:val="0"/>
                    <w:snapToGrid w:val="0"/>
                    <w:spacing w:line="240" w:lineRule="auto"/>
                    <w:jc w:val="center"/>
                    <w:rPr>
                      <w:b/>
                      <w:bCs/>
                      <w:color w:val="auto"/>
                    </w:rPr>
                  </w:pPr>
                  <w:r>
                    <w:rPr>
                      <w:b/>
                      <w:bCs/>
                      <w:color w:val="auto"/>
                    </w:rPr>
                    <w:t>非正常排放浓度mg/m</w:t>
                  </w:r>
                  <w:r>
                    <w:rPr>
                      <w:b/>
                      <w:bCs/>
                      <w:color w:val="auto"/>
                      <w:vertAlign w:val="superscript"/>
                    </w:rPr>
                    <w:t>3</w:t>
                  </w:r>
                </w:p>
              </w:tc>
              <w:tc>
                <w:tcPr>
                  <w:tcW w:w="1065" w:type="dxa"/>
                  <w:tcBorders>
                    <w:top w:val="single" w:color="auto" w:sz="4" w:space="0"/>
                    <w:left w:val="single" w:color="auto" w:sz="4" w:space="0"/>
                    <w:bottom w:val="single" w:color="auto" w:sz="4" w:space="0"/>
                    <w:right w:val="single" w:color="auto" w:sz="4" w:space="0"/>
                  </w:tcBorders>
                  <w:vAlign w:val="center"/>
                </w:tcPr>
                <w:p w14:paraId="04DB8AC8">
                  <w:pPr>
                    <w:widowControl w:val="0"/>
                    <w:adjustRightInd w:val="0"/>
                    <w:snapToGrid w:val="0"/>
                    <w:spacing w:line="240" w:lineRule="auto"/>
                    <w:jc w:val="center"/>
                    <w:rPr>
                      <w:b/>
                      <w:bCs/>
                      <w:color w:val="auto"/>
                    </w:rPr>
                  </w:pPr>
                  <w:r>
                    <w:rPr>
                      <w:b/>
                      <w:bCs/>
                      <w:color w:val="auto"/>
                    </w:rPr>
                    <w:t>非正常排放量kg/次</w:t>
                  </w:r>
                </w:p>
              </w:tc>
              <w:tc>
                <w:tcPr>
                  <w:tcW w:w="870" w:type="dxa"/>
                  <w:tcBorders>
                    <w:top w:val="single" w:color="auto" w:sz="4" w:space="0"/>
                    <w:left w:val="single" w:color="auto" w:sz="4" w:space="0"/>
                    <w:bottom w:val="single" w:color="auto" w:sz="4" w:space="0"/>
                    <w:right w:val="single" w:color="auto" w:sz="4" w:space="0"/>
                  </w:tcBorders>
                  <w:vAlign w:val="center"/>
                </w:tcPr>
                <w:p w14:paraId="7567DB3E">
                  <w:pPr>
                    <w:widowControl w:val="0"/>
                    <w:adjustRightInd w:val="0"/>
                    <w:snapToGrid w:val="0"/>
                    <w:spacing w:line="240" w:lineRule="auto"/>
                    <w:jc w:val="center"/>
                    <w:rPr>
                      <w:b/>
                      <w:bCs/>
                      <w:color w:val="auto"/>
                    </w:rPr>
                  </w:pPr>
                  <w:r>
                    <w:rPr>
                      <w:b/>
                      <w:bCs/>
                      <w:color w:val="auto"/>
                    </w:rPr>
                    <w:t>单次持续时间h</w:t>
                  </w:r>
                </w:p>
              </w:tc>
              <w:tc>
                <w:tcPr>
                  <w:tcW w:w="915" w:type="dxa"/>
                  <w:tcBorders>
                    <w:top w:val="single" w:color="auto" w:sz="4" w:space="0"/>
                    <w:left w:val="single" w:color="auto" w:sz="4" w:space="0"/>
                    <w:bottom w:val="single" w:color="auto" w:sz="4" w:space="0"/>
                    <w:right w:val="single" w:color="auto" w:sz="4" w:space="0"/>
                  </w:tcBorders>
                  <w:vAlign w:val="center"/>
                </w:tcPr>
                <w:p w14:paraId="2C52C965">
                  <w:pPr>
                    <w:widowControl w:val="0"/>
                    <w:adjustRightInd w:val="0"/>
                    <w:snapToGrid w:val="0"/>
                    <w:spacing w:line="240" w:lineRule="auto"/>
                    <w:jc w:val="center"/>
                    <w:rPr>
                      <w:b/>
                      <w:bCs/>
                      <w:color w:val="auto"/>
                    </w:rPr>
                  </w:pPr>
                  <w:r>
                    <w:rPr>
                      <w:b/>
                      <w:bCs/>
                      <w:color w:val="auto"/>
                    </w:rPr>
                    <w:t>年发生频次</w:t>
                  </w:r>
                </w:p>
              </w:tc>
              <w:tc>
                <w:tcPr>
                  <w:tcW w:w="1442" w:type="dxa"/>
                  <w:tcBorders>
                    <w:top w:val="single" w:color="auto" w:sz="4" w:space="0"/>
                    <w:left w:val="single" w:color="auto" w:sz="4" w:space="0"/>
                    <w:bottom w:val="single" w:color="auto" w:sz="4" w:space="0"/>
                    <w:right w:val="single" w:color="auto" w:sz="4" w:space="0"/>
                  </w:tcBorders>
                  <w:vAlign w:val="center"/>
                </w:tcPr>
                <w:p w14:paraId="7F04E282">
                  <w:pPr>
                    <w:widowControl w:val="0"/>
                    <w:adjustRightInd w:val="0"/>
                    <w:snapToGrid w:val="0"/>
                    <w:spacing w:line="240" w:lineRule="auto"/>
                    <w:jc w:val="center"/>
                    <w:rPr>
                      <w:b/>
                      <w:bCs/>
                      <w:color w:val="auto"/>
                    </w:rPr>
                  </w:pPr>
                  <w:r>
                    <w:rPr>
                      <w:b/>
                      <w:bCs/>
                      <w:color w:val="auto"/>
                    </w:rPr>
                    <w:t>应对措施</w:t>
                  </w:r>
                </w:p>
              </w:tc>
            </w:tr>
            <w:tr w14:paraId="3CEA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14:paraId="397CE9EC">
                  <w:pPr>
                    <w:widowControl w:val="0"/>
                    <w:spacing w:line="240" w:lineRule="auto"/>
                    <w:jc w:val="center"/>
                    <w:rPr>
                      <w:rFonts w:hint="eastAsia" w:eastAsia="宋体"/>
                      <w:color w:val="auto"/>
                      <w:lang w:eastAsia="zh-CN"/>
                    </w:rPr>
                  </w:pPr>
                  <w:r>
                    <w:rPr>
                      <w:rFonts w:hint="eastAsia"/>
                      <w:color w:val="auto"/>
                      <w:szCs w:val="21"/>
                    </w:rPr>
                    <w:t>电泳涂装和烘干固化</w:t>
                  </w:r>
                  <w:r>
                    <w:rPr>
                      <w:color w:val="auto"/>
                    </w:rPr>
                    <w:t>工序废气排放口DA00</w:t>
                  </w:r>
                  <w:r>
                    <w:rPr>
                      <w:rFonts w:hint="eastAsia"/>
                      <w:color w:val="auto"/>
                      <w:lang w:val="en-US" w:eastAsia="zh-CN"/>
                    </w:rPr>
                    <w:t>5</w:t>
                  </w:r>
                </w:p>
              </w:tc>
              <w:tc>
                <w:tcPr>
                  <w:tcW w:w="1170" w:type="dxa"/>
                  <w:tcBorders>
                    <w:top w:val="single" w:color="auto" w:sz="4" w:space="0"/>
                    <w:left w:val="single" w:color="auto" w:sz="4" w:space="0"/>
                    <w:bottom w:val="single" w:color="auto" w:sz="4" w:space="0"/>
                    <w:right w:val="single" w:color="auto" w:sz="4" w:space="0"/>
                  </w:tcBorders>
                  <w:vAlign w:val="center"/>
                </w:tcPr>
                <w:p w14:paraId="0826CF64">
                  <w:pPr>
                    <w:widowControl w:val="0"/>
                    <w:adjustRightInd w:val="0"/>
                    <w:snapToGrid w:val="0"/>
                    <w:spacing w:line="240" w:lineRule="auto"/>
                    <w:jc w:val="center"/>
                    <w:rPr>
                      <w:color w:val="auto"/>
                    </w:rPr>
                  </w:pPr>
                  <w:r>
                    <w:rPr>
                      <w:color w:val="auto"/>
                    </w:rPr>
                    <w:t>废气治理设施故障</w:t>
                  </w:r>
                </w:p>
              </w:tc>
              <w:tc>
                <w:tcPr>
                  <w:tcW w:w="945" w:type="dxa"/>
                  <w:tcBorders>
                    <w:top w:val="single" w:color="auto" w:sz="4" w:space="0"/>
                    <w:left w:val="single" w:color="auto" w:sz="4" w:space="0"/>
                    <w:bottom w:val="single" w:color="auto" w:sz="4" w:space="0"/>
                    <w:right w:val="single" w:color="auto" w:sz="4" w:space="0"/>
                  </w:tcBorders>
                  <w:vAlign w:val="center"/>
                </w:tcPr>
                <w:p w14:paraId="53EEDBD6">
                  <w:pPr>
                    <w:widowControl w:val="0"/>
                    <w:adjustRightInd w:val="0"/>
                    <w:snapToGrid w:val="0"/>
                    <w:spacing w:line="240" w:lineRule="auto"/>
                    <w:jc w:val="center"/>
                    <w:rPr>
                      <w:color w:val="auto"/>
                    </w:rPr>
                  </w:pPr>
                  <w:r>
                    <w:rPr>
                      <w:rFonts w:hint="eastAsia"/>
                      <w:color w:val="auto"/>
                    </w:rPr>
                    <w:t>VOCs</w:t>
                  </w:r>
                </w:p>
              </w:tc>
              <w:tc>
                <w:tcPr>
                  <w:tcW w:w="1230" w:type="dxa"/>
                  <w:tcBorders>
                    <w:top w:val="single" w:color="auto" w:sz="4" w:space="0"/>
                    <w:left w:val="single" w:color="auto" w:sz="4" w:space="0"/>
                    <w:bottom w:val="single" w:color="auto" w:sz="4" w:space="0"/>
                    <w:right w:val="single" w:color="auto" w:sz="4" w:space="0"/>
                  </w:tcBorders>
                  <w:vAlign w:val="center"/>
                </w:tcPr>
                <w:p w14:paraId="0D74768A">
                  <w:pPr>
                    <w:jc w:val="center"/>
                    <w:textAlignment w:val="center"/>
                    <w:rPr>
                      <w:rFonts w:hint="default" w:eastAsia="宋体"/>
                      <w:color w:val="auto"/>
                      <w:szCs w:val="21"/>
                      <w:lang w:val="en-US" w:eastAsia="zh-CN"/>
                    </w:rPr>
                  </w:pPr>
                  <w:r>
                    <w:rPr>
                      <w:rFonts w:hint="eastAsia"/>
                      <w:color w:val="auto"/>
                      <w:kern w:val="0"/>
                      <w:szCs w:val="21"/>
                      <w:lang w:val="en-US" w:eastAsia="zh-CN" w:bidi="ar"/>
                    </w:rPr>
                    <w:t>63.33</w:t>
                  </w:r>
                </w:p>
              </w:tc>
              <w:tc>
                <w:tcPr>
                  <w:tcW w:w="1065" w:type="dxa"/>
                  <w:tcBorders>
                    <w:top w:val="single" w:color="auto" w:sz="4" w:space="0"/>
                    <w:left w:val="single" w:color="auto" w:sz="4" w:space="0"/>
                    <w:bottom w:val="single" w:color="auto" w:sz="4" w:space="0"/>
                    <w:right w:val="single" w:color="auto" w:sz="4" w:space="0"/>
                  </w:tcBorders>
                  <w:vAlign w:val="center"/>
                </w:tcPr>
                <w:p w14:paraId="47F43EC9">
                  <w:pPr>
                    <w:jc w:val="center"/>
                    <w:textAlignment w:val="center"/>
                    <w:rPr>
                      <w:rFonts w:hint="default" w:eastAsia="宋体"/>
                      <w:color w:val="auto"/>
                      <w:szCs w:val="21"/>
                      <w:lang w:val="en-US" w:eastAsia="zh-CN"/>
                    </w:rPr>
                  </w:pPr>
                  <w:r>
                    <w:rPr>
                      <w:rFonts w:hint="eastAsia"/>
                      <w:color w:val="auto"/>
                      <w:kern w:val="0"/>
                      <w:szCs w:val="21"/>
                      <w:lang w:val="en-US" w:eastAsia="zh-CN" w:bidi="ar"/>
                    </w:rPr>
                    <w:t>0.2533</w:t>
                  </w:r>
                </w:p>
              </w:tc>
              <w:tc>
                <w:tcPr>
                  <w:tcW w:w="870" w:type="dxa"/>
                  <w:tcBorders>
                    <w:top w:val="single" w:color="auto" w:sz="4" w:space="0"/>
                    <w:left w:val="single" w:color="auto" w:sz="4" w:space="0"/>
                    <w:bottom w:val="single" w:color="auto" w:sz="4" w:space="0"/>
                    <w:right w:val="single" w:color="auto" w:sz="4" w:space="0"/>
                  </w:tcBorders>
                  <w:vAlign w:val="center"/>
                </w:tcPr>
                <w:p w14:paraId="001976C5">
                  <w:pPr>
                    <w:widowControl w:val="0"/>
                    <w:adjustRightInd w:val="0"/>
                    <w:snapToGrid w:val="0"/>
                    <w:spacing w:line="240" w:lineRule="auto"/>
                    <w:jc w:val="center"/>
                    <w:rPr>
                      <w:color w:val="auto"/>
                    </w:rPr>
                  </w:pPr>
                  <w:r>
                    <w:rPr>
                      <w:color w:val="auto"/>
                    </w:rPr>
                    <w:t>1</w:t>
                  </w:r>
                </w:p>
              </w:tc>
              <w:tc>
                <w:tcPr>
                  <w:tcW w:w="915" w:type="dxa"/>
                  <w:tcBorders>
                    <w:top w:val="single" w:color="auto" w:sz="4" w:space="0"/>
                    <w:left w:val="single" w:color="auto" w:sz="4" w:space="0"/>
                    <w:bottom w:val="single" w:color="auto" w:sz="4" w:space="0"/>
                    <w:right w:val="single" w:color="auto" w:sz="4" w:space="0"/>
                  </w:tcBorders>
                  <w:vAlign w:val="center"/>
                </w:tcPr>
                <w:p w14:paraId="6BEE1D8F">
                  <w:pPr>
                    <w:widowControl w:val="0"/>
                    <w:adjustRightInd w:val="0"/>
                    <w:snapToGrid w:val="0"/>
                    <w:spacing w:line="240" w:lineRule="auto"/>
                    <w:jc w:val="center"/>
                    <w:rPr>
                      <w:color w:val="auto"/>
                    </w:rPr>
                  </w:pPr>
                  <w:r>
                    <w:rPr>
                      <w:color w:val="auto"/>
                    </w:rPr>
                    <w:t>1次</w:t>
                  </w:r>
                </w:p>
              </w:tc>
              <w:tc>
                <w:tcPr>
                  <w:tcW w:w="1442" w:type="dxa"/>
                  <w:tcBorders>
                    <w:left w:val="single" w:color="auto" w:sz="4" w:space="0"/>
                    <w:right w:val="single" w:color="auto" w:sz="4" w:space="0"/>
                  </w:tcBorders>
                  <w:vAlign w:val="center"/>
                </w:tcPr>
                <w:p w14:paraId="28F0E76B">
                  <w:pPr>
                    <w:widowControl w:val="0"/>
                    <w:adjustRightInd w:val="0"/>
                    <w:snapToGrid w:val="0"/>
                    <w:spacing w:line="240" w:lineRule="auto"/>
                    <w:jc w:val="center"/>
                    <w:rPr>
                      <w:color w:val="auto"/>
                    </w:rPr>
                  </w:pPr>
                  <w:r>
                    <w:rPr>
                      <w:color w:val="auto"/>
                      <w:szCs w:val="21"/>
                    </w:rPr>
                    <w:t>立即停止生产，清除故障</w:t>
                  </w:r>
                </w:p>
              </w:tc>
            </w:tr>
          </w:tbl>
          <w:p w14:paraId="16E290CB">
            <w:pPr>
              <w:pStyle w:val="189"/>
              <w:spacing w:line="360" w:lineRule="auto"/>
              <w:ind w:firstLine="480"/>
              <w:rPr>
                <w:color w:val="auto"/>
                <w:sz w:val="24"/>
              </w:rPr>
            </w:pPr>
            <w:r>
              <w:rPr>
                <w:color w:val="auto"/>
                <w:sz w:val="24"/>
              </w:rPr>
              <w:t>本项目废气处理设施发生事故后在非正常工况下排放，会带来一定程度上的不良影响，虽然对周围环境和人群</w:t>
            </w:r>
            <w:r>
              <w:rPr>
                <w:rFonts w:hint="eastAsia"/>
                <w:color w:val="auto"/>
                <w:sz w:val="24"/>
                <w:lang w:eastAsia="zh-CN"/>
              </w:rPr>
              <w:t>影响不大</w:t>
            </w:r>
            <w:r>
              <w:rPr>
                <w:color w:val="auto"/>
                <w:sz w:val="24"/>
              </w:rPr>
              <w:t>，但仍需加强废气事故排放的风险防范措施，做好废气处理设备的维护工作，确保废气达标排放；当集气系统、废气处理设施等发生故障时，应立即停止生产，清除故障后再开工，降低本项目对周边大气环境影响。</w:t>
            </w:r>
          </w:p>
          <w:p w14:paraId="0CD96EC7">
            <w:pPr>
              <w:pStyle w:val="189"/>
              <w:spacing w:line="360" w:lineRule="auto"/>
              <w:ind w:firstLine="482"/>
              <w:rPr>
                <w:b/>
                <w:bCs/>
                <w:color w:val="auto"/>
                <w:sz w:val="24"/>
              </w:rPr>
            </w:pPr>
            <w:r>
              <w:rPr>
                <w:rFonts w:hint="eastAsia"/>
                <w:b/>
                <w:bCs/>
                <w:color w:val="auto"/>
                <w:sz w:val="24"/>
              </w:rPr>
              <w:t>6</w:t>
            </w:r>
            <w:r>
              <w:rPr>
                <w:b/>
                <w:bCs/>
                <w:color w:val="auto"/>
                <w:sz w:val="24"/>
              </w:rPr>
              <w:t>、环境监测</w:t>
            </w:r>
          </w:p>
          <w:p w14:paraId="0C7B7029">
            <w:pPr>
              <w:pStyle w:val="189"/>
              <w:spacing w:line="360" w:lineRule="auto"/>
              <w:ind w:firstLine="480"/>
              <w:rPr>
                <w:color w:val="auto"/>
                <w:sz w:val="24"/>
              </w:rPr>
            </w:pPr>
            <w:r>
              <w:rPr>
                <w:color w:val="auto"/>
                <w:sz w:val="24"/>
              </w:rPr>
              <w:t>根据《固定污染源排污许可分类管</w:t>
            </w:r>
            <w:r>
              <w:rPr>
                <w:color w:val="auto"/>
                <w:sz w:val="24"/>
                <w:szCs w:val="24"/>
              </w:rPr>
              <w:t>理名录（2019版）》，本项目所属行业类别为登记管理。根据《排污单位自行监测技术指南 总则》（HJ819-2017）、</w:t>
            </w:r>
            <w:r>
              <w:rPr>
                <w:color w:val="auto"/>
                <w:kern w:val="0"/>
                <w:sz w:val="24"/>
                <w:szCs w:val="24"/>
              </w:rPr>
              <w:t>《排污单位自行监测技术指南</w:t>
            </w:r>
            <w:r>
              <w:rPr>
                <w:rFonts w:hint="eastAsia"/>
                <w:color w:val="auto"/>
                <w:kern w:val="0"/>
                <w:sz w:val="24"/>
                <w:szCs w:val="24"/>
                <w:lang w:val="en-US" w:eastAsia="zh-CN"/>
              </w:rPr>
              <w:t xml:space="preserve"> </w:t>
            </w:r>
            <w:r>
              <w:rPr>
                <w:color w:val="auto"/>
                <w:kern w:val="0"/>
                <w:sz w:val="24"/>
                <w:szCs w:val="24"/>
              </w:rPr>
              <w:t>涂装》（HJ1086-2020）</w:t>
            </w:r>
            <w:r>
              <w:rPr>
                <w:color w:val="auto"/>
                <w:sz w:val="24"/>
                <w:szCs w:val="24"/>
              </w:rPr>
              <w:t>（HJ207-2021）确定，本项目所有废气排放口均属于一般排放口，排放口基本情况见表4-1</w:t>
            </w:r>
            <w:r>
              <w:rPr>
                <w:rFonts w:hint="eastAsia"/>
                <w:color w:val="auto"/>
                <w:sz w:val="24"/>
                <w:szCs w:val="24"/>
                <w:lang w:val="en-US" w:eastAsia="zh-CN"/>
              </w:rPr>
              <w:t>1</w:t>
            </w:r>
            <w:r>
              <w:rPr>
                <w:color w:val="auto"/>
                <w:sz w:val="24"/>
                <w:szCs w:val="24"/>
              </w:rPr>
              <w:t>，运营期环境自行监测计划见表4-1</w:t>
            </w:r>
            <w:r>
              <w:rPr>
                <w:rFonts w:hint="eastAsia"/>
                <w:color w:val="auto"/>
                <w:sz w:val="24"/>
                <w:szCs w:val="24"/>
                <w:lang w:val="en-US" w:eastAsia="zh-CN"/>
              </w:rPr>
              <w:t>2</w:t>
            </w:r>
            <w:r>
              <w:rPr>
                <w:color w:val="auto"/>
                <w:sz w:val="24"/>
                <w:szCs w:val="24"/>
              </w:rPr>
              <w:t>。</w:t>
            </w:r>
          </w:p>
          <w:p w14:paraId="768A7A48">
            <w:pPr>
              <w:pStyle w:val="50"/>
              <w:snapToGrid w:val="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表4-1</w:t>
            </w:r>
            <w:r>
              <w:rPr>
                <w:rFonts w:hint="eastAsia" w:ascii="Times New Roman" w:hAnsi="Times New Roman" w:cs="Times New Roman"/>
                <w:b/>
                <w:bCs/>
                <w:color w:val="auto"/>
                <w:sz w:val="21"/>
                <w:szCs w:val="21"/>
                <w:lang w:val="en-US" w:eastAsia="zh-CN"/>
              </w:rPr>
              <w:t>1</w:t>
            </w:r>
            <w:r>
              <w:rPr>
                <w:rFonts w:ascii="Times New Roman" w:hAnsi="Times New Roman" w:cs="Times New Roman"/>
                <w:b/>
                <w:bCs/>
                <w:color w:val="auto"/>
                <w:sz w:val="21"/>
                <w:szCs w:val="21"/>
              </w:rPr>
              <w:t xml:space="preserve"> 本项目大气排放口基本情况表</w:t>
            </w:r>
          </w:p>
          <w:tbl>
            <w:tblPr>
              <w:tblStyle w:val="42"/>
              <w:tblW w:w="9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0"/>
              <w:gridCol w:w="694"/>
              <w:gridCol w:w="1842"/>
              <w:gridCol w:w="1170"/>
              <w:gridCol w:w="945"/>
              <w:gridCol w:w="825"/>
              <w:gridCol w:w="720"/>
              <w:gridCol w:w="840"/>
              <w:gridCol w:w="465"/>
              <w:gridCol w:w="722"/>
              <w:gridCol w:w="915"/>
            </w:tblGrid>
            <w:tr w14:paraId="340A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10" w:type="dxa"/>
                  <w:vMerge w:val="restart"/>
                  <w:vAlign w:val="center"/>
                </w:tcPr>
                <w:p w14:paraId="39820E7F">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序号</w:t>
                  </w:r>
                </w:p>
              </w:tc>
              <w:tc>
                <w:tcPr>
                  <w:tcW w:w="694" w:type="dxa"/>
                  <w:vMerge w:val="restart"/>
                  <w:vAlign w:val="center"/>
                </w:tcPr>
                <w:p w14:paraId="4D72FF2B">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排放口编号</w:t>
                  </w:r>
                </w:p>
              </w:tc>
              <w:tc>
                <w:tcPr>
                  <w:tcW w:w="1842" w:type="dxa"/>
                  <w:vMerge w:val="restart"/>
                  <w:vAlign w:val="center"/>
                </w:tcPr>
                <w:p w14:paraId="4FB3F714">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排放口名称</w:t>
                  </w:r>
                </w:p>
              </w:tc>
              <w:tc>
                <w:tcPr>
                  <w:tcW w:w="1170" w:type="dxa"/>
                  <w:vMerge w:val="restart"/>
                  <w:vAlign w:val="center"/>
                </w:tcPr>
                <w:p w14:paraId="461A87AB">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污染物种类</w:t>
                  </w:r>
                </w:p>
              </w:tc>
              <w:tc>
                <w:tcPr>
                  <w:tcW w:w="1770" w:type="dxa"/>
                  <w:gridSpan w:val="2"/>
                  <w:vAlign w:val="center"/>
                </w:tcPr>
                <w:p w14:paraId="02D376F4">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排放口地理坐标</w:t>
                  </w:r>
                </w:p>
              </w:tc>
              <w:tc>
                <w:tcPr>
                  <w:tcW w:w="720" w:type="dxa"/>
                  <w:vMerge w:val="restart"/>
                  <w:vAlign w:val="center"/>
                </w:tcPr>
                <w:p w14:paraId="05871B3A">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排气口高度m</w:t>
                  </w:r>
                </w:p>
              </w:tc>
              <w:tc>
                <w:tcPr>
                  <w:tcW w:w="840" w:type="dxa"/>
                  <w:vMerge w:val="restart"/>
                  <w:vAlign w:val="center"/>
                </w:tcPr>
                <w:p w14:paraId="2B2C3679">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排气口出口内径m</w:t>
                  </w:r>
                </w:p>
              </w:tc>
              <w:tc>
                <w:tcPr>
                  <w:tcW w:w="465" w:type="dxa"/>
                  <w:vMerge w:val="restart"/>
                  <w:vAlign w:val="center"/>
                </w:tcPr>
                <w:p w14:paraId="5A32857B">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风速m/s</w:t>
                  </w:r>
                </w:p>
              </w:tc>
              <w:tc>
                <w:tcPr>
                  <w:tcW w:w="722" w:type="dxa"/>
                  <w:vMerge w:val="restart"/>
                  <w:vAlign w:val="center"/>
                </w:tcPr>
                <w:p w14:paraId="5F379FDA">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排气温度℃</w:t>
                  </w:r>
                </w:p>
              </w:tc>
              <w:tc>
                <w:tcPr>
                  <w:tcW w:w="915" w:type="dxa"/>
                  <w:vMerge w:val="restart"/>
                  <w:vAlign w:val="center"/>
                </w:tcPr>
                <w:p w14:paraId="73FC6062">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其他信息</w:t>
                  </w:r>
                </w:p>
              </w:tc>
            </w:tr>
            <w:tr w14:paraId="3842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0" w:type="dxa"/>
                  <w:vMerge w:val="continue"/>
                  <w:vAlign w:val="center"/>
                </w:tcPr>
                <w:p w14:paraId="13332F7C">
                  <w:pPr>
                    <w:pStyle w:val="24"/>
                    <w:widowControl w:val="0"/>
                    <w:adjustRightInd w:val="0"/>
                    <w:snapToGrid w:val="0"/>
                    <w:spacing w:line="240" w:lineRule="auto"/>
                    <w:jc w:val="center"/>
                    <w:rPr>
                      <w:rFonts w:ascii="Times New Roman" w:hAnsi="Times New Roman" w:cs="Times New Roman"/>
                      <w:b/>
                      <w:bCs/>
                      <w:color w:val="auto"/>
                    </w:rPr>
                  </w:pPr>
                </w:p>
              </w:tc>
              <w:tc>
                <w:tcPr>
                  <w:tcW w:w="694" w:type="dxa"/>
                  <w:vMerge w:val="continue"/>
                  <w:vAlign w:val="center"/>
                </w:tcPr>
                <w:p w14:paraId="2DB15D8C">
                  <w:pPr>
                    <w:pStyle w:val="24"/>
                    <w:widowControl w:val="0"/>
                    <w:adjustRightInd w:val="0"/>
                    <w:snapToGrid w:val="0"/>
                    <w:spacing w:line="240" w:lineRule="auto"/>
                    <w:jc w:val="center"/>
                    <w:rPr>
                      <w:rFonts w:ascii="Times New Roman" w:hAnsi="Times New Roman" w:cs="Times New Roman"/>
                      <w:b/>
                      <w:bCs/>
                      <w:color w:val="auto"/>
                    </w:rPr>
                  </w:pPr>
                </w:p>
              </w:tc>
              <w:tc>
                <w:tcPr>
                  <w:tcW w:w="1842" w:type="dxa"/>
                  <w:vMerge w:val="continue"/>
                  <w:vAlign w:val="center"/>
                </w:tcPr>
                <w:p w14:paraId="085E91DD">
                  <w:pPr>
                    <w:pStyle w:val="24"/>
                    <w:widowControl w:val="0"/>
                    <w:adjustRightInd w:val="0"/>
                    <w:snapToGrid w:val="0"/>
                    <w:spacing w:line="240" w:lineRule="auto"/>
                    <w:jc w:val="center"/>
                    <w:rPr>
                      <w:rFonts w:ascii="Times New Roman" w:hAnsi="Times New Roman" w:cs="Times New Roman"/>
                      <w:b/>
                      <w:bCs/>
                      <w:color w:val="auto"/>
                    </w:rPr>
                  </w:pPr>
                </w:p>
              </w:tc>
              <w:tc>
                <w:tcPr>
                  <w:tcW w:w="1170" w:type="dxa"/>
                  <w:vMerge w:val="continue"/>
                  <w:vAlign w:val="center"/>
                </w:tcPr>
                <w:p w14:paraId="2F0E8222">
                  <w:pPr>
                    <w:pStyle w:val="24"/>
                    <w:widowControl w:val="0"/>
                    <w:adjustRightInd w:val="0"/>
                    <w:snapToGrid w:val="0"/>
                    <w:spacing w:line="240" w:lineRule="auto"/>
                    <w:jc w:val="center"/>
                    <w:rPr>
                      <w:rFonts w:ascii="Times New Roman" w:hAnsi="Times New Roman" w:cs="Times New Roman"/>
                      <w:b/>
                      <w:bCs/>
                      <w:color w:val="auto"/>
                    </w:rPr>
                  </w:pPr>
                </w:p>
              </w:tc>
              <w:tc>
                <w:tcPr>
                  <w:tcW w:w="945" w:type="dxa"/>
                  <w:vAlign w:val="center"/>
                </w:tcPr>
                <w:p w14:paraId="5AA32AB1">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经度</w:t>
                  </w:r>
                </w:p>
              </w:tc>
              <w:tc>
                <w:tcPr>
                  <w:tcW w:w="825" w:type="dxa"/>
                  <w:vAlign w:val="center"/>
                </w:tcPr>
                <w:p w14:paraId="40A9A80F">
                  <w:pPr>
                    <w:pStyle w:val="24"/>
                    <w:widowControl w:val="0"/>
                    <w:adjustRightInd w:val="0"/>
                    <w:snapToGrid w:val="0"/>
                    <w:spacing w:line="240" w:lineRule="auto"/>
                    <w:jc w:val="center"/>
                    <w:rPr>
                      <w:rFonts w:ascii="Times New Roman" w:hAnsi="Times New Roman" w:cs="Times New Roman"/>
                      <w:b/>
                      <w:bCs/>
                      <w:color w:val="auto"/>
                    </w:rPr>
                  </w:pPr>
                  <w:r>
                    <w:rPr>
                      <w:rFonts w:ascii="Times New Roman" w:hAnsi="Times New Roman" w:cs="Times New Roman"/>
                      <w:b/>
                      <w:bCs/>
                      <w:color w:val="auto"/>
                    </w:rPr>
                    <w:t>纬度</w:t>
                  </w:r>
                </w:p>
              </w:tc>
              <w:tc>
                <w:tcPr>
                  <w:tcW w:w="720" w:type="dxa"/>
                  <w:vMerge w:val="continue"/>
                  <w:vAlign w:val="center"/>
                </w:tcPr>
                <w:p w14:paraId="47A12688">
                  <w:pPr>
                    <w:pStyle w:val="24"/>
                    <w:widowControl w:val="0"/>
                    <w:adjustRightInd w:val="0"/>
                    <w:snapToGrid w:val="0"/>
                    <w:spacing w:line="240" w:lineRule="auto"/>
                    <w:jc w:val="center"/>
                    <w:rPr>
                      <w:rFonts w:ascii="Times New Roman" w:hAnsi="Times New Roman" w:cs="Times New Roman"/>
                      <w:b/>
                      <w:bCs/>
                      <w:color w:val="auto"/>
                    </w:rPr>
                  </w:pPr>
                </w:p>
              </w:tc>
              <w:tc>
                <w:tcPr>
                  <w:tcW w:w="840" w:type="dxa"/>
                  <w:vMerge w:val="continue"/>
                  <w:vAlign w:val="center"/>
                </w:tcPr>
                <w:p w14:paraId="0C501C81">
                  <w:pPr>
                    <w:pStyle w:val="24"/>
                    <w:widowControl w:val="0"/>
                    <w:adjustRightInd w:val="0"/>
                    <w:snapToGrid w:val="0"/>
                    <w:spacing w:line="240" w:lineRule="auto"/>
                    <w:jc w:val="center"/>
                    <w:rPr>
                      <w:rFonts w:ascii="Times New Roman" w:hAnsi="Times New Roman" w:cs="Times New Roman"/>
                      <w:b/>
                      <w:bCs/>
                      <w:color w:val="auto"/>
                    </w:rPr>
                  </w:pPr>
                </w:p>
              </w:tc>
              <w:tc>
                <w:tcPr>
                  <w:tcW w:w="465" w:type="dxa"/>
                  <w:vMerge w:val="continue"/>
                  <w:vAlign w:val="center"/>
                </w:tcPr>
                <w:p w14:paraId="78624652">
                  <w:pPr>
                    <w:pStyle w:val="24"/>
                    <w:widowControl w:val="0"/>
                    <w:adjustRightInd w:val="0"/>
                    <w:snapToGrid w:val="0"/>
                    <w:spacing w:line="240" w:lineRule="auto"/>
                    <w:jc w:val="center"/>
                    <w:rPr>
                      <w:rFonts w:ascii="Times New Roman" w:hAnsi="Times New Roman" w:cs="Times New Roman"/>
                      <w:b/>
                      <w:bCs/>
                      <w:color w:val="auto"/>
                    </w:rPr>
                  </w:pPr>
                </w:p>
              </w:tc>
              <w:tc>
                <w:tcPr>
                  <w:tcW w:w="722" w:type="dxa"/>
                  <w:vMerge w:val="continue"/>
                  <w:vAlign w:val="center"/>
                </w:tcPr>
                <w:p w14:paraId="6D30A03D">
                  <w:pPr>
                    <w:pStyle w:val="24"/>
                    <w:widowControl w:val="0"/>
                    <w:adjustRightInd w:val="0"/>
                    <w:snapToGrid w:val="0"/>
                    <w:spacing w:line="240" w:lineRule="auto"/>
                    <w:jc w:val="center"/>
                    <w:rPr>
                      <w:rFonts w:ascii="Times New Roman" w:hAnsi="Times New Roman" w:cs="Times New Roman"/>
                      <w:b/>
                      <w:bCs/>
                      <w:color w:val="auto"/>
                    </w:rPr>
                  </w:pPr>
                </w:p>
              </w:tc>
              <w:tc>
                <w:tcPr>
                  <w:tcW w:w="915" w:type="dxa"/>
                  <w:vMerge w:val="continue"/>
                  <w:vAlign w:val="center"/>
                </w:tcPr>
                <w:p w14:paraId="7D802617">
                  <w:pPr>
                    <w:pStyle w:val="24"/>
                    <w:widowControl w:val="0"/>
                    <w:adjustRightInd w:val="0"/>
                    <w:snapToGrid w:val="0"/>
                    <w:spacing w:line="240" w:lineRule="auto"/>
                    <w:jc w:val="center"/>
                    <w:rPr>
                      <w:rFonts w:ascii="Times New Roman" w:hAnsi="Times New Roman" w:cs="Times New Roman"/>
                      <w:b/>
                      <w:bCs/>
                      <w:color w:val="auto"/>
                    </w:rPr>
                  </w:pPr>
                </w:p>
              </w:tc>
            </w:tr>
            <w:tr w14:paraId="55D72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0" w:type="dxa"/>
                  <w:vAlign w:val="center"/>
                </w:tcPr>
                <w:p w14:paraId="5D49A702">
                  <w:pPr>
                    <w:pStyle w:val="24"/>
                    <w:widowControl w:val="0"/>
                    <w:adjustRightInd w:val="0"/>
                    <w:snapToGrid w:val="0"/>
                    <w:spacing w:line="240" w:lineRule="auto"/>
                    <w:jc w:val="center"/>
                    <w:rPr>
                      <w:rFonts w:ascii="Times New Roman" w:hAnsi="Times New Roman" w:cs="Times New Roman"/>
                      <w:color w:val="auto"/>
                    </w:rPr>
                  </w:pPr>
                  <w:r>
                    <w:rPr>
                      <w:rFonts w:ascii="Times New Roman" w:hAnsi="Times New Roman" w:cs="Times New Roman"/>
                      <w:color w:val="auto"/>
                    </w:rPr>
                    <w:t>1</w:t>
                  </w:r>
                </w:p>
              </w:tc>
              <w:tc>
                <w:tcPr>
                  <w:tcW w:w="694" w:type="dxa"/>
                  <w:vAlign w:val="center"/>
                </w:tcPr>
                <w:p w14:paraId="6D98F142">
                  <w:pPr>
                    <w:pStyle w:val="24"/>
                    <w:widowControl w:val="0"/>
                    <w:adjustRightInd w:val="0"/>
                    <w:snapToGrid w:val="0"/>
                    <w:spacing w:line="240" w:lineRule="auto"/>
                    <w:jc w:val="center"/>
                    <w:rPr>
                      <w:rFonts w:hint="eastAsia" w:ascii="Times New Roman" w:hAnsi="Times New Roman" w:eastAsia="宋体" w:cs="Times New Roman"/>
                      <w:color w:val="auto"/>
                      <w:lang w:eastAsia="zh-CN"/>
                    </w:rPr>
                  </w:pPr>
                  <w:r>
                    <w:rPr>
                      <w:rFonts w:ascii="Times New Roman" w:hAnsi="Times New Roman" w:cs="Times New Roman"/>
                      <w:color w:val="auto"/>
                    </w:rPr>
                    <w:t>DA00</w:t>
                  </w:r>
                  <w:r>
                    <w:rPr>
                      <w:rFonts w:hint="eastAsia" w:ascii="Times New Roman" w:hAnsi="Times New Roman" w:cs="Times New Roman"/>
                      <w:color w:val="auto"/>
                      <w:lang w:val="en-US" w:eastAsia="zh-CN"/>
                    </w:rPr>
                    <w:t>5</w:t>
                  </w:r>
                </w:p>
              </w:tc>
              <w:tc>
                <w:tcPr>
                  <w:tcW w:w="1842" w:type="dxa"/>
                  <w:vAlign w:val="center"/>
                </w:tcPr>
                <w:p w14:paraId="1F6C62A5">
                  <w:pPr>
                    <w:spacing w:line="240" w:lineRule="auto"/>
                    <w:jc w:val="center"/>
                    <w:rPr>
                      <w:color w:val="auto"/>
                      <w:szCs w:val="21"/>
                    </w:rPr>
                  </w:pPr>
                  <w:r>
                    <w:rPr>
                      <w:rFonts w:hint="eastAsia"/>
                      <w:color w:val="auto"/>
                      <w:szCs w:val="21"/>
                    </w:rPr>
                    <w:t>电泳涂装和烘干固化</w:t>
                  </w:r>
                  <w:r>
                    <w:rPr>
                      <w:color w:val="auto"/>
                      <w:szCs w:val="21"/>
                    </w:rPr>
                    <w:t>废气排放口</w:t>
                  </w:r>
                </w:p>
              </w:tc>
              <w:tc>
                <w:tcPr>
                  <w:tcW w:w="1170" w:type="dxa"/>
                  <w:vAlign w:val="center"/>
                </w:tcPr>
                <w:p w14:paraId="1C111C8D">
                  <w:pPr>
                    <w:widowControl w:val="0"/>
                    <w:adjustRightInd w:val="0"/>
                    <w:snapToGrid w:val="0"/>
                    <w:spacing w:line="240" w:lineRule="auto"/>
                    <w:jc w:val="center"/>
                    <w:rPr>
                      <w:color w:val="auto"/>
                      <w:szCs w:val="21"/>
                    </w:rPr>
                  </w:pPr>
                  <w:r>
                    <w:rPr>
                      <w:rFonts w:hint="eastAsia"/>
                      <w:color w:val="auto"/>
                      <w:szCs w:val="21"/>
                    </w:rPr>
                    <w:t>VOCs</w:t>
                  </w:r>
                  <w:r>
                    <w:rPr>
                      <w:color w:val="auto"/>
                      <w:szCs w:val="21"/>
                    </w:rPr>
                    <w:t>、臭气浓度</w:t>
                  </w:r>
                </w:p>
              </w:tc>
              <w:tc>
                <w:tcPr>
                  <w:tcW w:w="945" w:type="dxa"/>
                  <w:vAlign w:val="center"/>
                </w:tcPr>
                <w:p w14:paraId="57810112">
                  <w:pPr>
                    <w:pStyle w:val="24"/>
                    <w:widowControl w:val="0"/>
                    <w:adjustRightInd w:val="0"/>
                    <w:snapToGrid w:val="0"/>
                    <w:spacing w:line="240" w:lineRule="auto"/>
                    <w:jc w:val="center"/>
                    <w:rPr>
                      <w:rFonts w:ascii="Times New Roman" w:hAnsi="Times New Roman" w:cs="Times New Roman"/>
                      <w:color w:val="auto"/>
                    </w:rPr>
                  </w:pPr>
                  <w:r>
                    <w:rPr>
                      <w:rFonts w:ascii="Times New Roman" w:hAnsi="Times New Roman" w:cs="Times New Roman"/>
                      <w:color w:val="auto"/>
                    </w:rPr>
                    <w:t>E</w:t>
                  </w:r>
                  <w:r>
                    <w:rPr>
                      <w:rFonts w:hint="eastAsia" w:ascii="Times New Roman" w:hAnsi="Times New Roman" w:cs="Times New Roman"/>
                      <w:color w:val="auto"/>
                    </w:rPr>
                    <w:t>112.017421</w:t>
                  </w:r>
                  <w:r>
                    <w:rPr>
                      <w:rFonts w:ascii="Times New Roman" w:hAnsi="Times New Roman" w:cs="Times New Roman"/>
                      <w:color w:val="auto"/>
                    </w:rPr>
                    <w:t>°</w:t>
                  </w:r>
                </w:p>
              </w:tc>
              <w:tc>
                <w:tcPr>
                  <w:tcW w:w="825" w:type="dxa"/>
                  <w:vAlign w:val="center"/>
                </w:tcPr>
                <w:p w14:paraId="0B13040E">
                  <w:pPr>
                    <w:pStyle w:val="24"/>
                    <w:widowControl w:val="0"/>
                    <w:adjustRightInd w:val="0"/>
                    <w:snapToGrid w:val="0"/>
                    <w:spacing w:line="240" w:lineRule="auto"/>
                    <w:jc w:val="center"/>
                    <w:rPr>
                      <w:rFonts w:ascii="Times New Roman" w:hAnsi="Times New Roman" w:cs="Times New Roman"/>
                      <w:color w:val="auto"/>
                    </w:rPr>
                  </w:pPr>
                  <w:r>
                    <w:rPr>
                      <w:rFonts w:ascii="Times New Roman" w:hAnsi="Times New Roman" w:cs="Times New Roman"/>
                      <w:color w:val="auto"/>
                    </w:rPr>
                    <w:t>N21.</w:t>
                  </w:r>
                  <w:r>
                    <w:rPr>
                      <w:rFonts w:hint="eastAsia" w:ascii="Times New Roman" w:hAnsi="Times New Roman" w:cs="Times New Roman"/>
                      <w:color w:val="auto"/>
                    </w:rPr>
                    <w:t>902128</w:t>
                  </w:r>
                  <w:r>
                    <w:rPr>
                      <w:rFonts w:ascii="Times New Roman" w:hAnsi="Times New Roman" w:cs="Times New Roman"/>
                      <w:color w:val="auto"/>
                    </w:rPr>
                    <w:t>°</w:t>
                  </w:r>
                </w:p>
              </w:tc>
              <w:tc>
                <w:tcPr>
                  <w:tcW w:w="720" w:type="dxa"/>
                  <w:vAlign w:val="center"/>
                </w:tcPr>
                <w:p w14:paraId="738F51DE">
                  <w:pPr>
                    <w:widowControl w:val="0"/>
                    <w:adjustRightInd w:val="0"/>
                    <w:snapToGrid w:val="0"/>
                    <w:spacing w:line="240" w:lineRule="auto"/>
                    <w:jc w:val="center"/>
                    <w:rPr>
                      <w:rFonts w:hint="default" w:eastAsia="宋体"/>
                      <w:color w:val="auto"/>
                      <w:szCs w:val="21"/>
                      <w:lang w:val="en-US" w:eastAsia="zh-CN"/>
                    </w:rPr>
                  </w:pPr>
                  <w:r>
                    <w:rPr>
                      <w:rFonts w:hint="eastAsia"/>
                      <w:color w:val="auto"/>
                      <w:szCs w:val="21"/>
                      <w:lang w:val="en-US" w:eastAsia="zh-CN"/>
                    </w:rPr>
                    <w:t>20</w:t>
                  </w:r>
                </w:p>
              </w:tc>
              <w:tc>
                <w:tcPr>
                  <w:tcW w:w="840" w:type="dxa"/>
                  <w:vAlign w:val="center"/>
                </w:tcPr>
                <w:p w14:paraId="5C44A81C">
                  <w:pPr>
                    <w:jc w:val="center"/>
                    <w:textAlignment w:val="center"/>
                    <w:rPr>
                      <w:rFonts w:hint="default" w:eastAsia="宋体"/>
                      <w:color w:val="auto"/>
                      <w:szCs w:val="21"/>
                      <w:lang w:val="en-US" w:eastAsia="zh-CN"/>
                    </w:rPr>
                  </w:pPr>
                  <w:r>
                    <w:rPr>
                      <w:rFonts w:hint="eastAsia"/>
                      <w:color w:val="auto"/>
                      <w:kern w:val="0"/>
                      <w:szCs w:val="21"/>
                      <w:lang w:val="en-US" w:eastAsia="zh-CN" w:bidi="ar"/>
                    </w:rPr>
                    <w:t>0.6</w:t>
                  </w:r>
                </w:p>
              </w:tc>
              <w:tc>
                <w:tcPr>
                  <w:tcW w:w="465" w:type="dxa"/>
                  <w:vAlign w:val="center"/>
                </w:tcPr>
                <w:p w14:paraId="50F21AC1">
                  <w:pPr>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19.7</w:t>
                  </w:r>
                </w:p>
              </w:tc>
              <w:tc>
                <w:tcPr>
                  <w:tcW w:w="722" w:type="dxa"/>
                  <w:vAlign w:val="center"/>
                </w:tcPr>
                <w:p w14:paraId="72F93D1F">
                  <w:pPr>
                    <w:widowControl w:val="0"/>
                    <w:adjustRightInd w:val="0"/>
                    <w:snapToGrid w:val="0"/>
                    <w:spacing w:line="240" w:lineRule="auto"/>
                    <w:jc w:val="center"/>
                    <w:rPr>
                      <w:color w:val="auto"/>
                      <w:szCs w:val="21"/>
                    </w:rPr>
                  </w:pPr>
                  <w:r>
                    <w:rPr>
                      <w:color w:val="auto"/>
                      <w:szCs w:val="21"/>
                    </w:rPr>
                    <w:t>30</w:t>
                  </w:r>
                </w:p>
              </w:tc>
              <w:tc>
                <w:tcPr>
                  <w:tcW w:w="915" w:type="dxa"/>
                  <w:vAlign w:val="center"/>
                </w:tcPr>
                <w:p w14:paraId="5EAAB463">
                  <w:pPr>
                    <w:widowControl w:val="0"/>
                    <w:adjustRightInd w:val="0"/>
                    <w:snapToGrid w:val="0"/>
                    <w:spacing w:line="240" w:lineRule="auto"/>
                    <w:jc w:val="center"/>
                    <w:rPr>
                      <w:color w:val="auto"/>
                      <w:szCs w:val="21"/>
                    </w:rPr>
                  </w:pPr>
                  <w:r>
                    <w:rPr>
                      <w:color w:val="auto"/>
                      <w:szCs w:val="21"/>
                    </w:rPr>
                    <w:t>一般排放口</w:t>
                  </w:r>
                </w:p>
              </w:tc>
            </w:tr>
          </w:tbl>
          <w:p w14:paraId="3A72713A">
            <w:pPr>
              <w:pStyle w:val="50"/>
              <w:snapToGrid w:val="0"/>
              <w:jc w:val="center"/>
              <w:rPr>
                <w:rFonts w:ascii="Times New Roman" w:hAnsi="Times New Roman" w:cs="Times New Roman"/>
                <w:b/>
                <w:bCs/>
                <w:color w:val="auto"/>
                <w:sz w:val="21"/>
                <w:szCs w:val="21"/>
              </w:rPr>
            </w:pPr>
            <w:r>
              <w:rPr>
                <w:rFonts w:ascii="Times New Roman" w:hAnsi="Times New Roman" w:cs="Times New Roman"/>
                <w:b/>
                <w:bCs/>
                <w:color w:val="auto"/>
                <w:sz w:val="21"/>
                <w:szCs w:val="21"/>
              </w:rPr>
              <w:t>表4-1</w:t>
            </w:r>
            <w:r>
              <w:rPr>
                <w:rFonts w:hint="eastAsia" w:ascii="Times New Roman" w:hAnsi="Times New Roman" w:cs="Times New Roman"/>
                <w:b/>
                <w:bCs/>
                <w:color w:val="auto"/>
                <w:sz w:val="21"/>
                <w:szCs w:val="21"/>
                <w:lang w:val="en-US" w:eastAsia="zh-CN"/>
              </w:rPr>
              <w:t>2</w:t>
            </w:r>
            <w:r>
              <w:rPr>
                <w:rFonts w:ascii="Times New Roman" w:hAnsi="Times New Roman" w:cs="Times New Roman"/>
                <w:b/>
                <w:bCs/>
                <w:color w:val="auto"/>
                <w:sz w:val="21"/>
                <w:szCs w:val="21"/>
              </w:rPr>
              <w:t>本项目废气排放自行监测计划一览表</w:t>
            </w:r>
          </w:p>
          <w:tbl>
            <w:tblPr>
              <w:tblStyle w:val="42"/>
              <w:tblW w:w="95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709"/>
              <w:gridCol w:w="956"/>
              <w:gridCol w:w="817"/>
              <w:gridCol w:w="3633"/>
              <w:gridCol w:w="1959"/>
              <w:gridCol w:w="969"/>
            </w:tblGrid>
            <w:tr w14:paraId="630B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dxa"/>
                  <w:vMerge w:val="restart"/>
                  <w:vAlign w:val="center"/>
                </w:tcPr>
                <w:p w14:paraId="536E9F40">
                  <w:pPr>
                    <w:pStyle w:val="24"/>
                    <w:widowControl w:val="0"/>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709" w:type="dxa"/>
                  <w:vMerge w:val="restart"/>
                  <w:vAlign w:val="center"/>
                </w:tcPr>
                <w:p w14:paraId="55E04AA4">
                  <w:pPr>
                    <w:pStyle w:val="24"/>
                    <w:widowControl w:val="0"/>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监测点位</w:t>
                  </w:r>
                </w:p>
              </w:tc>
              <w:tc>
                <w:tcPr>
                  <w:tcW w:w="956" w:type="dxa"/>
                  <w:vMerge w:val="restart"/>
                  <w:vAlign w:val="center"/>
                </w:tcPr>
                <w:p w14:paraId="189C611A">
                  <w:pPr>
                    <w:pStyle w:val="24"/>
                    <w:widowControl w:val="0"/>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监测因子</w:t>
                  </w:r>
                </w:p>
              </w:tc>
              <w:tc>
                <w:tcPr>
                  <w:tcW w:w="817" w:type="dxa"/>
                  <w:vMerge w:val="restart"/>
                  <w:vAlign w:val="center"/>
                </w:tcPr>
                <w:p w14:paraId="4245EF06">
                  <w:pPr>
                    <w:pStyle w:val="24"/>
                    <w:widowControl w:val="0"/>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w:t>
                  </w:r>
                </w:p>
                <w:p w14:paraId="0FEF8516">
                  <w:pPr>
                    <w:pStyle w:val="24"/>
                    <w:widowControl w:val="0"/>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频次</w:t>
                  </w:r>
                </w:p>
              </w:tc>
              <w:tc>
                <w:tcPr>
                  <w:tcW w:w="6561" w:type="dxa"/>
                  <w:gridSpan w:val="3"/>
                  <w:vAlign w:val="center"/>
                </w:tcPr>
                <w:p w14:paraId="72D1508A">
                  <w:pPr>
                    <w:pStyle w:val="24"/>
                    <w:widowControl w:val="0"/>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排放标准</w:t>
                  </w:r>
                </w:p>
              </w:tc>
            </w:tr>
            <w:tr w14:paraId="7C2D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dxa"/>
                  <w:vMerge w:val="continue"/>
                  <w:vAlign w:val="center"/>
                </w:tcPr>
                <w:p w14:paraId="5463BD0F">
                  <w:pPr>
                    <w:pStyle w:val="24"/>
                    <w:widowControl w:val="0"/>
                    <w:adjustRightInd w:val="0"/>
                    <w:snapToGrid w:val="0"/>
                    <w:jc w:val="center"/>
                    <w:rPr>
                      <w:rFonts w:hint="default" w:ascii="Times New Roman" w:hAnsi="Times New Roman" w:eastAsia="宋体" w:cs="Times New Roman"/>
                      <w:b/>
                      <w:bCs/>
                      <w:color w:val="auto"/>
                      <w:sz w:val="21"/>
                      <w:szCs w:val="21"/>
                    </w:rPr>
                  </w:pPr>
                </w:p>
              </w:tc>
              <w:tc>
                <w:tcPr>
                  <w:tcW w:w="709" w:type="dxa"/>
                  <w:vMerge w:val="continue"/>
                  <w:vAlign w:val="center"/>
                </w:tcPr>
                <w:p w14:paraId="1158BE05">
                  <w:pPr>
                    <w:pStyle w:val="24"/>
                    <w:widowControl w:val="0"/>
                    <w:adjustRightInd w:val="0"/>
                    <w:snapToGrid w:val="0"/>
                    <w:jc w:val="center"/>
                    <w:rPr>
                      <w:rFonts w:hint="default" w:ascii="Times New Roman" w:hAnsi="Times New Roman" w:eastAsia="宋体" w:cs="Times New Roman"/>
                      <w:b/>
                      <w:bCs/>
                      <w:color w:val="auto"/>
                      <w:sz w:val="21"/>
                      <w:szCs w:val="21"/>
                    </w:rPr>
                  </w:pPr>
                </w:p>
              </w:tc>
              <w:tc>
                <w:tcPr>
                  <w:tcW w:w="956" w:type="dxa"/>
                  <w:vMerge w:val="continue"/>
                  <w:vAlign w:val="center"/>
                </w:tcPr>
                <w:p w14:paraId="147E89EE">
                  <w:pPr>
                    <w:pStyle w:val="24"/>
                    <w:widowControl w:val="0"/>
                    <w:adjustRightInd w:val="0"/>
                    <w:snapToGrid w:val="0"/>
                    <w:jc w:val="center"/>
                    <w:rPr>
                      <w:rFonts w:hint="default" w:ascii="Times New Roman" w:hAnsi="Times New Roman" w:eastAsia="宋体" w:cs="Times New Roman"/>
                      <w:b/>
                      <w:bCs/>
                      <w:color w:val="auto"/>
                      <w:sz w:val="21"/>
                      <w:szCs w:val="21"/>
                    </w:rPr>
                  </w:pPr>
                </w:p>
              </w:tc>
              <w:tc>
                <w:tcPr>
                  <w:tcW w:w="817" w:type="dxa"/>
                  <w:vMerge w:val="continue"/>
                  <w:vAlign w:val="center"/>
                </w:tcPr>
                <w:p w14:paraId="557E2735">
                  <w:pPr>
                    <w:pStyle w:val="24"/>
                    <w:widowControl w:val="0"/>
                    <w:adjustRightInd w:val="0"/>
                    <w:snapToGrid w:val="0"/>
                    <w:jc w:val="center"/>
                    <w:rPr>
                      <w:rFonts w:hint="default" w:ascii="Times New Roman" w:hAnsi="Times New Roman" w:eastAsia="宋体" w:cs="Times New Roman"/>
                      <w:b/>
                      <w:bCs/>
                      <w:color w:val="auto"/>
                      <w:sz w:val="21"/>
                      <w:szCs w:val="21"/>
                    </w:rPr>
                  </w:pPr>
                </w:p>
              </w:tc>
              <w:tc>
                <w:tcPr>
                  <w:tcW w:w="3633" w:type="dxa"/>
                  <w:vAlign w:val="center"/>
                </w:tcPr>
                <w:p w14:paraId="63B2FB7C">
                  <w:pPr>
                    <w:pStyle w:val="24"/>
                    <w:widowControl w:val="0"/>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名称</w:t>
                  </w:r>
                </w:p>
              </w:tc>
              <w:tc>
                <w:tcPr>
                  <w:tcW w:w="1959" w:type="dxa"/>
                  <w:vAlign w:val="center"/>
                </w:tcPr>
                <w:p w14:paraId="6466BF14">
                  <w:pPr>
                    <w:pStyle w:val="24"/>
                    <w:widowControl w:val="0"/>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浓度限值mg/m</w:t>
                  </w:r>
                  <w:r>
                    <w:rPr>
                      <w:rFonts w:hint="default" w:ascii="Times New Roman" w:hAnsi="Times New Roman" w:eastAsia="宋体" w:cs="Times New Roman"/>
                      <w:b/>
                      <w:bCs/>
                      <w:color w:val="auto"/>
                      <w:sz w:val="21"/>
                      <w:szCs w:val="21"/>
                      <w:vertAlign w:val="superscript"/>
                    </w:rPr>
                    <w:t>3</w:t>
                  </w:r>
                </w:p>
              </w:tc>
              <w:tc>
                <w:tcPr>
                  <w:tcW w:w="969" w:type="dxa"/>
                  <w:vAlign w:val="center"/>
                </w:tcPr>
                <w:p w14:paraId="54BD45D8">
                  <w:pPr>
                    <w:pStyle w:val="24"/>
                    <w:widowControl w:val="0"/>
                    <w:adjustRightInd w:val="0"/>
                    <w:snapToGrid w:val="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速度限值kg/h</w:t>
                  </w:r>
                </w:p>
              </w:tc>
            </w:tr>
            <w:tr w14:paraId="0FB6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dxa"/>
                  <w:vAlign w:val="center"/>
                </w:tcPr>
                <w:p w14:paraId="72AF72DB">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709" w:type="dxa"/>
                  <w:vMerge w:val="restart"/>
                  <w:vAlign w:val="center"/>
                </w:tcPr>
                <w:p w14:paraId="4FD63A90">
                  <w:pPr>
                    <w:pStyle w:val="24"/>
                    <w:widowControl w:val="0"/>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排气筒DA00</w:t>
                  </w:r>
                  <w:r>
                    <w:rPr>
                      <w:rFonts w:hint="default" w:ascii="Times New Roman" w:hAnsi="Times New Roman" w:eastAsia="宋体" w:cs="Times New Roman"/>
                      <w:color w:val="auto"/>
                      <w:sz w:val="21"/>
                      <w:szCs w:val="21"/>
                      <w:lang w:val="en-US" w:eastAsia="zh-CN"/>
                    </w:rPr>
                    <w:t>5</w:t>
                  </w:r>
                </w:p>
              </w:tc>
              <w:tc>
                <w:tcPr>
                  <w:tcW w:w="956" w:type="dxa"/>
                  <w:vAlign w:val="center"/>
                </w:tcPr>
                <w:p w14:paraId="68917BA7">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非甲烷总烃</w:t>
                  </w:r>
                </w:p>
              </w:tc>
              <w:tc>
                <w:tcPr>
                  <w:tcW w:w="817" w:type="dxa"/>
                  <w:vAlign w:val="center"/>
                </w:tcPr>
                <w:p w14:paraId="3041B19A">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1次/年</w:t>
                  </w:r>
                </w:p>
              </w:tc>
              <w:tc>
                <w:tcPr>
                  <w:tcW w:w="3633" w:type="dxa"/>
                  <w:vAlign w:val="center"/>
                </w:tcPr>
                <w:p w14:paraId="6347250E">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广东省《固定污染源挥发性有机物综合排放标准》（DB44/2367-2022）表1挥发性有机物排放限值</w:t>
                  </w:r>
                  <w:r>
                    <w:rPr>
                      <w:rFonts w:hint="default" w:ascii="Times New Roman" w:hAnsi="Times New Roman" w:eastAsia="宋体" w:cs="Times New Roman"/>
                      <w:color w:val="auto"/>
                      <w:sz w:val="21"/>
                      <w:szCs w:val="21"/>
                      <w:lang w:val="en-US" w:eastAsia="zh-CN"/>
                    </w:rPr>
                    <w:t>和</w:t>
                  </w:r>
                  <w:r>
                    <w:rPr>
                      <w:rFonts w:hint="default" w:ascii="Times New Roman" w:hAnsi="Times New Roman" w:eastAsia="宋体" w:cs="Times New Roman"/>
                      <w:color w:val="auto"/>
                      <w:sz w:val="21"/>
                      <w:szCs w:val="21"/>
                      <w:highlight w:val="none"/>
                      <w:lang w:eastAsia="zh-CN"/>
                    </w:rPr>
                    <w:t>《合成树脂工业污染物排放标准》（GB31572-2015，含2024年修改单）</w:t>
                  </w:r>
                  <w:r>
                    <w:rPr>
                      <w:rFonts w:hint="default" w:ascii="Times New Roman" w:hAnsi="Times New Roman" w:eastAsia="宋体" w:cs="Times New Roman"/>
                      <w:color w:val="auto"/>
                      <w:sz w:val="21"/>
                      <w:szCs w:val="21"/>
                      <w:lang w:val="en-US" w:eastAsia="zh-CN"/>
                    </w:rPr>
                    <w:t>表4</w:t>
                  </w:r>
                  <w:r>
                    <w:rPr>
                      <w:rFonts w:hint="default" w:ascii="Times New Roman" w:hAnsi="Times New Roman" w:eastAsia="宋体" w:cs="Times New Roman"/>
                      <w:color w:val="auto"/>
                      <w:sz w:val="21"/>
                      <w:szCs w:val="21"/>
                      <w:lang w:val="en-US"/>
                    </w:rPr>
                    <w:t>大气污染物排放限值</w:t>
                  </w:r>
                  <w:r>
                    <w:rPr>
                      <w:rFonts w:hint="default" w:ascii="Times New Roman" w:hAnsi="Times New Roman" w:eastAsia="宋体" w:cs="Times New Roman"/>
                      <w:color w:val="auto"/>
                      <w:sz w:val="21"/>
                      <w:szCs w:val="21"/>
                      <w:lang w:val="en-US" w:eastAsia="zh-CN"/>
                    </w:rPr>
                    <w:t>较严值</w:t>
                  </w:r>
                </w:p>
              </w:tc>
              <w:tc>
                <w:tcPr>
                  <w:tcW w:w="1959" w:type="dxa"/>
                  <w:vAlign w:val="center"/>
                </w:tcPr>
                <w:p w14:paraId="3B656832">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0</w:t>
                  </w:r>
                </w:p>
              </w:tc>
              <w:tc>
                <w:tcPr>
                  <w:tcW w:w="969" w:type="dxa"/>
                  <w:vAlign w:val="center"/>
                </w:tcPr>
                <w:p w14:paraId="3C5B2566">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7C7E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dxa"/>
                  <w:vAlign w:val="center"/>
                </w:tcPr>
                <w:p w14:paraId="11463E28">
                  <w:pPr>
                    <w:pStyle w:val="24"/>
                    <w:widowControl w:val="0"/>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w:t>
                  </w:r>
                </w:p>
              </w:tc>
              <w:tc>
                <w:tcPr>
                  <w:tcW w:w="709" w:type="dxa"/>
                  <w:vMerge w:val="continue"/>
                  <w:vAlign w:val="center"/>
                </w:tcPr>
                <w:p w14:paraId="4FEA800D">
                  <w:pPr>
                    <w:pStyle w:val="24"/>
                    <w:widowControl w:val="0"/>
                    <w:adjustRightInd w:val="0"/>
                    <w:snapToGrid w:val="0"/>
                    <w:jc w:val="center"/>
                    <w:rPr>
                      <w:rFonts w:hint="default" w:ascii="Times New Roman" w:hAnsi="Times New Roman" w:eastAsia="宋体" w:cs="Times New Roman"/>
                      <w:color w:val="auto"/>
                      <w:sz w:val="21"/>
                      <w:szCs w:val="21"/>
                    </w:rPr>
                  </w:pPr>
                </w:p>
              </w:tc>
              <w:tc>
                <w:tcPr>
                  <w:tcW w:w="956" w:type="dxa"/>
                  <w:vAlign w:val="center"/>
                </w:tcPr>
                <w:p w14:paraId="31D7CCA6">
                  <w:pPr>
                    <w:pStyle w:val="24"/>
                    <w:widowControl w:val="0"/>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TVOC</w:t>
                  </w:r>
                </w:p>
              </w:tc>
              <w:tc>
                <w:tcPr>
                  <w:tcW w:w="817" w:type="dxa"/>
                  <w:vAlign w:val="center"/>
                </w:tcPr>
                <w:p w14:paraId="363932E1">
                  <w:pPr>
                    <w:pStyle w:val="24"/>
                    <w:widowControl w:val="0"/>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1次/年</w:t>
                  </w:r>
                </w:p>
              </w:tc>
              <w:tc>
                <w:tcPr>
                  <w:tcW w:w="3633" w:type="dxa"/>
                  <w:vAlign w:val="center"/>
                </w:tcPr>
                <w:p w14:paraId="33BC5434">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广东省《固定污染源挥发性有机物综合排放标准》（DB44/2367-2022）表1挥发性有机物排放限值</w:t>
                  </w:r>
                </w:p>
              </w:tc>
              <w:tc>
                <w:tcPr>
                  <w:tcW w:w="1959" w:type="dxa"/>
                  <w:vAlign w:val="center"/>
                </w:tcPr>
                <w:p w14:paraId="4F2E3486">
                  <w:pPr>
                    <w:pStyle w:val="24"/>
                    <w:widowControl w:val="0"/>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100</w:t>
                  </w:r>
                </w:p>
              </w:tc>
              <w:tc>
                <w:tcPr>
                  <w:tcW w:w="969" w:type="dxa"/>
                  <w:vAlign w:val="center"/>
                </w:tcPr>
                <w:p w14:paraId="2675916C">
                  <w:pPr>
                    <w:pStyle w:val="24"/>
                    <w:widowControl w:val="0"/>
                    <w:adjustRightInd w:val="0"/>
                    <w:snapToGrid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713A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dxa"/>
                  <w:vAlign w:val="center"/>
                </w:tcPr>
                <w:p w14:paraId="698E32C9">
                  <w:pPr>
                    <w:pStyle w:val="24"/>
                    <w:widowControl w:val="0"/>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3</w:t>
                  </w:r>
                </w:p>
              </w:tc>
              <w:tc>
                <w:tcPr>
                  <w:tcW w:w="709" w:type="dxa"/>
                  <w:vMerge w:val="continue"/>
                  <w:vAlign w:val="center"/>
                </w:tcPr>
                <w:p w14:paraId="0F3F3239">
                  <w:pPr>
                    <w:pStyle w:val="24"/>
                    <w:widowControl w:val="0"/>
                    <w:adjustRightInd w:val="0"/>
                    <w:snapToGrid w:val="0"/>
                    <w:jc w:val="center"/>
                    <w:rPr>
                      <w:rFonts w:hint="default" w:ascii="Times New Roman" w:hAnsi="Times New Roman" w:eastAsia="宋体" w:cs="Times New Roman"/>
                      <w:color w:val="auto"/>
                      <w:sz w:val="21"/>
                      <w:szCs w:val="21"/>
                    </w:rPr>
                  </w:pPr>
                </w:p>
              </w:tc>
              <w:tc>
                <w:tcPr>
                  <w:tcW w:w="956" w:type="dxa"/>
                  <w:vAlign w:val="center"/>
                </w:tcPr>
                <w:p w14:paraId="06766916">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臭气浓度</w:t>
                  </w:r>
                </w:p>
              </w:tc>
              <w:tc>
                <w:tcPr>
                  <w:tcW w:w="817" w:type="dxa"/>
                  <w:vAlign w:val="center"/>
                </w:tcPr>
                <w:p w14:paraId="07AA2333">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1次/年</w:t>
                  </w:r>
                </w:p>
              </w:tc>
              <w:tc>
                <w:tcPr>
                  <w:tcW w:w="3633" w:type="dxa"/>
                  <w:vAlign w:val="center"/>
                </w:tcPr>
                <w:p w14:paraId="25150377">
                  <w:pPr>
                    <w:jc w:val="center"/>
                    <w:rPr>
                      <w:rFonts w:hint="default" w:ascii="Times New Roman" w:hAnsi="Times New Roman" w:eastAsia="宋体" w:cs="Times New Roman"/>
                      <w:color w:val="auto"/>
                      <w:sz w:val="21"/>
                      <w:szCs w:val="21"/>
                      <w:lang w:val="zh-CN"/>
                    </w:rPr>
                  </w:pPr>
                  <w:r>
                    <w:rPr>
                      <w:rFonts w:hint="default" w:ascii="Times New Roman" w:hAnsi="Times New Roman" w:eastAsia="宋体" w:cs="Times New Roman"/>
                      <w:color w:val="auto"/>
                      <w:kern w:val="0"/>
                      <w:sz w:val="21"/>
                      <w:szCs w:val="21"/>
                    </w:rPr>
                    <w:t>《恶臭污染物排放标准》（GB14554-93）表2恶臭污染物排放标准值</w:t>
                  </w:r>
                </w:p>
              </w:tc>
              <w:tc>
                <w:tcPr>
                  <w:tcW w:w="1959" w:type="dxa"/>
                  <w:vAlign w:val="center"/>
                </w:tcPr>
                <w:p w14:paraId="3232BEF4">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2000（无量纲）</w:t>
                  </w:r>
                </w:p>
              </w:tc>
              <w:tc>
                <w:tcPr>
                  <w:tcW w:w="969" w:type="dxa"/>
                  <w:vAlign w:val="center"/>
                </w:tcPr>
                <w:p w14:paraId="5FD45E7F">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107C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dxa"/>
                  <w:vMerge w:val="restart"/>
                  <w:vAlign w:val="center"/>
                </w:tcPr>
                <w:p w14:paraId="5B6D66B0">
                  <w:pPr>
                    <w:pStyle w:val="24"/>
                    <w:widowControl w:val="0"/>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4</w:t>
                  </w:r>
                </w:p>
              </w:tc>
              <w:tc>
                <w:tcPr>
                  <w:tcW w:w="709" w:type="dxa"/>
                  <w:vMerge w:val="restart"/>
                  <w:vAlign w:val="center"/>
                </w:tcPr>
                <w:p w14:paraId="0F09556B">
                  <w:pPr>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厂区内</w:t>
                  </w:r>
                </w:p>
              </w:tc>
              <w:tc>
                <w:tcPr>
                  <w:tcW w:w="956" w:type="dxa"/>
                  <w:vMerge w:val="restart"/>
                  <w:vAlign w:val="center"/>
                </w:tcPr>
                <w:p w14:paraId="741E976D">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非甲烷总烃</w:t>
                  </w:r>
                </w:p>
              </w:tc>
              <w:tc>
                <w:tcPr>
                  <w:tcW w:w="817" w:type="dxa"/>
                  <w:vMerge w:val="restart"/>
                  <w:vAlign w:val="center"/>
                </w:tcPr>
                <w:p w14:paraId="54A41B38">
                  <w:pPr>
                    <w:pStyle w:val="24"/>
                    <w:widowControl w:val="0"/>
                    <w:adjustRightInd w:val="0"/>
                    <w:snapToGrid w:val="0"/>
                    <w:jc w:val="center"/>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1次/</w:t>
                  </w:r>
                  <w:r>
                    <w:rPr>
                      <w:rFonts w:hint="eastAsia" w:ascii="Times New Roman" w:hAnsi="Times New Roman" w:cs="Times New Roman"/>
                      <w:color w:val="auto"/>
                      <w:sz w:val="21"/>
                      <w:szCs w:val="21"/>
                      <w:lang w:val="en-US" w:eastAsia="zh-CN"/>
                    </w:rPr>
                    <w:t>季度</w:t>
                  </w:r>
                </w:p>
              </w:tc>
              <w:tc>
                <w:tcPr>
                  <w:tcW w:w="3633" w:type="dxa"/>
                  <w:vMerge w:val="restart"/>
                  <w:vAlign w:val="center"/>
                </w:tcPr>
                <w:p w14:paraId="36B51F77">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广东省地方标准《固定污染源挥发性有机物综合排放标准》（DB44/2367-2022）表3厂区内VOCs无组织排放限值</w:t>
                  </w:r>
                </w:p>
              </w:tc>
              <w:tc>
                <w:tcPr>
                  <w:tcW w:w="1959" w:type="dxa"/>
                  <w:vAlign w:val="center"/>
                </w:tcPr>
                <w:p w14:paraId="5D84F630">
                  <w:pPr>
                    <w:widowControl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6（监控点处1小时平均浓度值，在厂房外设置监控点）</w:t>
                  </w:r>
                </w:p>
              </w:tc>
              <w:tc>
                <w:tcPr>
                  <w:tcW w:w="969" w:type="dxa"/>
                  <w:vAlign w:val="center"/>
                </w:tcPr>
                <w:p w14:paraId="50E58719">
                  <w:pPr>
                    <w:widowControl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6EA9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dxa"/>
                  <w:vMerge w:val="continue"/>
                  <w:vAlign w:val="center"/>
                </w:tcPr>
                <w:p w14:paraId="191F411B">
                  <w:pPr>
                    <w:pStyle w:val="24"/>
                    <w:widowControl w:val="0"/>
                    <w:adjustRightInd w:val="0"/>
                    <w:snapToGrid w:val="0"/>
                    <w:jc w:val="center"/>
                    <w:rPr>
                      <w:rFonts w:hint="default" w:ascii="Times New Roman" w:hAnsi="Times New Roman" w:eastAsia="宋体" w:cs="Times New Roman"/>
                      <w:color w:val="auto"/>
                      <w:sz w:val="21"/>
                      <w:szCs w:val="21"/>
                    </w:rPr>
                  </w:pPr>
                </w:p>
              </w:tc>
              <w:tc>
                <w:tcPr>
                  <w:tcW w:w="709" w:type="dxa"/>
                  <w:vMerge w:val="continue"/>
                  <w:vAlign w:val="center"/>
                </w:tcPr>
                <w:p w14:paraId="5F1172B0">
                  <w:pPr>
                    <w:pStyle w:val="24"/>
                    <w:widowControl w:val="0"/>
                    <w:adjustRightInd w:val="0"/>
                    <w:snapToGrid w:val="0"/>
                    <w:jc w:val="center"/>
                    <w:rPr>
                      <w:rFonts w:hint="default" w:ascii="Times New Roman" w:hAnsi="Times New Roman" w:eastAsia="宋体" w:cs="Times New Roman"/>
                      <w:color w:val="auto"/>
                      <w:sz w:val="21"/>
                      <w:szCs w:val="21"/>
                    </w:rPr>
                  </w:pPr>
                </w:p>
              </w:tc>
              <w:tc>
                <w:tcPr>
                  <w:tcW w:w="956" w:type="dxa"/>
                  <w:vMerge w:val="continue"/>
                  <w:vAlign w:val="center"/>
                </w:tcPr>
                <w:p w14:paraId="3B69A786">
                  <w:pPr>
                    <w:pStyle w:val="24"/>
                    <w:widowControl w:val="0"/>
                    <w:adjustRightInd w:val="0"/>
                    <w:snapToGrid w:val="0"/>
                    <w:jc w:val="center"/>
                    <w:rPr>
                      <w:rFonts w:hint="default" w:ascii="Times New Roman" w:hAnsi="Times New Roman" w:eastAsia="宋体" w:cs="Times New Roman"/>
                      <w:color w:val="auto"/>
                      <w:sz w:val="21"/>
                      <w:szCs w:val="21"/>
                    </w:rPr>
                  </w:pPr>
                </w:p>
              </w:tc>
              <w:tc>
                <w:tcPr>
                  <w:tcW w:w="817" w:type="dxa"/>
                  <w:vMerge w:val="continue"/>
                  <w:vAlign w:val="center"/>
                </w:tcPr>
                <w:p w14:paraId="5F4C947F">
                  <w:pPr>
                    <w:pStyle w:val="24"/>
                    <w:widowControl w:val="0"/>
                    <w:adjustRightInd w:val="0"/>
                    <w:snapToGrid w:val="0"/>
                    <w:jc w:val="center"/>
                    <w:rPr>
                      <w:rFonts w:hint="default" w:ascii="Times New Roman" w:hAnsi="Times New Roman" w:eastAsia="宋体" w:cs="Times New Roman"/>
                      <w:color w:val="auto"/>
                      <w:sz w:val="21"/>
                      <w:szCs w:val="21"/>
                    </w:rPr>
                  </w:pPr>
                </w:p>
              </w:tc>
              <w:tc>
                <w:tcPr>
                  <w:tcW w:w="3633" w:type="dxa"/>
                  <w:vMerge w:val="continue"/>
                  <w:vAlign w:val="center"/>
                </w:tcPr>
                <w:p w14:paraId="17E9BDA8">
                  <w:pPr>
                    <w:pStyle w:val="24"/>
                    <w:widowControl w:val="0"/>
                    <w:adjustRightInd w:val="0"/>
                    <w:snapToGrid w:val="0"/>
                    <w:jc w:val="center"/>
                    <w:rPr>
                      <w:rFonts w:hint="default" w:ascii="Times New Roman" w:hAnsi="Times New Roman" w:eastAsia="宋体" w:cs="Times New Roman"/>
                      <w:color w:val="auto"/>
                      <w:sz w:val="21"/>
                      <w:szCs w:val="21"/>
                    </w:rPr>
                  </w:pPr>
                </w:p>
              </w:tc>
              <w:tc>
                <w:tcPr>
                  <w:tcW w:w="1959" w:type="dxa"/>
                  <w:vAlign w:val="center"/>
                </w:tcPr>
                <w:p w14:paraId="7D1D909F">
                  <w:pPr>
                    <w:widowControl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20（监控点处任意一次浓度值，在厂房外设置监控点）</w:t>
                  </w:r>
                </w:p>
              </w:tc>
              <w:tc>
                <w:tcPr>
                  <w:tcW w:w="969" w:type="dxa"/>
                  <w:vAlign w:val="center"/>
                </w:tcPr>
                <w:p w14:paraId="7242259C">
                  <w:pPr>
                    <w:widowControl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14:paraId="27E8B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0" w:type="dxa"/>
                  <w:vAlign w:val="center"/>
                </w:tcPr>
                <w:p w14:paraId="02A91E5A">
                  <w:pPr>
                    <w:pStyle w:val="24"/>
                    <w:widowControl w:val="0"/>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5</w:t>
                  </w:r>
                </w:p>
              </w:tc>
              <w:tc>
                <w:tcPr>
                  <w:tcW w:w="709" w:type="dxa"/>
                  <w:vAlign w:val="center"/>
                </w:tcPr>
                <w:p w14:paraId="2CFE15B9">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厂界</w:t>
                  </w:r>
                </w:p>
              </w:tc>
              <w:tc>
                <w:tcPr>
                  <w:tcW w:w="956" w:type="dxa"/>
                  <w:vAlign w:val="center"/>
                </w:tcPr>
                <w:p w14:paraId="2A942870">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臭气浓度</w:t>
                  </w:r>
                </w:p>
              </w:tc>
              <w:tc>
                <w:tcPr>
                  <w:tcW w:w="817" w:type="dxa"/>
                  <w:vAlign w:val="center"/>
                </w:tcPr>
                <w:p w14:paraId="10E00D15">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1次/年</w:t>
                  </w:r>
                </w:p>
              </w:tc>
              <w:tc>
                <w:tcPr>
                  <w:tcW w:w="3633" w:type="dxa"/>
                  <w:vAlign w:val="center"/>
                </w:tcPr>
                <w:p w14:paraId="7E62A189">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《恶臭污染物排放标准》（GB14554-93）中表1新扩改建二级厂界标准值</w:t>
                  </w:r>
                </w:p>
              </w:tc>
              <w:tc>
                <w:tcPr>
                  <w:tcW w:w="1959" w:type="dxa"/>
                  <w:vAlign w:val="center"/>
                </w:tcPr>
                <w:p w14:paraId="28DC0CD7">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20（无量纲）</w:t>
                  </w:r>
                </w:p>
              </w:tc>
              <w:tc>
                <w:tcPr>
                  <w:tcW w:w="969" w:type="dxa"/>
                  <w:vAlign w:val="center"/>
                </w:tcPr>
                <w:p w14:paraId="1CE5688D">
                  <w:pPr>
                    <w:pStyle w:val="24"/>
                    <w:widowControl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bl>
          <w:p w14:paraId="25E3C1C1">
            <w:pPr>
              <w:adjustRightInd w:val="0"/>
              <w:snapToGrid w:val="0"/>
              <w:spacing w:line="360" w:lineRule="auto"/>
              <w:ind w:firstLine="482" w:firstLineChars="200"/>
              <w:rPr>
                <w:color w:val="auto"/>
                <w:sz w:val="24"/>
              </w:rPr>
            </w:pPr>
            <w:r>
              <w:rPr>
                <w:rFonts w:hint="eastAsia"/>
                <w:b/>
                <w:color w:val="auto"/>
                <w:sz w:val="24"/>
              </w:rPr>
              <w:t>7</w:t>
            </w:r>
            <w:r>
              <w:rPr>
                <w:b/>
                <w:color w:val="auto"/>
                <w:sz w:val="24"/>
              </w:rPr>
              <w:t>、</w:t>
            </w:r>
            <w:r>
              <w:rPr>
                <w:b/>
                <w:bCs/>
                <w:color w:val="auto"/>
                <w:sz w:val="24"/>
              </w:rPr>
              <w:t>废气对周边敏感点的影响分析</w:t>
            </w:r>
          </w:p>
          <w:p w14:paraId="2D8CE2BB">
            <w:pPr>
              <w:pStyle w:val="189"/>
              <w:spacing w:line="360" w:lineRule="auto"/>
              <w:ind w:firstLine="480"/>
              <w:rPr>
                <w:color w:val="auto"/>
                <w:sz w:val="24"/>
              </w:rPr>
            </w:pPr>
            <w:r>
              <w:rPr>
                <w:color w:val="auto"/>
                <w:sz w:val="24"/>
              </w:rPr>
              <w:t>本项目500m范围内分布有</w:t>
            </w:r>
            <w:r>
              <w:rPr>
                <w:rFonts w:hint="eastAsia"/>
                <w:color w:val="auto"/>
                <w:sz w:val="24"/>
              </w:rPr>
              <w:t>6</w:t>
            </w:r>
            <w:r>
              <w:rPr>
                <w:color w:val="auto"/>
                <w:sz w:val="24"/>
              </w:rPr>
              <w:t>个大气环境敏感目标，为本项目500m范围内分布有6个大气环境敏感目标，为南面32m的阳东区龙源实验学校，东南面260m的南方豪庭，东南面285m的鸿景凯悦，东面35m商住楼，北面35m阳光天地，西北面425m合岗村。本项目</w:t>
            </w:r>
            <w:r>
              <w:rPr>
                <w:rFonts w:hint="eastAsia"/>
                <w:color w:val="auto"/>
                <w:sz w:val="24"/>
              </w:rPr>
              <w:t>电泳漆涂装和烘干固化</w:t>
            </w:r>
            <w:r>
              <w:rPr>
                <w:color w:val="auto"/>
                <w:sz w:val="24"/>
              </w:rPr>
              <w:t>工序产生的有组织废气采用“</w:t>
            </w:r>
            <w:r>
              <w:rPr>
                <w:rFonts w:hint="eastAsia"/>
                <w:color w:val="auto"/>
                <w:sz w:val="24"/>
              </w:rPr>
              <w:t>水喷淋塔+除雾器+</w:t>
            </w:r>
            <w:r>
              <w:rPr>
                <w:color w:val="auto"/>
                <w:sz w:val="24"/>
              </w:rPr>
              <w:t>两级活性炭吸附装置”处理后通过20m高的排气筒进行排放</w:t>
            </w:r>
            <w:r>
              <w:rPr>
                <w:rFonts w:hint="eastAsia"/>
                <w:color w:val="auto"/>
                <w:sz w:val="24"/>
              </w:rPr>
              <w:t>。本项目</w:t>
            </w:r>
            <w:r>
              <w:rPr>
                <w:color w:val="auto"/>
                <w:sz w:val="24"/>
              </w:rPr>
              <w:t>主要排放的污染物为</w:t>
            </w:r>
            <w:r>
              <w:rPr>
                <w:rFonts w:hint="eastAsia"/>
                <w:color w:val="auto"/>
                <w:sz w:val="24"/>
              </w:rPr>
              <w:t>有机废气、恶臭</w:t>
            </w:r>
            <w:r>
              <w:rPr>
                <w:color w:val="auto"/>
                <w:sz w:val="24"/>
              </w:rPr>
              <w:t>，根据前文分析，</w:t>
            </w:r>
            <w:r>
              <w:rPr>
                <w:rFonts w:hint="eastAsia"/>
                <w:color w:val="auto"/>
                <w:sz w:val="24"/>
                <w:lang w:val="en-US" w:eastAsia="zh-CN"/>
              </w:rPr>
              <w:t>由于本改建项目与现有项目</w:t>
            </w:r>
            <w:r>
              <w:rPr>
                <w:rFonts w:hint="eastAsia" w:ascii="Times New Roman" w:hAnsi="Times New Roman" w:eastAsia="宋体" w:cs="Times New Roman"/>
                <w:color w:val="auto"/>
                <w:sz w:val="24"/>
                <w:lang w:val="en-US" w:eastAsia="zh-CN"/>
              </w:rPr>
              <w:t>的注塑、着色、烘干产生的有机废气进入同一套废水处理设施处理后排放，根据表4</w:t>
            </w:r>
            <w:r>
              <w:rPr>
                <w:rFonts w:hint="eastAsia" w:cs="Times New Roman"/>
                <w:color w:val="auto"/>
                <w:sz w:val="24"/>
                <w:lang w:val="en-US" w:eastAsia="zh-CN"/>
              </w:rPr>
              <w:t>-7</w:t>
            </w:r>
            <w:r>
              <w:rPr>
                <w:rFonts w:hint="eastAsia" w:ascii="Times New Roman" w:hAnsi="Times New Roman" w:eastAsia="宋体" w:cs="Times New Roman"/>
                <w:color w:val="auto"/>
                <w:sz w:val="24"/>
                <w:lang w:val="en-US" w:eastAsia="zh-CN"/>
              </w:rPr>
              <w:t>的叠加计算，本改建项目叠加现有项目的废气排气筒排放的污染物均能够实现达标排放</w:t>
            </w:r>
            <w:r>
              <w:rPr>
                <w:rFonts w:hint="eastAsia" w:ascii="Times New Roman" w:hAnsi="Times New Roman" w:eastAsia="宋体" w:cs="Times New Roman"/>
                <w:color w:val="auto"/>
                <w:sz w:val="24"/>
                <w:lang w:val="en-US" w:eastAsia="zh-CN"/>
              </w:rPr>
              <w:t>。阳江</w:t>
            </w:r>
            <w:r>
              <w:rPr>
                <w:color w:val="auto"/>
                <w:sz w:val="24"/>
              </w:rPr>
              <w:t>市阳东区主导风向为冬季盛吹东北与北风，夏季盛吹东南风，</w:t>
            </w:r>
            <w:r>
              <w:rPr>
                <w:rFonts w:hint="eastAsia"/>
                <w:color w:val="auto"/>
                <w:sz w:val="24"/>
              </w:rPr>
              <w:t>其中阳东区龙源实验学校处于冬季主导风向的下风向，合岗村处于夏季主导风向的下风向。本项目通过加强管理，保证废气经处理后达标排放，同时</w:t>
            </w:r>
            <w:r>
              <w:rPr>
                <w:color w:val="auto"/>
                <w:sz w:val="24"/>
              </w:rPr>
              <w:t>本项目与周边敏感点之间被道路、绿化树所隔离，因此经过自然通风、周边绿化植物吸收和大气稀释扩散后，大气污染物浓度会迅速下降，因此，本项目外排的废气对最近敏感点</w:t>
            </w:r>
            <w:r>
              <w:rPr>
                <w:rFonts w:hint="eastAsia"/>
                <w:color w:val="auto"/>
                <w:sz w:val="24"/>
                <w:lang w:eastAsia="zh-CN"/>
              </w:rPr>
              <w:t>影响不大</w:t>
            </w:r>
            <w:r>
              <w:rPr>
                <w:color w:val="auto"/>
                <w:sz w:val="24"/>
              </w:rPr>
              <w:t>。</w:t>
            </w:r>
          </w:p>
          <w:p w14:paraId="10E2DCB4">
            <w:pPr>
              <w:pStyle w:val="189"/>
              <w:spacing w:line="360" w:lineRule="auto"/>
              <w:ind w:firstLine="482"/>
              <w:rPr>
                <w:b/>
                <w:bCs/>
                <w:color w:val="auto"/>
                <w:sz w:val="24"/>
              </w:rPr>
            </w:pPr>
            <w:r>
              <w:rPr>
                <w:rFonts w:hint="eastAsia"/>
                <w:b/>
                <w:bCs/>
                <w:color w:val="auto"/>
                <w:sz w:val="24"/>
              </w:rPr>
              <w:t>8</w:t>
            </w:r>
            <w:r>
              <w:rPr>
                <w:b/>
                <w:bCs/>
                <w:color w:val="auto"/>
                <w:sz w:val="24"/>
              </w:rPr>
              <w:t>、大气环境影响评价结论</w:t>
            </w:r>
          </w:p>
          <w:p w14:paraId="6A39A4C7">
            <w:pPr>
              <w:pStyle w:val="189"/>
              <w:spacing w:line="360" w:lineRule="auto"/>
              <w:ind w:firstLine="480"/>
              <w:rPr>
                <w:color w:val="auto"/>
                <w:sz w:val="24"/>
              </w:rPr>
            </w:pPr>
            <w:r>
              <w:rPr>
                <w:color w:val="auto"/>
                <w:sz w:val="24"/>
              </w:rPr>
              <w:t>本项目位于二类环境空气质量功能区，根据《2024年阳江市生态环境状况公报》资料显示，项目所在地环境质量各因子可达到《环境空气质量标准》（GB3095-2026）中的过渡阶段二级标准浓度限值，阳东区环境空气质量保持稳定达标，项目所在区域环境质量现状良好，属于达标区。</w:t>
            </w:r>
          </w:p>
          <w:p w14:paraId="407359C2">
            <w:pPr>
              <w:pStyle w:val="189"/>
              <w:spacing w:line="360" w:lineRule="auto"/>
              <w:ind w:firstLine="480"/>
              <w:rPr>
                <w:color w:val="auto"/>
                <w:kern w:val="0"/>
                <w:sz w:val="24"/>
              </w:rPr>
            </w:pPr>
            <w:r>
              <w:rPr>
                <w:color w:val="auto"/>
                <w:sz w:val="24"/>
              </w:rPr>
              <w:t>本项目</w:t>
            </w:r>
            <w:r>
              <w:rPr>
                <w:rFonts w:hint="eastAsia"/>
                <w:color w:val="auto"/>
                <w:sz w:val="24"/>
              </w:rPr>
              <w:t>电泳漆涂装和烘干固化</w:t>
            </w:r>
            <w:r>
              <w:rPr>
                <w:color w:val="auto"/>
                <w:sz w:val="24"/>
              </w:rPr>
              <w:t>工序产生的</w:t>
            </w:r>
            <w:r>
              <w:rPr>
                <w:rFonts w:hint="eastAsia"/>
                <w:color w:val="auto"/>
                <w:sz w:val="24"/>
              </w:rPr>
              <w:t>VOCs</w:t>
            </w:r>
            <w:r>
              <w:rPr>
                <w:color w:val="auto"/>
                <w:sz w:val="24"/>
              </w:rPr>
              <w:t>、臭气浓度收集后经“</w:t>
            </w:r>
            <w:r>
              <w:rPr>
                <w:rFonts w:hint="eastAsia"/>
                <w:color w:val="auto"/>
                <w:sz w:val="24"/>
              </w:rPr>
              <w:t>水喷淋塔+除雾器+</w:t>
            </w:r>
            <w:r>
              <w:rPr>
                <w:color w:val="auto"/>
                <w:sz w:val="24"/>
              </w:rPr>
              <w:t>两级活性炭吸附装置”处理后引至20m高的排气筒（DA00</w:t>
            </w:r>
            <w:r>
              <w:rPr>
                <w:rFonts w:hint="eastAsia"/>
                <w:color w:val="auto"/>
                <w:sz w:val="24"/>
                <w:lang w:val="en-US" w:eastAsia="zh-CN"/>
              </w:rPr>
              <w:t>5</w:t>
            </w:r>
            <w:r>
              <w:rPr>
                <w:color w:val="auto"/>
                <w:sz w:val="24"/>
              </w:rPr>
              <w:t>）排放，有组织的</w:t>
            </w:r>
            <w:r>
              <w:rPr>
                <w:rFonts w:hint="eastAsia"/>
                <w:color w:val="auto"/>
                <w:sz w:val="24"/>
                <w:lang w:val="en-US" w:eastAsia="zh-CN"/>
              </w:rPr>
              <w:t>TVOC</w:t>
            </w:r>
            <w:r>
              <w:rPr>
                <w:color w:val="auto"/>
                <w:sz w:val="24"/>
              </w:rPr>
              <w:t>排放满足</w:t>
            </w:r>
            <w:r>
              <w:rPr>
                <w:rFonts w:hint="eastAsia"/>
                <w:color w:val="auto"/>
                <w:sz w:val="24"/>
              </w:rPr>
              <w:t>广东省《固定污染源挥发性有机物综合排放标准》（DB44/2367-2022）表1挥发性有机物排放限值</w:t>
            </w:r>
            <w:r>
              <w:rPr>
                <w:rFonts w:hint="eastAsia"/>
                <w:color w:val="auto"/>
                <w:sz w:val="24"/>
                <w:lang w:eastAsia="zh-CN"/>
              </w:rPr>
              <w:t>，</w:t>
            </w:r>
            <w:r>
              <w:rPr>
                <w:rFonts w:hint="eastAsia"/>
                <w:color w:val="auto"/>
                <w:sz w:val="24"/>
                <w:lang w:val="en-US" w:eastAsia="zh-CN"/>
              </w:rPr>
              <w:t>非甲烷总烃排放满足</w:t>
            </w:r>
            <w:r>
              <w:rPr>
                <w:rFonts w:hint="eastAsia"/>
                <w:color w:val="auto"/>
                <w:sz w:val="24"/>
              </w:rPr>
              <w:t>广东省《固定污染源挥发性有机物综合排放标准》（DB44/2367-2022）表1挥发性有机物排放限值</w:t>
            </w:r>
            <w:r>
              <w:rPr>
                <w:rFonts w:hint="eastAsia"/>
                <w:color w:val="auto"/>
                <w:sz w:val="24"/>
                <w:lang w:val="en-US" w:eastAsia="zh-CN"/>
              </w:rPr>
              <w:t>和</w:t>
            </w:r>
            <w:r>
              <w:rPr>
                <w:rFonts w:hint="default" w:ascii="Times New Roman" w:hAnsi="Times New Roman" w:eastAsia="宋体" w:cs="Times New Roman"/>
                <w:color w:val="auto"/>
                <w:sz w:val="24"/>
                <w:highlight w:val="none"/>
                <w:lang w:eastAsia="zh-CN"/>
              </w:rPr>
              <w:t>《合成树脂工业污染物排放标准》（GB31572-2015，含2024年修改单）</w:t>
            </w:r>
            <w:r>
              <w:rPr>
                <w:rFonts w:hint="default" w:ascii="Times New Roman" w:hAnsi="Times New Roman" w:cs="Times New Roman"/>
                <w:color w:val="auto"/>
                <w:sz w:val="24"/>
                <w:szCs w:val="24"/>
                <w:lang w:val="en-US" w:eastAsia="zh-CN"/>
              </w:rPr>
              <w:t>表4</w:t>
            </w:r>
            <w:r>
              <w:rPr>
                <w:rFonts w:hint="default" w:ascii="Times New Roman" w:hAnsi="Times New Roman" w:cs="Times New Roman"/>
                <w:color w:val="auto"/>
                <w:sz w:val="24"/>
                <w:szCs w:val="24"/>
                <w:lang w:val="en-US"/>
              </w:rPr>
              <w:t>大气污染物排放限值</w:t>
            </w:r>
            <w:r>
              <w:rPr>
                <w:rFonts w:hint="eastAsia" w:ascii="Times New Roman" w:hAnsi="Times New Roman" w:cs="Times New Roman"/>
                <w:color w:val="auto"/>
                <w:sz w:val="24"/>
                <w:szCs w:val="24"/>
                <w:lang w:val="en-US" w:eastAsia="zh-CN"/>
              </w:rPr>
              <w:t>较严值</w:t>
            </w:r>
            <w:r>
              <w:rPr>
                <w:color w:val="auto"/>
                <w:sz w:val="24"/>
              </w:rPr>
              <w:t>，臭气浓度排放满足</w:t>
            </w:r>
            <w:r>
              <w:rPr>
                <w:color w:val="auto"/>
                <w:kern w:val="0"/>
                <w:sz w:val="24"/>
              </w:rPr>
              <w:t>《恶臭污染物排放标准》（GB14554-93）表2恶臭污染物排放标准值要求。</w:t>
            </w:r>
          </w:p>
          <w:p w14:paraId="24473DCC">
            <w:pPr>
              <w:widowControl w:val="0"/>
              <w:adjustRightInd w:val="0"/>
              <w:snapToGrid w:val="0"/>
              <w:spacing w:line="360" w:lineRule="auto"/>
              <w:ind w:firstLine="480" w:firstLineChars="200"/>
              <w:rPr>
                <w:color w:val="auto"/>
                <w:sz w:val="24"/>
              </w:rPr>
            </w:pPr>
            <w:r>
              <w:rPr>
                <w:color w:val="auto"/>
                <w:sz w:val="24"/>
              </w:rPr>
              <w:t>本项目</w:t>
            </w:r>
            <w:r>
              <w:rPr>
                <w:rFonts w:hint="eastAsia"/>
                <w:color w:val="auto"/>
                <w:sz w:val="24"/>
              </w:rPr>
              <w:t>电泳漆涂装和烘干固化</w:t>
            </w:r>
            <w:r>
              <w:rPr>
                <w:color w:val="auto"/>
                <w:sz w:val="24"/>
              </w:rPr>
              <w:t>工序未收集的</w:t>
            </w:r>
            <w:r>
              <w:rPr>
                <w:rFonts w:hint="eastAsia"/>
                <w:color w:val="auto"/>
                <w:sz w:val="24"/>
              </w:rPr>
              <w:t>VOCs</w:t>
            </w:r>
            <w:r>
              <w:rPr>
                <w:color w:val="auto"/>
                <w:sz w:val="24"/>
              </w:rPr>
              <w:t>、臭气浓度在加强车间区域通风的情况下无组织排放，预计厂界臭气浓度可达到《恶臭污染物排放标准》（GB14554-93）表1恶臭污染物厂界标准值中二级新改扩建标准；厂区内</w:t>
            </w:r>
            <w:r>
              <w:rPr>
                <w:rFonts w:hint="eastAsia"/>
                <w:color w:val="auto"/>
                <w:sz w:val="24"/>
              </w:rPr>
              <w:t>VOCs</w:t>
            </w:r>
            <w:r>
              <w:rPr>
                <w:color w:val="auto"/>
                <w:sz w:val="24"/>
              </w:rPr>
              <w:t>排放浓度可达到广东省地方标准《固定污染源挥发性有机物综合排放标准》（DB44/2367-2022）表3厂区内VOCs无组织排放限值要求。</w:t>
            </w:r>
          </w:p>
          <w:p w14:paraId="5C1A782D">
            <w:pPr>
              <w:spacing w:line="360" w:lineRule="auto"/>
              <w:ind w:firstLine="480" w:firstLineChars="200"/>
              <w:rPr>
                <w:color w:val="auto"/>
                <w:sz w:val="24"/>
              </w:rPr>
            </w:pPr>
            <w:r>
              <w:rPr>
                <w:color w:val="auto"/>
                <w:sz w:val="24"/>
              </w:rPr>
              <w:t>本项目所产生的废气采取的处理工艺技术成熟稳定且属于可行性技术，废气经处理后均能稳定达标排放，对周边大气环境影响不大，大气环境影响可以接受。</w:t>
            </w:r>
          </w:p>
          <w:p w14:paraId="7E81319B">
            <w:pPr>
              <w:spacing w:line="360" w:lineRule="auto"/>
              <w:ind w:firstLine="482" w:firstLineChars="200"/>
              <w:rPr>
                <w:b/>
                <w:bCs/>
                <w:color w:val="auto"/>
                <w:sz w:val="24"/>
              </w:rPr>
            </w:pPr>
            <w:r>
              <w:rPr>
                <w:b/>
                <w:bCs/>
                <w:color w:val="auto"/>
                <w:sz w:val="24"/>
              </w:rPr>
              <w:t>（二）废水</w:t>
            </w:r>
          </w:p>
          <w:p w14:paraId="3D5910A7">
            <w:pPr>
              <w:pStyle w:val="24"/>
              <w:adjustRightInd w:val="0"/>
              <w:snapToGrid w:val="0"/>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根据本项目生产工艺分析，本</w:t>
            </w:r>
            <w:r>
              <w:rPr>
                <w:rFonts w:hint="eastAsia" w:ascii="Times New Roman" w:hAnsi="Times New Roman" w:cs="Times New Roman"/>
                <w:color w:val="auto"/>
                <w:sz w:val="24"/>
                <w:szCs w:val="24"/>
                <w:lang w:eastAsia="zh-CN"/>
              </w:rPr>
              <w:t>改建</w:t>
            </w:r>
            <w:r>
              <w:rPr>
                <w:rFonts w:ascii="Times New Roman" w:hAnsi="Times New Roman" w:cs="Times New Roman"/>
                <w:color w:val="auto"/>
                <w:sz w:val="24"/>
                <w:szCs w:val="24"/>
              </w:rPr>
              <w:t>项目</w:t>
            </w:r>
            <w:r>
              <w:rPr>
                <w:rFonts w:hint="eastAsia" w:ascii="Times New Roman" w:hAnsi="Times New Roman" w:cs="Times New Roman"/>
                <w:color w:val="auto"/>
                <w:sz w:val="24"/>
                <w:szCs w:val="24"/>
                <w:lang w:val="en-US" w:eastAsia="zh-CN"/>
              </w:rPr>
              <w:t>主要为</w:t>
            </w:r>
            <w:r>
              <w:rPr>
                <w:rFonts w:ascii="Times New Roman" w:hAnsi="Times New Roman" w:cs="Times New Roman"/>
                <w:color w:val="auto"/>
                <w:sz w:val="24"/>
                <w:szCs w:val="24"/>
              </w:rPr>
              <w:t>生产</w:t>
            </w:r>
            <w:r>
              <w:rPr>
                <w:rFonts w:hint="eastAsia" w:ascii="Times New Roman" w:hAnsi="Times New Roman" w:cs="Times New Roman"/>
                <w:color w:val="auto"/>
                <w:sz w:val="24"/>
                <w:szCs w:val="24"/>
              </w:rPr>
              <w:t>废水（电泳漆涂装前后的清洗废水）</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通过减少阳极氧化线的废水量进行调配，因此本改建项目无新增生产废水</w:t>
            </w:r>
            <w:r>
              <w:rPr>
                <w:rFonts w:hint="eastAsia" w:ascii="Times New Roman" w:hAnsi="Times New Roman" w:cs="Times New Roman"/>
                <w:color w:val="auto"/>
                <w:sz w:val="24"/>
                <w:szCs w:val="24"/>
              </w:rPr>
              <w:t>。本</w:t>
            </w:r>
            <w:r>
              <w:rPr>
                <w:rFonts w:hint="eastAsia" w:ascii="Times New Roman" w:hAnsi="Times New Roman" w:cs="Times New Roman"/>
                <w:color w:val="auto"/>
                <w:sz w:val="24"/>
                <w:szCs w:val="24"/>
                <w:lang w:eastAsia="zh-CN"/>
              </w:rPr>
              <w:t>改建</w:t>
            </w:r>
            <w:r>
              <w:rPr>
                <w:rFonts w:hint="eastAsia" w:ascii="Times New Roman" w:hAnsi="Times New Roman" w:cs="Times New Roman"/>
                <w:color w:val="auto"/>
                <w:sz w:val="24"/>
                <w:szCs w:val="24"/>
              </w:rPr>
              <w:t>项目</w:t>
            </w:r>
            <w:r>
              <w:rPr>
                <w:rFonts w:ascii="Times New Roman" w:hAnsi="Times New Roman" w:cs="Times New Roman"/>
                <w:color w:val="auto"/>
                <w:sz w:val="24"/>
                <w:szCs w:val="24"/>
              </w:rPr>
              <w:t>清洗废水</w:t>
            </w:r>
            <w:r>
              <w:rPr>
                <w:rFonts w:hint="eastAsia" w:ascii="Times New Roman" w:hAnsi="Times New Roman" w:cs="Times New Roman"/>
                <w:color w:val="auto"/>
                <w:sz w:val="24"/>
                <w:szCs w:val="24"/>
              </w:rPr>
              <w:t>排入自建的综合废水处理站处理后回用于阳极氧化线，</w:t>
            </w:r>
            <w:r>
              <w:rPr>
                <w:rFonts w:ascii="Times New Roman" w:hAnsi="Times New Roman" w:cs="Times New Roman"/>
                <w:color w:val="auto"/>
                <w:sz w:val="24"/>
                <w:szCs w:val="24"/>
              </w:rPr>
              <w:t>因此无</w:t>
            </w:r>
            <w:r>
              <w:rPr>
                <w:rFonts w:hint="eastAsia" w:ascii="Times New Roman" w:hAnsi="Times New Roman" w:cs="Times New Roman"/>
                <w:color w:val="auto"/>
                <w:sz w:val="24"/>
                <w:szCs w:val="24"/>
                <w:lang w:val="en-US" w:eastAsia="zh-CN"/>
              </w:rPr>
              <w:t>新增</w:t>
            </w:r>
            <w:r>
              <w:rPr>
                <w:rFonts w:ascii="Times New Roman" w:hAnsi="Times New Roman" w:cs="Times New Roman"/>
                <w:color w:val="auto"/>
                <w:sz w:val="24"/>
                <w:szCs w:val="24"/>
              </w:rPr>
              <w:t>生产废水外排；</w:t>
            </w:r>
            <w:r>
              <w:rPr>
                <w:rFonts w:hint="eastAsia" w:ascii="Times New Roman" w:hAnsi="Times New Roman" w:cs="Times New Roman"/>
                <w:color w:val="auto"/>
                <w:sz w:val="24"/>
                <w:szCs w:val="24"/>
              </w:rPr>
              <w:t>本项目无需新增员工，因此无新增生活污水。</w:t>
            </w:r>
            <w:r>
              <w:rPr>
                <w:rFonts w:ascii="Times New Roman" w:hAnsi="Times New Roman" w:cs="Times New Roman"/>
                <w:color w:val="auto"/>
                <w:sz w:val="24"/>
                <w:szCs w:val="24"/>
              </w:rPr>
              <w:t>本项目废水类别、污染物项目及污染防治设施见下表。</w:t>
            </w:r>
          </w:p>
          <w:p w14:paraId="1CE0AE90">
            <w:pPr>
              <w:pStyle w:val="24"/>
              <w:adjustRightInd w:val="0"/>
              <w:snapToGrid w:val="0"/>
              <w:spacing w:line="400" w:lineRule="exact"/>
              <w:jc w:val="center"/>
              <w:rPr>
                <w:rFonts w:ascii="Times New Roman" w:hAnsi="Times New Roman" w:cs="Times New Roman"/>
                <w:b/>
                <w:bCs/>
                <w:color w:val="auto"/>
              </w:rPr>
            </w:pPr>
            <w:r>
              <w:rPr>
                <w:rFonts w:ascii="Times New Roman" w:hAnsi="Times New Roman" w:cs="Times New Roman"/>
                <w:b/>
                <w:bCs/>
                <w:color w:val="auto"/>
              </w:rPr>
              <w:t>表</w:t>
            </w:r>
            <w:r>
              <w:rPr>
                <w:rFonts w:hint="eastAsia" w:ascii="Times New Roman" w:hAnsi="Times New Roman" w:cs="Times New Roman"/>
                <w:b/>
                <w:bCs/>
                <w:color w:val="auto"/>
              </w:rPr>
              <w:t>4-</w:t>
            </w:r>
            <w:r>
              <w:rPr>
                <w:rFonts w:hint="eastAsia" w:ascii="Times New Roman" w:hAnsi="Times New Roman" w:cs="Times New Roman"/>
                <w:b/>
                <w:bCs/>
                <w:color w:val="auto"/>
                <w:lang w:val="en-US" w:eastAsia="zh-CN"/>
              </w:rPr>
              <w:t>13</w:t>
            </w:r>
            <w:r>
              <w:rPr>
                <w:rFonts w:hint="eastAsia" w:ascii="Times New Roman" w:hAnsi="Times New Roman" w:cs="Times New Roman"/>
                <w:b/>
                <w:bCs/>
                <w:color w:val="auto"/>
              </w:rPr>
              <w:t xml:space="preserve">  </w:t>
            </w:r>
            <w:r>
              <w:rPr>
                <w:rFonts w:ascii="Times New Roman" w:hAnsi="Times New Roman" w:cs="Times New Roman"/>
                <w:b/>
                <w:bCs/>
                <w:color w:val="auto"/>
              </w:rPr>
              <w:t>本项目废水类别、污染物及污染治理设施信息表</w:t>
            </w:r>
          </w:p>
          <w:tbl>
            <w:tblPr>
              <w:tblStyle w:val="42"/>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
              <w:gridCol w:w="840"/>
              <w:gridCol w:w="885"/>
              <w:gridCol w:w="780"/>
              <w:gridCol w:w="900"/>
              <w:gridCol w:w="1230"/>
              <w:gridCol w:w="975"/>
              <w:gridCol w:w="705"/>
              <w:gridCol w:w="945"/>
              <w:gridCol w:w="1755"/>
            </w:tblGrid>
            <w:tr w14:paraId="0FB6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9" w:type="dxa"/>
                  <w:vMerge w:val="restart"/>
                  <w:tcBorders>
                    <w:top w:val="single" w:color="auto" w:sz="4" w:space="0"/>
                    <w:left w:val="single" w:color="auto" w:sz="4" w:space="0"/>
                    <w:bottom w:val="single" w:color="auto" w:sz="4" w:space="0"/>
                    <w:right w:val="single" w:color="auto" w:sz="4" w:space="0"/>
                  </w:tcBorders>
                  <w:vAlign w:val="center"/>
                </w:tcPr>
                <w:p w14:paraId="72958042">
                  <w:pPr>
                    <w:adjustRightInd w:val="0"/>
                    <w:snapToGrid w:val="0"/>
                    <w:spacing w:line="240" w:lineRule="auto"/>
                    <w:jc w:val="center"/>
                    <w:rPr>
                      <w:b/>
                      <w:bCs/>
                      <w:color w:val="auto"/>
                      <w:szCs w:val="21"/>
                    </w:rPr>
                  </w:pPr>
                  <w:r>
                    <w:rPr>
                      <w:b/>
                      <w:bCs/>
                      <w:color w:val="auto"/>
                      <w:szCs w:val="21"/>
                    </w:rPr>
                    <w:t>废水类别</w:t>
                  </w:r>
                </w:p>
              </w:tc>
              <w:tc>
                <w:tcPr>
                  <w:tcW w:w="840" w:type="dxa"/>
                  <w:vMerge w:val="restart"/>
                  <w:tcBorders>
                    <w:top w:val="single" w:color="auto" w:sz="4" w:space="0"/>
                    <w:left w:val="single" w:color="auto" w:sz="4" w:space="0"/>
                    <w:bottom w:val="single" w:color="auto" w:sz="4" w:space="0"/>
                    <w:right w:val="single" w:color="auto" w:sz="4" w:space="0"/>
                  </w:tcBorders>
                  <w:vAlign w:val="center"/>
                </w:tcPr>
                <w:p w14:paraId="6C665BC9">
                  <w:pPr>
                    <w:adjustRightInd w:val="0"/>
                    <w:snapToGrid w:val="0"/>
                    <w:spacing w:line="240" w:lineRule="auto"/>
                    <w:jc w:val="center"/>
                    <w:rPr>
                      <w:b/>
                      <w:bCs/>
                      <w:color w:val="auto"/>
                      <w:szCs w:val="21"/>
                    </w:rPr>
                  </w:pPr>
                  <w:r>
                    <w:rPr>
                      <w:b/>
                      <w:bCs/>
                      <w:color w:val="auto"/>
                      <w:szCs w:val="21"/>
                    </w:rPr>
                    <w:t>污染物种类</w:t>
                  </w:r>
                </w:p>
              </w:tc>
              <w:tc>
                <w:tcPr>
                  <w:tcW w:w="885" w:type="dxa"/>
                  <w:vMerge w:val="restart"/>
                  <w:tcBorders>
                    <w:top w:val="single" w:color="auto" w:sz="4" w:space="0"/>
                    <w:left w:val="single" w:color="auto" w:sz="4" w:space="0"/>
                    <w:right w:val="single" w:color="auto" w:sz="4" w:space="0"/>
                  </w:tcBorders>
                  <w:vAlign w:val="center"/>
                </w:tcPr>
                <w:p w14:paraId="2DDC18F2">
                  <w:pPr>
                    <w:adjustRightInd w:val="0"/>
                    <w:snapToGrid w:val="0"/>
                    <w:spacing w:line="240" w:lineRule="auto"/>
                    <w:jc w:val="center"/>
                    <w:rPr>
                      <w:b/>
                      <w:bCs/>
                      <w:color w:val="auto"/>
                      <w:szCs w:val="21"/>
                    </w:rPr>
                  </w:pPr>
                  <w:r>
                    <w:rPr>
                      <w:b/>
                      <w:bCs/>
                      <w:color w:val="auto"/>
                      <w:szCs w:val="21"/>
                    </w:rPr>
                    <w:t>排放</w:t>
                  </w:r>
                </w:p>
                <w:p w14:paraId="6FB5B72E">
                  <w:pPr>
                    <w:adjustRightInd w:val="0"/>
                    <w:snapToGrid w:val="0"/>
                    <w:spacing w:line="240" w:lineRule="auto"/>
                    <w:jc w:val="center"/>
                    <w:rPr>
                      <w:b/>
                      <w:bCs/>
                      <w:color w:val="auto"/>
                      <w:szCs w:val="21"/>
                    </w:rPr>
                  </w:pPr>
                  <w:r>
                    <w:rPr>
                      <w:b/>
                      <w:bCs/>
                      <w:color w:val="auto"/>
                      <w:szCs w:val="21"/>
                    </w:rPr>
                    <w:t>去向</w:t>
                  </w:r>
                </w:p>
              </w:tc>
              <w:tc>
                <w:tcPr>
                  <w:tcW w:w="780" w:type="dxa"/>
                  <w:vMerge w:val="restart"/>
                  <w:tcBorders>
                    <w:top w:val="single" w:color="auto" w:sz="4" w:space="0"/>
                    <w:left w:val="single" w:color="auto" w:sz="4" w:space="0"/>
                    <w:right w:val="single" w:color="auto" w:sz="4" w:space="0"/>
                  </w:tcBorders>
                  <w:vAlign w:val="center"/>
                </w:tcPr>
                <w:p w14:paraId="2941538D">
                  <w:pPr>
                    <w:adjustRightInd w:val="0"/>
                    <w:snapToGrid w:val="0"/>
                    <w:spacing w:line="240" w:lineRule="auto"/>
                    <w:jc w:val="center"/>
                    <w:rPr>
                      <w:b/>
                      <w:bCs/>
                      <w:color w:val="auto"/>
                      <w:szCs w:val="21"/>
                    </w:rPr>
                  </w:pPr>
                  <w:r>
                    <w:rPr>
                      <w:b/>
                      <w:bCs/>
                      <w:color w:val="auto"/>
                      <w:szCs w:val="21"/>
                    </w:rPr>
                    <w:t>排放规律</w:t>
                  </w:r>
                </w:p>
              </w:tc>
              <w:tc>
                <w:tcPr>
                  <w:tcW w:w="3105" w:type="dxa"/>
                  <w:gridSpan w:val="3"/>
                  <w:tcBorders>
                    <w:top w:val="single" w:color="auto" w:sz="4" w:space="0"/>
                    <w:left w:val="single" w:color="auto" w:sz="4" w:space="0"/>
                    <w:right w:val="single" w:color="auto" w:sz="4" w:space="0"/>
                  </w:tcBorders>
                  <w:vAlign w:val="center"/>
                </w:tcPr>
                <w:p w14:paraId="4A2F1B2B">
                  <w:pPr>
                    <w:adjustRightInd w:val="0"/>
                    <w:snapToGrid w:val="0"/>
                    <w:spacing w:line="240" w:lineRule="auto"/>
                    <w:jc w:val="center"/>
                    <w:rPr>
                      <w:b/>
                      <w:bCs/>
                      <w:color w:val="auto"/>
                      <w:szCs w:val="21"/>
                    </w:rPr>
                  </w:pPr>
                  <w:r>
                    <w:rPr>
                      <w:b/>
                      <w:bCs/>
                      <w:color w:val="auto"/>
                      <w:szCs w:val="21"/>
                    </w:rPr>
                    <w:t>污染防治设施</w:t>
                  </w:r>
                </w:p>
              </w:tc>
              <w:tc>
                <w:tcPr>
                  <w:tcW w:w="705" w:type="dxa"/>
                  <w:vMerge w:val="restart"/>
                  <w:tcBorders>
                    <w:top w:val="single" w:color="auto" w:sz="4" w:space="0"/>
                    <w:left w:val="single" w:color="auto" w:sz="4" w:space="0"/>
                    <w:bottom w:val="single" w:color="auto" w:sz="4" w:space="0"/>
                    <w:right w:val="single" w:color="auto" w:sz="4" w:space="0"/>
                  </w:tcBorders>
                  <w:vAlign w:val="center"/>
                </w:tcPr>
                <w:p w14:paraId="0C321D63">
                  <w:pPr>
                    <w:adjustRightInd w:val="0"/>
                    <w:snapToGrid w:val="0"/>
                    <w:spacing w:line="240" w:lineRule="auto"/>
                    <w:jc w:val="center"/>
                    <w:rPr>
                      <w:b/>
                      <w:bCs/>
                      <w:color w:val="auto"/>
                      <w:szCs w:val="21"/>
                    </w:rPr>
                  </w:pPr>
                  <w:r>
                    <w:rPr>
                      <w:b/>
                      <w:bCs/>
                      <w:color w:val="auto"/>
                      <w:szCs w:val="21"/>
                    </w:rPr>
                    <w:t>排放口编号</w:t>
                  </w:r>
                </w:p>
              </w:tc>
              <w:tc>
                <w:tcPr>
                  <w:tcW w:w="945" w:type="dxa"/>
                  <w:vMerge w:val="restart"/>
                  <w:tcBorders>
                    <w:top w:val="single" w:color="auto" w:sz="4" w:space="0"/>
                    <w:left w:val="single" w:color="auto" w:sz="4" w:space="0"/>
                    <w:bottom w:val="single" w:color="auto" w:sz="4" w:space="0"/>
                    <w:right w:val="single" w:color="auto" w:sz="4" w:space="0"/>
                  </w:tcBorders>
                  <w:vAlign w:val="center"/>
                </w:tcPr>
                <w:p w14:paraId="799E0D7E">
                  <w:pPr>
                    <w:adjustRightInd w:val="0"/>
                    <w:snapToGrid w:val="0"/>
                    <w:spacing w:line="240" w:lineRule="auto"/>
                    <w:jc w:val="center"/>
                    <w:rPr>
                      <w:b/>
                      <w:bCs/>
                      <w:color w:val="auto"/>
                      <w:szCs w:val="21"/>
                    </w:rPr>
                  </w:pPr>
                  <w:r>
                    <w:rPr>
                      <w:b/>
                      <w:bCs/>
                      <w:color w:val="auto"/>
                      <w:szCs w:val="21"/>
                    </w:rPr>
                    <w:t>排放口设施是否符合要求</w:t>
                  </w:r>
                </w:p>
              </w:tc>
              <w:tc>
                <w:tcPr>
                  <w:tcW w:w="1755" w:type="dxa"/>
                  <w:vMerge w:val="restart"/>
                  <w:tcBorders>
                    <w:top w:val="single" w:color="auto" w:sz="4" w:space="0"/>
                    <w:left w:val="single" w:color="auto" w:sz="4" w:space="0"/>
                    <w:bottom w:val="single" w:color="auto" w:sz="4" w:space="0"/>
                    <w:right w:val="single" w:color="auto" w:sz="4" w:space="0"/>
                  </w:tcBorders>
                  <w:vAlign w:val="center"/>
                </w:tcPr>
                <w:p w14:paraId="3F789342">
                  <w:pPr>
                    <w:adjustRightInd w:val="0"/>
                    <w:snapToGrid w:val="0"/>
                    <w:spacing w:line="240" w:lineRule="auto"/>
                    <w:jc w:val="center"/>
                    <w:rPr>
                      <w:b/>
                      <w:bCs/>
                      <w:color w:val="auto"/>
                      <w:szCs w:val="21"/>
                    </w:rPr>
                  </w:pPr>
                  <w:r>
                    <w:rPr>
                      <w:b/>
                      <w:bCs/>
                      <w:color w:val="auto"/>
                      <w:szCs w:val="21"/>
                    </w:rPr>
                    <w:t>排放口类型</w:t>
                  </w:r>
                </w:p>
              </w:tc>
            </w:tr>
            <w:tr w14:paraId="3773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9" w:type="dxa"/>
                  <w:vMerge w:val="continue"/>
                  <w:tcBorders>
                    <w:top w:val="single" w:color="auto" w:sz="4" w:space="0"/>
                    <w:left w:val="single" w:color="auto" w:sz="4" w:space="0"/>
                    <w:bottom w:val="single" w:color="auto" w:sz="4" w:space="0"/>
                    <w:right w:val="single" w:color="auto" w:sz="4" w:space="0"/>
                  </w:tcBorders>
                  <w:vAlign w:val="center"/>
                </w:tcPr>
                <w:p w14:paraId="5A22326C">
                  <w:pPr>
                    <w:adjustRightInd w:val="0"/>
                    <w:snapToGrid w:val="0"/>
                    <w:spacing w:line="240" w:lineRule="auto"/>
                    <w:jc w:val="center"/>
                    <w:rPr>
                      <w:b/>
                      <w:bCs/>
                      <w:color w:val="auto"/>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6CF54D98">
                  <w:pPr>
                    <w:adjustRightInd w:val="0"/>
                    <w:snapToGrid w:val="0"/>
                    <w:spacing w:line="240" w:lineRule="auto"/>
                    <w:jc w:val="center"/>
                    <w:rPr>
                      <w:b/>
                      <w:bCs/>
                      <w:color w:val="auto"/>
                      <w:szCs w:val="21"/>
                    </w:rPr>
                  </w:pPr>
                </w:p>
              </w:tc>
              <w:tc>
                <w:tcPr>
                  <w:tcW w:w="885" w:type="dxa"/>
                  <w:vMerge w:val="continue"/>
                  <w:tcBorders>
                    <w:left w:val="single" w:color="auto" w:sz="4" w:space="0"/>
                    <w:bottom w:val="single" w:color="auto" w:sz="4" w:space="0"/>
                    <w:right w:val="single" w:color="auto" w:sz="4" w:space="0"/>
                  </w:tcBorders>
                  <w:vAlign w:val="center"/>
                </w:tcPr>
                <w:p w14:paraId="19AEC3CC">
                  <w:pPr>
                    <w:adjustRightInd w:val="0"/>
                    <w:snapToGrid w:val="0"/>
                    <w:spacing w:line="240" w:lineRule="auto"/>
                    <w:jc w:val="center"/>
                    <w:rPr>
                      <w:b/>
                      <w:bCs/>
                      <w:color w:val="auto"/>
                      <w:szCs w:val="21"/>
                    </w:rPr>
                  </w:pPr>
                </w:p>
              </w:tc>
              <w:tc>
                <w:tcPr>
                  <w:tcW w:w="780" w:type="dxa"/>
                  <w:vMerge w:val="continue"/>
                  <w:tcBorders>
                    <w:left w:val="single" w:color="auto" w:sz="4" w:space="0"/>
                    <w:bottom w:val="single" w:color="auto" w:sz="4" w:space="0"/>
                    <w:right w:val="single" w:color="auto" w:sz="4" w:space="0"/>
                  </w:tcBorders>
                  <w:vAlign w:val="center"/>
                </w:tcPr>
                <w:p w14:paraId="609A1B16">
                  <w:pPr>
                    <w:adjustRightInd w:val="0"/>
                    <w:snapToGrid w:val="0"/>
                    <w:spacing w:line="240" w:lineRule="auto"/>
                    <w:jc w:val="center"/>
                    <w:rPr>
                      <w:b/>
                      <w:bCs/>
                      <w:color w:val="auto"/>
                      <w:szCs w:val="21"/>
                    </w:rPr>
                  </w:pPr>
                </w:p>
              </w:tc>
              <w:tc>
                <w:tcPr>
                  <w:tcW w:w="900" w:type="dxa"/>
                  <w:tcBorders>
                    <w:left w:val="single" w:color="auto" w:sz="4" w:space="0"/>
                    <w:bottom w:val="single" w:color="auto" w:sz="4" w:space="0"/>
                    <w:right w:val="single" w:color="auto" w:sz="4" w:space="0"/>
                  </w:tcBorders>
                  <w:vAlign w:val="center"/>
                </w:tcPr>
                <w:p w14:paraId="130DFAC1">
                  <w:pPr>
                    <w:adjustRightInd w:val="0"/>
                    <w:snapToGrid w:val="0"/>
                    <w:spacing w:line="240" w:lineRule="auto"/>
                    <w:jc w:val="center"/>
                    <w:rPr>
                      <w:b/>
                      <w:bCs/>
                      <w:color w:val="auto"/>
                      <w:szCs w:val="21"/>
                    </w:rPr>
                  </w:pPr>
                  <w:r>
                    <w:rPr>
                      <w:b/>
                      <w:bCs/>
                      <w:color w:val="auto"/>
                      <w:szCs w:val="21"/>
                    </w:rPr>
                    <w:t>污染治理设施名称</w:t>
                  </w:r>
                </w:p>
              </w:tc>
              <w:tc>
                <w:tcPr>
                  <w:tcW w:w="1230" w:type="dxa"/>
                  <w:tcBorders>
                    <w:top w:val="single" w:color="auto" w:sz="4" w:space="0"/>
                    <w:left w:val="single" w:color="auto" w:sz="4" w:space="0"/>
                    <w:bottom w:val="single" w:color="auto" w:sz="4" w:space="0"/>
                    <w:right w:val="single" w:color="auto" w:sz="4" w:space="0"/>
                  </w:tcBorders>
                  <w:vAlign w:val="center"/>
                </w:tcPr>
                <w:p w14:paraId="1A5976D6">
                  <w:pPr>
                    <w:adjustRightInd w:val="0"/>
                    <w:snapToGrid w:val="0"/>
                    <w:spacing w:line="240" w:lineRule="auto"/>
                    <w:jc w:val="center"/>
                    <w:rPr>
                      <w:b/>
                      <w:bCs/>
                      <w:color w:val="auto"/>
                      <w:szCs w:val="21"/>
                    </w:rPr>
                  </w:pPr>
                  <w:r>
                    <w:rPr>
                      <w:b/>
                      <w:bCs/>
                      <w:color w:val="auto"/>
                      <w:szCs w:val="21"/>
                    </w:rPr>
                    <w:t>污染防治设施名称及工艺</w:t>
                  </w:r>
                </w:p>
              </w:tc>
              <w:tc>
                <w:tcPr>
                  <w:tcW w:w="975" w:type="dxa"/>
                  <w:tcBorders>
                    <w:top w:val="single" w:color="auto" w:sz="4" w:space="0"/>
                    <w:left w:val="single" w:color="auto" w:sz="4" w:space="0"/>
                    <w:bottom w:val="single" w:color="auto" w:sz="4" w:space="0"/>
                    <w:right w:val="single" w:color="auto" w:sz="4" w:space="0"/>
                  </w:tcBorders>
                  <w:vAlign w:val="center"/>
                </w:tcPr>
                <w:p w14:paraId="7530B679">
                  <w:pPr>
                    <w:adjustRightInd w:val="0"/>
                    <w:snapToGrid w:val="0"/>
                    <w:spacing w:line="240" w:lineRule="auto"/>
                    <w:jc w:val="center"/>
                    <w:rPr>
                      <w:b/>
                      <w:bCs/>
                      <w:color w:val="auto"/>
                      <w:szCs w:val="21"/>
                    </w:rPr>
                  </w:pPr>
                  <w:r>
                    <w:rPr>
                      <w:b/>
                      <w:bCs/>
                      <w:color w:val="auto"/>
                      <w:szCs w:val="21"/>
                    </w:rPr>
                    <w:t>是否可行性技术</w:t>
                  </w:r>
                </w:p>
              </w:tc>
              <w:tc>
                <w:tcPr>
                  <w:tcW w:w="705" w:type="dxa"/>
                  <w:vMerge w:val="continue"/>
                  <w:tcBorders>
                    <w:top w:val="single" w:color="auto" w:sz="4" w:space="0"/>
                    <w:left w:val="single" w:color="auto" w:sz="4" w:space="0"/>
                    <w:bottom w:val="single" w:color="auto" w:sz="4" w:space="0"/>
                    <w:right w:val="single" w:color="auto" w:sz="4" w:space="0"/>
                  </w:tcBorders>
                  <w:vAlign w:val="center"/>
                </w:tcPr>
                <w:p w14:paraId="68D52BC7">
                  <w:pPr>
                    <w:adjustRightInd w:val="0"/>
                    <w:snapToGrid w:val="0"/>
                    <w:spacing w:line="240" w:lineRule="auto"/>
                    <w:jc w:val="center"/>
                    <w:rPr>
                      <w:b/>
                      <w:bCs/>
                      <w:color w:val="auto"/>
                      <w:szCs w:val="21"/>
                    </w:rPr>
                  </w:pPr>
                </w:p>
              </w:tc>
              <w:tc>
                <w:tcPr>
                  <w:tcW w:w="945" w:type="dxa"/>
                  <w:vMerge w:val="continue"/>
                  <w:tcBorders>
                    <w:top w:val="single" w:color="auto" w:sz="4" w:space="0"/>
                    <w:left w:val="single" w:color="auto" w:sz="4" w:space="0"/>
                    <w:bottom w:val="single" w:color="auto" w:sz="4" w:space="0"/>
                    <w:right w:val="single" w:color="auto" w:sz="4" w:space="0"/>
                  </w:tcBorders>
                  <w:vAlign w:val="center"/>
                </w:tcPr>
                <w:p w14:paraId="54FD59D1">
                  <w:pPr>
                    <w:adjustRightInd w:val="0"/>
                    <w:snapToGrid w:val="0"/>
                    <w:spacing w:line="240" w:lineRule="auto"/>
                    <w:jc w:val="center"/>
                    <w:rPr>
                      <w:b/>
                      <w:bCs/>
                      <w:color w:val="auto"/>
                      <w:szCs w:val="21"/>
                    </w:rPr>
                  </w:pPr>
                </w:p>
              </w:tc>
              <w:tc>
                <w:tcPr>
                  <w:tcW w:w="1755" w:type="dxa"/>
                  <w:vMerge w:val="continue"/>
                  <w:tcBorders>
                    <w:top w:val="single" w:color="auto" w:sz="4" w:space="0"/>
                    <w:left w:val="single" w:color="auto" w:sz="4" w:space="0"/>
                    <w:bottom w:val="single" w:color="auto" w:sz="4" w:space="0"/>
                    <w:right w:val="single" w:color="auto" w:sz="4" w:space="0"/>
                  </w:tcBorders>
                  <w:vAlign w:val="center"/>
                </w:tcPr>
                <w:p w14:paraId="166B8FAE">
                  <w:pPr>
                    <w:adjustRightInd w:val="0"/>
                    <w:snapToGrid w:val="0"/>
                    <w:spacing w:line="240" w:lineRule="auto"/>
                    <w:jc w:val="center"/>
                    <w:rPr>
                      <w:b/>
                      <w:bCs/>
                      <w:color w:val="auto"/>
                      <w:szCs w:val="21"/>
                    </w:rPr>
                  </w:pPr>
                </w:p>
              </w:tc>
            </w:tr>
            <w:tr w14:paraId="7D63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99" w:type="dxa"/>
                  <w:tcBorders>
                    <w:top w:val="single" w:color="auto" w:sz="4" w:space="0"/>
                    <w:left w:val="single" w:color="auto" w:sz="4" w:space="0"/>
                    <w:bottom w:val="single" w:color="auto" w:sz="4" w:space="0"/>
                    <w:right w:val="single" w:color="auto" w:sz="4" w:space="0"/>
                  </w:tcBorders>
                  <w:vAlign w:val="center"/>
                </w:tcPr>
                <w:p w14:paraId="6D45AB01">
                  <w:pPr>
                    <w:widowControl w:val="0"/>
                    <w:adjustRightInd w:val="0"/>
                    <w:snapToGrid w:val="0"/>
                    <w:spacing w:line="240" w:lineRule="auto"/>
                    <w:jc w:val="center"/>
                    <w:rPr>
                      <w:color w:val="auto"/>
                      <w:szCs w:val="21"/>
                    </w:rPr>
                  </w:pPr>
                  <w:r>
                    <w:rPr>
                      <w:rFonts w:hint="eastAsia"/>
                      <w:color w:val="auto"/>
                      <w:szCs w:val="21"/>
                    </w:rPr>
                    <w:t>清洗废水</w:t>
                  </w:r>
                </w:p>
              </w:tc>
              <w:tc>
                <w:tcPr>
                  <w:tcW w:w="840" w:type="dxa"/>
                  <w:tcBorders>
                    <w:top w:val="single" w:color="auto" w:sz="4" w:space="0"/>
                    <w:left w:val="single" w:color="auto" w:sz="4" w:space="0"/>
                    <w:bottom w:val="single" w:color="auto" w:sz="4" w:space="0"/>
                    <w:right w:val="single" w:color="auto" w:sz="4" w:space="0"/>
                  </w:tcBorders>
                  <w:vAlign w:val="center"/>
                </w:tcPr>
                <w:p w14:paraId="24BE37C8">
                  <w:pPr>
                    <w:adjustRightInd w:val="0"/>
                    <w:snapToGrid w:val="0"/>
                    <w:spacing w:line="240" w:lineRule="auto"/>
                    <w:jc w:val="center"/>
                    <w:rPr>
                      <w:color w:val="auto"/>
                      <w:szCs w:val="21"/>
                    </w:rPr>
                  </w:pPr>
                  <w:r>
                    <w:rPr>
                      <w:color w:val="auto"/>
                      <w:szCs w:val="21"/>
                    </w:rPr>
                    <w:t>COD</w:t>
                  </w:r>
                  <w:r>
                    <w:rPr>
                      <w:color w:val="auto"/>
                      <w:szCs w:val="21"/>
                      <w:vertAlign w:val="subscript"/>
                    </w:rPr>
                    <w:t>Cr</w:t>
                  </w:r>
                </w:p>
                <w:p w14:paraId="306EB538">
                  <w:pPr>
                    <w:adjustRightInd w:val="0"/>
                    <w:snapToGrid w:val="0"/>
                    <w:spacing w:line="240" w:lineRule="auto"/>
                    <w:jc w:val="center"/>
                    <w:rPr>
                      <w:color w:val="auto"/>
                      <w:szCs w:val="21"/>
                    </w:rPr>
                  </w:pPr>
                  <w:r>
                    <w:rPr>
                      <w:color w:val="auto"/>
                      <w:szCs w:val="21"/>
                    </w:rPr>
                    <w:t>SS</w:t>
                  </w:r>
                  <w:r>
                    <w:rPr>
                      <w:rFonts w:hint="eastAsia"/>
                      <w:color w:val="auto"/>
                      <w:szCs w:val="21"/>
                    </w:rPr>
                    <w:t>等</w:t>
                  </w:r>
                </w:p>
              </w:tc>
              <w:tc>
                <w:tcPr>
                  <w:tcW w:w="885" w:type="dxa"/>
                  <w:tcBorders>
                    <w:left w:val="single" w:color="auto" w:sz="4" w:space="0"/>
                    <w:right w:val="single" w:color="auto" w:sz="4" w:space="0"/>
                  </w:tcBorders>
                  <w:vAlign w:val="center"/>
                </w:tcPr>
                <w:p w14:paraId="222AFCB6">
                  <w:pPr>
                    <w:widowControl w:val="0"/>
                    <w:adjustRightInd w:val="0"/>
                    <w:snapToGrid w:val="0"/>
                    <w:spacing w:line="240" w:lineRule="auto"/>
                    <w:jc w:val="center"/>
                    <w:rPr>
                      <w:color w:val="auto"/>
                      <w:szCs w:val="21"/>
                    </w:rPr>
                  </w:pPr>
                  <w:r>
                    <w:rPr>
                      <w:rFonts w:hint="default" w:ascii="Times New Roman" w:hAnsi="Times New Roman" w:cs="Times New Roman"/>
                      <w:color w:val="auto"/>
                    </w:rPr>
                    <w:t>广东阳东经济开发区污水处理厂</w:t>
                  </w:r>
                </w:p>
              </w:tc>
              <w:tc>
                <w:tcPr>
                  <w:tcW w:w="780" w:type="dxa"/>
                  <w:tcBorders>
                    <w:top w:val="single" w:color="auto" w:sz="4" w:space="0"/>
                    <w:left w:val="single" w:color="auto" w:sz="4" w:space="0"/>
                    <w:bottom w:val="single" w:color="auto" w:sz="4" w:space="0"/>
                    <w:right w:val="single" w:color="auto" w:sz="4" w:space="0"/>
                  </w:tcBorders>
                  <w:vAlign w:val="center"/>
                </w:tcPr>
                <w:p w14:paraId="662DA403">
                  <w:pPr>
                    <w:widowControl w:val="0"/>
                    <w:adjustRightInd w:val="0"/>
                    <w:snapToGrid w:val="0"/>
                    <w:spacing w:line="240" w:lineRule="auto"/>
                    <w:jc w:val="center"/>
                    <w:rPr>
                      <w:color w:val="auto"/>
                      <w:szCs w:val="21"/>
                    </w:rPr>
                  </w:pPr>
                  <w:r>
                    <w:rPr>
                      <w:rFonts w:hint="default" w:ascii="Times New Roman" w:hAnsi="Times New Roman" w:cs="Times New Roman"/>
                      <w:color w:val="auto"/>
                    </w:rPr>
                    <w:t>间断排放，流量稳定</w:t>
                  </w:r>
                </w:p>
              </w:tc>
              <w:tc>
                <w:tcPr>
                  <w:tcW w:w="900" w:type="dxa"/>
                  <w:tcBorders>
                    <w:top w:val="single" w:color="auto" w:sz="4" w:space="0"/>
                    <w:left w:val="single" w:color="auto" w:sz="4" w:space="0"/>
                    <w:right w:val="single" w:color="auto" w:sz="4" w:space="0"/>
                  </w:tcBorders>
                  <w:vAlign w:val="center"/>
                </w:tcPr>
                <w:p w14:paraId="7FF9F561">
                  <w:pPr>
                    <w:pStyle w:val="24"/>
                    <w:adjustRightInd w:val="0"/>
                    <w:snapToGrid w:val="0"/>
                    <w:jc w:val="center"/>
                    <w:rPr>
                      <w:rFonts w:ascii="Times New Roman" w:hAnsi="Times New Roman" w:cs="Times New Roman"/>
                      <w:color w:val="auto"/>
                    </w:rPr>
                  </w:pPr>
                  <w:r>
                    <w:rPr>
                      <w:rFonts w:hint="eastAsia" w:ascii="Times New Roman" w:hAnsi="Times New Roman" w:cs="Times New Roman"/>
                      <w:color w:val="auto"/>
                    </w:rPr>
                    <w:t>自建综合废水处理站</w:t>
                  </w:r>
                </w:p>
              </w:tc>
              <w:tc>
                <w:tcPr>
                  <w:tcW w:w="1230" w:type="dxa"/>
                  <w:tcBorders>
                    <w:top w:val="single" w:color="auto" w:sz="4" w:space="0"/>
                    <w:left w:val="single" w:color="auto" w:sz="4" w:space="0"/>
                    <w:right w:val="single" w:color="auto" w:sz="4" w:space="0"/>
                  </w:tcBorders>
                  <w:vAlign w:val="center"/>
                </w:tcPr>
                <w:p w14:paraId="334798D4">
                  <w:pPr>
                    <w:pStyle w:val="24"/>
                    <w:adjustRightInd w:val="0"/>
                    <w:snapToGrid w:val="0"/>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rPr>
                    <w:t>中和、物化沉淀、过滤</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生化</w:t>
                  </w:r>
                </w:p>
              </w:tc>
              <w:tc>
                <w:tcPr>
                  <w:tcW w:w="975" w:type="dxa"/>
                  <w:tcBorders>
                    <w:top w:val="single" w:color="auto" w:sz="4" w:space="0"/>
                    <w:left w:val="single" w:color="auto" w:sz="4" w:space="0"/>
                    <w:right w:val="single" w:color="auto" w:sz="4" w:space="0"/>
                  </w:tcBorders>
                  <w:vAlign w:val="center"/>
                </w:tcPr>
                <w:p w14:paraId="5CBEC9F7">
                  <w:pPr>
                    <w:widowControl w:val="0"/>
                    <w:adjustRightInd w:val="0"/>
                    <w:snapToGrid w:val="0"/>
                    <w:spacing w:line="240" w:lineRule="auto"/>
                    <w:jc w:val="center"/>
                    <w:rPr>
                      <w:color w:val="auto"/>
                      <w:szCs w:val="21"/>
                    </w:rPr>
                  </w:pPr>
                  <w:r>
                    <w:rPr>
                      <w:color w:val="auto"/>
                      <w:szCs w:val="21"/>
                    </w:rPr>
                    <w:t>是</w:t>
                  </w:r>
                </w:p>
              </w:tc>
              <w:tc>
                <w:tcPr>
                  <w:tcW w:w="705" w:type="dxa"/>
                  <w:tcBorders>
                    <w:left w:val="single" w:color="auto" w:sz="4" w:space="0"/>
                    <w:right w:val="single" w:color="auto" w:sz="4" w:space="0"/>
                  </w:tcBorders>
                  <w:vAlign w:val="center"/>
                </w:tcPr>
                <w:p w14:paraId="1E56F77A">
                  <w:pPr>
                    <w:pStyle w:val="24"/>
                    <w:adjustRightInd w:val="0"/>
                    <w:snapToGrid w:val="0"/>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DA002</w:t>
                  </w:r>
                </w:p>
              </w:tc>
              <w:tc>
                <w:tcPr>
                  <w:tcW w:w="945" w:type="dxa"/>
                  <w:tcBorders>
                    <w:left w:val="single" w:color="auto" w:sz="4" w:space="0"/>
                    <w:right w:val="single" w:color="auto" w:sz="4" w:space="0"/>
                  </w:tcBorders>
                  <w:vAlign w:val="center"/>
                </w:tcPr>
                <w:p w14:paraId="0960C8A2">
                  <w:pPr>
                    <w:pStyle w:val="24"/>
                    <w:adjustRightInd w:val="0"/>
                    <w:snapToGrid w:val="0"/>
                    <w:jc w:val="center"/>
                    <w:rPr>
                      <w:rFonts w:hint="eastAsia" w:ascii="Times New Roman" w:hAnsi="Times New Roman" w:eastAsia="宋体" w:cs="Times New Roman"/>
                      <w:color w:val="auto"/>
                      <w:lang w:eastAsia="zh-CN"/>
                    </w:rPr>
                  </w:pPr>
                  <w:r>
                    <w:rPr>
                      <w:rFonts w:hint="eastAsia" w:ascii="Times New Roman" w:hAnsi="Times New Roman" w:cs="Times New Roman"/>
                      <w:color w:val="auto"/>
                      <w:lang w:val="en-US" w:eastAsia="zh-CN"/>
                    </w:rPr>
                    <w:t>符合</w:t>
                  </w:r>
                </w:p>
              </w:tc>
              <w:tc>
                <w:tcPr>
                  <w:tcW w:w="1755" w:type="dxa"/>
                  <w:tcBorders>
                    <w:left w:val="single" w:color="auto" w:sz="4" w:space="0"/>
                    <w:right w:val="single" w:color="auto" w:sz="4" w:space="0"/>
                  </w:tcBorders>
                  <w:vAlign w:val="center"/>
                </w:tcPr>
                <w:p w14:paraId="5B3D3589">
                  <w:pPr>
                    <w:pStyle w:val="53"/>
                    <w:spacing w:beforeLines="0" w:afterLines="0"/>
                    <w:rPr>
                      <w:rFonts w:hint="default" w:ascii="Times New Roman" w:hAnsi="Times New Roman" w:cs="Times New Roman"/>
                      <w:color w:val="auto"/>
                    </w:rPr>
                  </w:pPr>
                  <w:r>
                    <w:rPr>
                      <w:rFonts w:hint="default" w:ascii="Times New Roman" w:hAnsi="Times New Roman" w:cs="Times New Roman"/>
                      <w:color w:val="auto"/>
                      <w:kern w:val="0"/>
                    </w:rPr>
                    <w:sym w:font="Wingdings 2" w:char="00A3"/>
                  </w:r>
                  <w:r>
                    <w:rPr>
                      <w:rFonts w:hint="default" w:ascii="Times New Roman" w:hAnsi="Times New Roman" w:cs="Times New Roman"/>
                      <w:color w:val="auto"/>
                    </w:rPr>
                    <w:t>企业总排</w:t>
                  </w:r>
                </w:p>
                <w:p w14:paraId="4D4871EF">
                  <w:pPr>
                    <w:pStyle w:val="53"/>
                    <w:spacing w:beforeLines="0" w:afterLines="0"/>
                    <w:rPr>
                      <w:rFonts w:hint="default" w:ascii="Times New Roman" w:hAnsi="Times New Roman" w:cs="Times New Roman"/>
                      <w:color w:val="auto"/>
                    </w:rPr>
                  </w:pPr>
                  <w:r>
                    <w:rPr>
                      <w:rFonts w:hint="default" w:ascii="Times New Roman" w:hAnsi="Times New Roman" w:cs="Times New Roman"/>
                      <w:color w:val="auto"/>
                    </w:rPr>
                    <w:t>□雨水排放</w:t>
                  </w:r>
                </w:p>
                <w:p w14:paraId="3100D840">
                  <w:pPr>
                    <w:pStyle w:val="53"/>
                    <w:spacing w:beforeLines="0" w:afterLines="0"/>
                    <w:rPr>
                      <w:rFonts w:hint="default" w:ascii="Times New Roman" w:hAnsi="Times New Roman" w:cs="Times New Roman"/>
                      <w:color w:val="auto"/>
                    </w:rPr>
                  </w:pPr>
                  <w:r>
                    <w:rPr>
                      <w:rFonts w:hint="default" w:ascii="Times New Roman" w:hAnsi="Times New Roman" w:cs="Times New Roman"/>
                      <w:color w:val="auto"/>
                    </w:rPr>
                    <w:t>□清净下水排放</w:t>
                  </w:r>
                </w:p>
                <w:p w14:paraId="3DEA5EB6">
                  <w:pPr>
                    <w:pStyle w:val="53"/>
                    <w:spacing w:beforeLines="0" w:afterLines="0"/>
                    <w:rPr>
                      <w:rFonts w:hint="default" w:ascii="Times New Roman" w:hAnsi="Times New Roman" w:cs="Times New Roman"/>
                      <w:color w:val="auto"/>
                    </w:rPr>
                  </w:pPr>
                  <w:r>
                    <w:rPr>
                      <w:rFonts w:hint="default" w:ascii="Times New Roman" w:hAnsi="Times New Roman" w:cs="Times New Roman"/>
                      <w:color w:val="auto"/>
                    </w:rPr>
                    <w:t>□温排水排放</w:t>
                  </w:r>
                </w:p>
                <w:p w14:paraId="684E20A4">
                  <w:pPr>
                    <w:adjustRightInd w:val="0"/>
                    <w:snapToGrid w:val="0"/>
                    <w:spacing w:line="240" w:lineRule="auto"/>
                    <w:jc w:val="center"/>
                    <w:rPr>
                      <w:color w:val="auto"/>
                      <w:szCs w:val="21"/>
                    </w:rPr>
                  </w:pPr>
                  <w:r>
                    <w:rPr>
                      <w:rFonts w:hint="eastAsia" w:ascii="Times New Roman" w:hAnsi="Times New Roman" w:cs="Times New Roman"/>
                      <w:color w:val="auto"/>
                      <w:lang w:eastAsia="zh-CN"/>
                    </w:rPr>
                    <w:t>☑</w:t>
                  </w:r>
                  <w:r>
                    <w:rPr>
                      <w:rFonts w:hint="default" w:ascii="Times New Roman" w:hAnsi="Times New Roman" w:cs="Times New Roman"/>
                      <w:color w:val="auto"/>
                    </w:rPr>
                    <w:t>车间或车间处理设施排放口</w:t>
                  </w:r>
                </w:p>
              </w:tc>
            </w:tr>
          </w:tbl>
          <w:p w14:paraId="1AE591A8">
            <w:pPr>
              <w:spacing w:line="360" w:lineRule="auto"/>
              <w:ind w:firstLine="482" w:firstLineChars="200"/>
              <w:rPr>
                <w:b/>
                <w:bCs/>
                <w:color w:val="auto"/>
                <w:sz w:val="24"/>
              </w:rPr>
            </w:pPr>
            <w:r>
              <w:rPr>
                <w:b/>
                <w:bCs/>
                <w:color w:val="auto"/>
                <w:sz w:val="24"/>
              </w:rPr>
              <w:t>1、废水源强分析</w:t>
            </w:r>
          </w:p>
          <w:p w14:paraId="74119539">
            <w:pPr>
              <w:spacing w:line="360" w:lineRule="auto"/>
              <w:ind w:firstLine="482" w:firstLineChars="200"/>
              <w:rPr>
                <w:b/>
                <w:bCs/>
                <w:color w:val="auto"/>
                <w:sz w:val="24"/>
              </w:rPr>
            </w:pPr>
            <w:r>
              <w:rPr>
                <w:b/>
                <w:bCs/>
                <w:color w:val="auto"/>
                <w:sz w:val="24"/>
              </w:rPr>
              <w:t>（1）生产废水</w:t>
            </w:r>
          </w:p>
          <w:p w14:paraId="61969893">
            <w:pPr>
              <w:spacing w:line="360" w:lineRule="auto"/>
              <w:ind w:firstLine="482" w:firstLineChars="200"/>
              <w:rPr>
                <w:b/>
                <w:bCs/>
                <w:color w:val="auto"/>
                <w:sz w:val="24"/>
              </w:rPr>
            </w:pPr>
            <w:r>
              <w:rPr>
                <w:b/>
                <w:bCs/>
                <w:color w:val="auto"/>
                <w:sz w:val="24"/>
              </w:rPr>
              <w:t>1）电泳线</w:t>
            </w:r>
          </w:p>
          <w:p w14:paraId="69683CC1">
            <w:pPr>
              <w:spacing w:line="360" w:lineRule="auto"/>
              <w:ind w:firstLine="480" w:firstLineChars="200"/>
              <w:rPr>
                <w:color w:val="auto"/>
                <w:sz w:val="24"/>
              </w:rPr>
            </w:pPr>
            <w:r>
              <w:rPr>
                <w:color w:val="auto"/>
                <w:sz w:val="24"/>
              </w:rPr>
              <w:t>本项目</w:t>
            </w:r>
            <w:r>
              <w:rPr>
                <w:rFonts w:hint="eastAsia"/>
                <w:color w:val="auto"/>
                <w:sz w:val="24"/>
              </w:rPr>
              <w:t>设有1条电泳漆涂装线，具体</w:t>
            </w:r>
            <w:r>
              <w:rPr>
                <w:color w:val="auto"/>
                <w:sz w:val="24"/>
              </w:rPr>
              <w:t>用水情况见表</w:t>
            </w:r>
            <w:r>
              <w:rPr>
                <w:rFonts w:hint="eastAsia"/>
                <w:color w:val="auto"/>
                <w:sz w:val="24"/>
              </w:rPr>
              <w:t>4-1</w:t>
            </w:r>
            <w:r>
              <w:rPr>
                <w:rFonts w:hint="eastAsia"/>
                <w:color w:val="auto"/>
                <w:sz w:val="24"/>
                <w:lang w:val="en-US" w:eastAsia="zh-CN"/>
              </w:rPr>
              <w:t>4</w:t>
            </w:r>
            <w:r>
              <w:rPr>
                <w:color w:val="auto"/>
                <w:sz w:val="24"/>
              </w:rPr>
              <w:t>所示。</w:t>
            </w:r>
          </w:p>
          <w:p w14:paraId="5EEFB3E5">
            <w:pPr>
              <w:jc w:val="center"/>
              <w:rPr>
                <w:b/>
                <w:color w:val="auto"/>
                <w:szCs w:val="21"/>
              </w:rPr>
            </w:pPr>
            <w:r>
              <w:rPr>
                <w:b/>
                <w:color w:val="auto"/>
                <w:szCs w:val="21"/>
              </w:rPr>
              <w:t>表</w:t>
            </w:r>
            <w:r>
              <w:rPr>
                <w:rFonts w:hint="eastAsia"/>
                <w:b/>
                <w:color w:val="auto"/>
                <w:szCs w:val="21"/>
              </w:rPr>
              <w:t>4-1</w:t>
            </w:r>
            <w:r>
              <w:rPr>
                <w:rFonts w:hint="eastAsia"/>
                <w:b/>
                <w:color w:val="auto"/>
                <w:szCs w:val="21"/>
                <w:lang w:val="en-US" w:eastAsia="zh-CN"/>
              </w:rPr>
              <w:t>4</w:t>
            </w:r>
            <w:r>
              <w:rPr>
                <w:rFonts w:hint="eastAsia"/>
                <w:b/>
                <w:color w:val="auto"/>
                <w:szCs w:val="21"/>
              </w:rPr>
              <w:t xml:space="preserve"> </w:t>
            </w:r>
            <w:r>
              <w:rPr>
                <w:b/>
                <w:color w:val="auto"/>
                <w:szCs w:val="21"/>
              </w:rPr>
              <w:t>电泳线用水、排放计算情况一览表</w:t>
            </w:r>
          </w:p>
          <w:tbl>
            <w:tblPr>
              <w:tblStyle w:val="42"/>
              <w:tblW w:w="9499"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469"/>
              <w:gridCol w:w="684"/>
              <w:gridCol w:w="1166"/>
              <w:gridCol w:w="1284"/>
              <w:gridCol w:w="883"/>
              <w:gridCol w:w="933"/>
              <w:gridCol w:w="750"/>
              <w:gridCol w:w="934"/>
              <w:gridCol w:w="704"/>
            </w:tblGrid>
            <w:tr w14:paraId="2C17D10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tblHeader/>
                <w:jc w:val="center"/>
              </w:trPr>
              <w:tc>
                <w:tcPr>
                  <w:tcW w:w="692" w:type="dxa"/>
                  <w:vMerge w:val="restart"/>
                  <w:tcBorders>
                    <w:tl2br w:val="nil"/>
                    <w:tr2bl w:val="nil"/>
                  </w:tcBorders>
                  <w:vAlign w:val="center"/>
                </w:tcPr>
                <w:p w14:paraId="2CD534BB">
                  <w:pPr>
                    <w:jc w:val="center"/>
                    <w:rPr>
                      <w:b/>
                      <w:bCs/>
                      <w:color w:val="auto"/>
                      <w:szCs w:val="21"/>
                    </w:rPr>
                  </w:pPr>
                  <w:r>
                    <w:rPr>
                      <w:b/>
                      <w:bCs/>
                      <w:color w:val="auto"/>
                      <w:szCs w:val="21"/>
                    </w:rPr>
                    <w:t>工序</w:t>
                  </w:r>
                </w:p>
              </w:tc>
              <w:tc>
                <w:tcPr>
                  <w:tcW w:w="1469" w:type="dxa"/>
                  <w:vMerge w:val="restart"/>
                  <w:tcBorders>
                    <w:tl2br w:val="nil"/>
                    <w:tr2bl w:val="nil"/>
                  </w:tcBorders>
                  <w:vAlign w:val="center"/>
                </w:tcPr>
                <w:p w14:paraId="0A54A9ED">
                  <w:pPr>
                    <w:jc w:val="center"/>
                    <w:rPr>
                      <w:b/>
                      <w:bCs/>
                      <w:color w:val="auto"/>
                      <w:szCs w:val="21"/>
                    </w:rPr>
                  </w:pPr>
                  <w:r>
                    <w:rPr>
                      <w:b/>
                      <w:bCs/>
                      <w:color w:val="auto"/>
                      <w:szCs w:val="21"/>
                    </w:rPr>
                    <w:t>槽名</w:t>
                  </w:r>
                </w:p>
              </w:tc>
              <w:tc>
                <w:tcPr>
                  <w:tcW w:w="684" w:type="dxa"/>
                  <w:vMerge w:val="restart"/>
                  <w:tcBorders>
                    <w:tl2br w:val="nil"/>
                    <w:tr2bl w:val="nil"/>
                  </w:tcBorders>
                  <w:vAlign w:val="center"/>
                </w:tcPr>
                <w:p w14:paraId="6D07A137">
                  <w:pPr>
                    <w:jc w:val="center"/>
                    <w:textAlignment w:val="center"/>
                    <w:rPr>
                      <w:b/>
                      <w:bCs/>
                      <w:color w:val="auto"/>
                      <w:szCs w:val="21"/>
                    </w:rPr>
                  </w:pPr>
                  <w:r>
                    <w:rPr>
                      <w:b/>
                      <w:bCs/>
                      <w:color w:val="auto"/>
                      <w:kern w:val="0"/>
                      <w:szCs w:val="21"/>
                    </w:rPr>
                    <w:t>槽数量</w:t>
                  </w:r>
                </w:p>
              </w:tc>
              <w:tc>
                <w:tcPr>
                  <w:tcW w:w="1166" w:type="dxa"/>
                  <w:vMerge w:val="restart"/>
                  <w:tcBorders>
                    <w:tl2br w:val="nil"/>
                    <w:tr2bl w:val="nil"/>
                  </w:tcBorders>
                  <w:vAlign w:val="center"/>
                </w:tcPr>
                <w:p w14:paraId="58C0BD0E">
                  <w:pPr>
                    <w:jc w:val="center"/>
                    <w:textAlignment w:val="center"/>
                    <w:rPr>
                      <w:b/>
                      <w:bCs/>
                      <w:color w:val="auto"/>
                      <w:kern w:val="0"/>
                      <w:szCs w:val="21"/>
                    </w:rPr>
                  </w:pPr>
                  <w:r>
                    <w:rPr>
                      <w:b/>
                      <w:color w:val="auto"/>
                      <w:szCs w:val="21"/>
                    </w:rPr>
                    <w:t>单个槽有效容积（m</w:t>
                  </w:r>
                  <w:r>
                    <w:rPr>
                      <w:b/>
                      <w:color w:val="auto"/>
                      <w:szCs w:val="21"/>
                      <w:vertAlign w:val="superscript"/>
                    </w:rPr>
                    <w:t>3</w:t>
                  </w:r>
                  <w:r>
                    <w:rPr>
                      <w:b/>
                      <w:color w:val="auto"/>
                      <w:szCs w:val="21"/>
                    </w:rPr>
                    <w:t>）</w:t>
                  </w:r>
                </w:p>
              </w:tc>
              <w:tc>
                <w:tcPr>
                  <w:tcW w:w="1284" w:type="dxa"/>
                  <w:vMerge w:val="restart"/>
                  <w:tcBorders>
                    <w:tl2br w:val="nil"/>
                    <w:tr2bl w:val="nil"/>
                  </w:tcBorders>
                  <w:vAlign w:val="center"/>
                </w:tcPr>
                <w:p w14:paraId="7521A883">
                  <w:pPr>
                    <w:jc w:val="center"/>
                    <w:textAlignment w:val="center"/>
                    <w:rPr>
                      <w:b/>
                      <w:bCs/>
                      <w:color w:val="auto"/>
                      <w:kern w:val="0"/>
                      <w:szCs w:val="21"/>
                    </w:rPr>
                  </w:pPr>
                  <w:r>
                    <w:rPr>
                      <w:b/>
                      <w:bCs/>
                      <w:color w:val="auto"/>
                      <w:kern w:val="0"/>
                      <w:szCs w:val="21"/>
                    </w:rPr>
                    <w:t>排放方式</w:t>
                  </w:r>
                </w:p>
              </w:tc>
              <w:tc>
                <w:tcPr>
                  <w:tcW w:w="2566" w:type="dxa"/>
                  <w:gridSpan w:val="3"/>
                  <w:tcBorders>
                    <w:tl2br w:val="nil"/>
                    <w:tr2bl w:val="nil"/>
                  </w:tcBorders>
                  <w:vAlign w:val="center"/>
                </w:tcPr>
                <w:p w14:paraId="274A8F0B">
                  <w:pPr>
                    <w:jc w:val="center"/>
                    <w:textAlignment w:val="center"/>
                    <w:rPr>
                      <w:b/>
                      <w:bCs/>
                      <w:color w:val="auto"/>
                      <w:kern w:val="0"/>
                      <w:szCs w:val="21"/>
                    </w:rPr>
                  </w:pPr>
                  <w:r>
                    <w:rPr>
                      <w:b/>
                      <w:bCs/>
                      <w:color w:val="auto"/>
                      <w:kern w:val="0"/>
                      <w:szCs w:val="21"/>
                    </w:rPr>
                    <w:t>用水情况</w:t>
                  </w:r>
                </w:p>
              </w:tc>
              <w:tc>
                <w:tcPr>
                  <w:tcW w:w="1638" w:type="dxa"/>
                  <w:gridSpan w:val="2"/>
                  <w:tcBorders>
                    <w:tl2br w:val="nil"/>
                    <w:tr2bl w:val="nil"/>
                  </w:tcBorders>
                  <w:vAlign w:val="center"/>
                </w:tcPr>
                <w:p w14:paraId="725E70BC">
                  <w:pPr>
                    <w:jc w:val="center"/>
                    <w:textAlignment w:val="center"/>
                    <w:rPr>
                      <w:b/>
                      <w:bCs/>
                      <w:color w:val="auto"/>
                      <w:kern w:val="0"/>
                      <w:szCs w:val="21"/>
                    </w:rPr>
                  </w:pPr>
                  <w:r>
                    <w:rPr>
                      <w:b/>
                      <w:bCs/>
                      <w:color w:val="auto"/>
                      <w:kern w:val="0"/>
                      <w:szCs w:val="21"/>
                    </w:rPr>
                    <w:t>废水情况</w:t>
                  </w:r>
                </w:p>
              </w:tc>
            </w:tr>
            <w:tr w14:paraId="48CA5A9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continue"/>
                  <w:tcBorders>
                    <w:tl2br w:val="nil"/>
                    <w:tr2bl w:val="nil"/>
                  </w:tcBorders>
                  <w:vAlign w:val="center"/>
                </w:tcPr>
                <w:p w14:paraId="28BB201C">
                  <w:pPr>
                    <w:jc w:val="center"/>
                    <w:rPr>
                      <w:b/>
                      <w:bCs/>
                      <w:color w:val="auto"/>
                      <w:szCs w:val="21"/>
                    </w:rPr>
                  </w:pPr>
                </w:p>
              </w:tc>
              <w:tc>
                <w:tcPr>
                  <w:tcW w:w="1469" w:type="dxa"/>
                  <w:vMerge w:val="continue"/>
                  <w:tcBorders>
                    <w:tl2br w:val="nil"/>
                    <w:tr2bl w:val="nil"/>
                  </w:tcBorders>
                  <w:vAlign w:val="center"/>
                </w:tcPr>
                <w:p w14:paraId="2DCBA3D8">
                  <w:pPr>
                    <w:jc w:val="center"/>
                    <w:rPr>
                      <w:b/>
                      <w:bCs/>
                      <w:color w:val="auto"/>
                      <w:szCs w:val="21"/>
                    </w:rPr>
                  </w:pPr>
                </w:p>
              </w:tc>
              <w:tc>
                <w:tcPr>
                  <w:tcW w:w="684" w:type="dxa"/>
                  <w:vMerge w:val="continue"/>
                  <w:tcBorders>
                    <w:tl2br w:val="nil"/>
                    <w:tr2bl w:val="nil"/>
                  </w:tcBorders>
                  <w:vAlign w:val="center"/>
                </w:tcPr>
                <w:p w14:paraId="78596EDB">
                  <w:pPr>
                    <w:jc w:val="center"/>
                    <w:textAlignment w:val="center"/>
                    <w:rPr>
                      <w:b/>
                      <w:bCs/>
                      <w:color w:val="auto"/>
                      <w:kern w:val="0"/>
                      <w:szCs w:val="21"/>
                    </w:rPr>
                  </w:pPr>
                </w:p>
              </w:tc>
              <w:tc>
                <w:tcPr>
                  <w:tcW w:w="1166" w:type="dxa"/>
                  <w:vMerge w:val="continue"/>
                  <w:tcBorders>
                    <w:tl2br w:val="nil"/>
                    <w:tr2bl w:val="nil"/>
                  </w:tcBorders>
                  <w:vAlign w:val="center"/>
                </w:tcPr>
                <w:p w14:paraId="19FEBC26">
                  <w:pPr>
                    <w:jc w:val="center"/>
                    <w:textAlignment w:val="center"/>
                    <w:rPr>
                      <w:b/>
                      <w:color w:val="auto"/>
                      <w:szCs w:val="21"/>
                    </w:rPr>
                  </w:pPr>
                </w:p>
              </w:tc>
              <w:tc>
                <w:tcPr>
                  <w:tcW w:w="1284" w:type="dxa"/>
                  <w:vMerge w:val="continue"/>
                  <w:tcBorders>
                    <w:tl2br w:val="nil"/>
                    <w:tr2bl w:val="nil"/>
                  </w:tcBorders>
                  <w:vAlign w:val="center"/>
                </w:tcPr>
                <w:p w14:paraId="5C84C98E">
                  <w:pPr>
                    <w:jc w:val="center"/>
                    <w:textAlignment w:val="center"/>
                    <w:rPr>
                      <w:b/>
                      <w:bCs/>
                      <w:color w:val="auto"/>
                      <w:kern w:val="0"/>
                      <w:szCs w:val="21"/>
                    </w:rPr>
                  </w:pPr>
                </w:p>
              </w:tc>
              <w:tc>
                <w:tcPr>
                  <w:tcW w:w="883" w:type="dxa"/>
                  <w:tcBorders>
                    <w:tl2br w:val="nil"/>
                    <w:tr2bl w:val="nil"/>
                  </w:tcBorders>
                  <w:vAlign w:val="center"/>
                </w:tcPr>
                <w:p w14:paraId="6D353EED">
                  <w:pPr>
                    <w:jc w:val="center"/>
                    <w:textAlignment w:val="center"/>
                    <w:rPr>
                      <w:b/>
                      <w:bCs/>
                      <w:color w:val="auto"/>
                      <w:kern w:val="0"/>
                      <w:szCs w:val="21"/>
                    </w:rPr>
                  </w:pPr>
                  <w:r>
                    <w:rPr>
                      <w:b/>
                      <w:bCs/>
                      <w:color w:val="auto"/>
                      <w:kern w:val="0"/>
                      <w:szCs w:val="21"/>
                    </w:rPr>
                    <w:t>补水量（t/a）</w:t>
                  </w:r>
                </w:p>
              </w:tc>
              <w:tc>
                <w:tcPr>
                  <w:tcW w:w="933" w:type="dxa"/>
                  <w:tcBorders>
                    <w:tl2br w:val="nil"/>
                    <w:tr2bl w:val="nil"/>
                  </w:tcBorders>
                  <w:vAlign w:val="center"/>
                </w:tcPr>
                <w:p w14:paraId="2EBBEAFB">
                  <w:pPr>
                    <w:jc w:val="center"/>
                    <w:textAlignment w:val="center"/>
                    <w:rPr>
                      <w:b/>
                      <w:bCs/>
                      <w:color w:val="auto"/>
                      <w:kern w:val="0"/>
                      <w:szCs w:val="21"/>
                    </w:rPr>
                  </w:pPr>
                  <w:r>
                    <w:rPr>
                      <w:b/>
                      <w:bCs/>
                      <w:color w:val="auto"/>
                      <w:kern w:val="0"/>
                      <w:szCs w:val="21"/>
                    </w:rPr>
                    <w:t>用水量（t/a）</w:t>
                  </w:r>
                </w:p>
              </w:tc>
              <w:tc>
                <w:tcPr>
                  <w:tcW w:w="750" w:type="dxa"/>
                  <w:tcBorders>
                    <w:tl2br w:val="nil"/>
                    <w:tr2bl w:val="nil"/>
                  </w:tcBorders>
                  <w:vAlign w:val="center"/>
                </w:tcPr>
                <w:p w14:paraId="7A3273C6">
                  <w:pPr>
                    <w:jc w:val="center"/>
                    <w:textAlignment w:val="center"/>
                    <w:rPr>
                      <w:b/>
                      <w:bCs/>
                      <w:color w:val="auto"/>
                      <w:kern w:val="0"/>
                      <w:szCs w:val="21"/>
                    </w:rPr>
                  </w:pPr>
                  <w:r>
                    <w:rPr>
                      <w:b/>
                      <w:bCs/>
                      <w:color w:val="auto"/>
                      <w:kern w:val="0"/>
                      <w:szCs w:val="21"/>
                    </w:rPr>
                    <w:t>用水类别</w:t>
                  </w:r>
                </w:p>
              </w:tc>
              <w:tc>
                <w:tcPr>
                  <w:tcW w:w="934" w:type="dxa"/>
                  <w:tcBorders>
                    <w:tl2br w:val="nil"/>
                    <w:tr2bl w:val="nil"/>
                  </w:tcBorders>
                  <w:vAlign w:val="center"/>
                </w:tcPr>
                <w:p w14:paraId="7C9075E7">
                  <w:pPr>
                    <w:jc w:val="center"/>
                    <w:textAlignment w:val="center"/>
                    <w:rPr>
                      <w:b/>
                      <w:bCs/>
                      <w:color w:val="auto"/>
                      <w:kern w:val="0"/>
                      <w:szCs w:val="21"/>
                    </w:rPr>
                  </w:pPr>
                  <w:r>
                    <w:rPr>
                      <w:b/>
                      <w:bCs/>
                      <w:color w:val="auto"/>
                      <w:kern w:val="0"/>
                      <w:szCs w:val="21"/>
                    </w:rPr>
                    <w:t>产生量（t/a）</w:t>
                  </w:r>
                </w:p>
              </w:tc>
              <w:tc>
                <w:tcPr>
                  <w:tcW w:w="704" w:type="dxa"/>
                  <w:tcBorders>
                    <w:tl2br w:val="nil"/>
                    <w:tr2bl w:val="nil"/>
                  </w:tcBorders>
                  <w:vAlign w:val="center"/>
                </w:tcPr>
                <w:p w14:paraId="4D080C3D">
                  <w:pPr>
                    <w:jc w:val="center"/>
                    <w:textAlignment w:val="center"/>
                    <w:rPr>
                      <w:b/>
                      <w:bCs/>
                      <w:color w:val="auto"/>
                      <w:kern w:val="0"/>
                      <w:szCs w:val="21"/>
                    </w:rPr>
                  </w:pPr>
                  <w:r>
                    <w:rPr>
                      <w:b/>
                      <w:bCs/>
                      <w:color w:val="auto"/>
                      <w:kern w:val="0"/>
                      <w:szCs w:val="21"/>
                    </w:rPr>
                    <w:t>种类</w:t>
                  </w:r>
                </w:p>
              </w:tc>
            </w:tr>
            <w:tr w14:paraId="6F80E5B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tcBorders>
                    <w:tl2br w:val="nil"/>
                    <w:tr2bl w:val="nil"/>
                  </w:tcBorders>
                  <w:vAlign w:val="center"/>
                </w:tcPr>
                <w:p w14:paraId="160282A4">
                  <w:pPr>
                    <w:jc w:val="center"/>
                    <w:textAlignment w:val="center"/>
                    <w:rPr>
                      <w:color w:val="auto"/>
                      <w:kern w:val="0"/>
                      <w:szCs w:val="21"/>
                    </w:rPr>
                  </w:pPr>
                  <w:r>
                    <w:rPr>
                      <w:color w:val="auto"/>
                      <w:kern w:val="0"/>
                      <w:szCs w:val="21"/>
                    </w:rPr>
                    <w:t>除油</w:t>
                  </w:r>
                </w:p>
              </w:tc>
              <w:tc>
                <w:tcPr>
                  <w:tcW w:w="1469" w:type="dxa"/>
                  <w:tcBorders>
                    <w:tl2br w:val="nil"/>
                    <w:tr2bl w:val="nil"/>
                  </w:tcBorders>
                  <w:vAlign w:val="center"/>
                </w:tcPr>
                <w:p w14:paraId="795A85FF">
                  <w:pPr>
                    <w:jc w:val="center"/>
                    <w:rPr>
                      <w:color w:val="auto"/>
                      <w:szCs w:val="21"/>
                    </w:rPr>
                  </w:pPr>
                  <w:r>
                    <w:rPr>
                      <w:rFonts w:hint="eastAsia"/>
                      <w:color w:val="auto"/>
                      <w:szCs w:val="21"/>
                    </w:rPr>
                    <w:t>超声波热脱脂槽</w:t>
                  </w:r>
                </w:p>
              </w:tc>
              <w:tc>
                <w:tcPr>
                  <w:tcW w:w="684" w:type="dxa"/>
                  <w:tcBorders>
                    <w:tl2br w:val="nil"/>
                    <w:tr2bl w:val="nil"/>
                  </w:tcBorders>
                  <w:vAlign w:val="center"/>
                </w:tcPr>
                <w:p w14:paraId="20D37F39">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6CC483A6">
                  <w:pPr>
                    <w:jc w:val="center"/>
                    <w:textAlignment w:val="center"/>
                    <w:rPr>
                      <w:color w:val="auto"/>
                      <w:szCs w:val="21"/>
                    </w:rPr>
                  </w:pPr>
                  <w:r>
                    <w:rPr>
                      <w:color w:val="auto"/>
                      <w:kern w:val="0"/>
                      <w:szCs w:val="21"/>
                      <w:lang w:bidi="ar"/>
                    </w:rPr>
                    <w:t>0.4416</w:t>
                  </w:r>
                </w:p>
              </w:tc>
              <w:tc>
                <w:tcPr>
                  <w:tcW w:w="1284" w:type="dxa"/>
                  <w:tcBorders>
                    <w:tl2br w:val="nil"/>
                    <w:tr2bl w:val="nil"/>
                  </w:tcBorders>
                  <w:vAlign w:val="center"/>
                </w:tcPr>
                <w:p w14:paraId="49FB5E42">
                  <w:pPr>
                    <w:jc w:val="center"/>
                    <w:textAlignment w:val="center"/>
                    <w:rPr>
                      <w:color w:val="auto"/>
                      <w:kern w:val="0"/>
                      <w:szCs w:val="21"/>
                    </w:rPr>
                  </w:pPr>
                  <w:r>
                    <w:rPr>
                      <w:rFonts w:hint="eastAsia"/>
                      <w:color w:val="auto"/>
                      <w:kern w:val="0"/>
                      <w:szCs w:val="21"/>
                    </w:rPr>
                    <w:t>每两个月更换一次</w:t>
                  </w:r>
                </w:p>
              </w:tc>
              <w:tc>
                <w:tcPr>
                  <w:tcW w:w="883" w:type="dxa"/>
                  <w:tcBorders>
                    <w:tl2br w:val="nil"/>
                    <w:tr2bl w:val="nil"/>
                  </w:tcBorders>
                  <w:vAlign w:val="center"/>
                </w:tcPr>
                <w:p w14:paraId="4B5BD3A1">
                  <w:pPr>
                    <w:jc w:val="center"/>
                    <w:textAlignment w:val="center"/>
                    <w:rPr>
                      <w:color w:val="auto"/>
                      <w:kern w:val="0"/>
                      <w:szCs w:val="21"/>
                    </w:rPr>
                  </w:pPr>
                  <w:r>
                    <w:rPr>
                      <w:color w:val="auto"/>
                      <w:kern w:val="0"/>
                      <w:szCs w:val="21"/>
                      <w:lang w:bidi="ar"/>
                    </w:rPr>
                    <w:t>6.624</w:t>
                  </w:r>
                </w:p>
              </w:tc>
              <w:tc>
                <w:tcPr>
                  <w:tcW w:w="933" w:type="dxa"/>
                  <w:tcBorders>
                    <w:tl2br w:val="nil"/>
                    <w:tr2bl w:val="nil"/>
                  </w:tcBorders>
                  <w:vAlign w:val="center"/>
                </w:tcPr>
                <w:p w14:paraId="1CD2B689">
                  <w:pPr>
                    <w:jc w:val="center"/>
                    <w:textAlignment w:val="center"/>
                    <w:rPr>
                      <w:color w:val="auto"/>
                      <w:kern w:val="0"/>
                      <w:szCs w:val="21"/>
                    </w:rPr>
                  </w:pPr>
                  <w:r>
                    <w:rPr>
                      <w:color w:val="auto"/>
                      <w:kern w:val="0"/>
                      <w:szCs w:val="21"/>
                      <w:lang w:bidi="ar"/>
                    </w:rPr>
                    <w:t>9.2736</w:t>
                  </w:r>
                </w:p>
              </w:tc>
              <w:tc>
                <w:tcPr>
                  <w:tcW w:w="750" w:type="dxa"/>
                  <w:tcBorders>
                    <w:tl2br w:val="nil"/>
                    <w:tr2bl w:val="nil"/>
                  </w:tcBorders>
                  <w:vAlign w:val="center"/>
                </w:tcPr>
                <w:p w14:paraId="5AB16096">
                  <w:pPr>
                    <w:jc w:val="center"/>
                    <w:textAlignment w:val="center"/>
                    <w:rPr>
                      <w:color w:val="auto"/>
                      <w:kern w:val="0"/>
                      <w:szCs w:val="21"/>
                    </w:rPr>
                  </w:pPr>
                  <w:r>
                    <w:rPr>
                      <w:rFonts w:hint="eastAsia"/>
                      <w:color w:val="auto"/>
                      <w:kern w:val="0"/>
                      <w:szCs w:val="21"/>
                    </w:rPr>
                    <w:t>自来</w:t>
                  </w:r>
                  <w:r>
                    <w:rPr>
                      <w:color w:val="auto"/>
                      <w:kern w:val="0"/>
                      <w:szCs w:val="21"/>
                    </w:rPr>
                    <w:t>水</w:t>
                  </w:r>
                </w:p>
              </w:tc>
              <w:tc>
                <w:tcPr>
                  <w:tcW w:w="934" w:type="dxa"/>
                  <w:tcBorders>
                    <w:tl2br w:val="nil"/>
                    <w:tr2bl w:val="nil"/>
                  </w:tcBorders>
                  <w:vAlign w:val="center"/>
                </w:tcPr>
                <w:p w14:paraId="61D34AE2">
                  <w:pPr>
                    <w:jc w:val="center"/>
                    <w:textAlignment w:val="center"/>
                    <w:rPr>
                      <w:color w:val="auto"/>
                      <w:kern w:val="0"/>
                      <w:szCs w:val="21"/>
                    </w:rPr>
                  </w:pPr>
                  <w:r>
                    <w:rPr>
                      <w:color w:val="auto"/>
                      <w:kern w:val="0"/>
                      <w:szCs w:val="21"/>
                      <w:lang w:bidi="ar"/>
                    </w:rPr>
                    <w:t>2.6496</w:t>
                  </w:r>
                </w:p>
              </w:tc>
              <w:tc>
                <w:tcPr>
                  <w:tcW w:w="704" w:type="dxa"/>
                  <w:tcBorders>
                    <w:tl2br w:val="nil"/>
                    <w:tr2bl w:val="nil"/>
                  </w:tcBorders>
                  <w:vAlign w:val="center"/>
                </w:tcPr>
                <w:p w14:paraId="01ECABA1">
                  <w:pPr>
                    <w:jc w:val="center"/>
                    <w:textAlignment w:val="center"/>
                    <w:rPr>
                      <w:color w:val="auto"/>
                      <w:kern w:val="0"/>
                      <w:szCs w:val="21"/>
                    </w:rPr>
                  </w:pPr>
                  <w:r>
                    <w:rPr>
                      <w:rFonts w:hint="eastAsia" w:ascii="宋体" w:hAnsi="宋体" w:cs="宋体"/>
                      <w:color w:val="auto"/>
                      <w:kern w:val="0"/>
                      <w:szCs w:val="21"/>
                      <w:lang w:bidi="ar"/>
                    </w:rPr>
                    <w:t>槽液</w:t>
                  </w:r>
                </w:p>
              </w:tc>
            </w:tr>
            <w:tr w14:paraId="5B38ECB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restart"/>
                  <w:tcBorders>
                    <w:tl2br w:val="nil"/>
                    <w:tr2bl w:val="nil"/>
                  </w:tcBorders>
                  <w:vAlign w:val="center"/>
                </w:tcPr>
                <w:p w14:paraId="3EF8F64C">
                  <w:pPr>
                    <w:jc w:val="center"/>
                    <w:textAlignment w:val="center"/>
                    <w:rPr>
                      <w:color w:val="auto"/>
                      <w:kern w:val="0"/>
                      <w:szCs w:val="21"/>
                    </w:rPr>
                  </w:pPr>
                  <w:r>
                    <w:rPr>
                      <w:rFonts w:hint="eastAsia"/>
                      <w:color w:val="auto"/>
                      <w:kern w:val="0"/>
                      <w:szCs w:val="21"/>
                    </w:rPr>
                    <w:t>七级</w:t>
                  </w:r>
                  <w:r>
                    <w:rPr>
                      <w:color w:val="auto"/>
                      <w:kern w:val="0"/>
                      <w:szCs w:val="21"/>
                    </w:rPr>
                    <w:t>清洗</w:t>
                  </w:r>
                </w:p>
              </w:tc>
              <w:tc>
                <w:tcPr>
                  <w:tcW w:w="1469" w:type="dxa"/>
                  <w:tcBorders>
                    <w:tl2br w:val="nil"/>
                    <w:tr2bl w:val="nil"/>
                  </w:tcBorders>
                  <w:vAlign w:val="center"/>
                </w:tcPr>
                <w:p w14:paraId="700D8C29">
                  <w:pPr>
                    <w:jc w:val="center"/>
                    <w:rPr>
                      <w:color w:val="auto"/>
                      <w:szCs w:val="21"/>
                    </w:rPr>
                  </w:pPr>
                  <w:r>
                    <w:rPr>
                      <w:rFonts w:hint="eastAsia"/>
                      <w:color w:val="auto"/>
                      <w:szCs w:val="21"/>
                    </w:rPr>
                    <w:t>喷淋水洗槽1</w:t>
                  </w:r>
                </w:p>
              </w:tc>
              <w:tc>
                <w:tcPr>
                  <w:tcW w:w="684" w:type="dxa"/>
                  <w:tcBorders>
                    <w:tl2br w:val="nil"/>
                    <w:tr2bl w:val="nil"/>
                  </w:tcBorders>
                  <w:vAlign w:val="center"/>
                </w:tcPr>
                <w:p w14:paraId="52C6F6D5">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35F81F9F">
                  <w:pPr>
                    <w:jc w:val="center"/>
                    <w:textAlignment w:val="center"/>
                    <w:rPr>
                      <w:color w:val="auto"/>
                      <w:szCs w:val="21"/>
                    </w:rPr>
                  </w:pPr>
                  <w:r>
                    <w:rPr>
                      <w:color w:val="auto"/>
                      <w:kern w:val="0"/>
                      <w:szCs w:val="21"/>
                      <w:lang w:bidi="ar"/>
                    </w:rPr>
                    <w:t>0.072</w:t>
                  </w:r>
                </w:p>
              </w:tc>
              <w:tc>
                <w:tcPr>
                  <w:tcW w:w="1284" w:type="dxa"/>
                  <w:vMerge w:val="restart"/>
                  <w:tcBorders>
                    <w:tl2br w:val="nil"/>
                    <w:tr2bl w:val="nil"/>
                  </w:tcBorders>
                  <w:vAlign w:val="center"/>
                </w:tcPr>
                <w:p w14:paraId="0AE1F33A">
                  <w:pPr>
                    <w:jc w:val="center"/>
                    <w:textAlignment w:val="center"/>
                    <w:rPr>
                      <w:color w:val="auto"/>
                      <w:kern w:val="0"/>
                      <w:szCs w:val="21"/>
                    </w:rPr>
                  </w:pPr>
                  <w:r>
                    <w:rPr>
                      <w:rFonts w:hint="eastAsia"/>
                      <w:color w:val="auto"/>
                      <w:kern w:val="0"/>
                      <w:szCs w:val="21"/>
                    </w:rPr>
                    <w:t>每天更换三次</w:t>
                  </w:r>
                </w:p>
              </w:tc>
              <w:tc>
                <w:tcPr>
                  <w:tcW w:w="883" w:type="dxa"/>
                  <w:tcBorders>
                    <w:tl2br w:val="nil"/>
                    <w:tr2bl w:val="nil"/>
                  </w:tcBorders>
                  <w:vAlign w:val="center"/>
                </w:tcPr>
                <w:p w14:paraId="193CB118">
                  <w:pPr>
                    <w:jc w:val="center"/>
                    <w:textAlignment w:val="center"/>
                    <w:rPr>
                      <w:color w:val="auto"/>
                      <w:kern w:val="0"/>
                      <w:szCs w:val="21"/>
                    </w:rPr>
                  </w:pPr>
                  <w:r>
                    <w:rPr>
                      <w:color w:val="auto"/>
                      <w:kern w:val="0"/>
                      <w:szCs w:val="21"/>
                      <w:lang w:bidi="ar"/>
                    </w:rPr>
                    <w:t>1.08</w:t>
                  </w:r>
                </w:p>
              </w:tc>
              <w:tc>
                <w:tcPr>
                  <w:tcW w:w="933" w:type="dxa"/>
                  <w:tcBorders>
                    <w:tl2br w:val="nil"/>
                    <w:tr2bl w:val="nil"/>
                  </w:tcBorders>
                  <w:vAlign w:val="center"/>
                </w:tcPr>
                <w:p w14:paraId="4862A1F6">
                  <w:pPr>
                    <w:jc w:val="center"/>
                    <w:textAlignment w:val="center"/>
                    <w:rPr>
                      <w:color w:val="auto"/>
                      <w:kern w:val="0"/>
                      <w:szCs w:val="21"/>
                    </w:rPr>
                  </w:pPr>
                  <w:r>
                    <w:rPr>
                      <w:color w:val="auto"/>
                      <w:kern w:val="0"/>
                      <w:szCs w:val="21"/>
                      <w:lang w:bidi="ar"/>
                    </w:rPr>
                    <w:t>65.88</w:t>
                  </w:r>
                </w:p>
              </w:tc>
              <w:tc>
                <w:tcPr>
                  <w:tcW w:w="750" w:type="dxa"/>
                  <w:vMerge w:val="restart"/>
                  <w:tcBorders>
                    <w:tl2br w:val="nil"/>
                    <w:tr2bl w:val="nil"/>
                  </w:tcBorders>
                  <w:vAlign w:val="center"/>
                </w:tcPr>
                <w:p w14:paraId="0AEC35B5">
                  <w:pPr>
                    <w:jc w:val="center"/>
                    <w:textAlignment w:val="center"/>
                    <w:rPr>
                      <w:color w:val="auto"/>
                      <w:kern w:val="0"/>
                      <w:szCs w:val="21"/>
                    </w:rPr>
                  </w:pPr>
                  <w:r>
                    <w:rPr>
                      <w:rFonts w:hint="eastAsia"/>
                      <w:color w:val="auto"/>
                      <w:kern w:val="0"/>
                      <w:szCs w:val="21"/>
                    </w:rPr>
                    <w:t>自来</w:t>
                  </w:r>
                  <w:r>
                    <w:rPr>
                      <w:color w:val="auto"/>
                      <w:kern w:val="0"/>
                      <w:szCs w:val="21"/>
                    </w:rPr>
                    <w:t>水</w:t>
                  </w:r>
                </w:p>
              </w:tc>
              <w:tc>
                <w:tcPr>
                  <w:tcW w:w="934" w:type="dxa"/>
                  <w:tcBorders>
                    <w:tl2br w:val="nil"/>
                    <w:tr2bl w:val="nil"/>
                  </w:tcBorders>
                  <w:vAlign w:val="center"/>
                </w:tcPr>
                <w:p w14:paraId="22D52457">
                  <w:pPr>
                    <w:jc w:val="center"/>
                    <w:textAlignment w:val="center"/>
                    <w:rPr>
                      <w:color w:val="auto"/>
                      <w:kern w:val="0"/>
                      <w:szCs w:val="21"/>
                    </w:rPr>
                  </w:pPr>
                  <w:r>
                    <w:rPr>
                      <w:color w:val="auto"/>
                      <w:kern w:val="0"/>
                      <w:szCs w:val="21"/>
                      <w:lang w:bidi="ar"/>
                    </w:rPr>
                    <w:t xml:space="preserve">64.8 </w:t>
                  </w:r>
                </w:p>
              </w:tc>
              <w:tc>
                <w:tcPr>
                  <w:tcW w:w="704" w:type="dxa"/>
                  <w:tcBorders>
                    <w:tl2br w:val="nil"/>
                    <w:tr2bl w:val="nil"/>
                  </w:tcBorders>
                  <w:vAlign w:val="center"/>
                </w:tcPr>
                <w:p w14:paraId="65DFF14C">
                  <w:pPr>
                    <w:jc w:val="center"/>
                    <w:textAlignment w:val="center"/>
                    <w:rPr>
                      <w:color w:val="auto"/>
                      <w:kern w:val="0"/>
                      <w:szCs w:val="21"/>
                    </w:rPr>
                  </w:pPr>
                  <w:r>
                    <w:rPr>
                      <w:rFonts w:hint="eastAsia" w:ascii="宋体" w:hAnsi="宋体" w:cs="宋体"/>
                      <w:color w:val="auto"/>
                      <w:kern w:val="0"/>
                      <w:szCs w:val="21"/>
                      <w:lang w:bidi="ar"/>
                    </w:rPr>
                    <w:t>废水</w:t>
                  </w:r>
                </w:p>
              </w:tc>
            </w:tr>
            <w:tr w14:paraId="368DD8F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continue"/>
                  <w:tcBorders>
                    <w:tl2br w:val="nil"/>
                    <w:tr2bl w:val="nil"/>
                  </w:tcBorders>
                  <w:vAlign w:val="center"/>
                </w:tcPr>
                <w:p w14:paraId="31DD1459">
                  <w:pPr>
                    <w:jc w:val="center"/>
                    <w:textAlignment w:val="center"/>
                    <w:rPr>
                      <w:color w:val="auto"/>
                      <w:kern w:val="0"/>
                      <w:szCs w:val="21"/>
                    </w:rPr>
                  </w:pPr>
                </w:p>
              </w:tc>
              <w:tc>
                <w:tcPr>
                  <w:tcW w:w="1469" w:type="dxa"/>
                  <w:tcBorders>
                    <w:tl2br w:val="nil"/>
                    <w:tr2bl w:val="nil"/>
                  </w:tcBorders>
                  <w:vAlign w:val="center"/>
                </w:tcPr>
                <w:p w14:paraId="09627034">
                  <w:pPr>
                    <w:jc w:val="center"/>
                    <w:rPr>
                      <w:color w:val="auto"/>
                      <w:szCs w:val="21"/>
                    </w:rPr>
                  </w:pPr>
                  <w:r>
                    <w:rPr>
                      <w:rFonts w:hint="eastAsia"/>
                      <w:color w:val="auto"/>
                      <w:szCs w:val="21"/>
                    </w:rPr>
                    <w:t>自来水洗槽1</w:t>
                  </w:r>
                </w:p>
              </w:tc>
              <w:tc>
                <w:tcPr>
                  <w:tcW w:w="684" w:type="dxa"/>
                  <w:tcBorders>
                    <w:tl2br w:val="nil"/>
                    <w:tr2bl w:val="nil"/>
                  </w:tcBorders>
                  <w:vAlign w:val="center"/>
                </w:tcPr>
                <w:p w14:paraId="20773483">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18265338">
                  <w:pPr>
                    <w:jc w:val="center"/>
                    <w:textAlignment w:val="center"/>
                    <w:rPr>
                      <w:color w:val="auto"/>
                      <w:szCs w:val="21"/>
                    </w:rPr>
                  </w:pPr>
                  <w:r>
                    <w:rPr>
                      <w:color w:val="auto"/>
                      <w:kern w:val="0"/>
                      <w:szCs w:val="21"/>
                      <w:lang w:bidi="ar"/>
                    </w:rPr>
                    <w:t>0.224</w:t>
                  </w:r>
                </w:p>
              </w:tc>
              <w:tc>
                <w:tcPr>
                  <w:tcW w:w="1284" w:type="dxa"/>
                  <w:vMerge w:val="continue"/>
                  <w:tcBorders>
                    <w:tl2br w:val="nil"/>
                    <w:tr2bl w:val="nil"/>
                  </w:tcBorders>
                  <w:vAlign w:val="center"/>
                </w:tcPr>
                <w:p w14:paraId="115345B7">
                  <w:pPr>
                    <w:jc w:val="center"/>
                    <w:textAlignment w:val="center"/>
                    <w:rPr>
                      <w:color w:val="auto"/>
                      <w:kern w:val="0"/>
                      <w:szCs w:val="21"/>
                    </w:rPr>
                  </w:pPr>
                </w:p>
              </w:tc>
              <w:tc>
                <w:tcPr>
                  <w:tcW w:w="883" w:type="dxa"/>
                  <w:tcBorders>
                    <w:tl2br w:val="nil"/>
                    <w:tr2bl w:val="nil"/>
                  </w:tcBorders>
                  <w:vAlign w:val="center"/>
                </w:tcPr>
                <w:p w14:paraId="42A64410">
                  <w:pPr>
                    <w:jc w:val="center"/>
                    <w:textAlignment w:val="center"/>
                    <w:rPr>
                      <w:color w:val="auto"/>
                      <w:kern w:val="0"/>
                      <w:szCs w:val="21"/>
                    </w:rPr>
                  </w:pPr>
                  <w:r>
                    <w:rPr>
                      <w:color w:val="auto"/>
                      <w:kern w:val="0"/>
                      <w:szCs w:val="21"/>
                      <w:lang w:bidi="ar"/>
                    </w:rPr>
                    <w:t>3.36</w:t>
                  </w:r>
                </w:p>
              </w:tc>
              <w:tc>
                <w:tcPr>
                  <w:tcW w:w="933" w:type="dxa"/>
                  <w:tcBorders>
                    <w:tl2br w:val="nil"/>
                    <w:tr2bl w:val="nil"/>
                  </w:tcBorders>
                  <w:vAlign w:val="center"/>
                </w:tcPr>
                <w:p w14:paraId="7F8DF7B2">
                  <w:pPr>
                    <w:jc w:val="center"/>
                    <w:textAlignment w:val="center"/>
                    <w:rPr>
                      <w:color w:val="auto"/>
                      <w:kern w:val="0"/>
                      <w:szCs w:val="21"/>
                    </w:rPr>
                  </w:pPr>
                  <w:r>
                    <w:rPr>
                      <w:color w:val="auto"/>
                      <w:kern w:val="0"/>
                      <w:szCs w:val="21"/>
                      <w:lang w:bidi="ar"/>
                    </w:rPr>
                    <w:t>204.96</w:t>
                  </w:r>
                </w:p>
              </w:tc>
              <w:tc>
                <w:tcPr>
                  <w:tcW w:w="750" w:type="dxa"/>
                  <w:vMerge w:val="continue"/>
                  <w:tcBorders>
                    <w:tl2br w:val="nil"/>
                    <w:tr2bl w:val="nil"/>
                  </w:tcBorders>
                  <w:vAlign w:val="center"/>
                </w:tcPr>
                <w:p w14:paraId="0464585C">
                  <w:pPr>
                    <w:jc w:val="center"/>
                    <w:textAlignment w:val="center"/>
                    <w:rPr>
                      <w:color w:val="auto"/>
                      <w:kern w:val="0"/>
                      <w:szCs w:val="21"/>
                    </w:rPr>
                  </w:pPr>
                </w:p>
              </w:tc>
              <w:tc>
                <w:tcPr>
                  <w:tcW w:w="934" w:type="dxa"/>
                  <w:tcBorders>
                    <w:tl2br w:val="nil"/>
                    <w:tr2bl w:val="nil"/>
                  </w:tcBorders>
                  <w:vAlign w:val="center"/>
                </w:tcPr>
                <w:p w14:paraId="189E7C18">
                  <w:pPr>
                    <w:jc w:val="center"/>
                    <w:textAlignment w:val="center"/>
                    <w:rPr>
                      <w:color w:val="auto"/>
                      <w:kern w:val="0"/>
                      <w:szCs w:val="21"/>
                    </w:rPr>
                  </w:pPr>
                  <w:r>
                    <w:rPr>
                      <w:color w:val="auto"/>
                      <w:kern w:val="0"/>
                      <w:szCs w:val="21"/>
                      <w:lang w:bidi="ar"/>
                    </w:rPr>
                    <w:t xml:space="preserve">201.6 </w:t>
                  </w:r>
                </w:p>
              </w:tc>
              <w:tc>
                <w:tcPr>
                  <w:tcW w:w="704" w:type="dxa"/>
                  <w:tcBorders>
                    <w:tl2br w:val="nil"/>
                    <w:tr2bl w:val="nil"/>
                  </w:tcBorders>
                  <w:vAlign w:val="center"/>
                </w:tcPr>
                <w:p w14:paraId="130B60D0">
                  <w:pPr>
                    <w:jc w:val="center"/>
                    <w:textAlignment w:val="center"/>
                    <w:rPr>
                      <w:color w:val="auto"/>
                      <w:kern w:val="0"/>
                      <w:szCs w:val="21"/>
                    </w:rPr>
                  </w:pPr>
                  <w:r>
                    <w:rPr>
                      <w:rFonts w:hint="eastAsia" w:ascii="宋体" w:hAnsi="宋体" w:cs="宋体"/>
                      <w:color w:val="auto"/>
                      <w:kern w:val="0"/>
                      <w:szCs w:val="21"/>
                      <w:lang w:bidi="ar"/>
                    </w:rPr>
                    <w:t>废水</w:t>
                  </w:r>
                </w:p>
              </w:tc>
            </w:tr>
            <w:tr w14:paraId="40621E4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continue"/>
                  <w:tcBorders>
                    <w:tl2br w:val="nil"/>
                    <w:tr2bl w:val="nil"/>
                  </w:tcBorders>
                  <w:vAlign w:val="center"/>
                </w:tcPr>
                <w:p w14:paraId="7AC9478E">
                  <w:pPr>
                    <w:jc w:val="center"/>
                    <w:textAlignment w:val="center"/>
                    <w:rPr>
                      <w:color w:val="auto"/>
                      <w:kern w:val="0"/>
                      <w:szCs w:val="21"/>
                    </w:rPr>
                  </w:pPr>
                </w:p>
              </w:tc>
              <w:tc>
                <w:tcPr>
                  <w:tcW w:w="1469" w:type="dxa"/>
                  <w:tcBorders>
                    <w:tl2br w:val="nil"/>
                    <w:tr2bl w:val="nil"/>
                  </w:tcBorders>
                  <w:vAlign w:val="center"/>
                </w:tcPr>
                <w:p w14:paraId="16CB0BE6">
                  <w:pPr>
                    <w:jc w:val="center"/>
                    <w:rPr>
                      <w:color w:val="auto"/>
                      <w:szCs w:val="21"/>
                    </w:rPr>
                  </w:pPr>
                  <w:r>
                    <w:rPr>
                      <w:rFonts w:hint="eastAsia"/>
                      <w:color w:val="auto"/>
                      <w:szCs w:val="21"/>
                    </w:rPr>
                    <w:t>自来水洗槽2</w:t>
                  </w:r>
                </w:p>
              </w:tc>
              <w:tc>
                <w:tcPr>
                  <w:tcW w:w="684" w:type="dxa"/>
                  <w:tcBorders>
                    <w:tl2br w:val="nil"/>
                    <w:tr2bl w:val="nil"/>
                  </w:tcBorders>
                  <w:vAlign w:val="center"/>
                </w:tcPr>
                <w:p w14:paraId="06942D08">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7D904167">
                  <w:pPr>
                    <w:jc w:val="center"/>
                    <w:textAlignment w:val="center"/>
                    <w:rPr>
                      <w:color w:val="auto"/>
                      <w:szCs w:val="21"/>
                    </w:rPr>
                  </w:pPr>
                  <w:r>
                    <w:rPr>
                      <w:color w:val="auto"/>
                      <w:kern w:val="0"/>
                      <w:szCs w:val="21"/>
                      <w:lang w:bidi="ar"/>
                    </w:rPr>
                    <w:t>0.224</w:t>
                  </w:r>
                </w:p>
              </w:tc>
              <w:tc>
                <w:tcPr>
                  <w:tcW w:w="1284" w:type="dxa"/>
                  <w:vMerge w:val="continue"/>
                  <w:tcBorders>
                    <w:tl2br w:val="nil"/>
                    <w:tr2bl w:val="nil"/>
                  </w:tcBorders>
                  <w:vAlign w:val="center"/>
                </w:tcPr>
                <w:p w14:paraId="222A00C9">
                  <w:pPr>
                    <w:jc w:val="center"/>
                    <w:textAlignment w:val="center"/>
                    <w:rPr>
                      <w:color w:val="auto"/>
                      <w:kern w:val="0"/>
                      <w:szCs w:val="21"/>
                    </w:rPr>
                  </w:pPr>
                </w:p>
              </w:tc>
              <w:tc>
                <w:tcPr>
                  <w:tcW w:w="883" w:type="dxa"/>
                  <w:tcBorders>
                    <w:tl2br w:val="nil"/>
                    <w:tr2bl w:val="nil"/>
                  </w:tcBorders>
                  <w:vAlign w:val="center"/>
                </w:tcPr>
                <w:p w14:paraId="406CD5F1">
                  <w:pPr>
                    <w:jc w:val="center"/>
                    <w:textAlignment w:val="center"/>
                    <w:rPr>
                      <w:color w:val="auto"/>
                      <w:kern w:val="0"/>
                      <w:szCs w:val="21"/>
                    </w:rPr>
                  </w:pPr>
                  <w:r>
                    <w:rPr>
                      <w:color w:val="auto"/>
                      <w:kern w:val="0"/>
                      <w:szCs w:val="21"/>
                      <w:lang w:bidi="ar"/>
                    </w:rPr>
                    <w:t>3.36</w:t>
                  </w:r>
                </w:p>
              </w:tc>
              <w:tc>
                <w:tcPr>
                  <w:tcW w:w="933" w:type="dxa"/>
                  <w:tcBorders>
                    <w:tl2br w:val="nil"/>
                    <w:tr2bl w:val="nil"/>
                  </w:tcBorders>
                  <w:vAlign w:val="center"/>
                </w:tcPr>
                <w:p w14:paraId="2A585DDC">
                  <w:pPr>
                    <w:jc w:val="center"/>
                    <w:textAlignment w:val="center"/>
                    <w:rPr>
                      <w:color w:val="auto"/>
                      <w:kern w:val="0"/>
                      <w:szCs w:val="21"/>
                    </w:rPr>
                  </w:pPr>
                  <w:r>
                    <w:rPr>
                      <w:color w:val="auto"/>
                      <w:kern w:val="0"/>
                      <w:szCs w:val="21"/>
                      <w:lang w:bidi="ar"/>
                    </w:rPr>
                    <w:t>204.96</w:t>
                  </w:r>
                </w:p>
              </w:tc>
              <w:tc>
                <w:tcPr>
                  <w:tcW w:w="750" w:type="dxa"/>
                  <w:vMerge w:val="continue"/>
                  <w:tcBorders>
                    <w:tl2br w:val="nil"/>
                    <w:tr2bl w:val="nil"/>
                  </w:tcBorders>
                  <w:vAlign w:val="center"/>
                </w:tcPr>
                <w:p w14:paraId="1B159C90">
                  <w:pPr>
                    <w:jc w:val="center"/>
                    <w:textAlignment w:val="center"/>
                    <w:rPr>
                      <w:color w:val="auto"/>
                      <w:kern w:val="0"/>
                      <w:szCs w:val="21"/>
                    </w:rPr>
                  </w:pPr>
                </w:p>
              </w:tc>
              <w:tc>
                <w:tcPr>
                  <w:tcW w:w="934" w:type="dxa"/>
                  <w:tcBorders>
                    <w:tl2br w:val="nil"/>
                    <w:tr2bl w:val="nil"/>
                  </w:tcBorders>
                  <w:vAlign w:val="center"/>
                </w:tcPr>
                <w:p w14:paraId="2723F969">
                  <w:pPr>
                    <w:jc w:val="center"/>
                    <w:textAlignment w:val="center"/>
                    <w:rPr>
                      <w:color w:val="auto"/>
                      <w:kern w:val="0"/>
                      <w:szCs w:val="21"/>
                    </w:rPr>
                  </w:pPr>
                  <w:r>
                    <w:rPr>
                      <w:color w:val="auto"/>
                      <w:kern w:val="0"/>
                      <w:szCs w:val="21"/>
                      <w:lang w:bidi="ar"/>
                    </w:rPr>
                    <w:t xml:space="preserve">201.6 </w:t>
                  </w:r>
                </w:p>
              </w:tc>
              <w:tc>
                <w:tcPr>
                  <w:tcW w:w="704" w:type="dxa"/>
                  <w:tcBorders>
                    <w:tl2br w:val="nil"/>
                    <w:tr2bl w:val="nil"/>
                  </w:tcBorders>
                  <w:vAlign w:val="center"/>
                </w:tcPr>
                <w:p w14:paraId="2A23F45B">
                  <w:pPr>
                    <w:jc w:val="center"/>
                    <w:textAlignment w:val="center"/>
                    <w:rPr>
                      <w:color w:val="auto"/>
                      <w:kern w:val="0"/>
                      <w:szCs w:val="21"/>
                    </w:rPr>
                  </w:pPr>
                  <w:r>
                    <w:rPr>
                      <w:rFonts w:hint="eastAsia" w:ascii="宋体" w:hAnsi="宋体" w:cs="宋体"/>
                      <w:color w:val="auto"/>
                      <w:kern w:val="0"/>
                      <w:szCs w:val="21"/>
                      <w:lang w:bidi="ar"/>
                    </w:rPr>
                    <w:t>废水</w:t>
                  </w:r>
                </w:p>
              </w:tc>
            </w:tr>
            <w:tr w14:paraId="45AD687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continue"/>
                  <w:tcBorders>
                    <w:tl2br w:val="nil"/>
                    <w:tr2bl w:val="nil"/>
                  </w:tcBorders>
                  <w:vAlign w:val="center"/>
                </w:tcPr>
                <w:p w14:paraId="0F304DC2">
                  <w:pPr>
                    <w:jc w:val="center"/>
                    <w:textAlignment w:val="center"/>
                    <w:rPr>
                      <w:color w:val="auto"/>
                      <w:kern w:val="0"/>
                      <w:szCs w:val="21"/>
                    </w:rPr>
                  </w:pPr>
                </w:p>
              </w:tc>
              <w:tc>
                <w:tcPr>
                  <w:tcW w:w="1469" w:type="dxa"/>
                  <w:tcBorders>
                    <w:tl2br w:val="nil"/>
                    <w:tr2bl w:val="nil"/>
                  </w:tcBorders>
                  <w:vAlign w:val="center"/>
                </w:tcPr>
                <w:p w14:paraId="4B23B549">
                  <w:pPr>
                    <w:jc w:val="center"/>
                    <w:rPr>
                      <w:color w:val="auto"/>
                      <w:szCs w:val="21"/>
                    </w:rPr>
                  </w:pPr>
                  <w:r>
                    <w:rPr>
                      <w:rFonts w:hint="eastAsia"/>
                      <w:color w:val="auto"/>
                      <w:szCs w:val="21"/>
                    </w:rPr>
                    <w:t>自来水洗槽3</w:t>
                  </w:r>
                </w:p>
              </w:tc>
              <w:tc>
                <w:tcPr>
                  <w:tcW w:w="684" w:type="dxa"/>
                  <w:tcBorders>
                    <w:tl2br w:val="nil"/>
                    <w:tr2bl w:val="nil"/>
                  </w:tcBorders>
                  <w:vAlign w:val="center"/>
                </w:tcPr>
                <w:p w14:paraId="33EE98FF">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6370428E">
                  <w:pPr>
                    <w:jc w:val="center"/>
                    <w:textAlignment w:val="center"/>
                    <w:rPr>
                      <w:color w:val="auto"/>
                      <w:szCs w:val="21"/>
                    </w:rPr>
                  </w:pPr>
                  <w:r>
                    <w:rPr>
                      <w:color w:val="auto"/>
                      <w:kern w:val="0"/>
                      <w:szCs w:val="21"/>
                      <w:lang w:bidi="ar"/>
                    </w:rPr>
                    <w:t>0.224</w:t>
                  </w:r>
                </w:p>
              </w:tc>
              <w:tc>
                <w:tcPr>
                  <w:tcW w:w="1284" w:type="dxa"/>
                  <w:vMerge w:val="continue"/>
                  <w:tcBorders>
                    <w:tl2br w:val="nil"/>
                    <w:tr2bl w:val="nil"/>
                  </w:tcBorders>
                  <w:vAlign w:val="center"/>
                </w:tcPr>
                <w:p w14:paraId="64B62C35">
                  <w:pPr>
                    <w:jc w:val="center"/>
                    <w:textAlignment w:val="center"/>
                    <w:rPr>
                      <w:color w:val="auto"/>
                      <w:kern w:val="0"/>
                      <w:szCs w:val="21"/>
                    </w:rPr>
                  </w:pPr>
                </w:p>
              </w:tc>
              <w:tc>
                <w:tcPr>
                  <w:tcW w:w="883" w:type="dxa"/>
                  <w:tcBorders>
                    <w:tl2br w:val="nil"/>
                    <w:tr2bl w:val="nil"/>
                  </w:tcBorders>
                  <w:vAlign w:val="center"/>
                </w:tcPr>
                <w:p w14:paraId="3BCAD94D">
                  <w:pPr>
                    <w:jc w:val="center"/>
                    <w:textAlignment w:val="center"/>
                    <w:rPr>
                      <w:color w:val="auto"/>
                      <w:kern w:val="0"/>
                      <w:szCs w:val="21"/>
                    </w:rPr>
                  </w:pPr>
                  <w:r>
                    <w:rPr>
                      <w:color w:val="auto"/>
                      <w:kern w:val="0"/>
                      <w:szCs w:val="21"/>
                      <w:lang w:bidi="ar"/>
                    </w:rPr>
                    <w:t>3.36</w:t>
                  </w:r>
                </w:p>
              </w:tc>
              <w:tc>
                <w:tcPr>
                  <w:tcW w:w="933" w:type="dxa"/>
                  <w:tcBorders>
                    <w:tl2br w:val="nil"/>
                    <w:tr2bl w:val="nil"/>
                  </w:tcBorders>
                  <w:vAlign w:val="center"/>
                </w:tcPr>
                <w:p w14:paraId="6FFF35F6">
                  <w:pPr>
                    <w:jc w:val="center"/>
                    <w:textAlignment w:val="center"/>
                    <w:rPr>
                      <w:color w:val="auto"/>
                      <w:kern w:val="0"/>
                      <w:szCs w:val="21"/>
                    </w:rPr>
                  </w:pPr>
                  <w:r>
                    <w:rPr>
                      <w:color w:val="auto"/>
                      <w:kern w:val="0"/>
                      <w:szCs w:val="21"/>
                      <w:lang w:bidi="ar"/>
                    </w:rPr>
                    <w:t>204.96</w:t>
                  </w:r>
                </w:p>
              </w:tc>
              <w:tc>
                <w:tcPr>
                  <w:tcW w:w="750" w:type="dxa"/>
                  <w:vMerge w:val="continue"/>
                  <w:tcBorders>
                    <w:tl2br w:val="nil"/>
                    <w:tr2bl w:val="nil"/>
                  </w:tcBorders>
                  <w:vAlign w:val="center"/>
                </w:tcPr>
                <w:p w14:paraId="2CC61A26">
                  <w:pPr>
                    <w:jc w:val="center"/>
                    <w:textAlignment w:val="center"/>
                    <w:rPr>
                      <w:color w:val="auto"/>
                      <w:kern w:val="0"/>
                      <w:szCs w:val="21"/>
                    </w:rPr>
                  </w:pPr>
                </w:p>
              </w:tc>
              <w:tc>
                <w:tcPr>
                  <w:tcW w:w="934" w:type="dxa"/>
                  <w:tcBorders>
                    <w:tl2br w:val="nil"/>
                    <w:tr2bl w:val="nil"/>
                  </w:tcBorders>
                  <w:vAlign w:val="center"/>
                </w:tcPr>
                <w:p w14:paraId="46E60057">
                  <w:pPr>
                    <w:jc w:val="center"/>
                    <w:textAlignment w:val="center"/>
                    <w:rPr>
                      <w:color w:val="auto"/>
                      <w:kern w:val="0"/>
                      <w:szCs w:val="21"/>
                    </w:rPr>
                  </w:pPr>
                  <w:r>
                    <w:rPr>
                      <w:color w:val="auto"/>
                      <w:kern w:val="0"/>
                      <w:szCs w:val="21"/>
                      <w:lang w:bidi="ar"/>
                    </w:rPr>
                    <w:t xml:space="preserve">201.6 </w:t>
                  </w:r>
                </w:p>
              </w:tc>
              <w:tc>
                <w:tcPr>
                  <w:tcW w:w="704" w:type="dxa"/>
                  <w:tcBorders>
                    <w:tl2br w:val="nil"/>
                    <w:tr2bl w:val="nil"/>
                  </w:tcBorders>
                  <w:vAlign w:val="center"/>
                </w:tcPr>
                <w:p w14:paraId="00A7EFF6">
                  <w:pPr>
                    <w:jc w:val="center"/>
                    <w:textAlignment w:val="center"/>
                    <w:rPr>
                      <w:color w:val="auto"/>
                      <w:kern w:val="0"/>
                      <w:szCs w:val="21"/>
                    </w:rPr>
                  </w:pPr>
                  <w:r>
                    <w:rPr>
                      <w:rFonts w:hint="eastAsia" w:ascii="宋体" w:hAnsi="宋体" w:cs="宋体"/>
                      <w:color w:val="auto"/>
                      <w:kern w:val="0"/>
                      <w:szCs w:val="21"/>
                      <w:lang w:bidi="ar"/>
                    </w:rPr>
                    <w:t>废水</w:t>
                  </w:r>
                </w:p>
              </w:tc>
            </w:tr>
            <w:tr w14:paraId="5DC862B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continue"/>
                  <w:tcBorders>
                    <w:tl2br w:val="nil"/>
                    <w:tr2bl w:val="nil"/>
                  </w:tcBorders>
                  <w:vAlign w:val="center"/>
                </w:tcPr>
                <w:p w14:paraId="288E5F20">
                  <w:pPr>
                    <w:jc w:val="center"/>
                    <w:textAlignment w:val="center"/>
                    <w:rPr>
                      <w:color w:val="auto"/>
                      <w:kern w:val="0"/>
                      <w:szCs w:val="21"/>
                    </w:rPr>
                  </w:pPr>
                </w:p>
              </w:tc>
              <w:tc>
                <w:tcPr>
                  <w:tcW w:w="1469" w:type="dxa"/>
                  <w:tcBorders>
                    <w:tl2br w:val="nil"/>
                    <w:tr2bl w:val="nil"/>
                  </w:tcBorders>
                  <w:vAlign w:val="center"/>
                </w:tcPr>
                <w:p w14:paraId="78E41A26">
                  <w:pPr>
                    <w:jc w:val="center"/>
                    <w:rPr>
                      <w:color w:val="auto"/>
                      <w:szCs w:val="21"/>
                    </w:rPr>
                  </w:pPr>
                  <w:r>
                    <w:rPr>
                      <w:rFonts w:hint="eastAsia"/>
                      <w:color w:val="auto"/>
                      <w:szCs w:val="21"/>
                    </w:rPr>
                    <w:t>自来水洗槽4</w:t>
                  </w:r>
                </w:p>
              </w:tc>
              <w:tc>
                <w:tcPr>
                  <w:tcW w:w="684" w:type="dxa"/>
                  <w:tcBorders>
                    <w:tl2br w:val="nil"/>
                    <w:tr2bl w:val="nil"/>
                  </w:tcBorders>
                  <w:vAlign w:val="center"/>
                </w:tcPr>
                <w:p w14:paraId="61CC279A">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70182C43">
                  <w:pPr>
                    <w:jc w:val="center"/>
                    <w:textAlignment w:val="center"/>
                    <w:rPr>
                      <w:color w:val="auto"/>
                      <w:szCs w:val="21"/>
                    </w:rPr>
                  </w:pPr>
                  <w:r>
                    <w:rPr>
                      <w:color w:val="auto"/>
                      <w:kern w:val="0"/>
                      <w:szCs w:val="21"/>
                      <w:lang w:bidi="ar"/>
                    </w:rPr>
                    <w:t>0.224</w:t>
                  </w:r>
                </w:p>
              </w:tc>
              <w:tc>
                <w:tcPr>
                  <w:tcW w:w="1284" w:type="dxa"/>
                  <w:vMerge w:val="continue"/>
                  <w:tcBorders>
                    <w:tl2br w:val="nil"/>
                    <w:tr2bl w:val="nil"/>
                  </w:tcBorders>
                  <w:vAlign w:val="center"/>
                </w:tcPr>
                <w:p w14:paraId="6A670710">
                  <w:pPr>
                    <w:jc w:val="center"/>
                    <w:textAlignment w:val="center"/>
                    <w:rPr>
                      <w:color w:val="auto"/>
                      <w:kern w:val="0"/>
                      <w:szCs w:val="21"/>
                    </w:rPr>
                  </w:pPr>
                </w:p>
              </w:tc>
              <w:tc>
                <w:tcPr>
                  <w:tcW w:w="883" w:type="dxa"/>
                  <w:tcBorders>
                    <w:tl2br w:val="nil"/>
                    <w:tr2bl w:val="nil"/>
                  </w:tcBorders>
                  <w:vAlign w:val="center"/>
                </w:tcPr>
                <w:p w14:paraId="0D86F36A">
                  <w:pPr>
                    <w:jc w:val="center"/>
                    <w:textAlignment w:val="center"/>
                    <w:rPr>
                      <w:color w:val="auto"/>
                      <w:kern w:val="0"/>
                      <w:szCs w:val="21"/>
                    </w:rPr>
                  </w:pPr>
                  <w:r>
                    <w:rPr>
                      <w:color w:val="auto"/>
                      <w:kern w:val="0"/>
                      <w:szCs w:val="21"/>
                      <w:lang w:bidi="ar"/>
                    </w:rPr>
                    <w:t>3.36</w:t>
                  </w:r>
                </w:p>
              </w:tc>
              <w:tc>
                <w:tcPr>
                  <w:tcW w:w="933" w:type="dxa"/>
                  <w:tcBorders>
                    <w:tl2br w:val="nil"/>
                    <w:tr2bl w:val="nil"/>
                  </w:tcBorders>
                  <w:vAlign w:val="center"/>
                </w:tcPr>
                <w:p w14:paraId="0D34F3FD">
                  <w:pPr>
                    <w:jc w:val="center"/>
                    <w:textAlignment w:val="center"/>
                    <w:rPr>
                      <w:color w:val="auto"/>
                      <w:kern w:val="0"/>
                      <w:szCs w:val="21"/>
                    </w:rPr>
                  </w:pPr>
                  <w:r>
                    <w:rPr>
                      <w:color w:val="auto"/>
                      <w:kern w:val="0"/>
                      <w:szCs w:val="21"/>
                      <w:lang w:bidi="ar"/>
                    </w:rPr>
                    <w:t>204.96</w:t>
                  </w:r>
                </w:p>
              </w:tc>
              <w:tc>
                <w:tcPr>
                  <w:tcW w:w="750" w:type="dxa"/>
                  <w:vMerge w:val="continue"/>
                  <w:tcBorders>
                    <w:tl2br w:val="nil"/>
                    <w:tr2bl w:val="nil"/>
                  </w:tcBorders>
                  <w:vAlign w:val="center"/>
                </w:tcPr>
                <w:p w14:paraId="4380F984">
                  <w:pPr>
                    <w:jc w:val="center"/>
                    <w:textAlignment w:val="center"/>
                    <w:rPr>
                      <w:color w:val="auto"/>
                      <w:kern w:val="0"/>
                      <w:szCs w:val="21"/>
                    </w:rPr>
                  </w:pPr>
                </w:p>
              </w:tc>
              <w:tc>
                <w:tcPr>
                  <w:tcW w:w="934" w:type="dxa"/>
                  <w:tcBorders>
                    <w:tl2br w:val="nil"/>
                    <w:tr2bl w:val="nil"/>
                  </w:tcBorders>
                  <w:vAlign w:val="center"/>
                </w:tcPr>
                <w:p w14:paraId="45F1172B">
                  <w:pPr>
                    <w:jc w:val="center"/>
                    <w:textAlignment w:val="center"/>
                    <w:rPr>
                      <w:color w:val="auto"/>
                      <w:kern w:val="0"/>
                      <w:szCs w:val="21"/>
                    </w:rPr>
                  </w:pPr>
                  <w:r>
                    <w:rPr>
                      <w:color w:val="auto"/>
                      <w:kern w:val="0"/>
                      <w:szCs w:val="21"/>
                      <w:lang w:bidi="ar"/>
                    </w:rPr>
                    <w:t xml:space="preserve">201.6 </w:t>
                  </w:r>
                </w:p>
              </w:tc>
              <w:tc>
                <w:tcPr>
                  <w:tcW w:w="704" w:type="dxa"/>
                  <w:tcBorders>
                    <w:tl2br w:val="nil"/>
                    <w:tr2bl w:val="nil"/>
                  </w:tcBorders>
                  <w:vAlign w:val="center"/>
                </w:tcPr>
                <w:p w14:paraId="4D129AC5">
                  <w:pPr>
                    <w:jc w:val="center"/>
                    <w:textAlignment w:val="center"/>
                    <w:rPr>
                      <w:color w:val="auto"/>
                      <w:kern w:val="0"/>
                      <w:szCs w:val="21"/>
                    </w:rPr>
                  </w:pPr>
                  <w:r>
                    <w:rPr>
                      <w:rFonts w:hint="eastAsia" w:ascii="宋体" w:hAnsi="宋体" w:cs="宋体"/>
                      <w:color w:val="auto"/>
                      <w:kern w:val="0"/>
                      <w:szCs w:val="21"/>
                      <w:lang w:bidi="ar"/>
                    </w:rPr>
                    <w:t>废水</w:t>
                  </w:r>
                </w:p>
              </w:tc>
            </w:tr>
            <w:tr w14:paraId="192DC39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continue"/>
                  <w:tcBorders>
                    <w:tl2br w:val="nil"/>
                    <w:tr2bl w:val="nil"/>
                  </w:tcBorders>
                  <w:vAlign w:val="center"/>
                </w:tcPr>
                <w:p w14:paraId="6B7FD694">
                  <w:pPr>
                    <w:jc w:val="center"/>
                    <w:textAlignment w:val="center"/>
                    <w:rPr>
                      <w:color w:val="auto"/>
                      <w:kern w:val="0"/>
                      <w:szCs w:val="21"/>
                    </w:rPr>
                  </w:pPr>
                </w:p>
              </w:tc>
              <w:tc>
                <w:tcPr>
                  <w:tcW w:w="1469" w:type="dxa"/>
                  <w:tcBorders>
                    <w:tl2br w:val="nil"/>
                    <w:tr2bl w:val="nil"/>
                  </w:tcBorders>
                  <w:vAlign w:val="center"/>
                </w:tcPr>
                <w:p w14:paraId="2257CC47">
                  <w:pPr>
                    <w:jc w:val="center"/>
                    <w:rPr>
                      <w:color w:val="auto"/>
                      <w:szCs w:val="21"/>
                    </w:rPr>
                  </w:pPr>
                  <w:r>
                    <w:rPr>
                      <w:rFonts w:hint="eastAsia"/>
                      <w:color w:val="auto"/>
                      <w:szCs w:val="21"/>
                    </w:rPr>
                    <w:t>超声波纯水洗槽</w:t>
                  </w:r>
                </w:p>
              </w:tc>
              <w:tc>
                <w:tcPr>
                  <w:tcW w:w="684" w:type="dxa"/>
                  <w:tcBorders>
                    <w:tl2br w:val="nil"/>
                    <w:tr2bl w:val="nil"/>
                  </w:tcBorders>
                  <w:vAlign w:val="center"/>
                </w:tcPr>
                <w:p w14:paraId="1D447179">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65C1F2D7">
                  <w:pPr>
                    <w:jc w:val="center"/>
                    <w:textAlignment w:val="center"/>
                    <w:rPr>
                      <w:color w:val="auto"/>
                      <w:szCs w:val="21"/>
                    </w:rPr>
                  </w:pPr>
                  <w:r>
                    <w:rPr>
                      <w:color w:val="auto"/>
                      <w:kern w:val="0"/>
                      <w:szCs w:val="21"/>
                      <w:lang w:bidi="ar"/>
                    </w:rPr>
                    <w:t>0.184</w:t>
                  </w:r>
                </w:p>
              </w:tc>
              <w:tc>
                <w:tcPr>
                  <w:tcW w:w="1284" w:type="dxa"/>
                  <w:vMerge w:val="continue"/>
                  <w:tcBorders>
                    <w:tl2br w:val="nil"/>
                    <w:tr2bl w:val="nil"/>
                  </w:tcBorders>
                  <w:vAlign w:val="center"/>
                </w:tcPr>
                <w:p w14:paraId="5C8E11AC">
                  <w:pPr>
                    <w:jc w:val="center"/>
                    <w:textAlignment w:val="center"/>
                    <w:rPr>
                      <w:color w:val="auto"/>
                      <w:kern w:val="0"/>
                      <w:szCs w:val="21"/>
                    </w:rPr>
                  </w:pPr>
                </w:p>
              </w:tc>
              <w:tc>
                <w:tcPr>
                  <w:tcW w:w="883" w:type="dxa"/>
                  <w:tcBorders>
                    <w:tl2br w:val="nil"/>
                    <w:tr2bl w:val="nil"/>
                  </w:tcBorders>
                  <w:vAlign w:val="center"/>
                </w:tcPr>
                <w:p w14:paraId="5148DF15">
                  <w:pPr>
                    <w:jc w:val="center"/>
                    <w:textAlignment w:val="center"/>
                    <w:rPr>
                      <w:color w:val="auto"/>
                      <w:kern w:val="0"/>
                      <w:szCs w:val="21"/>
                    </w:rPr>
                  </w:pPr>
                  <w:r>
                    <w:rPr>
                      <w:color w:val="auto"/>
                      <w:kern w:val="0"/>
                      <w:szCs w:val="21"/>
                      <w:lang w:bidi="ar"/>
                    </w:rPr>
                    <w:t>2.76</w:t>
                  </w:r>
                </w:p>
              </w:tc>
              <w:tc>
                <w:tcPr>
                  <w:tcW w:w="933" w:type="dxa"/>
                  <w:tcBorders>
                    <w:tl2br w:val="nil"/>
                    <w:tr2bl w:val="nil"/>
                  </w:tcBorders>
                  <w:vAlign w:val="center"/>
                </w:tcPr>
                <w:p w14:paraId="73A2FC2C">
                  <w:pPr>
                    <w:jc w:val="center"/>
                    <w:textAlignment w:val="center"/>
                    <w:rPr>
                      <w:color w:val="auto"/>
                      <w:kern w:val="0"/>
                      <w:szCs w:val="21"/>
                    </w:rPr>
                  </w:pPr>
                  <w:r>
                    <w:rPr>
                      <w:color w:val="auto"/>
                      <w:kern w:val="0"/>
                      <w:szCs w:val="21"/>
                      <w:lang w:bidi="ar"/>
                    </w:rPr>
                    <w:t>168.36</w:t>
                  </w:r>
                </w:p>
              </w:tc>
              <w:tc>
                <w:tcPr>
                  <w:tcW w:w="750" w:type="dxa"/>
                  <w:vMerge w:val="restart"/>
                  <w:tcBorders>
                    <w:tl2br w:val="nil"/>
                    <w:tr2bl w:val="nil"/>
                  </w:tcBorders>
                  <w:vAlign w:val="center"/>
                </w:tcPr>
                <w:p w14:paraId="4EB11221">
                  <w:pPr>
                    <w:jc w:val="center"/>
                    <w:textAlignment w:val="center"/>
                    <w:rPr>
                      <w:rFonts w:hint="eastAsia"/>
                      <w:color w:val="auto"/>
                      <w:kern w:val="0"/>
                      <w:szCs w:val="21"/>
                    </w:rPr>
                  </w:pPr>
                  <w:r>
                    <w:rPr>
                      <w:rFonts w:hint="eastAsia"/>
                      <w:color w:val="auto"/>
                      <w:kern w:val="0"/>
                      <w:szCs w:val="21"/>
                    </w:rPr>
                    <w:t>纯水</w:t>
                  </w:r>
                </w:p>
              </w:tc>
              <w:tc>
                <w:tcPr>
                  <w:tcW w:w="934" w:type="dxa"/>
                  <w:tcBorders>
                    <w:tl2br w:val="nil"/>
                    <w:tr2bl w:val="nil"/>
                  </w:tcBorders>
                  <w:vAlign w:val="center"/>
                </w:tcPr>
                <w:p w14:paraId="7A11566C">
                  <w:pPr>
                    <w:jc w:val="center"/>
                    <w:textAlignment w:val="center"/>
                    <w:rPr>
                      <w:color w:val="auto"/>
                      <w:kern w:val="0"/>
                      <w:szCs w:val="21"/>
                    </w:rPr>
                  </w:pPr>
                  <w:r>
                    <w:rPr>
                      <w:color w:val="auto"/>
                      <w:kern w:val="0"/>
                      <w:szCs w:val="21"/>
                      <w:lang w:bidi="ar"/>
                    </w:rPr>
                    <w:t xml:space="preserve">165.6 </w:t>
                  </w:r>
                </w:p>
              </w:tc>
              <w:tc>
                <w:tcPr>
                  <w:tcW w:w="704" w:type="dxa"/>
                  <w:tcBorders>
                    <w:tl2br w:val="nil"/>
                    <w:tr2bl w:val="nil"/>
                  </w:tcBorders>
                  <w:vAlign w:val="center"/>
                </w:tcPr>
                <w:p w14:paraId="062D76A8">
                  <w:pPr>
                    <w:jc w:val="center"/>
                    <w:textAlignment w:val="center"/>
                    <w:rPr>
                      <w:color w:val="auto"/>
                      <w:kern w:val="0"/>
                      <w:szCs w:val="21"/>
                    </w:rPr>
                  </w:pPr>
                  <w:r>
                    <w:rPr>
                      <w:rFonts w:hint="eastAsia" w:ascii="宋体" w:hAnsi="宋体" w:cs="宋体"/>
                      <w:color w:val="auto"/>
                      <w:kern w:val="0"/>
                      <w:szCs w:val="21"/>
                      <w:lang w:bidi="ar"/>
                    </w:rPr>
                    <w:t>废水</w:t>
                  </w:r>
                </w:p>
              </w:tc>
            </w:tr>
            <w:tr w14:paraId="2032531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continue"/>
                  <w:tcBorders>
                    <w:tl2br w:val="nil"/>
                    <w:tr2bl w:val="nil"/>
                  </w:tcBorders>
                  <w:vAlign w:val="center"/>
                </w:tcPr>
                <w:p w14:paraId="0BB5CA1C">
                  <w:pPr>
                    <w:jc w:val="center"/>
                    <w:textAlignment w:val="center"/>
                    <w:rPr>
                      <w:color w:val="auto"/>
                      <w:kern w:val="0"/>
                      <w:szCs w:val="21"/>
                    </w:rPr>
                  </w:pPr>
                </w:p>
              </w:tc>
              <w:tc>
                <w:tcPr>
                  <w:tcW w:w="1469" w:type="dxa"/>
                  <w:tcBorders>
                    <w:tl2br w:val="nil"/>
                    <w:tr2bl w:val="nil"/>
                  </w:tcBorders>
                  <w:vAlign w:val="center"/>
                </w:tcPr>
                <w:p w14:paraId="58173B82">
                  <w:pPr>
                    <w:jc w:val="center"/>
                    <w:rPr>
                      <w:color w:val="auto"/>
                      <w:szCs w:val="21"/>
                    </w:rPr>
                  </w:pPr>
                  <w:r>
                    <w:rPr>
                      <w:rFonts w:hint="eastAsia"/>
                      <w:color w:val="auto"/>
                      <w:szCs w:val="21"/>
                    </w:rPr>
                    <w:t>纯水洗槽1</w:t>
                  </w:r>
                </w:p>
              </w:tc>
              <w:tc>
                <w:tcPr>
                  <w:tcW w:w="684" w:type="dxa"/>
                  <w:tcBorders>
                    <w:tl2br w:val="nil"/>
                    <w:tr2bl w:val="nil"/>
                  </w:tcBorders>
                  <w:vAlign w:val="center"/>
                </w:tcPr>
                <w:p w14:paraId="0E52D1EE">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1A4C59ED">
                  <w:pPr>
                    <w:jc w:val="center"/>
                    <w:textAlignment w:val="center"/>
                    <w:rPr>
                      <w:color w:val="auto"/>
                      <w:szCs w:val="21"/>
                    </w:rPr>
                  </w:pPr>
                  <w:r>
                    <w:rPr>
                      <w:color w:val="auto"/>
                      <w:kern w:val="0"/>
                      <w:szCs w:val="21"/>
                      <w:lang w:bidi="ar"/>
                    </w:rPr>
                    <w:t>0.224</w:t>
                  </w:r>
                </w:p>
              </w:tc>
              <w:tc>
                <w:tcPr>
                  <w:tcW w:w="1284" w:type="dxa"/>
                  <w:vMerge w:val="continue"/>
                  <w:tcBorders>
                    <w:tl2br w:val="nil"/>
                    <w:tr2bl w:val="nil"/>
                  </w:tcBorders>
                  <w:vAlign w:val="center"/>
                </w:tcPr>
                <w:p w14:paraId="7E2290FE">
                  <w:pPr>
                    <w:jc w:val="center"/>
                    <w:textAlignment w:val="center"/>
                    <w:rPr>
                      <w:color w:val="auto"/>
                      <w:kern w:val="0"/>
                      <w:szCs w:val="21"/>
                    </w:rPr>
                  </w:pPr>
                </w:p>
              </w:tc>
              <w:tc>
                <w:tcPr>
                  <w:tcW w:w="883" w:type="dxa"/>
                  <w:tcBorders>
                    <w:tl2br w:val="nil"/>
                    <w:tr2bl w:val="nil"/>
                  </w:tcBorders>
                  <w:vAlign w:val="center"/>
                </w:tcPr>
                <w:p w14:paraId="0F214D73">
                  <w:pPr>
                    <w:jc w:val="center"/>
                    <w:textAlignment w:val="center"/>
                    <w:rPr>
                      <w:color w:val="auto"/>
                      <w:kern w:val="0"/>
                      <w:szCs w:val="21"/>
                    </w:rPr>
                  </w:pPr>
                  <w:r>
                    <w:rPr>
                      <w:color w:val="auto"/>
                      <w:kern w:val="0"/>
                      <w:szCs w:val="21"/>
                      <w:lang w:bidi="ar"/>
                    </w:rPr>
                    <w:t>3.36</w:t>
                  </w:r>
                </w:p>
              </w:tc>
              <w:tc>
                <w:tcPr>
                  <w:tcW w:w="933" w:type="dxa"/>
                  <w:tcBorders>
                    <w:tl2br w:val="nil"/>
                    <w:tr2bl w:val="nil"/>
                  </w:tcBorders>
                  <w:vAlign w:val="center"/>
                </w:tcPr>
                <w:p w14:paraId="0BA4DAEB">
                  <w:pPr>
                    <w:jc w:val="center"/>
                    <w:textAlignment w:val="center"/>
                    <w:rPr>
                      <w:color w:val="auto"/>
                      <w:kern w:val="0"/>
                      <w:szCs w:val="21"/>
                    </w:rPr>
                  </w:pPr>
                  <w:r>
                    <w:rPr>
                      <w:color w:val="auto"/>
                      <w:kern w:val="0"/>
                      <w:szCs w:val="21"/>
                      <w:lang w:bidi="ar"/>
                    </w:rPr>
                    <w:t>204.96</w:t>
                  </w:r>
                </w:p>
              </w:tc>
              <w:tc>
                <w:tcPr>
                  <w:tcW w:w="750" w:type="dxa"/>
                  <w:vMerge w:val="continue"/>
                  <w:tcBorders>
                    <w:tl2br w:val="nil"/>
                    <w:tr2bl w:val="nil"/>
                  </w:tcBorders>
                  <w:vAlign w:val="center"/>
                </w:tcPr>
                <w:p w14:paraId="4E6F2E4E">
                  <w:pPr>
                    <w:jc w:val="center"/>
                    <w:textAlignment w:val="center"/>
                    <w:rPr>
                      <w:color w:val="auto"/>
                      <w:kern w:val="0"/>
                      <w:szCs w:val="21"/>
                    </w:rPr>
                  </w:pPr>
                </w:p>
              </w:tc>
              <w:tc>
                <w:tcPr>
                  <w:tcW w:w="934" w:type="dxa"/>
                  <w:tcBorders>
                    <w:tl2br w:val="nil"/>
                    <w:tr2bl w:val="nil"/>
                  </w:tcBorders>
                  <w:vAlign w:val="center"/>
                </w:tcPr>
                <w:p w14:paraId="1A504460">
                  <w:pPr>
                    <w:jc w:val="center"/>
                    <w:textAlignment w:val="center"/>
                    <w:rPr>
                      <w:color w:val="auto"/>
                      <w:kern w:val="0"/>
                      <w:szCs w:val="21"/>
                    </w:rPr>
                  </w:pPr>
                  <w:r>
                    <w:rPr>
                      <w:color w:val="auto"/>
                      <w:kern w:val="0"/>
                      <w:szCs w:val="21"/>
                      <w:lang w:bidi="ar"/>
                    </w:rPr>
                    <w:t xml:space="preserve">201.6 </w:t>
                  </w:r>
                </w:p>
              </w:tc>
              <w:tc>
                <w:tcPr>
                  <w:tcW w:w="704" w:type="dxa"/>
                  <w:tcBorders>
                    <w:tl2br w:val="nil"/>
                    <w:tr2bl w:val="nil"/>
                  </w:tcBorders>
                  <w:vAlign w:val="center"/>
                </w:tcPr>
                <w:p w14:paraId="145BC8C8">
                  <w:pPr>
                    <w:jc w:val="center"/>
                    <w:textAlignment w:val="center"/>
                    <w:rPr>
                      <w:color w:val="auto"/>
                      <w:kern w:val="0"/>
                      <w:szCs w:val="21"/>
                    </w:rPr>
                  </w:pPr>
                  <w:r>
                    <w:rPr>
                      <w:rFonts w:hint="eastAsia" w:ascii="宋体" w:hAnsi="宋体" w:cs="宋体"/>
                      <w:color w:val="auto"/>
                      <w:kern w:val="0"/>
                      <w:szCs w:val="21"/>
                      <w:lang w:bidi="ar"/>
                    </w:rPr>
                    <w:t>废水</w:t>
                  </w:r>
                </w:p>
              </w:tc>
            </w:tr>
            <w:tr w14:paraId="18711AF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continue"/>
                  <w:tcBorders>
                    <w:tl2br w:val="nil"/>
                    <w:tr2bl w:val="nil"/>
                  </w:tcBorders>
                  <w:vAlign w:val="center"/>
                </w:tcPr>
                <w:p w14:paraId="45AA2FD5">
                  <w:pPr>
                    <w:jc w:val="center"/>
                    <w:textAlignment w:val="center"/>
                    <w:rPr>
                      <w:color w:val="auto"/>
                      <w:kern w:val="0"/>
                      <w:szCs w:val="21"/>
                    </w:rPr>
                  </w:pPr>
                </w:p>
              </w:tc>
              <w:tc>
                <w:tcPr>
                  <w:tcW w:w="1469" w:type="dxa"/>
                  <w:tcBorders>
                    <w:tl2br w:val="nil"/>
                    <w:tr2bl w:val="nil"/>
                  </w:tcBorders>
                  <w:vAlign w:val="center"/>
                </w:tcPr>
                <w:p w14:paraId="2CF9EB1A">
                  <w:pPr>
                    <w:jc w:val="center"/>
                    <w:textAlignment w:val="center"/>
                    <w:rPr>
                      <w:color w:val="auto"/>
                      <w:kern w:val="0"/>
                      <w:szCs w:val="21"/>
                    </w:rPr>
                  </w:pPr>
                  <w:r>
                    <w:rPr>
                      <w:rFonts w:hint="eastAsia"/>
                      <w:color w:val="auto"/>
                      <w:kern w:val="0"/>
                      <w:szCs w:val="21"/>
                    </w:rPr>
                    <w:t>小计</w:t>
                  </w:r>
                </w:p>
              </w:tc>
              <w:tc>
                <w:tcPr>
                  <w:tcW w:w="684" w:type="dxa"/>
                  <w:tcBorders>
                    <w:tl2br w:val="nil"/>
                    <w:tr2bl w:val="nil"/>
                  </w:tcBorders>
                  <w:vAlign w:val="center"/>
                </w:tcPr>
                <w:p w14:paraId="0ABD0D6E">
                  <w:pPr>
                    <w:jc w:val="center"/>
                    <w:textAlignment w:val="center"/>
                    <w:rPr>
                      <w:color w:val="auto"/>
                      <w:kern w:val="0"/>
                      <w:szCs w:val="21"/>
                    </w:rPr>
                  </w:pPr>
                  <w:r>
                    <w:rPr>
                      <w:rFonts w:hint="eastAsia"/>
                      <w:color w:val="auto"/>
                      <w:kern w:val="0"/>
                      <w:szCs w:val="21"/>
                    </w:rPr>
                    <w:t>7个</w:t>
                  </w:r>
                </w:p>
              </w:tc>
              <w:tc>
                <w:tcPr>
                  <w:tcW w:w="1166" w:type="dxa"/>
                  <w:tcBorders>
                    <w:tl2br w:val="nil"/>
                    <w:tr2bl w:val="nil"/>
                  </w:tcBorders>
                  <w:vAlign w:val="center"/>
                </w:tcPr>
                <w:p w14:paraId="11B8E54B">
                  <w:pPr>
                    <w:jc w:val="center"/>
                    <w:textAlignment w:val="center"/>
                    <w:rPr>
                      <w:color w:val="auto"/>
                      <w:kern w:val="0"/>
                      <w:szCs w:val="21"/>
                    </w:rPr>
                  </w:pPr>
                  <w:r>
                    <w:rPr>
                      <w:color w:val="auto"/>
                      <w:kern w:val="0"/>
                      <w:szCs w:val="21"/>
                      <w:lang w:bidi="ar"/>
                    </w:rPr>
                    <w:t>1.376</w:t>
                  </w:r>
                </w:p>
              </w:tc>
              <w:tc>
                <w:tcPr>
                  <w:tcW w:w="1284" w:type="dxa"/>
                  <w:vMerge w:val="continue"/>
                  <w:tcBorders>
                    <w:tl2br w:val="nil"/>
                    <w:tr2bl w:val="nil"/>
                  </w:tcBorders>
                  <w:vAlign w:val="center"/>
                </w:tcPr>
                <w:p w14:paraId="7D4127CA">
                  <w:pPr>
                    <w:jc w:val="center"/>
                    <w:textAlignment w:val="center"/>
                    <w:rPr>
                      <w:color w:val="auto"/>
                      <w:kern w:val="0"/>
                      <w:szCs w:val="21"/>
                    </w:rPr>
                  </w:pPr>
                </w:p>
              </w:tc>
              <w:tc>
                <w:tcPr>
                  <w:tcW w:w="883" w:type="dxa"/>
                  <w:tcBorders>
                    <w:tl2br w:val="nil"/>
                    <w:tr2bl w:val="nil"/>
                  </w:tcBorders>
                  <w:vAlign w:val="center"/>
                </w:tcPr>
                <w:p w14:paraId="47A05D67">
                  <w:pPr>
                    <w:jc w:val="center"/>
                    <w:textAlignment w:val="center"/>
                    <w:rPr>
                      <w:color w:val="auto"/>
                      <w:kern w:val="0"/>
                      <w:szCs w:val="21"/>
                    </w:rPr>
                  </w:pPr>
                  <w:r>
                    <w:rPr>
                      <w:color w:val="auto"/>
                      <w:kern w:val="0"/>
                      <w:szCs w:val="21"/>
                      <w:lang w:bidi="ar"/>
                    </w:rPr>
                    <w:t>20.64</w:t>
                  </w:r>
                </w:p>
              </w:tc>
              <w:tc>
                <w:tcPr>
                  <w:tcW w:w="933" w:type="dxa"/>
                  <w:tcBorders>
                    <w:tl2br w:val="nil"/>
                    <w:tr2bl w:val="nil"/>
                  </w:tcBorders>
                  <w:vAlign w:val="center"/>
                </w:tcPr>
                <w:p w14:paraId="6E2C1D58">
                  <w:pPr>
                    <w:jc w:val="center"/>
                    <w:textAlignment w:val="center"/>
                    <w:rPr>
                      <w:color w:val="auto"/>
                      <w:kern w:val="0"/>
                      <w:szCs w:val="21"/>
                    </w:rPr>
                  </w:pPr>
                  <w:r>
                    <w:rPr>
                      <w:color w:val="auto"/>
                      <w:kern w:val="0"/>
                      <w:szCs w:val="21"/>
                      <w:lang w:bidi="ar"/>
                    </w:rPr>
                    <w:t>1259.04</w:t>
                  </w:r>
                </w:p>
              </w:tc>
              <w:tc>
                <w:tcPr>
                  <w:tcW w:w="750" w:type="dxa"/>
                  <w:tcBorders>
                    <w:tl2br w:val="nil"/>
                    <w:tr2bl w:val="nil"/>
                  </w:tcBorders>
                  <w:vAlign w:val="center"/>
                </w:tcPr>
                <w:p w14:paraId="2D6EAC82">
                  <w:pPr>
                    <w:jc w:val="center"/>
                    <w:textAlignment w:val="center"/>
                    <w:rPr>
                      <w:rFonts w:hint="eastAsia"/>
                      <w:color w:val="auto"/>
                      <w:kern w:val="0"/>
                      <w:szCs w:val="21"/>
                    </w:rPr>
                  </w:pPr>
                  <w:r>
                    <w:rPr>
                      <w:rFonts w:hint="eastAsia"/>
                      <w:color w:val="auto"/>
                      <w:kern w:val="0"/>
                      <w:szCs w:val="21"/>
                    </w:rPr>
                    <w:t>/</w:t>
                  </w:r>
                </w:p>
              </w:tc>
              <w:tc>
                <w:tcPr>
                  <w:tcW w:w="934" w:type="dxa"/>
                  <w:tcBorders>
                    <w:tl2br w:val="nil"/>
                    <w:tr2bl w:val="nil"/>
                  </w:tcBorders>
                  <w:vAlign w:val="center"/>
                </w:tcPr>
                <w:p w14:paraId="09DCD4AA">
                  <w:pPr>
                    <w:jc w:val="center"/>
                    <w:textAlignment w:val="center"/>
                    <w:rPr>
                      <w:color w:val="auto"/>
                      <w:kern w:val="0"/>
                      <w:szCs w:val="21"/>
                    </w:rPr>
                  </w:pPr>
                  <w:r>
                    <w:rPr>
                      <w:color w:val="auto"/>
                      <w:kern w:val="0"/>
                      <w:szCs w:val="21"/>
                      <w:lang w:bidi="ar"/>
                    </w:rPr>
                    <w:t xml:space="preserve">1238.4 </w:t>
                  </w:r>
                </w:p>
              </w:tc>
              <w:tc>
                <w:tcPr>
                  <w:tcW w:w="704" w:type="dxa"/>
                  <w:tcBorders>
                    <w:tl2br w:val="nil"/>
                    <w:tr2bl w:val="nil"/>
                  </w:tcBorders>
                  <w:vAlign w:val="center"/>
                </w:tcPr>
                <w:p w14:paraId="77D744A3">
                  <w:pPr>
                    <w:jc w:val="center"/>
                    <w:textAlignment w:val="center"/>
                    <w:rPr>
                      <w:color w:val="auto"/>
                      <w:kern w:val="0"/>
                      <w:szCs w:val="21"/>
                    </w:rPr>
                  </w:pPr>
                  <w:r>
                    <w:rPr>
                      <w:rFonts w:hint="eastAsia" w:ascii="宋体" w:hAnsi="宋体" w:cs="宋体"/>
                      <w:color w:val="auto"/>
                      <w:kern w:val="0"/>
                      <w:szCs w:val="21"/>
                      <w:lang w:bidi="ar"/>
                    </w:rPr>
                    <w:t>废水</w:t>
                  </w:r>
                </w:p>
              </w:tc>
            </w:tr>
            <w:tr w14:paraId="2E66506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tcBorders>
                    <w:tl2br w:val="nil"/>
                    <w:tr2bl w:val="nil"/>
                  </w:tcBorders>
                  <w:vAlign w:val="center"/>
                </w:tcPr>
                <w:p w14:paraId="4624A2BD">
                  <w:pPr>
                    <w:jc w:val="center"/>
                    <w:textAlignment w:val="center"/>
                    <w:rPr>
                      <w:color w:val="auto"/>
                      <w:kern w:val="0"/>
                      <w:szCs w:val="21"/>
                    </w:rPr>
                  </w:pPr>
                  <w:r>
                    <w:rPr>
                      <w:rFonts w:hint="eastAsia"/>
                      <w:color w:val="auto"/>
                      <w:kern w:val="0"/>
                      <w:szCs w:val="21"/>
                    </w:rPr>
                    <w:t>阴极电泳</w:t>
                  </w:r>
                </w:p>
              </w:tc>
              <w:tc>
                <w:tcPr>
                  <w:tcW w:w="1469" w:type="dxa"/>
                  <w:tcBorders>
                    <w:tl2br w:val="nil"/>
                    <w:tr2bl w:val="nil"/>
                  </w:tcBorders>
                  <w:vAlign w:val="center"/>
                </w:tcPr>
                <w:p w14:paraId="0684162A">
                  <w:pPr>
                    <w:jc w:val="center"/>
                    <w:textAlignment w:val="center"/>
                    <w:rPr>
                      <w:color w:val="auto"/>
                      <w:kern w:val="0"/>
                      <w:szCs w:val="21"/>
                    </w:rPr>
                  </w:pPr>
                  <w:r>
                    <w:rPr>
                      <w:rFonts w:hint="eastAsia"/>
                      <w:color w:val="auto"/>
                      <w:kern w:val="0"/>
                      <w:szCs w:val="21"/>
                    </w:rPr>
                    <w:t>阴极电泳槽</w:t>
                  </w:r>
                </w:p>
              </w:tc>
              <w:tc>
                <w:tcPr>
                  <w:tcW w:w="684" w:type="dxa"/>
                  <w:tcBorders>
                    <w:tl2br w:val="nil"/>
                    <w:tr2bl w:val="nil"/>
                  </w:tcBorders>
                  <w:vAlign w:val="center"/>
                </w:tcPr>
                <w:p w14:paraId="1452F325">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4D469A86">
                  <w:pPr>
                    <w:jc w:val="center"/>
                    <w:textAlignment w:val="center"/>
                    <w:rPr>
                      <w:color w:val="auto"/>
                      <w:szCs w:val="21"/>
                    </w:rPr>
                  </w:pPr>
                  <w:r>
                    <w:rPr>
                      <w:color w:val="auto"/>
                      <w:kern w:val="0"/>
                      <w:szCs w:val="21"/>
                      <w:lang w:bidi="ar"/>
                    </w:rPr>
                    <w:t>0.272</w:t>
                  </w:r>
                </w:p>
              </w:tc>
              <w:tc>
                <w:tcPr>
                  <w:tcW w:w="1284" w:type="dxa"/>
                  <w:tcBorders>
                    <w:tl2br w:val="nil"/>
                    <w:tr2bl w:val="nil"/>
                  </w:tcBorders>
                  <w:vAlign w:val="center"/>
                </w:tcPr>
                <w:p w14:paraId="28A2D67B">
                  <w:pPr>
                    <w:jc w:val="center"/>
                    <w:textAlignment w:val="center"/>
                    <w:rPr>
                      <w:color w:val="auto"/>
                      <w:kern w:val="0"/>
                      <w:szCs w:val="21"/>
                    </w:rPr>
                  </w:pPr>
                  <w:r>
                    <w:rPr>
                      <w:color w:val="auto"/>
                      <w:kern w:val="0"/>
                      <w:szCs w:val="21"/>
                    </w:rPr>
                    <w:t>每季度更换一次</w:t>
                  </w:r>
                  <w:r>
                    <w:rPr>
                      <w:rFonts w:hint="eastAsia"/>
                      <w:color w:val="auto"/>
                      <w:kern w:val="0"/>
                      <w:szCs w:val="21"/>
                    </w:rPr>
                    <w:t>槽液的50%</w:t>
                  </w:r>
                </w:p>
              </w:tc>
              <w:tc>
                <w:tcPr>
                  <w:tcW w:w="883" w:type="dxa"/>
                  <w:tcBorders>
                    <w:tl2br w:val="nil"/>
                    <w:tr2bl w:val="nil"/>
                  </w:tcBorders>
                  <w:vAlign w:val="center"/>
                </w:tcPr>
                <w:p w14:paraId="0A0AF152">
                  <w:pPr>
                    <w:jc w:val="center"/>
                    <w:textAlignment w:val="center"/>
                    <w:rPr>
                      <w:color w:val="auto"/>
                      <w:kern w:val="0"/>
                      <w:szCs w:val="21"/>
                    </w:rPr>
                  </w:pPr>
                  <w:r>
                    <w:rPr>
                      <w:color w:val="auto"/>
                      <w:kern w:val="0"/>
                      <w:szCs w:val="21"/>
                      <w:lang w:bidi="ar"/>
                    </w:rPr>
                    <w:t>4.08</w:t>
                  </w:r>
                </w:p>
              </w:tc>
              <w:tc>
                <w:tcPr>
                  <w:tcW w:w="933" w:type="dxa"/>
                  <w:tcBorders>
                    <w:tl2br w:val="nil"/>
                    <w:tr2bl w:val="nil"/>
                  </w:tcBorders>
                  <w:vAlign w:val="center"/>
                </w:tcPr>
                <w:p w14:paraId="60D898F3">
                  <w:pPr>
                    <w:jc w:val="center"/>
                    <w:textAlignment w:val="center"/>
                    <w:rPr>
                      <w:color w:val="auto"/>
                      <w:kern w:val="0"/>
                      <w:szCs w:val="21"/>
                    </w:rPr>
                  </w:pPr>
                  <w:r>
                    <w:rPr>
                      <w:color w:val="auto"/>
                      <w:kern w:val="0"/>
                      <w:szCs w:val="21"/>
                      <w:lang w:bidi="ar"/>
                    </w:rPr>
                    <w:t xml:space="preserve">4.624 </w:t>
                  </w:r>
                </w:p>
              </w:tc>
              <w:tc>
                <w:tcPr>
                  <w:tcW w:w="750" w:type="dxa"/>
                  <w:tcBorders>
                    <w:tl2br w:val="nil"/>
                    <w:tr2bl w:val="nil"/>
                  </w:tcBorders>
                  <w:vAlign w:val="center"/>
                </w:tcPr>
                <w:p w14:paraId="70708B06">
                  <w:pPr>
                    <w:jc w:val="center"/>
                    <w:textAlignment w:val="center"/>
                    <w:rPr>
                      <w:color w:val="auto"/>
                      <w:kern w:val="0"/>
                      <w:szCs w:val="21"/>
                    </w:rPr>
                  </w:pPr>
                  <w:r>
                    <w:rPr>
                      <w:rFonts w:hint="eastAsia"/>
                      <w:color w:val="auto"/>
                      <w:kern w:val="0"/>
                      <w:szCs w:val="21"/>
                    </w:rPr>
                    <w:t>纯水</w:t>
                  </w:r>
                </w:p>
              </w:tc>
              <w:tc>
                <w:tcPr>
                  <w:tcW w:w="934" w:type="dxa"/>
                  <w:tcBorders>
                    <w:tl2br w:val="nil"/>
                    <w:tr2bl w:val="nil"/>
                  </w:tcBorders>
                  <w:vAlign w:val="center"/>
                </w:tcPr>
                <w:p w14:paraId="289262D6">
                  <w:pPr>
                    <w:jc w:val="center"/>
                    <w:textAlignment w:val="center"/>
                    <w:rPr>
                      <w:color w:val="auto"/>
                      <w:kern w:val="0"/>
                      <w:szCs w:val="21"/>
                    </w:rPr>
                  </w:pPr>
                  <w:r>
                    <w:rPr>
                      <w:color w:val="auto"/>
                      <w:kern w:val="0"/>
                      <w:szCs w:val="21"/>
                      <w:lang w:bidi="ar"/>
                    </w:rPr>
                    <w:t xml:space="preserve">0.5440 </w:t>
                  </w:r>
                </w:p>
              </w:tc>
              <w:tc>
                <w:tcPr>
                  <w:tcW w:w="704" w:type="dxa"/>
                  <w:tcBorders>
                    <w:tl2br w:val="nil"/>
                    <w:tr2bl w:val="nil"/>
                  </w:tcBorders>
                  <w:vAlign w:val="center"/>
                </w:tcPr>
                <w:p w14:paraId="12E676C0">
                  <w:pPr>
                    <w:jc w:val="center"/>
                    <w:textAlignment w:val="center"/>
                    <w:rPr>
                      <w:color w:val="auto"/>
                      <w:kern w:val="0"/>
                      <w:szCs w:val="21"/>
                    </w:rPr>
                  </w:pPr>
                  <w:r>
                    <w:rPr>
                      <w:rFonts w:hint="eastAsia" w:ascii="宋体" w:hAnsi="宋体" w:cs="宋体"/>
                      <w:color w:val="auto"/>
                      <w:kern w:val="0"/>
                      <w:szCs w:val="21"/>
                      <w:lang w:bidi="ar"/>
                    </w:rPr>
                    <w:t>槽液</w:t>
                  </w:r>
                </w:p>
              </w:tc>
            </w:tr>
            <w:tr w14:paraId="26DC750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restart"/>
                  <w:tcBorders>
                    <w:tl2br w:val="nil"/>
                    <w:tr2bl w:val="nil"/>
                  </w:tcBorders>
                  <w:vAlign w:val="center"/>
                </w:tcPr>
                <w:p w14:paraId="26278983">
                  <w:pPr>
                    <w:jc w:val="center"/>
                    <w:textAlignment w:val="center"/>
                    <w:rPr>
                      <w:color w:val="auto"/>
                      <w:kern w:val="0"/>
                      <w:szCs w:val="21"/>
                    </w:rPr>
                  </w:pPr>
                  <w:r>
                    <w:rPr>
                      <w:rFonts w:hint="eastAsia"/>
                      <w:color w:val="auto"/>
                      <w:kern w:val="0"/>
                      <w:szCs w:val="21"/>
                    </w:rPr>
                    <w:t>三</w:t>
                  </w:r>
                  <w:r>
                    <w:rPr>
                      <w:color w:val="auto"/>
                      <w:kern w:val="0"/>
                      <w:szCs w:val="21"/>
                    </w:rPr>
                    <w:t>级水洗</w:t>
                  </w:r>
                </w:p>
              </w:tc>
              <w:tc>
                <w:tcPr>
                  <w:tcW w:w="1469" w:type="dxa"/>
                  <w:tcBorders>
                    <w:tl2br w:val="nil"/>
                    <w:tr2bl w:val="nil"/>
                  </w:tcBorders>
                  <w:vAlign w:val="center"/>
                </w:tcPr>
                <w:p w14:paraId="55D3375D">
                  <w:pPr>
                    <w:jc w:val="center"/>
                    <w:rPr>
                      <w:color w:val="auto"/>
                      <w:szCs w:val="21"/>
                    </w:rPr>
                  </w:pPr>
                  <w:r>
                    <w:rPr>
                      <w:rFonts w:hint="eastAsia"/>
                      <w:color w:val="auto"/>
                      <w:szCs w:val="21"/>
                    </w:rPr>
                    <w:t>喷淋水洗槽1</w:t>
                  </w:r>
                </w:p>
              </w:tc>
              <w:tc>
                <w:tcPr>
                  <w:tcW w:w="684" w:type="dxa"/>
                  <w:tcBorders>
                    <w:tl2br w:val="nil"/>
                    <w:tr2bl w:val="nil"/>
                  </w:tcBorders>
                  <w:vAlign w:val="center"/>
                </w:tcPr>
                <w:p w14:paraId="22FFBD49">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480D4C78">
                  <w:pPr>
                    <w:jc w:val="center"/>
                    <w:textAlignment w:val="center"/>
                    <w:rPr>
                      <w:color w:val="auto"/>
                      <w:szCs w:val="21"/>
                    </w:rPr>
                  </w:pPr>
                  <w:r>
                    <w:rPr>
                      <w:color w:val="auto"/>
                      <w:kern w:val="0"/>
                      <w:szCs w:val="21"/>
                      <w:lang w:bidi="ar"/>
                    </w:rPr>
                    <w:t>0.072</w:t>
                  </w:r>
                </w:p>
              </w:tc>
              <w:tc>
                <w:tcPr>
                  <w:tcW w:w="1284" w:type="dxa"/>
                  <w:vMerge w:val="restart"/>
                  <w:tcBorders>
                    <w:tl2br w:val="nil"/>
                    <w:tr2bl w:val="nil"/>
                  </w:tcBorders>
                  <w:vAlign w:val="center"/>
                </w:tcPr>
                <w:p w14:paraId="413B8537">
                  <w:pPr>
                    <w:jc w:val="center"/>
                    <w:textAlignment w:val="center"/>
                    <w:rPr>
                      <w:color w:val="auto"/>
                      <w:kern w:val="0"/>
                      <w:szCs w:val="21"/>
                    </w:rPr>
                  </w:pPr>
                  <w:r>
                    <w:rPr>
                      <w:rFonts w:hint="eastAsia"/>
                      <w:color w:val="auto"/>
                      <w:kern w:val="0"/>
                      <w:szCs w:val="21"/>
                    </w:rPr>
                    <w:t>每天更换三次</w:t>
                  </w:r>
                </w:p>
              </w:tc>
              <w:tc>
                <w:tcPr>
                  <w:tcW w:w="883" w:type="dxa"/>
                  <w:tcBorders>
                    <w:tl2br w:val="nil"/>
                    <w:tr2bl w:val="nil"/>
                  </w:tcBorders>
                  <w:vAlign w:val="center"/>
                </w:tcPr>
                <w:p w14:paraId="23725EDB">
                  <w:pPr>
                    <w:jc w:val="center"/>
                    <w:textAlignment w:val="center"/>
                    <w:rPr>
                      <w:color w:val="auto"/>
                      <w:kern w:val="0"/>
                      <w:szCs w:val="21"/>
                    </w:rPr>
                  </w:pPr>
                  <w:r>
                    <w:rPr>
                      <w:color w:val="auto"/>
                      <w:kern w:val="0"/>
                      <w:szCs w:val="21"/>
                      <w:lang w:bidi="ar"/>
                    </w:rPr>
                    <w:t>1.08</w:t>
                  </w:r>
                </w:p>
              </w:tc>
              <w:tc>
                <w:tcPr>
                  <w:tcW w:w="933" w:type="dxa"/>
                  <w:tcBorders>
                    <w:tl2br w:val="nil"/>
                    <w:tr2bl w:val="nil"/>
                  </w:tcBorders>
                  <w:vAlign w:val="center"/>
                </w:tcPr>
                <w:p w14:paraId="75ADC329">
                  <w:pPr>
                    <w:jc w:val="center"/>
                    <w:textAlignment w:val="center"/>
                    <w:rPr>
                      <w:color w:val="auto"/>
                      <w:kern w:val="0"/>
                      <w:szCs w:val="21"/>
                    </w:rPr>
                  </w:pPr>
                  <w:r>
                    <w:rPr>
                      <w:color w:val="auto"/>
                      <w:kern w:val="0"/>
                      <w:szCs w:val="21"/>
                      <w:lang w:bidi="ar"/>
                    </w:rPr>
                    <w:t xml:space="preserve">65.880 </w:t>
                  </w:r>
                </w:p>
              </w:tc>
              <w:tc>
                <w:tcPr>
                  <w:tcW w:w="750" w:type="dxa"/>
                  <w:vMerge w:val="restart"/>
                  <w:tcBorders>
                    <w:tl2br w:val="nil"/>
                    <w:tr2bl w:val="nil"/>
                  </w:tcBorders>
                  <w:vAlign w:val="center"/>
                </w:tcPr>
                <w:p w14:paraId="2624E04D">
                  <w:pPr>
                    <w:jc w:val="center"/>
                    <w:textAlignment w:val="center"/>
                    <w:rPr>
                      <w:color w:val="auto"/>
                      <w:kern w:val="0"/>
                      <w:szCs w:val="21"/>
                    </w:rPr>
                  </w:pPr>
                  <w:r>
                    <w:rPr>
                      <w:rFonts w:hint="eastAsia"/>
                      <w:color w:val="auto"/>
                      <w:kern w:val="0"/>
                      <w:szCs w:val="21"/>
                    </w:rPr>
                    <w:t>纯水</w:t>
                  </w:r>
                </w:p>
              </w:tc>
              <w:tc>
                <w:tcPr>
                  <w:tcW w:w="934" w:type="dxa"/>
                  <w:tcBorders>
                    <w:tl2br w:val="nil"/>
                    <w:tr2bl w:val="nil"/>
                  </w:tcBorders>
                  <w:vAlign w:val="center"/>
                </w:tcPr>
                <w:p w14:paraId="6FBDACBB">
                  <w:pPr>
                    <w:jc w:val="center"/>
                    <w:textAlignment w:val="center"/>
                    <w:rPr>
                      <w:color w:val="auto"/>
                      <w:kern w:val="0"/>
                      <w:szCs w:val="21"/>
                    </w:rPr>
                  </w:pPr>
                  <w:r>
                    <w:rPr>
                      <w:color w:val="auto"/>
                      <w:kern w:val="0"/>
                      <w:szCs w:val="21"/>
                      <w:lang w:bidi="ar"/>
                    </w:rPr>
                    <w:t xml:space="preserve">64.8 </w:t>
                  </w:r>
                </w:p>
              </w:tc>
              <w:tc>
                <w:tcPr>
                  <w:tcW w:w="704" w:type="dxa"/>
                  <w:tcBorders>
                    <w:tl2br w:val="nil"/>
                    <w:tr2bl w:val="nil"/>
                  </w:tcBorders>
                  <w:vAlign w:val="center"/>
                </w:tcPr>
                <w:p w14:paraId="5A987C11">
                  <w:pPr>
                    <w:jc w:val="center"/>
                    <w:textAlignment w:val="center"/>
                    <w:rPr>
                      <w:color w:val="auto"/>
                      <w:kern w:val="0"/>
                      <w:szCs w:val="21"/>
                    </w:rPr>
                  </w:pPr>
                  <w:r>
                    <w:rPr>
                      <w:rFonts w:hint="eastAsia" w:ascii="宋体" w:hAnsi="宋体" w:cs="宋体"/>
                      <w:color w:val="auto"/>
                      <w:kern w:val="0"/>
                      <w:szCs w:val="21"/>
                      <w:lang w:bidi="ar"/>
                    </w:rPr>
                    <w:t>废水</w:t>
                  </w:r>
                </w:p>
              </w:tc>
            </w:tr>
            <w:tr w14:paraId="7295617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340" w:hRule="atLeast"/>
                <w:tblHeader/>
                <w:jc w:val="center"/>
              </w:trPr>
              <w:tc>
                <w:tcPr>
                  <w:tcW w:w="692" w:type="dxa"/>
                  <w:vMerge w:val="continue"/>
                  <w:tcBorders>
                    <w:tl2br w:val="nil"/>
                    <w:tr2bl w:val="nil"/>
                  </w:tcBorders>
                  <w:vAlign w:val="center"/>
                </w:tcPr>
                <w:p w14:paraId="7281CFF3">
                  <w:pPr>
                    <w:jc w:val="center"/>
                    <w:textAlignment w:val="center"/>
                    <w:rPr>
                      <w:color w:val="auto"/>
                      <w:kern w:val="0"/>
                      <w:szCs w:val="21"/>
                    </w:rPr>
                  </w:pPr>
                </w:p>
              </w:tc>
              <w:tc>
                <w:tcPr>
                  <w:tcW w:w="1469" w:type="dxa"/>
                  <w:tcBorders>
                    <w:tl2br w:val="nil"/>
                    <w:tr2bl w:val="nil"/>
                  </w:tcBorders>
                  <w:vAlign w:val="center"/>
                </w:tcPr>
                <w:p w14:paraId="791391A3">
                  <w:pPr>
                    <w:jc w:val="center"/>
                    <w:rPr>
                      <w:color w:val="auto"/>
                      <w:szCs w:val="21"/>
                    </w:rPr>
                  </w:pPr>
                  <w:r>
                    <w:rPr>
                      <w:rFonts w:hint="eastAsia"/>
                      <w:color w:val="auto"/>
                      <w:szCs w:val="21"/>
                    </w:rPr>
                    <w:t>纯水洗槽1</w:t>
                  </w:r>
                </w:p>
              </w:tc>
              <w:tc>
                <w:tcPr>
                  <w:tcW w:w="684" w:type="dxa"/>
                  <w:tcBorders>
                    <w:tl2br w:val="nil"/>
                    <w:tr2bl w:val="nil"/>
                  </w:tcBorders>
                  <w:vAlign w:val="center"/>
                </w:tcPr>
                <w:p w14:paraId="7EC71DDC">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37D186AB">
                  <w:pPr>
                    <w:jc w:val="center"/>
                    <w:textAlignment w:val="center"/>
                    <w:rPr>
                      <w:color w:val="auto"/>
                      <w:szCs w:val="21"/>
                    </w:rPr>
                  </w:pPr>
                  <w:r>
                    <w:rPr>
                      <w:color w:val="auto"/>
                      <w:kern w:val="0"/>
                      <w:szCs w:val="21"/>
                      <w:lang w:bidi="ar"/>
                    </w:rPr>
                    <w:t>0.224</w:t>
                  </w:r>
                </w:p>
              </w:tc>
              <w:tc>
                <w:tcPr>
                  <w:tcW w:w="1284" w:type="dxa"/>
                  <w:vMerge w:val="continue"/>
                  <w:tcBorders>
                    <w:tl2br w:val="nil"/>
                    <w:tr2bl w:val="nil"/>
                  </w:tcBorders>
                  <w:vAlign w:val="center"/>
                </w:tcPr>
                <w:p w14:paraId="7C2830CC">
                  <w:pPr>
                    <w:jc w:val="center"/>
                    <w:textAlignment w:val="center"/>
                    <w:rPr>
                      <w:color w:val="auto"/>
                      <w:kern w:val="0"/>
                      <w:szCs w:val="21"/>
                    </w:rPr>
                  </w:pPr>
                </w:p>
              </w:tc>
              <w:tc>
                <w:tcPr>
                  <w:tcW w:w="883" w:type="dxa"/>
                  <w:tcBorders>
                    <w:tl2br w:val="nil"/>
                    <w:tr2bl w:val="nil"/>
                  </w:tcBorders>
                  <w:vAlign w:val="center"/>
                </w:tcPr>
                <w:p w14:paraId="2CE50AC8">
                  <w:pPr>
                    <w:jc w:val="center"/>
                    <w:textAlignment w:val="center"/>
                    <w:rPr>
                      <w:color w:val="auto"/>
                      <w:kern w:val="0"/>
                      <w:szCs w:val="21"/>
                    </w:rPr>
                  </w:pPr>
                  <w:r>
                    <w:rPr>
                      <w:color w:val="auto"/>
                      <w:kern w:val="0"/>
                      <w:szCs w:val="21"/>
                      <w:lang w:bidi="ar"/>
                    </w:rPr>
                    <w:t>3.36</w:t>
                  </w:r>
                </w:p>
              </w:tc>
              <w:tc>
                <w:tcPr>
                  <w:tcW w:w="933" w:type="dxa"/>
                  <w:tcBorders>
                    <w:tl2br w:val="nil"/>
                    <w:tr2bl w:val="nil"/>
                  </w:tcBorders>
                  <w:vAlign w:val="center"/>
                </w:tcPr>
                <w:p w14:paraId="69DB5A1E">
                  <w:pPr>
                    <w:jc w:val="center"/>
                    <w:textAlignment w:val="center"/>
                    <w:rPr>
                      <w:color w:val="auto"/>
                      <w:kern w:val="0"/>
                      <w:szCs w:val="21"/>
                    </w:rPr>
                  </w:pPr>
                  <w:r>
                    <w:rPr>
                      <w:color w:val="auto"/>
                      <w:kern w:val="0"/>
                      <w:szCs w:val="21"/>
                      <w:lang w:bidi="ar"/>
                    </w:rPr>
                    <w:t xml:space="preserve">204.960 </w:t>
                  </w:r>
                </w:p>
              </w:tc>
              <w:tc>
                <w:tcPr>
                  <w:tcW w:w="750" w:type="dxa"/>
                  <w:vMerge w:val="continue"/>
                  <w:tcBorders>
                    <w:tl2br w:val="nil"/>
                    <w:tr2bl w:val="nil"/>
                  </w:tcBorders>
                  <w:vAlign w:val="center"/>
                </w:tcPr>
                <w:p w14:paraId="1F1D2B55">
                  <w:pPr>
                    <w:jc w:val="center"/>
                    <w:textAlignment w:val="center"/>
                    <w:rPr>
                      <w:color w:val="auto"/>
                      <w:kern w:val="0"/>
                      <w:szCs w:val="21"/>
                    </w:rPr>
                  </w:pPr>
                </w:p>
              </w:tc>
              <w:tc>
                <w:tcPr>
                  <w:tcW w:w="934" w:type="dxa"/>
                  <w:tcBorders>
                    <w:tl2br w:val="nil"/>
                    <w:tr2bl w:val="nil"/>
                  </w:tcBorders>
                  <w:vAlign w:val="center"/>
                </w:tcPr>
                <w:p w14:paraId="3D142E13">
                  <w:pPr>
                    <w:jc w:val="center"/>
                    <w:textAlignment w:val="center"/>
                    <w:rPr>
                      <w:color w:val="auto"/>
                      <w:kern w:val="0"/>
                      <w:szCs w:val="21"/>
                    </w:rPr>
                  </w:pPr>
                  <w:r>
                    <w:rPr>
                      <w:color w:val="auto"/>
                      <w:kern w:val="0"/>
                      <w:szCs w:val="21"/>
                      <w:lang w:bidi="ar"/>
                    </w:rPr>
                    <w:t xml:space="preserve">201.6 </w:t>
                  </w:r>
                </w:p>
              </w:tc>
              <w:tc>
                <w:tcPr>
                  <w:tcW w:w="704" w:type="dxa"/>
                  <w:tcBorders>
                    <w:tl2br w:val="nil"/>
                    <w:tr2bl w:val="nil"/>
                  </w:tcBorders>
                  <w:vAlign w:val="center"/>
                </w:tcPr>
                <w:p w14:paraId="4A3872B5">
                  <w:pPr>
                    <w:jc w:val="center"/>
                    <w:textAlignment w:val="center"/>
                    <w:rPr>
                      <w:color w:val="auto"/>
                      <w:kern w:val="0"/>
                      <w:szCs w:val="21"/>
                    </w:rPr>
                  </w:pPr>
                  <w:r>
                    <w:rPr>
                      <w:rFonts w:hint="eastAsia" w:ascii="宋体" w:hAnsi="宋体" w:cs="宋体"/>
                      <w:color w:val="auto"/>
                      <w:kern w:val="0"/>
                      <w:szCs w:val="21"/>
                      <w:lang w:bidi="ar"/>
                    </w:rPr>
                    <w:t>废水</w:t>
                  </w:r>
                </w:p>
              </w:tc>
            </w:tr>
            <w:tr w14:paraId="3E68B46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continue"/>
                  <w:tcBorders>
                    <w:tl2br w:val="nil"/>
                    <w:tr2bl w:val="nil"/>
                  </w:tcBorders>
                  <w:vAlign w:val="center"/>
                </w:tcPr>
                <w:p w14:paraId="67CA1382">
                  <w:pPr>
                    <w:jc w:val="center"/>
                    <w:textAlignment w:val="center"/>
                    <w:rPr>
                      <w:color w:val="auto"/>
                      <w:kern w:val="0"/>
                      <w:szCs w:val="21"/>
                    </w:rPr>
                  </w:pPr>
                </w:p>
              </w:tc>
              <w:tc>
                <w:tcPr>
                  <w:tcW w:w="1469" w:type="dxa"/>
                  <w:tcBorders>
                    <w:tl2br w:val="nil"/>
                    <w:tr2bl w:val="nil"/>
                  </w:tcBorders>
                  <w:vAlign w:val="center"/>
                </w:tcPr>
                <w:p w14:paraId="4E5B626E">
                  <w:pPr>
                    <w:jc w:val="center"/>
                    <w:rPr>
                      <w:color w:val="auto"/>
                      <w:szCs w:val="21"/>
                    </w:rPr>
                  </w:pPr>
                  <w:r>
                    <w:rPr>
                      <w:rFonts w:hint="eastAsia"/>
                      <w:color w:val="auto"/>
                      <w:szCs w:val="21"/>
                    </w:rPr>
                    <w:t>纯水洗槽2</w:t>
                  </w:r>
                </w:p>
              </w:tc>
              <w:tc>
                <w:tcPr>
                  <w:tcW w:w="684" w:type="dxa"/>
                  <w:tcBorders>
                    <w:tl2br w:val="nil"/>
                    <w:tr2bl w:val="nil"/>
                  </w:tcBorders>
                  <w:vAlign w:val="center"/>
                </w:tcPr>
                <w:p w14:paraId="22DBE7A3">
                  <w:pPr>
                    <w:jc w:val="center"/>
                    <w:textAlignment w:val="center"/>
                    <w:rPr>
                      <w:color w:val="auto"/>
                      <w:kern w:val="0"/>
                      <w:szCs w:val="21"/>
                    </w:rPr>
                  </w:pPr>
                  <w:r>
                    <w:rPr>
                      <w:color w:val="auto"/>
                      <w:kern w:val="0"/>
                      <w:szCs w:val="21"/>
                    </w:rPr>
                    <w:t>1个</w:t>
                  </w:r>
                </w:p>
              </w:tc>
              <w:tc>
                <w:tcPr>
                  <w:tcW w:w="1166" w:type="dxa"/>
                  <w:tcBorders>
                    <w:tl2br w:val="nil"/>
                    <w:tr2bl w:val="nil"/>
                  </w:tcBorders>
                  <w:vAlign w:val="center"/>
                </w:tcPr>
                <w:p w14:paraId="69520B3D">
                  <w:pPr>
                    <w:jc w:val="center"/>
                    <w:textAlignment w:val="center"/>
                    <w:rPr>
                      <w:color w:val="auto"/>
                      <w:szCs w:val="21"/>
                    </w:rPr>
                  </w:pPr>
                  <w:r>
                    <w:rPr>
                      <w:color w:val="auto"/>
                      <w:kern w:val="0"/>
                      <w:szCs w:val="21"/>
                      <w:lang w:bidi="ar"/>
                    </w:rPr>
                    <w:t>0.224</w:t>
                  </w:r>
                </w:p>
              </w:tc>
              <w:tc>
                <w:tcPr>
                  <w:tcW w:w="1284" w:type="dxa"/>
                  <w:vMerge w:val="continue"/>
                  <w:tcBorders>
                    <w:tl2br w:val="nil"/>
                    <w:tr2bl w:val="nil"/>
                  </w:tcBorders>
                  <w:vAlign w:val="center"/>
                </w:tcPr>
                <w:p w14:paraId="0B8617C1">
                  <w:pPr>
                    <w:jc w:val="center"/>
                    <w:textAlignment w:val="center"/>
                    <w:rPr>
                      <w:color w:val="auto"/>
                      <w:kern w:val="0"/>
                      <w:szCs w:val="21"/>
                    </w:rPr>
                  </w:pPr>
                </w:p>
              </w:tc>
              <w:tc>
                <w:tcPr>
                  <w:tcW w:w="883" w:type="dxa"/>
                  <w:tcBorders>
                    <w:tl2br w:val="nil"/>
                    <w:tr2bl w:val="nil"/>
                  </w:tcBorders>
                  <w:vAlign w:val="center"/>
                </w:tcPr>
                <w:p w14:paraId="3249EC81">
                  <w:pPr>
                    <w:jc w:val="center"/>
                    <w:textAlignment w:val="center"/>
                    <w:rPr>
                      <w:color w:val="auto"/>
                      <w:kern w:val="0"/>
                      <w:szCs w:val="21"/>
                    </w:rPr>
                  </w:pPr>
                  <w:r>
                    <w:rPr>
                      <w:color w:val="auto"/>
                      <w:kern w:val="0"/>
                      <w:szCs w:val="21"/>
                      <w:lang w:bidi="ar"/>
                    </w:rPr>
                    <w:t>3.36</w:t>
                  </w:r>
                </w:p>
              </w:tc>
              <w:tc>
                <w:tcPr>
                  <w:tcW w:w="933" w:type="dxa"/>
                  <w:tcBorders>
                    <w:tl2br w:val="nil"/>
                    <w:tr2bl w:val="nil"/>
                  </w:tcBorders>
                  <w:vAlign w:val="center"/>
                </w:tcPr>
                <w:p w14:paraId="5902DCD7">
                  <w:pPr>
                    <w:jc w:val="center"/>
                    <w:textAlignment w:val="center"/>
                    <w:rPr>
                      <w:color w:val="auto"/>
                      <w:kern w:val="0"/>
                      <w:szCs w:val="21"/>
                    </w:rPr>
                  </w:pPr>
                  <w:r>
                    <w:rPr>
                      <w:color w:val="auto"/>
                      <w:kern w:val="0"/>
                      <w:szCs w:val="21"/>
                      <w:lang w:bidi="ar"/>
                    </w:rPr>
                    <w:t xml:space="preserve">204.960 </w:t>
                  </w:r>
                </w:p>
              </w:tc>
              <w:tc>
                <w:tcPr>
                  <w:tcW w:w="750" w:type="dxa"/>
                  <w:vMerge w:val="continue"/>
                  <w:tcBorders>
                    <w:tl2br w:val="nil"/>
                    <w:tr2bl w:val="nil"/>
                  </w:tcBorders>
                  <w:vAlign w:val="center"/>
                </w:tcPr>
                <w:p w14:paraId="5DDF04FC">
                  <w:pPr>
                    <w:jc w:val="center"/>
                    <w:textAlignment w:val="center"/>
                    <w:rPr>
                      <w:color w:val="auto"/>
                      <w:kern w:val="0"/>
                      <w:szCs w:val="21"/>
                    </w:rPr>
                  </w:pPr>
                </w:p>
              </w:tc>
              <w:tc>
                <w:tcPr>
                  <w:tcW w:w="934" w:type="dxa"/>
                  <w:tcBorders>
                    <w:tl2br w:val="nil"/>
                    <w:tr2bl w:val="nil"/>
                  </w:tcBorders>
                  <w:vAlign w:val="center"/>
                </w:tcPr>
                <w:p w14:paraId="4FCF326E">
                  <w:pPr>
                    <w:jc w:val="center"/>
                    <w:textAlignment w:val="center"/>
                    <w:rPr>
                      <w:color w:val="auto"/>
                      <w:kern w:val="0"/>
                      <w:szCs w:val="21"/>
                    </w:rPr>
                  </w:pPr>
                  <w:r>
                    <w:rPr>
                      <w:color w:val="auto"/>
                      <w:kern w:val="0"/>
                      <w:szCs w:val="21"/>
                      <w:lang w:bidi="ar"/>
                    </w:rPr>
                    <w:t xml:space="preserve">201.6 </w:t>
                  </w:r>
                </w:p>
              </w:tc>
              <w:tc>
                <w:tcPr>
                  <w:tcW w:w="704" w:type="dxa"/>
                  <w:tcBorders>
                    <w:tl2br w:val="nil"/>
                    <w:tr2bl w:val="nil"/>
                  </w:tcBorders>
                  <w:vAlign w:val="center"/>
                </w:tcPr>
                <w:p w14:paraId="5ACE7B9A">
                  <w:pPr>
                    <w:jc w:val="center"/>
                    <w:textAlignment w:val="center"/>
                    <w:rPr>
                      <w:color w:val="auto"/>
                      <w:kern w:val="0"/>
                      <w:szCs w:val="21"/>
                    </w:rPr>
                  </w:pPr>
                  <w:r>
                    <w:rPr>
                      <w:rFonts w:hint="eastAsia" w:ascii="宋体" w:hAnsi="宋体" w:cs="宋体"/>
                      <w:color w:val="auto"/>
                      <w:kern w:val="0"/>
                      <w:szCs w:val="21"/>
                      <w:lang w:bidi="ar"/>
                    </w:rPr>
                    <w:t>废水</w:t>
                  </w:r>
                </w:p>
              </w:tc>
            </w:tr>
            <w:tr w14:paraId="12FD26A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92" w:type="dxa"/>
                  <w:vMerge w:val="continue"/>
                  <w:tcBorders>
                    <w:tl2br w:val="nil"/>
                    <w:tr2bl w:val="nil"/>
                  </w:tcBorders>
                  <w:vAlign w:val="center"/>
                </w:tcPr>
                <w:p w14:paraId="51DD13F4">
                  <w:pPr>
                    <w:jc w:val="center"/>
                    <w:textAlignment w:val="center"/>
                    <w:rPr>
                      <w:color w:val="auto"/>
                      <w:kern w:val="0"/>
                      <w:szCs w:val="21"/>
                    </w:rPr>
                  </w:pPr>
                </w:p>
              </w:tc>
              <w:tc>
                <w:tcPr>
                  <w:tcW w:w="1469" w:type="dxa"/>
                  <w:tcBorders>
                    <w:tl2br w:val="nil"/>
                    <w:tr2bl w:val="nil"/>
                  </w:tcBorders>
                  <w:vAlign w:val="center"/>
                </w:tcPr>
                <w:p w14:paraId="29535740">
                  <w:pPr>
                    <w:jc w:val="center"/>
                    <w:textAlignment w:val="center"/>
                    <w:rPr>
                      <w:color w:val="auto"/>
                      <w:kern w:val="0"/>
                      <w:szCs w:val="21"/>
                    </w:rPr>
                  </w:pPr>
                  <w:r>
                    <w:rPr>
                      <w:rFonts w:hint="eastAsia"/>
                      <w:color w:val="auto"/>
                      <w:kern w:val="0"/>
                      <w:szCs w:val="21"/>
                    </w:rPr>
                    <w:t>小计</w:t>
                  </w:r>
                </w:p>
              </w:tc>
              <w:tc>
                <w:tcPr>
                  <w:tcW w:w="684" w:type="dxa"/>
                  <w:tcBorders>
                    <w:tl2br w:val="nil"/>
                    <w:tr2bl w:val="nil"/>
                  </w:tcBorders>
                  <w:vAlign w:val="center"/>
                </w:tcPr>
                <w:p w14:paraId="7D470365">
                  <w:pPr>
                    <w:jc w:val="center"/>
                    <w:textAlignment w:val="center"/>
                    <w:rPr>
                      <w:color w:val="auto"/>
                      <w:kern w:val="0"/>
                      <w:szCs w:val="21"/>
                    </w:rPr>
                  </w:pPr>
                  <w:r>
                    <w:rPr>
                      <w:rFonts w:hint="eastAsia"/>
                      <w:color w:val="auto"/>
                      <w:kern w:val="0"/>
                      <w:szCs w:val="21"/>
                    </w:rPr>
                    <w:t>3个</w:t>
                  </w:r>
                </w:p>
              </w:tc>
              <w:tc>
                <w:tcPr>
                  <w:tcW w:w="1166" w:type="dxa"/>
                  <w:tcBorders>
                    <w:tl2br w:val="nil"/>
                    <w:tr2bl w:val="nil"/>
                  </w:tcBorders>
                  <w:vAlign w:val="center"/>
                </w:tcPr>
                <w:p w14:paraId="285A2F08">
                  <w:pPr>
                    <w:jc w:val="center"/>
                    <w:textAlignment w:val="center"/>
                    <w:rPr>
                      <w:color w:val="auto"/>
                      <w:kern w:val="0"/>
                      <w:szCs w:val="21"/>
                    </w:rPr>
                  </w:pPr>
                  <w:r>
                    <w:rPr>
                      <w:color w:val="auto"/>
                      <w:kern w:val="0"/>
                      <w:szCs w:val="21"/>
                      <w:lang w:bidi="ar"/>
                    </w:rPr>
                    <w:t>0.52</w:t>
                  </w:r>
                </w:p>
              </w:tc>
              <w:tc>
                <w:tcPr>
                  <w:tcW w:w="1284" w:type="dxa"/>
                  <w:vMerge w:val="continue"/>
                  <w:tcBorders>
                    <w:tl2br w:val="nil"/>
                    <w:tr2bl w:val="nil"/>
                  </w:tcBorders>
                  <w:vAlign w:val="center"/>
                </w:tcPr>
                <w:p w14:paraId="26CB0AC4">
                  <w:pPr>
                    <w:jc w:val="center"/>
                    <w:textAlignment w:val="center"/>
                    <w:rPr>
                      <w:color w:val="auto"/>
                      <w:kern w:val="0"/>
                      <w:szCs w:val="21"/>
                    </w:rPr>
                  </w:pPr>
                </w:p>
              </w:tc>
              <w:tc>
                <w:tcPr>
                  <w:tcW w:w="883" w:type="dxa"/>
                  <w:tcBorders>
                    <w:tl2br w:val="nil"/>
                    <w:tr2bl w:val="nil"/>
                  </w:tcBorders>
                  <w:vAlign w:val="center"/>
                </w:tcPr>
                <w:p w14:paraId="5668D845">
                  <w:pPr>
                    <w:jc w:val="center"/>
                    <w:textAlignment w:val="center"/>
                    <w:rPr>
                      <w:color w:val="auto"/>
                      <w:kern w:val="0"/>
                      <w:szCs w:val="21"/>
                    </w:rPr>
                  </w:pPr>
                  <w:r>
                    <w:rPr>
                      <w:color w:val="auto"/>
                      <w:kern w:val="0"/>
                      <w:szCs w:val="21"/>
                      <w:lang w:bidi="ar"/>
                    </w:rPr>
                    <w:t>7.8</w:t>
                  </w:r>
                </w:p>
              </w:tc>
              <w:tc>
                <w:tcPr>
                  <w:tcW w:w="933" w:type="dxa"/>
                  <w:tcBorders>
                    <w:tl2br w:val="nil"/>
                    <w:tr2bl w:val="nil"/>
                  </w:tcBorders>
                  <w:vAlign w:val="center"/>
                </w:tcPr>
                <w:p w14:paraId="0F3DAB75">
                  <w:pPr>
                    <w:jc w:val="center"/>
                    <w:textAlignment w:val="center"/>
                    <w:rPr>
                      <w:color w:val="auto"/>
                      <w:kern w:val="0"/>
                      <w:szCs w:val="21"/>
                    </w:rPr>
                  </w:pPr>
                  <w:r>
                    <w:rPr>
                      <w:color w:val="auto"/>
                      <w:kern w:val="0"/>
                      <w:szCs w:val="21"/>
                      <w:lang w:bidi="ar"/>
                    </w:rPr>
                    <w:t>475.8</w:t>
                  </w:r>
                </w:p>
              </w:tc>
              <w:tc>
                <w:tcPr>
                  <w:tcW w:w="750" w:type="dxa"/>
                  <w:vMerge w:val="continue"/>
                  <w:tcBorders>
                    <w:tl2br w:val="nil"/>
                    <w:tr2bl w:val="nil"/>
                  </w:tcBorders>
                  <w:vAlign w:val="center"/>
                </w:tcPr>
                <w:p w14:paraId="4BE7598E">
                  <w:pPr>
                    <w:jc w:val="center"/>
                    <w:textAlignment w:val="center"/>
                    <w:rPr>
                      <w:color w:val="auto"/>
                      <w:kern w:val="0"/>
                      <w:szCs w:val="21"/>
                    </w:rPr>
                  </w:pPr>
                </w:p>
              </w:tc>
              <w:tc>
                <w:tcPr>
                  <w:tcW w:w="934" w:type="dxa"/>
                  <w:tcBorders>
                    <w:tl2br w:val="nil"/>
                    <w:tr2bl w:val="nil"/>
                  </w:tcBorders>
                  <w:vAlign w:val="center"/>
                </w:tcPr>
                <w:p w14:paraId="05638351">
                  <w:pPr>
                    <w:jc w:val="center"/>
                    <w:textAlignment w:val="center"/>
                    <w:rPr>
                      <w:color w:val="auto"/>
                      <w:kern w:val="0"/>
                      <w:szCs w:val="21"/>
                    </w:rPr>
                  </w:pPr>
                  <w:r>
                    <w:rPr>
                      <w:color w:val="auto"/>
                      <w:kern w:val="0"/>
                      <w:szCs w:val="21"/>
                      <w:lang w:bidi="ar"/>
                    </w:rPr>
                    <w:t xml:space="preserve">468.0 </w:t>
                  </w:r>
                </w:p>
              </w:tc>
              <w:tc>
                <w:tcPr>
                  <w:tcW w:w="704" w:type="dxa"/>
                  <w:tcBorders>
                    <w:tl2br w:val="nil"/>
                    <w:tr2bl w:val="nil"/>
                  </w:tcBorders>
                  <w:vAlign w:val="center"/>
                </w:tcPr>
                <w:p w14:paraId="55B16F06">
                  <w:pPr>
                    <w:jc w:val="center"/>
                    <w:textAlignment w:val="center"/>
                    <w:rPr>
                      <w:color w:val="auto"/>
                      <w:kern w:val="0"/>
                      <w:szCs w:val="21"/>
                    </w:rPr>
                  </w:pPr>
                  <w:r>
                    <w:rPr>
                      <w:rFonts w:hint="eastAsia" w:ascii="宋体" w:hAnsi="宋体" w:cs="宋体"/>
                      <w:color w:val="auto"/>
                      <w:kern w:val="0"/>
                      <w:szCs w:val="21"/>
                      <w:lang w:bidi="ar"/>
                    </w:rPr>
                    <w:t>废水</w:t>
                  </w:r>
                </w:p>
              </w:tc>
            </w:tr>
            <w:tr w14:paraId="388FC24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161" w:type="dxa"/>
                  <w:gridSpan w:val="2"/>
                  <w:vMerge w:val="restart"/>
                  <w:tcBorders>
                    <w:tl2br w:val="nil"/>
                    <w:tr2bl w:val="nil"/>
                  </w:tcBorders>
                  <w:vAlign w:val="center"/>
                </w:tcPr>
                <w:p w14:paraId="14C0969C">
                  <w:pPr>
                    <w:jc w:val="center"/>
                    <w:textAlignment w:val="center"/>
                    <w:rPr>
                      <w:color w:val="auto"/>
                      <w:kern w:val="0"/>
                      <w:szCs w:val="21"/>
                    </w:rPr>
                  </w:pPr>
                  <w:r>
                    <w:rPr>
                      <w:color w:val="auto"/>
                      <w:kern w:val="0"/>
                      <w:szCs w:val="21"/>
                    </w:rPr>
                    <w:t>合计</w:t>
                  </w:r>
                </w:p>
              </w:tc>
              <w:tc>
                <w:tcPr>
                  <w:tcW w:w="684" w:type="dxa"/>
                  <w:vMerge w:val="restart"/>
                  <w:tcBorders>
                    <w:tl2br w:val="nil"/>
                    <w:tr2bl w:val="nil"/>
                  </w:tcBorders>
                  <w:vAlign w:val="center"/>
                </w:tcPr>
                <w:p w14:paraId="3B5E8C27">
                  <w:pPr>
                    <w:jc w:val="center"/>
                    <w:textAlignment w:val="center"/>
                    <w:rPr>
                      <w:color w:val="auto"/>
                      <w:kern w:val="0"/>
                      <w:szCs w:val="21"/>
                    </w:rPr>
                  </w:pPr>
                  <w:r>
                    <w:rPr>
                      <w:rFonts w:hint="eastAsia"/>
                      <w:color w:val="auto"/>
                      <w:kern w:val="0"/>
                      <w:szCs w:val="21"/>
                    </w:rPr>
                    <w:t>12个</w:t>
                  </w:r>
                </w:p>
              </w:tc>
              <w:tc>
                <w:tcPr>
                  <w:tcW w:w="1166" w:type="dxa"/>
                  <w:vMerge w:val="restart"/>
                  <w:tcBorders>
                    <w:tl2br w:val="nil"/>
                    <w:tr2bl w:val="nil"/>
                  </w:tcBorders>
                  <w:vAlign w:val="center"/>
                </w:tcPr>
                <w:p w14:paraId="353397D3">
                  <w:pPr>
                    <w:jc w:val="center"/>
                    <w:textAlignment w:val="center"/>
                    <w:rPr>
                      <w:color w:val="auto"/>
                      <w:kern w:val="0"/>
                      <w:szCs w:val="21"/>
                    </w:rPr>
                  </w:pPr>
                  <w:r>
                    <w:rPr>
                      <w:color w:val="auto"/>
                      <w:kern w:val="0"/>
                      <w:szCs w:val="21"/>
                      <w:lang w:bidi="ar"/>
                    </w:rPr>
                    <w:t>2.6096</w:t>
                  </w:r>
                </w:p>
              </w:tc>
              <w:tc>
                <w:tcPr>
                  <w:tcW w:w="1284" w:type="dxa"/>
                  <w:vMerge w:val="restart"/>
                  <w:tcBorders>
                    <w:tl2br w:val="nil"/>
                    <w:tr2bl w:val="nil"/>
                  </w:tcBorders>
                  <w:vAlign w:val="center"/>
                </w:tcPr>
                <w:p w14:paraId="17544376">
                  <w:pPr>
                    <w:jc w:val="center"/>
                    <w:textAlignment w:val="center"/>
                    <w:rPr>
                      <w:color w:val="auto"/>
                      <w:kern w:val="0"/>
                      <w:szCs w:val="21"/>
                    </w:rPr>
                  </w:pPr>
                  <w:r>
                    <w:rPr>
                      <w:color w:val="auto"/>
                      <w:kern w:val="0"/>
                      <w:szCs w:val="21"/>
                    </w:rPr>
                    <w:t>/</w:t>
                  </w:r>
                </w:p>
              </w:tc>
              <w:tc>
                <w:tcPr>
                  <w:tcW w:w="883" w:type="dxa"/>
                  <w:vMerge w:val="restart"/>
                  <w:tcBorders>
                    <w:tl2br w:val="nil"/>
                    <w:tr2bl w:val="nil"/>
                  </w:tcBorders>
                  <w:vAlign w:val="center"/>
                </w:tcPr>
                <w:p w14:paraId="16ACB620">
                  <w:pPr>
                    <w:jc w:val="center"/>
                    <w:textAlignment w:val="center"/>
                    <w:rPr>
                      <w:color w:val="auto"/>
                      <w:szCs w:val="21"/>
                    </w:rPr>
                  </w:pPr>
                  <w:r>
                    <w:rPr>
                      <w:color w:val="auto"/>
                      <w:kern w:val="0"/>
                      <w:szCs w:val="21"/>
                      <w:lang w:bidi="ar"/>
                    </w:rPr>
                    <w:t>39.144</w:t>
                  </w:r>
                </w:p>
              </w:tc>
              <w:tc>
                <w:tcPr>
                  <w:tcW w:w="933" w:type="dxa"/>
                  <w:vMerge w:val="restart"/>
                  <w:tcBorders>
                    <w:tl2br w:val="nil"/>
                    <w:tr2bl w:val="nil"/>
                  </w:tcBorders>
                  <w:vAlign w:val="center"/>
                </w:tcPr>
                <w:p w14:paraId="7AD39C33">
                  <w:pPr>
                    <w:jc w:val="center"/>
                    <w:textAlignment w:val="center"/>
                    <w:rPr>
                      <w:color w:val="auto"/>
                      <w:szCs w:val="21"/>
                    </w:rPr>
                  </w:pPr>
                  <w:r>
                    <w:rPr>
                      <w:color w:val="auto"/>
                      <w:kern w:val="0"/>
                      <w:szCs w:val="21"/>
                      <w:lang w:bidi="ar"/>
                    </w:rPr>
                    <w:t>1748.7376</w:t>
                  </w:r>
                </w:p>
              </w:tc>
              <w:tc>
                <w:tcPr>
                  <w:tcW w:w="750" w:type="dxa"/>
                  <w:vMerge w:val="restart"/>
                  <w:tcBorders>
                    <w:tl2br w:val="nil"/>
                    <w:tr2bl w:val="nil"/>
                  </w:tcBorders>
                  <w:vAlign w:val="center"/>
                </w:tcPr>
                <w:p w14:paraId="231C41AC">
                  <w:pPr>
                    <w:jc w:val="center"/>
                    <w:textAlignment w:val="center"/>
                    <w:rPr>
                      <w:color w:val="auto"/>
                      <w:szCs w:val="21"/>
                    </w:rPr>
                  </w:pPr>
                  <w:r>
                    <w:rPr>
                      <w:color w:val="auto"/>
                      <w:kern w:val="0"/>
                      <w:szCs w:val="21"/>
                      <w:lang w:bidi="ar"/>
                    </w:rPr>
                    <w:t>/</w:t>
                  </w:r>
                </w:p>
              </w:tc>
              <w:tc>
                <w:tcPr>
                  <w:tcW w:w="934" w:type="dxa"/>
                  <w:tcBorders>
                    <w:tl2br w:val="nil"/>
                    <w:tr2bl w:val="nil"/>
                  </w:tcBorders>
                  <w:vAlign w:val="center"/>
                </w:tcPr>
                <w:p w14:paraId="0E1021C1">
                  <w:pPr>
                    <w:jc w:val="center"/>
                    <w:textAlignment w:val="center"/>
                    <w:rPr>
                      <w:color w:val="auto"/>
                      <w:szCs w:val="21"/>
                    </w:rPr>
                  </w:pPr>
                  <w:r>
                    <w:rPr>
                      <w:color w:val="auto"/>
                      <w:kern w:val="0"/>
                      <w:szCs w:val="21"/>
                      <w:lang w:bidi="ar"/>
                    </w:rPr>
                    <w:t>1706.4</w:t>
                  </w:r>
                </w:p>
              </w:tc>
              <w:tc>
                <w:tcPr>
                  <w:tcW w:w="704" w:type="dxa"/>
                  <w:tcBorders>
                    <w:tl2br w:val="nil"/>
                    <w:tr2bl w:val="nil"/>
                  </w:tcBorders>
                  <w:vAlign w:val="center"/>
                </w:tcPr>
                <w:p w14:paraId="1BEB9A6B">
                  <w:pPr>
                    <w:jc w:val="center"/>
                    <w:textAlignment w:val="center"/>
                    <w:rPr>
                      <w:color w:val="auto"/>
                      <w:kern w:val="0"/>
                      <w:szCs w:val="21"/>
                    </w:rPr>
                  </w:pPr>
                  <w:r>
                    <w:rPr>
                      <w:rFonts w:hint="eastAsia" w:ascii="宋体" w:hAnsi="宋体" w:cs="宋体"/>
                      <w:color w:val="auto"/>
                      <w:kern w:val="0"/>
                      <w:szCs w:val="21"/>
                      <w:lang w:bidi="ar"/>
                    </w:rPr>
                    <w:t>废水</w:t>
                  </w:r>
                </w:p>
              </w:tc>
            </w:tr>
            <w:tr w14:paraId="15343FF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161" w:type="dxa"/>
                  <w:gridSpan w:val="2"/>
                  <w:vMerge w:val="continue"/>
                  <w:tcBorders>
                    <w:tl2br w:val="nil"/>
                    <w:tr2bl w:val="nil"/>
                  </w:tcBorders>
                  <w:vAlign w:val="center"/>
                </w:tcPr>
                <w:p w14:paraId="7E1CFB9A">
                  <w:pPr>
                    <w:jc w:val="center"/>
                    <w:textAlignment w:val="center"/>
                    <w:rPr>
                      <w:color w:val="auto"/>
                      <w:kern w:val="0"/>
                      <w:szCs w:val="21"/>
                    </w:rPr>
                  </w:pPr>
                </w:p>
              </w:tc>
              <w:tc>
                <w:tcPr>
                  <w:tcW w:w="684" w:type="dxa"/>
                  <w:vMerge w:val="continue"/>
                  <w:tcBorders>
                    <w:tl2br w:val="nil"/>
                    <w:tr2bl w:val="nil"/>
                  </w:tcBorders>
                  <w:vAlign w:val="center"/>
                </w:tcPr>
                <w:p w14:paraId="38ED2CAB">
                  <w:pPr>
                    <w:jc w:val="center"/>
                    <w:textAlignment w:val="center"/>
                    <w:rPr>
                      <w:color w:val="auto"/>
                      <w:kern w:val="0"/>
                      <w:szCs w:val="21"/>
                    </w:rPr>
                  </w:pPr>
                </w:p>
              </w:tc>
              <w:tc>
                <w:tcPr>
                  <w:tcW w:w="1166" w:type="dxa"/>
                  <w:vMerge w:val="continue"/>
                  <w:tcBorders>
                    <w:tl2br w:val="nil"/>
                    <w:tr2bl w:val="nil"/>
                  </w:tcBorders>
                  <w:vAlign w:val="center"/>
                </w:tcPr>
                <w:p w14:paraId="7DD78159">
                  <w:pPr>
                    <w:jc w:val="center"/>
                    <w:textAlignment w:val="center"/>
                    <w:rPr>
                      <w:color w:val="auto"/>
                      <w:kern w:val="0"/>
                      <w:szCs w:val="21"/>
                    </w:rPr>
                  </w:pPr>
                </w:p>
              </w:tc>
              <w:tc>
                <w:tcPr>
                  <w:tcW w:w="1284" w:type="dxa"/>
                  <w:vMerge w:val="continue"/>
                  <w:tcBorders>
                    <w:tl2br w:val="nil"/>
                    <w:tr2bl w:val="nil"/>
                  </w:tcBorders>
                  <w:vAlign w:val="center"/>
                </w:tcPr>
                <w:p w14:paraId="4F8A1C62">
                  <w:pPr>
                    <w:jc w:val="center"/>
                    <w:textAlignment w:val="center"/>
                    <w:rPr>
                      <w:color w:val="auto"/>
                      <w:kern w:val="0"/>
                      <w:szCs w:val="21"/>
                    </w:rPr>
                  </w:pPr>
                </w:p>
              </w:tc>
              <w:tc>
                <w:tcPr>
                  <w:tcW w:w="883" w:type="dxa"/>
                  <w:vMerge w:val="continue"/>
                  <w:tcBorders>
                    <w:tl2br w:val="nil"/>
                    <w:tr2bl w:val="nil"/>
                  </w:tcBorders>
                  <w:vAlign w:val="center"/>
                </w:tcPr>
                <w:p w14:paraId="006FA88F">
                  <w:pPr>
                    <w:jc w:val="center"/>
                    <w:textAlignment w:val="center"/>
                    <w:rPr>
                      <w:color w:val="auto"/>
                      <w:kern w:val="0"/>
                      <w:szCs w:val="21"/>
                      <w:lang w:bidi="ar"/>
                    </w:rPr>
                  </w:pPr>
                </w:p>
              </w:tc>
              <w:tc>
                <w:tcPr>
                  <w:tcW w:w="933" w:type="dxa"/>
                  <w:vMerge w:val="continue"/>
                  <w:tcBorders>
                    <w:tl2br w:val="nil"/>
                    <w:tr2bl w:val="nil"/>
                  </w:tcBorders>
                  <w:vAlign w:val="center"/>
                </w:tcPr>
                <w:p w14:paraId="56A217F7">
                  <w:pPr>
                    <w:jc w:val="center"/>
                    <w:textAlignment w:val="center"/>
                    <w:rPr>
                      <w:color w:val="auto"/>
                      <w:kern w:val="0"/>
                      <w:szCs w:val="21"/>
                      <w:lang w:bidi="ar"/>
                    </w:rPr>
                  </w:pPr>
                </w:p>
              </w:tc>
              <w:tc>
                <w:tcPr>
                  <w:tcW w:w="750" w:type="dxa"/>
                  <w:vMerge w:val="continue"/>
                  <w:tcBorders>
                    <w:tl2br w:val="nil"/>
                    <w:tr2bl w:val="nil"/>
                  </w:tcBorders>
                  <w:vAlign w:val="center"/>
                </w:tcPr>
                <w:p w14:paraId="237E4A68">
                  <w:pPr>
                    <w:jc w:val="center"/>
                    <w:textAlignment w:val="center"/>
                    <w:rPr>
                      <w:color w:val="auto"/>
                      <w:kern w:val="0"/>
                      <w:szCs w:val="21"/>
                      <w:lang w:bidi="ar"/>
                    </w:rPr>
                  </w:pPr>
                </w:p>
              </w:tc>
              <w:tc>
                <w:tcPr>
                  <w:tcW w:w="934" w:type="dxa"/>
                  <w:tcBorders>
                    <w:tl2br w:val="nil"/>
                    <w:tr2bl w:val="nil"/>
                  </w:tcBorders>
                  <w:vAlign w:val="center"/>
                </w:tcPr>
                <w:p w14:paraId="3EF93765">
                  <w:pPr>
                    <w:jc w:val="center"/>
                    <w:textAlignment w:val="center"/>
                    <w:rPr>
                      <w:color w:val="auto"/>
                      <w:kern w:val="0"/>
                      <w:szCs w:val="21"/>
                      <w:lang w:bidi="ar"/>
                    </w:rPr>
                  </w:pPr>
                  <w:r>
                    <w:rPr>
                      <w:color w:val="auto"/>
                      <w:kern w:val="0"/>
                      <w:szCs w:val="21"/>
                      <w:lang w:bidi="ar"/>
                    </w:rPr>
                    <w:t>3.1936</w:t>
                  </w:r>
                </w:p>
              </w:tc>
              <w:tc>
                <w:tcPr>
                  <w:tcW w:w="704" w:type="dxa"/>
                  <w:tcBorders>
                    <w:tl2br w:val="nil"/>
                    <w:tr2bl w:val="nil"/>
                  </w:tcBorders>
                  <w:vAlign w:val="center"/>
                </w:tcPr>
                <w:p w14:paraId="79CEFFB2">
                  <w:pPr>
                    <w:jc w:val="center"/>
                    <w:textAlignment w:val="center"/>
                    <w:rPr>
                      <w:color w:val="auto"/>
                      <w:kern w:val="0"/>
                      <w:szCs w:val="21"/>
                    </w:rPr>
                  </w:pPr>
                  <w:r>
                    <w:rPr>
                      <w:rFonts w:hint="eastAsia" w:ascii="宋体" w:hAnsi="宋体" w:cs="宋体"/>
                      <w:color w:val="auto"/>
                      <w:kern w:val="0"/>
                      <w:szCs w:val="21"/>
                      <w:lang w:bidi="ar"/>
                    </w:rPr>
                    <w:t>槽液</w:t>
                  </w:r>
                </w:p>
              </w:tc>
            </w:tr>
            <w:tr w14:paraId="22465CB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499" w:type="dxa"/>
                  <w:gridSpan w:val="10"/>
                  <w:tcBorders>
                    <w:tl2br w:val="nil"/>
                    <w:tr2bl w:val="nil"/>
                  </w:tcBorders>
                  <w:vAlign w:val="center"/>
                </w:tcPr>
                <w:p w14:paraId="108764D1">
                  <w:pPr>
                    <w:pStyle w:val="50"/>
                    <w:rPr>
                      <w:rFonts w:ascii="Times New Roman" w:hAnsi="Times New Roman" w:cs="Times New Roman"/>
                      <w:color w:val="auto"/>
                      <w:sz w:val="21"/>
                      <w:szCs w:val="21"/>
                    </w:rPr>
                  </w:pPr>
                  <w:r>
                    <w:rPr>
                      <w:rFonts w:ascii="Times New Roman" w:hAnsi="Times New Roman" w:cs="Times New Roman"/>
                      <w:b/>
                      <w:bCs/>
                      <w:color w:val="auto"/>
                      <w:sz w:val="21"/>
                      <w:szCs w:val="21"/>
                    </w:rPr>
                    <w:t>备注：</w:t>
                  </w:r>
                  <w:r>
                    <w:rPr>
                      <w:rFonts w:ascii="Times New Roman" w:hAnsi="Times New Roman" w:cs="Times New Roman"/>
                      <w:bCs/>
                      <w:color w:val="auto"/>
                      <w:sz w:val="21"/>
                      <w:szCs w:val="21"/>
                    </w:rPr>
                    <w:t>①</w:t>
                  </w:r>
                  <w:r>
                    <w:rPr>
                      <w:rFonts w:ascii="Times New Roman" w:hAnsi="Times New Roman" w:cs="Times New Roman"/>
                      <w:color w:val="auto"/>
                      <w:sz w:val="21"/>
                      <w:szCs w:val="21"/>
                    </w:rPr>
                    <w:t>单个槽有效容积按单个槽容积（具体见表2-</w:t>
                  </w:r>
                  <w:r>
                    <w:rPr>
                      <w:rFonts w:hint="eastAsia" w:ascii="Times New Roman" w:hAnsi="Times New Roman" w:cs="Times New Roman"/>
                      <w:color w:val="auto"/>
                      <w:sz w:val="21"/>
                      <w:szCs w:val="21"/>
                      <w:lang w:val="en-US" w:eastAsia="zh-CN"/>
                    </w:rPr>
                    <w:t>8</w:t>
                  </w:r>
                  <w:r>
                    <w:rPr>
                      <w:rFonts w:ascii="Times New Roman" w:hAnsi="Times New Roman" w:cs="Times New Roman"/>
                      <w:color w:val="auto"/>
                      <w:sz w:val="21"/>
                      <w:szCs w:val="21"/>
                    </w:rPr>
                    <w:t>所示）的80%计算；</w:t>
                  </w:r>
                </w:p>
                <w:p w14:paraId="3533573B">
                  <w:pPr>
                    <w:pStyle w:val="50"/>
                    <w:rPr>
                      <w:rFonts w:ascii="Times New Roman" w:hAnsi="Times New Roman" w:cs="Times New Roman"/>
                      <w:bCs/>
                      <w:color w:val="auto"/>
                      <w:sz w:val="21"/>
                      <w:szCs w:val="21"/>
                    </w:rPr>
                  </w:pPr>
                  <w:r>
                    <w:rPr>
                      <w:rFonts w:ascii="Times New Roman" w:hAnsi="Times New Roman" w:cs="Times New Roman"/>
                      <w:bCs/>
                      <w:color w:val="auto"/>
                      <w:sz w:val="21"/>
                      <w:szCs w:val="21"/>
                    </w:rPr>
                    <w:t>②纯水洗槽的水用量则为纯水的用量。</w:t>
                  </w:r>
                </w:p>
                <w:p w14:paraId="0DA639D8">
                  <w:pPr>
                    <w:pStyle w:val="50"/>
                    <w:rPr>
                      <w:rFonts w:ascii="Times New Roman" w:hAnsi="Times New Roman" w:cs="Times New Roman"/>
                      <w:bCs/>
                      <w:color w:val="auto"/>
                      <w:sz w:val="21"/>
                      <w:szCs w:val="21"/>
                    </w:rPr>
                  </w:pPr>
                  <w:r>
                    <w:rPr>
                      <w:rFonts w:ascii="Times New Roman" w:hAnsi="Times New Roman" w:cs="Times New Roman"/>
                      <w:bCs/>
                      <w:color w:val="auto"/>
                      <w:sz w:val="21"/>
                      <w:szCs w:val="21"/>
                    </w:rPr>
                    <w:t>③补水量为日常处理过程产品带出或者</w:t>
                  </w:r>
                  <w:r>
                    <w:rPr>
                      <w:rFonts w:hint="eastAsia" w:ascii="Times New Roman" w:hAnsi="Times New Roman" w:cs="Times New Roman"/>
                      <w:bCs/>
                      <w:color w:val="auto"/>
                      <w:sz w:val="21"/>
                      <w:szCs w:val="21"/>
                    </w:rPr>
                    <w:t>蒸发</w:t>
                  </w:r>
                  <w:r>
                    <w:rPr>
                      <w:rFonts w:ascii="Times New Roman" w:hAnsi="Times New Roman" w:cs="Times New Roman"/>
                      <w:bCs/>
                      <w:color w:val="auto"/>
                      <w:sz w:val="21"/>
                      <w:szCs w:val="21"/>
                    </w:rPr>
                    <w:t>损耗的水量，按常存量的</w:t>
                  </w:r>
                  <w:r>
                    <w:rPr>
                      <w:rFonts w:hint="eastAsia" w:ascii="Times New Roman" w:hAnsi="Times New Roman" w:cs="Times New Roman"/>
                      <w:bCs/>
                      <w:color w:val="auto"/>
                      <w:sz w:val="21"/>
                      <w:szCs w:val="21"/>
                    </w:rPr>
                    <w:t>5</w:t>
                  </w:r>
                  <w:r>
                    <w:rPr>
                      <w:rFonts w:ascii="Times New Roman" w:hAnsi="Times New Roman" w:cs="Times New Roman"/>
                      <w:bCs/>
                      <w:color w:val="auto"/>
                      <w:sz w:val="21"/>
                      <w:szCs w:val="21"/>
                    </w:rPr>
                    <w:t>%计算。</w:t>
                  </w:r>
                </w:p>
                <w:p w14:paraId="3D05CAEB">
                  <w:pPr>
                    <w:textAlignment w:val="center"/>
                    <w:rPr>
                      <w:color w:val="auto"/>
                      <w:kern w:val="0"/>
                      <w:szCs w:val="21"/>
                    </w:rPr>
                  </w:pPr>
                  <w:r>
                    <w:rPr>
                      <w:bCs/>
                      <w:color w:val="auto"/>
                      <w:szCs w:val="21"/>
                    </w:rPr>
                    <w:t>④用水量为补水量和废水产生量之和。</w:t>
                  </w:r>
                </w:p>
              </w:tc>
            </w:tr>
          </w:tbl>
          <w:p w14:paraId="00605717">
            <w:pPr>
              <w:autoSpaceDE w:val="0"/>
              <w:autoSpaceDN w:val="0"/>
              <w:adjustRightInd w:val="0"/>
              <w:spacing w:line="360" w:lineRule="auto"/>
              <w:ind w:firstLine="480" w:firstLineChars="200"/>
              <w:jc w:val="both"/>
              <w:rPr>
                <w:color w:val="auto"/>
                <w:sz w:val="24"/>
              </w:rPr>
            </w:pPr>
            <w:r>
              <w:rPr>
                <w:color w:val="auto"/>
                <w:sz w:val="24"/>
              </w:rPr>
              <w:t>由表</w:t>
            </w:r>
            <w:r>
              <w:rPr>
                <w:rFonts w:hint="eastAsia"/>
                <w:color w:val="auto"/>
                <w:sz w:val="24"/>
              </w:rPr>
              <w:t>4-14</w:t>
            </w:r>
            <w:r>
              <w:rPr>
                <w:color w:val="auto"/>
                <w:sz w:val="24"/>
              </w:rPr>
              <w:t>可知，本项目电泳线废水产生量为1706.4t/a（即</w:t>
            </w:r>
            <w:r>
              <w:rPr>
                <w:rFonts w:hint="eastAsia"/>
                <w:color w:val="auto"/>
                <w:sz w:val="24"/>
              </w:rPr>
              <w:t>5.688</w:t>
            </w:r>
            <w:r>
              <w:rPr>
                <w:color w:val="auto"/>
                <w:sz w:val="24"/>
              </w:rPr>
              <w:t>t/d）。</w:t>
            </w:r>
            <w:r>
              <w:rPr>
                <w:rFonts w:hint="eastAsia"/>
                <w:color w:val="auto"/>
                <w:sz w:val="24"/>
              </w:rPr>
              <w:t>超声波热脱脂槽、阴极电泳槽</w:t>
            </w:r>
            <w:r>
              <w:rPr>
                <w:color w:val="auto"/>
                <w:sz w:val="24"/>
              </w:rPr>
              <w:t>液循环再用到一定程度需更换，会产生废槽液</w:t>
            </w:r>
            <w:r>
              <w:rPr>
                <w:rFonts w:hint="eastAsia"/>
                <w:color w:val="auto"/>
                <w:sz w:val="24"/>
              </w:rPr>
              <w:t>3.1936t/a，委托有危废资质单位收集处置</w:t>
            </w:r>
            <w:r>
              <w:rPr>
                <w:color w:val="auto"/>
                <w:sz w:val="24"/>
              </w:rPr>
              <w:t>。</w:t>
            </w:r>
          </w:p>
          <w:p w14:paraId="1013F3FA">
            <w:pPr>
              <w:spacing w:line="360" w:lineRule="auto"/>
              <w:ind w:firstLine="482" w:firstLineChars="200"/>
              <w:rPr>
                <w:b/>
                <w:bCs/>
                <w:color w:val="auto"/>
                <w:sz w:val="24"/>
              </w:rPr>
            </w:pPr>
            <w:r>
              <w:rPr>
                <w:b/>
                <w:bCs/>
                <w:color w:val="auto"/>
                <w:sz w:val="24"/>
              </w:rPr>
              <w:t>（2）生活污水</w:t>
            </w:r>
          </w:p>
          <w:p w14:paraId="68837FFB">
            <w:pPr>
              <w:adjustRightInd w:val="0"/>
              <w:snapToGrid w:val="0"/>
              <w:spacing w:line="360" w:lineRule="auto"/>
              <w:ind w:firstLine="480"/>
              <w:rPr>
                <w:color w:val="auto"/>
                <w:sz w:val="24"/>
              </w:rPr>
            </w:pPr>
            <w:r>
              <w:rPr>
                <w:color w:val="auto"/>
                <w:sz w:val="24"/>
              </w:rPr>
              <w:t>本</w:t>
            </w:r>
            <w:r>
              <w:rPr>
                <w:rFonts w:hint="eastAsia"/>
                <w:color w:val="auto"/>
                <w:sz w:val="24"/>
                <w:lang w:eastAsia="zh-CN"/>
              </w:rPr>
              <w:t>改建</w:t>
            </w:r>
            <w:r>
              <w:rPr>
                <w:color w:val="auto"/>
                <w:sz w:val="24"/>
              </w:rPr>
              <w:t>项目无需新增员工，因此本</w:t>
            </w:r>
            <w:r>
              <w:rPr>
                <w:rFonts w:hint="eastAsia"/>
                <w:color w:val="auto"/>
                <w:sz w:val="24"/>
                <w:lang w:eastAsia="zh-CN"/>
              </w:rPr>
              <w:t>改建</w:t>
            </w:r>
            <w:r>
              <w:rPr>
                <w:color w:val="auto"/>
                <w:sz w:val="24"/>
              </w:rPr>
              <w:t>项目无新增生活</w:t>
            </w:r>
            <w:r>
              <w:rPr>
                <w:rFonts w:hint="eastAsia"/>
                <w:color w:val="auto"/>
                <w:sz w:val="24"/>
              </w:rPr>
              <w:t>废水</w:t>
            </w:r>
            <w:r>
              <w:rPr>
                <w:color w:val="auto"/>
                <w:sz w:val="24"/>
              </w:rPr>
              <w:t>。</w:t>
            </w:r>
          </w:p>
          <w:p w14:paraId="17D1A8F0">
            <w:pPr>
              <w:spacing w:line="360" w:lineRule="auto"/>
              <w:ind w:firstLine="482" w:firstLineChars="200"/>
              <w:rPr>
                <w:b/>
                <w:bCs/>
                <w:color w:val="auto"/>
                <w:sz w:val="24"/>
              </w:rPr>
            </w:pPr>
            <w:r>
              <w:rPr>
                <w:rFonts w:hint="eastAsia"/>
                <w:b/>
                <w:bCs/>
                <w:color w:val="auto"/>
                <w:sz w:val="24"/>
              </w:rPr>
              <w:t>2</w:t>
            </w:r>
            <w:r>
              <w:rPr>
                <w:b/>
                <w:bCs/>
                <w:color w:val="auto"/>
                <w:sz w:val="24"/>
              </w:rPr>
              <w:t>、环保措施技术可行性分析</w:t>
            </w:r>
          </w:p>
          <w:p w14:paraId="614AB01D">
            <w:pPr>
              <w:spacing w:line="360" w:lineRule="auto"/>
              <w:ind w:firstLine="482" w:firstLineChars="200"/>
              <w:rPr>
                <w:b/>
                <w:bCs/>
                <w:color w:val="auto"/>
                <w:sz w:val="24"/>
              </w:rPr>
            </w:pPr>
            <w:r>
              <w:rPr>
                <w:b/>
                <w:bCs/>
                <w:color w:val="auto"/>
                <w:sz w:val="24"/>
              </w:rPr>
              <w:t>（1）生产废水回用可行性分析</w:t>
            </w:r>
          </w:p>
          <w:p w14:paraId="095339D5">
            <w:pPr>
              <w:spacing w:line="360" w:lineRule="auto"/>
              <w:ind w:firstLine="480" w:firstLineChars="200"/>
              <w:rPr>
                <w:color w:val="auto"/>
                <w:sz w:val="24"/>
              </w:rPr>
            </w:pPr>
            <w:r>
              <w:rPr>
                <w:color w:val="auto"/>
                <w:sz w:val="24"/>
              </w:rPr>
              <w:t>本项目</w:t>
            </w:r>
            <w:r>
              <w:rPr>
                <w:rFonts w:hint="eastAsia"/>
                <w:color w:val="auto"/>
                <w:sz w:val="24"/>
              </w:rPr>
              <w:t>电泳前后产生的清洗废水</w:t>
            </w:r>
            <w:r>
              <w:rPr>
                <w:color w:val="auto"/>
                <w:sz w:val="24"/>
              </w:rPr>
              <w:t>收集后</w:t>
            </w:r>
            <w:r>
              <w:rPr>
                <w:rFonts w:hint="eastAsia"/>
                <w:color w:val="auto"/>
                <w:sz w:val="24"/>
              </w:rPr>
              <w:t>依托现有综合废水处理站采用</w:t>
            </w:r>
            <w:r>
              <w:rPr>
                <w:color w:val="auto"/>
                <w:sz w:val="24"/>
              </w:rPr>
              <w:t>“</w:t>
            </w:r>
            <w:r>
              <w:rPr>
                <w:rFonts w:hint="eastAsia"/>
                <w:color w:val="auto"/>
                <w:sz w:val="24"/>
                <w:lang w:eastAsia="zh-CN"/>
              </w:rPr>
              <w:t>中和+物化沉淀+过滤+水解酸化+接触好氧+MBR</w:t>
            </w:r>
            <w:r>
              <w:rPr>
                <w:color w:val="auto"/>
                <w:sz w:val="24"/>
              </w:rPr>
              <w:t>”处理达标后</w:t>
            </w:r>
            <w:r>
              <w:rPr>
                <w:rFonts w:hint="eastAsia"/>
                <w:color w:val="auto"/>
                <w:sz w:val="24"/>
              </w:rPr>
              <w:t>少部分排入市政管网，大部分回用于阳极氧化线清洗用水</w:t>
            </w:r>
            <w:r>
              <w:rPr>
                <w:color w:val="auto"/>
                <w:sz w:val="24"/>
              </w:rPr>
              <w:t>，不外排。</w:t>
            </w:r>
            <w:r>
              <w:rPr>
                <w:rFonts w:hint="eastAsia"/>
                <w:color w:val="auto"/>
                <w:sz w:val="24"/>
              </w:rPr>
              <w:t>现有项目自建综合废水处理站</w:t>
            </w:r>
            <w:r>
              <w:rPr>
                <w:rFonts w:hint="eastAsia"/>
                <w:color w:val="auto"/>
                <w:sz w:val="24"/>
                <w:lang w:val="en-US" w:eastAsia="zh-CN"/>
              </w:rPr>
              <w:t>原环评审批的废水处理工艺为</w:t>
            </w:r>
            <w:r>
              <w:rPr>
                <w:color w:val="auto"/>
                <w:sz w:val="24"/>
              </w:rPr>
              <w:t>“</w:t>
            </w:r>
            <w:r>
              <w:rPr>
                <w:rFonts w:hint="eastAsia"/>
                <w:color w:val="auto"/>
                <w:sz w:val="24"/>
                <w:lang w:eastAsia="zh-CN"/>
              </w:rPr>
              <w:t>中和+物化沉淀+过滤</w:t>
            </w:r>
            <w:r>
              <w:rPr>
                <w:color w:val="auto"/>
                <w:sz w:val="24"/>
              </w:rPr>
              <w:t>”</w:t>
            </w:r>
            <w:r>
              <w:rPr>
                <w:rFonts w:hint="eastAsia"/>
                <w:color w:val="auto"/>
                <w:sz w:val="24"/>
                <w:lang w:eastAsia="zh-CN"/>
              </w:rPr>
              <w:t>，</w:t>
            </w:r>
            <w:r>
              <w:rPr>
                <w:rFonts w:hint="eastAsia"/>
                <w:color w:val="auto"/>
                <w:sz w:val="24"/>
              </w:rPr>
              <w:t>设计处理能力为400m</w:t>
            </w:r>
            <w:r>
              <w:rPr>
                <w:rFonts w:hint="eastAsia"/>
                <w:color w:val="auto"/>
                <w:sz w:val="24"/>
                <w:vertAlign w:val="superscript"/>
              </w:rPr>
              <w:t>3</w:t>
            </w:r>
            <w:r>
              <w:rPr>
                <w:rFonts w:hint="eastAsia"/>
                <w:color w:val="auto"/>
                <w:sz w:val="24"/>
              </w:rPr>
              <w:t>/d，</w:t>
            </w:r>
            <w:r>
              <w:rPr>
                <w:color w:val="auto"/>
                <w:sz w:val="24"/>
              </w:rPr>
              <w:t>工作</w:t>
            </w:r>
            <w:r>
              <w:rPr>
                <w:rFonts w:hint="eastAsia"/>
                <w:color w:val="auto"/>
                <w:sz w:val="24"/>
              </w:rPr>
              <w:t>24</w:t>
            </w:r>
            <w:r>
              <w:rPr>
                <w:color w:val="auto"/>
                <w:sz w:val="24"/>
              </w:rPr>
              <w:t>h/d，设计出水标准可满足广东省《水污染物排放限值》（DB44/26-2001）第二时段</w:t>
            </w:r>
            <w:r>
              <w:rPr>
                <w:rFonts w:hint="eastAsia"/>
                <w:color w:val="auto"/>
                <w:sz w:val="24"/>
              </w:rPr>
              <w:t>一级标准及</w:t>
            </w:r>
            <w:r>
              <w:rPr>
                <w:rFonts w:hint="eastAsia" w:ascii="Times New Roman" w:hAnsi="Times New Roman" w:eastAsia="宋体" w:cs="Times New Roman"/>
                <w:color w:val="auto"/>
                <w:sz w:val="24"/>
                <w:lang w:val="en-US" w:eastAsia="zh-CN"/>
              </w:rPr>
              <w:t>广东省地方标准《电镀水污染物排放标准》（DB/441597-2015）表2新建项目非珠三角水污染物排放限值（其中化学需氧量、悬浮物、氨氮、总磷、总氮、总铝等六项指标按照表</w:t>
            </w:r>
            <w:r>
              <w:rPr>
                <w:rFonts w:hint="default" w:ascii="Times New Roman" w:hAnsi="Times New Roman" w:eastAsia="宋体" w:cs="Times New Roman"/>
                <w:color w:val="auto"/>
                <w:sz w:val="24"/>
                <w:lang w:val="en-US" w:eastAsia="zh-CN"/>
              </w:rPr>
              <w:t>1</w:t>
            </w:r>
            <w:r>
              <w:rPr>
                <w:rFonts w:hint="eastAsia" w:ascii="Times New Roman" w:hAnsi="Times New Roman" w:eastAsia="宋体" w:cs="Times New Roman"/>
                <w:color w:val="auto"/>
                <w:sz w:val="24"/>
                <w:lang w:val="en-US" w:eastAsia="zh-CN"/>
              </w:rPr>
              <w:t>非珠三角排放限值的</w:t>
            </w:r>
            <w:r>
              <w:rPr>
                <w:rFonts w:hint="default" w:ascii="Times New Roman" w:hAnsi="Times New Roman" w:eastAsia="宋体" w:cs="Times New Roman"/>
                <w:color w:val="auto"/>
                <w:sz w:val="24"/>
                <w:lang w:val="en-US" w:eastAsia="zh-CN"/>
              </w:rPr>
              <w:t>200%</w:t>
            </w:r>
            <w:r>
              <w:rPr>
                <w:rFonts w:hint="eastAsia" w:ascii="Times New Roman" w:hAnsi="Times New Roman" w:eastAsia="宋体" w:cs="Times New Roman"/>
                <w:color w:val="auto"/>
                <w:sz w:val="24"/>
                <w:lang w:val="en-US" w:eastAsia="zh-CN"/>
              </w:rPr>
              <w:t>执行）</w:t>
            </w:r>
            <w:r>
              <w:rPr>
                <w:rFonts w:hint="eastAsia"/>
                <w:color w:val="auto"/>
                <w:spacing w:val="4"/>
                <w:sz w:val="24"/>
              </w:rPr>
              <w:t>较严值</w:t>
            </w:r>
            <w:r>
              <w:rPr>
                <w:rFonts w:hint="eastAsia"/>
                <w:color w:val="auto"/>
                <w:spacing w:val="4"/>
                <w:sz w:val="24"/>
                <w:lang w:eastAsia="zh-CN"/>
              </w:rPr>
              <w:t>，</w:t>
            </w:r>
            <w:r>
              <w:rPr>
                <w:rFonts w:hint="eastAsia"/>
                <w:color w:val="auto"/>
                <w:spacing w:val="4"/>
                <w:sz w:val="24"/>
                <w:lang w:val="en-US" w:eastAsia="zh-CN"/>
              </w:rPr>
              <w:t>目前建设单位已对综合废水处理站的生产废水进行改造，增加</w:t>
            </w:r>
            <w:r>
              <w:rPr>
                <w:color w:val="auto"/>
                <w:sz w:val="24"/>
              </w:rPr>
              <w:t>“</w:t>
            </w:r>
            <w:r>
              <w:rPr>
                <w:rFonts w:hint="eastAsia"/>
                <w:color w:val="auto"/>
                <w:sz w:val="24"/>
                <w:lang w:eastAsia="zh-CN"/>
              </w:rPr>
              <w:t>水解酸化+接触好氧+MBR</w:t>
            </w:r>
            <w:r>
              <w:rPr>
                <w:color w:val="auto"/>
                <w:sz w:val="24"/>
              </w:rPr>
              <w:t>”</w:t>
            </w:r>
            <w:r>
              <w:rPr>
                <w:rFonts w:hint="eastAsia"/>
                <w:color w:val="auto"/>
                <w:sz w:val="24"/>
                <w:lang w:val="en-US" w:eastAsia="zh-CN"/>
              </w:rPr>
              <w:t>废水处理工艺，</w:t>
            </w:r>
            <w:r>
              <w:rPr>
                <w:rFonts w:hint="eastAsia"/>
                <w:color w:val="auto"/>
                <w:sz w:val="24"/>
              </w:rPr>
              <w:t>设计处理能力为300m</w:t>
            </w:r>
            <w:r>
              <w:rPr>
                <w:rFonts w:hint="eastAsia"/>
                <w:color w:val="auto"/>
                <w:sz w:val="24"/>
                <w:vertAlign w:val="superscript"/>
              </w:rPr>
              <w:t>3</w:t>
            </w:r>
            <w:r>
              <w:rPr>
                <w:rFonts w:hint="eastAsia"/>
                <w:color w:val="auto"/>
                <w:sz w:val="24"/>
              </w:rPr>
              <w:t>/d</w:t>
            </w:r>
            <w:r>
              <w:rPr>
                <w:rFonts w:hint="eastAsia"/>
                <w:color w:val="auto"/>
                <w:sz w:val="24"/>
              </w:rPr>
              <w:t>，设计出水标准可满足</w:t>
            </w:r>
            <w:r>
              <w:rPr>
                <w:rFonts w:hint="eastAsia"/>
                <w:bCs/>
                <w:color w:val="auto"/>
                <w:sz w:val="24"/>
              </w:rPr>
              <w:t>《城市污水再生利用 工业用水水质》(GB/T19923-2024)中“工艺与产品用水”和《城市污水再生利用 城市杂用水水质》(GB/T18920-2020)中“城市绿化”的较严者</w:t>
            </w:r>
            <w:r>
              <w:rPr>
                <w:rFonts w:hint="eastAsia"/>
                <w:color w:val="auto"/>
                <w:sz w:val="24"/>
              </w:rPr>
              <w:t>，</w:t>
            </w:r>
            <w:r>
              <w:rPr>
                <w:rFonts w:hint="eastAsia"/>
                <w:color w:val="auto"/>
                <w:sz w:val="24"/>
                <w:lang w:val="en-US" w:eastAsia="zh-CN"/>
              </w:rPr>
              <w:t>则不再进入原环评审批的</w:t>
            </w:r>
            <w:r>
              <w:rPr>
                <w:rFonts w:hint="eastAsia"/>
                <w:color w:val="auto"/>
                <w:sz w:val="24"/>
              </w:rPr>
              <w:t>采用</w:t>
            </w:r>
            <w:r>
              <w:rPr>
                <w:color w:val="auto"/>
                <w:sz w:val="24"/>
              </w:rPr>
              <w:t>“</w:t>
            </w:r>
            <w:r>
              <w:rPr>
                <w:rFonts w:hint="eastAsia"/>
                <w:color w:val="auto"/>
                <w:sz w:val="24"/>
              </w:rPr>
              <w:t>过滤+离子软化</w:t>
            </w:r>
            <w:r>
              <w:rPr>
                <w:color w:val="auto"/>
                <w:sz w:val="24"/>
              </w:rPr>
              <w:t>”</w:t>
            </w:r>
            <w:r>
              <w:rPr>
                <w:rFonts w:hint="eastAsia"/>
                <w:color w:val="auto"/>
                <w:sz w:val="24"/>
              </w:rPr>
              <w:t>中水回用处理系统</w:t>
            </w:r>
            <w:r>
              <w:rPr>
                <w:rFonts w:hint="eastAsia"/>
                <w:color w:val="auto"/>
                <w:sz w:val="24"/>
                <w:lang w:eastAsia="zh-CN"/>
              </w:rPr>
              <w:t>，</w:t>
            </w:r>
            <w:r>
              <w:rPr>
                <w:rFonts w:hint="eastAsia"/>
                <w:color w:val="auto"/>
                <w:sz w:val="24"/>
                <w:lang w:val="en-US" w:eastAsia="zh-CN"/>
              </w:rPr>
              <w:t>综合废水处理站生产废水处理</w:t>
            </w:r>
            <w:r>
              <w:rPr>
                <w:color w:val="auto"/>
                <w:sz w:val="24"/>
              </w:rPr>
              <w:t>工艺流程如图4-1所示。</w:t>
            </w:r>
          </w:p>
          <w:p w14:paraId="58DE4611">
            <w:pPr>
              <w:pStyle w:val="12"/>
              <w:spacing w:line="360" w:lineRule="auto"/>
              <w:ind w:left="480" w:hanging="480"/>
              <w:jc w:val="center"/>
              <w:rPr>
                <w:rFonts w:hint="eastAsia"/>
                <w:color w:val="auto"/>
                <w:sz w:val="24"/>
              </w:rPr>
            </w:pPr>
            <w:r>
              <w:rPr>
                <w:rFonts w:hint="eastAsia"/>
                <w:color w:val="auto"/>
                <w:sz w:val="24"/>
              </w:rPr>
              <w:object>
                <v:shape id="_x0000_i1035" o:spt="75" type="#_x0000_t75" style="height:507pt;width:410.25pt;" o:ole="t" filled="f" o:preferrelative="t" stroked="f" coordsize="21600,21600">
                  <v:path/>
                  <v:fill on="f" focussize="0,0"/>
                  <v:stroke on="f"/>
                  <v:imagedata r:id="rId37" o:title=""/>
                  <o:lock v:ext="edit" aspectratio="f"/>
                  <w10:wrap type="none"/>
                  <w10:anchorlock/>
                </v:shape>
                <o:OLEObject Type="Embed" ProgID="Visio.Drawing.15" ShapeID="_x0000_i1035" DrawAspect="Content" ObjectID="_1468075735" r:id="rId36">
                  <o:LockedField>false</o:LockedField>
                </o:OLEObject>
              </w:object>
            </w:r>
          </w:p>
          <w:p w14:paraId="6232E206">
            <w:pPr>
              <w:pStyle w:val="12"/>
              <w:spacing w:line="360" w:lineRule="auto"/>
              <w:ind w:left="422" w:hanging="422"/>
              <w:jc w:val="center"/>
              <w:rPr>
                <w:b/>
                <w:bCs/>
                <w:color w:val="auto"/>
                <w:szCs w:val="21"/>
              </w:rPr>
            </w:pPr>
            <w:r>
              <w:rPr>
                <w:rFonts w:hint="eastAsia"/>
                <w:b/>
                <w:bCs/>
                <w:color w:val="auto"/>
                <w:szCs w:val="21"/>
              </w:rPr>
              <w:t xml:space="preserve">图4-4  </w:t>
            </w:r>
            <w:r>
              <w:rPr>
                <w:rFonts w:hint="eastAsia"/>
                <w:b/>
                <w:bCs/>
                <w:color w:val="auto"/>
                <w:szCs w:val="21"/>
                <w:lang w:val="en-US" w:eastAsia="zh-CN"/>
              </w:rPr>
              <w:t>综合废水处理站</w:t>
            </w:r>
            <w:r>
              <w:rPr>
                <w:rFonts w:hint="eastAsia"/>
                <w:b/>
                <w:bCs/>
                <w:color w:val="auto"/>
                <w:szCs w:val="21"/>
              </w:rPr>
              <w:t>生产废水处理工艺图</w:t>
            </w:r>
          </w:p>
          <w:p w14:paraId="5515F6F1">
            <w:pPr>
              <w:pStyle w:val="16"/>
              <w:spacing w:line="360" w:lineRule="auto"/>
              <w:ind w:firstLine="482" w:firstLineChars="200"/>
              <w:rPr>
                <w:rFonts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自建综合废水处理站</w:t>
            </w:r>
            <w:r>
              <w:rPr>
                <w:rFonts w:ascii="Times New Roman" w:hAnsi="Times New Roman" w:eastAsia="宋体" w:cs="Times New Roman"/>
                <w:b/>
                <w:bCs/>
                <w:color w:val="auto"/>
                <w:sz w:val="24"/>
                <w:szCs w:val="24"/>
              </w:rPr>
              <w:t>工艺流程说明：</w:t>
            </w:r>
          </w:p>
          <w:p w14:paraId="7D9BEBC8">
            <w:pPr>
              <w:pStyle w:val="16"/>
              <w:spacing w:line="360" w:lineRule="auto"/>
              <w:ind w:firstLine="480" w:firstLineChars="200"/>
              <w:rPr>
                <w:rFonts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铝氧化表面处理车间生产的酸洗废水及染色废水等经隔油池进入综合调节池进行水量、水质调节，在池中去金属颗粒以及泥沙等大颗粒物质。利用提升泵将废水泵入pH调整反应池中，投加碱液（Ca(OH)</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、NaOH），调节废水pH值为8.5左右，使金属离子与碱反应形成难溶于水的沉淀物。同时反应池内设有穿孔曝气管，将废水中生产的Fe</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氧化成Fe</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，最终生成Fe(OH)</w:t>
            </w:r>
            <w:r>
              <w:rPr>
                <w:rFonts w:hint="default" w:ascii="Times New Roman" w:hAnsi="Times New Roman" w:eastAsia="宋体" w:cs="Times New Roman"/>
                <w:color w:val="auto"/>
                <w:sz w:val="24"/>
                <w:szCs w:val="24"/>
                <w:vertAlign w:val="subscript"/>
              </w:rPr>
              <w:t>3</w:t>
            </w:r>
            <w:r>
              <w:rPr>
                <w:rFonts w:hint="default" w:ascii="Times New Roman" w:hAnsi="Times New Roman" w:eastAsia="宋体" w:cs="Times New Roman"/>
                <w:color w:val="auto"/>
                <w:sz w:val="24"/>
                <w:szCs w:val="24"/>
              </w:rPr>
              <w:t>沉淀。沉淀物通过在混凝反应池中投加PAM絮凝剂形成较大颗粒矾花，在平流沉淀池内沉淀下来。上清液自流进入中间水池。为了进一步去除废水中细微颗粒物，保证废水处理达标排放，经将利用加压泵将中间水池的废水提升至机械过滤器进行精密过滤之后排入pH调整池内调整pH值后，</w:t>
            </w:r>
            <w:r>
              <w:rPr>
                <w:rFonts w:hint="default" w:ascii="Times New Roman" w:hAnsi="Times New Roman" w:eastAsia="宋体" w:cs="Times New Roman"/>
                <w:color w:val="auto"/>
                <w:sz w:val="24"/>
                <w:szCs w:val="24"/>
                <w:lang w:val="en-US" w:eastAsia="zh-CN"/>
              </w:rPr>
              <w:t>生化处理设施，经水解酸化、接触好氧、MBR等生化组合工艺，有机污染物得到有效地去除，出水再经化学除磷、混凝沉淀后，去除废水中的磷酸盐污染物，最终经炭滤器进一步提高水质，</w:t>
            </w:r>
            <w:r>
              <w:rPr>
                <w:rFonts w:hint="default" w:ascii="Times New Roman" w:hAnsi="Times New Roman" w:eastAsia="宋体" w:cs="Times New Roman"/>
                <w:color w:val="auto"/>
                <w:sz w:val="24"/>
                <w:szCs w:val="24"/>
              </w:rPr>
              <w:t>流入清水池中，出水达标排放，</w:t>
            </w:r>
            <w:r>
              <w:rPr>
                <w:rFonts w:hint="eastAsia" w:cs="Times New Roman"/>
                <w:color w:val="auto"/>
                <w:sz w:val="24"/>
                <w:szCs w:val="24"/>
                <w:lang w:val="en-US" w:eastAsia="zh-CN"/>
              </w:rPr>
              <w:t>同时也满足回用标准回用</w:t>
            </w:r>
            <w:r>
              <w:rPr>
                <w:rFonts w:hint="default" w:ascii="Times New Roman" w:hAnsi="Times New Roman" w:eastAsia="宋体" w:cs="Times New Roman"/>
                <w:color w:val="auto"/>
                <w:sz w:val="24"/>
                <w:szCs w:val="24"/>
              </w:rPr>
              <w:t>至生产中。沉淀池中产生的剩余污泥排至污泥浓缩池中，污泥经脱水后泥饼交由有资质公司处置，上清液排回调节池重新处理。加药系统包括氢氧化钙碱液、氢氧化钠碱液、混凝剂PAC、PAM辅助药剂等，并采用加酸系统回调出水pH值</w:t>
            </w:r>
            <w:r>
              <w:rPr>
                <w:rFonts w:ascii="Times New Roman" w:hAnsi="Times New Roman" w:eastAsia="宋体" w:cs="Times New Roman"/>
                <w:color w:val="auto"/>
                <w:sz w:val="24"/>
                <w:szCs w:val="24"/>
              </w:rPr>
              <w:t>。</w:t>
            </w:r>
          </w:p>
          <w:p w14:paraId="4D495998">
            <w:pPr>
              <w:pStyle w:val="16"/>
              <w:spacing w:line="360" w:lineRule="auto"/>
              <w:ind w:firstLine="480" w:firstLineChars="200"/>
              <w:rPr>
                <w:bCs/>
                <w:color w:val="auto"/>
                <w:sz w:val="24"/>
                <w:szCs w:val="24"/>
              </w:rPr>
            </w:pPr>
            <w:r>
              <w:rPr>
                <w:rFonts w:hint="eastAsia"/>
                <w:color w:val="auto"/>
                <w:sz w:val="24"/>
                <w:szCs w:val="24"/>
                <w:lang w:eastAsia="zh-CN"/>
              </w:rPr>
              <w:t>改建</w:t>
            </w:r>
            <w:r>
              <w:rPr>
                <w:color w:val="auto"/>
                <w:sz w:val="24"/>
                <w:szCs w:val="24"/>
              </w:rPr>
              <w:t>项目工件</w:t>
            </w:r>
            <w:r>
              <w:rPr>
                <w:rFonts w:hint="eastAsia"/>
                <w:color w:val="auto"/>
                <w:sz w:val="24"/>
                <w:szCs w:val="24"/>
              </w:rPr>
              <w:t>电泳漆涂装前后</w:t>
            </w:r>
            <w:r>
              <w:rPr>
                <w:color w:val="auto"/>
                <w:sz w:val="24"/>
                <w:szCs w:val="24"/>
              </w:rPr>
              <w:t>清洗废水</w:t>
            </w:r>
            <w:r>
              <w:rPr>
                <w:rFonts w:hint="eastAsia"/>
                <w:color w:val="auto"/>
                <w:sz w:val="24"/>
                <w:szCs w:val="24"/>
              </w:rPr>
              <w:t>产生</w:t>
            </w:r>
            <w:r>
              <w:rPr>
                <w:color w:val="auto"/>
                <w:sz w:val="24"/>
                <w:szCs w:val="24"/>
              </w:rPr>
              <w:t>量为</w:t>
            </w:r>
            <w:r>
              <w:rPr>
                <w:rFonts w:hint="eastAsia"/>
                <w:color w:val="auto"/>
                <w:sz w:val="24"/>
                <w:szCs w:val="24"/>
              </w:rPr>
              <w:t>5.689m</w:t>
            </w:r>
            <w:r>
              <w:rPr>
                <w:rFonts w:hint="eastAsia"/>
                <w:color w:val="auto"/>
                <w:sz w:val="24"/>
                <w:szCs w:val="24"/>
                <w:vertAlign w:val="superscript"/>
              </w:rPr>
              <w:t>3</w:t>
            </w:r>
            <w:r>
              <w:rPr>
                <w:color w:val="auto"/>
                <w:sz w:val="24"/>
                <w:szCs w:val="24"/>
              </w:rPr>
              <w:t>/</w:t>
            </w:r>
            <w:r>
              <w:rPr>
                <w:rFonts w:hint="eastAsia"/>
                <w:color w:val="auto"/>
                <w:sz w:val="24"/>
                <w:szCs w:val="24"/>
                <w:lang w:val="en-US" w:eastAsia="zh-CN"/>
              </w:rPr>
              <w:t>d</w:t>
            </w:r>
            <w:r>
              <w:rPr>
                <w:color w:val="auto"/>
                <w:sz w:val="24"/>
                <w:szCs w:val="24"/>
              </w:rPr>
              <w:t>，主要污染物COD</w:t>
            </w:r>
            <w:r>
              <w:rPr>
                <w:rFonts w:hint="eastAsia"/>
                <w:color w:val="auto"/>
                <w:sz w:val="24"/>
                <w:szCs w:val="24"/>
                <w:vertAlign w:val="subscript"/>
              </w:rPr>
              <w:t>C</w:t>
            </w:r>
            <w:r>
              <w:rPr>
                <w:color w:val="auto"/>
                <w:sz w:val="24"/>
                <w:szCs w:val="24"/>
                <w:vertAlign w:val="subscript"/>
              </w:rPr>
              <w:t>r</w:t>
            </w:r>
            <w:r>
              <w:rPr>
                <w:color w:val="auto"/>
                <w:sz w:val="24"/>
                <w:szCs w:val="24"/>
              </w:rPr>
              <w:t>、SS等，</w:t>
            </w:r>
            <w:r>
              <w:rPr>
                <w:rFonts w:hint="eastAsia"/>
                <w:color w:val="auto"/>
                <w:sz w:val="24"/>
                <w:szCs w:val="24"/>
              </w:rPr>
              <w:t>减少的阳极氧化线废水量为33.9m</w:t>
            </w:r>
            <w:r>
              <w:rPr>
                <w:rFonts w:hint="eastAsia"/>
                <w:color w:val="auto"/>
                <w:sz w:val="24"/>
                <w:szCs w:val="24"/>
                <w:vertAlign w:val="superscript"/>
              </w:rPr>
              <w:t>3</w:t>
            </w:r>
            <w:r>
              <w:rPr>
                <w:rFonts w:hint="eastAsia"/>
                <w:color w:val="auto"/>
                <w:sz w:val="24"/>
                <w:szCs w:val="24"/>
              </w:rPr>
              <w:t>/d，阳极氧化线减少的废水量大于本</w:t>
            </w:r>
            <w:r>
              <w:rPr>
                <w:rFonts w:hint="eastAsia"/>
                <w:color w:val="auto"/>
                <w:sz w:val="24"/>
                <w:szCs w:val="24"/>
                <w:lang w:eastAsia="zh-CN"/>
              </w:rPr>
              <w:t>改建</w:t>
            </w:r>
            <w:r>
              <w:rPr>
                <w:rFonts w:hint="eastAsia"/>
                <w:color w:val="auto"/>
                <w:sz w:val="24"/>
                <w:szCs w:val="24"/>
              </w:rPr>
              <w:t>项目增加的废水量，因此现有项目的自建综合废水处理站的废水量可足够满足本次</w:t>
            </w:r>
            <w:r>
              <w:rPr>
                <w:rFonts w:hint="eastAsia"/>
                <w:color w:val="auto"/>
                <w:sz w:val="24"/>
                <w:szCs w:val="24"/>
                <w:lang w:eastAsia="zh-CN"/>
              </w:rPr>
              <w:t>改建</w:t>
            </w:r>
            <w:r>
              <w:rPr>
                <w:rFonts w:hint="eastAsia"/>
                <w:color w:val="auto"/>
                <w:sz w:val="24"/>
                <w:szCs w:val="24"/>
              </w:rPr>
              <w:t>项目的废水量，根据本</w:t>
            </w:r>
            <w:r>
              <w:rPr>
                <w:rFonts w:hint="eastAsia"/>
                <w:color w:val="auto"/>
                <w:sz w:val="24"/>
                <w:szCs w:val="24"/>
                <w:lang w:eastAsia="zh-CN"/>
              </w:rPr>
              <w:t>改建</w:t>
            </w:r>
            <w:r>
              <w:rPr>
                <w:rFonts w:hint="eastAsia"/>
                <w:color w:val="auto"/>
                <w:sz w:val="24"/>
                <w:szCs w:val="24"/>
              </w:rPr>
              <w:t>项目的废水水质情况，基本同现有综合废水处理站的废水水质情况一致。因此本</w:t>
            </w:r>
            <w:r>
              <w:rPr>
                <w:rFonts w:hint="eastAsia"/>
                <w:color w:val="auto"/>
                <w:sz w:val="24"/>
                <w:szCs w:val="24"/>
                <w:lang w:eastAsia="zh-CN"/>
              </w:rPr>
              <w:t>改建</w:t>
            </w:r>
            <w:r>
              <w:rPr>
                <w:rFonts w:hint="eastAsia"/>
                <w:color w:val="auto"/>
                <w:sz w:val="24"/>
                <w:szCs w:val="24"/>
              </w:rPr>
              <w:t>项目废水可依托现有项目的废水处理设施。</w:t>
            </w:r>
          </w:p>
          <w:p w14:paraId="11FEFE3A">
            <w:pPr>
              <w:spacing w:line="360" w:lineRule="auto"/>
              <w:ind w:firstLine="465"/>
              <w:rPr>
                <w:b/>
                <w:bCs/>
                <w:color w:val="auto"/>
                <w:sz w:val="24"/>
              </w:rPr>
            </w:pPr>
            <w:r>
              <w:rPr>
                <w:b/>
                <w:color w:val="auto"/>
                <w:sz w:val="24"/>
              </w:rPr>
              <w:t>（2）</w:t>
            </w:r>
            <w:r>
              <w:rPr>
                <w:b/>
                <w:bCs/>
                <w:color w:val="auto"/>
                <w:sz w:val="24"/>
              </w:rPr>
              <w:t>污水处理技术可行性</w:t>
            </w:r>
          </w:p>
          <w:p w14:paraId="7E6BC105">
            <w:pPr>
              <w:pStyle w:val="16"/>
              <w:spacing w:line="360" w:lineRule="auto"/>
              <w:ind w:firstLine="480" w:firstLineChars="200"/>
              <w:rPr>
                <w:rFonts w:hint="eastAsia"/>
                <w:color w:val="auto"/>
                <w:sz w:val="24"/>
                <w:szCs w:val="24"/>
              </w:rPr>
            </w:pPr>
            <w:r>
              <w:rPr>
                <w:rFonts w:hint="eastAsia"/>
                <w:color w:val="auto"/>
                <w:sz w:val="24"/>
                <w:szCs w:val="24"/>
              </w:rPr>
              <w:t>根据调查行业经验运行情况可知，本项目生产污水设施工艺具有处理效果好，出水稳定达标的特点，在正常运作的条件下，出水可稳定达标，工艺是可行的。参照《排污许可证申请与核发技术规范 总则》（HJ942-2018）4.5.3.1“废水类别、污染物种类、排放形式及污染治理设施”章节，一级处理包括过滤、沉淀、气浮、其他；二级处理包括A/O、A2/O、SBR、活性污泥法、生物接触氧化、其他。</w:t>
            </w:r>
            <w:r>
              <w:rPr>
                <w:color w:val="auto"/>
                <w:sz w:val="24"/>
                <w:szCs w:val="24"/>
              </w:rPr>
              <w:t>《排污许可证申请与核发技术规范 水处理通用工序》（HJ1120-2020）中“附录A表A.1污水处理可行技术参照表，</w:t>
            </w:r>
            <w:r>
              <w:rPr>
                <w:rFonts w:hint="eastAsia"/>
                <w:color w:val="auto"/>
                <w:sz w:val="24"/>
                <w:szCs w:val="24"/>
              </w:rPr>
              <w:t>生产类排污单位废水预处理：调节、隔油、沉淀、气浮、中和、吸附；生化处理：水解酸化、厌氧、好氧、缺氧好氧（</w:t>
            </w:r>
            <w:r>
              <w:rPr>
                <w:color w:val="auto"/>
                <w:sz w:val="24"/>
                <w:szCs w:val="24"/>
              </w:rPr>
              <w:t>A/O</w:t>
            </w:r>
            <w:r>
              <w:rPr>
                <w:rFonts w:hint="eastAsia"/>
                <w:color w:val="auto"/>
                <w:sz w:val="24"/>
                <w:szCs w:val="24"/>
              </w:rPr>
              <w:t>）、厌氧缺氧好氧（</w:t>
            </w:r>
            <w:r>
              <w:rPr>
                <w:color w:val="auto"/>
                <w:sz w:val="24"/>
                <w:szCs w:val="24"/>
              </w:rPr>
              <w:t>A</w:t>
            </w:r>
            <w:r>
              <w:rPr>
                <w:color w:val="auto"/>
                <w:sz w:val="24"/>
                <w:szCs w:val="24"/>
                <w:vertAlign w:val="superscript"/>
              </w:rPr>
              <w:t>2</w:t>
            </w:r>
            <w:r>
              <w:rPr>
                <w:color w:val="auto"/>
                <w:sz w:val="24"/>
                <w:szCs w:val="24"/>
              </w:rPr>
              <w:t>/O</w:t>
            </w:r>
            <w:r>
              <w:rPr>
                <w:rFonts w:hint="eastAsia"/>
                <w:color w:val="auto"/>
                <w:sz w:val="24"/>
                <w:szCs w:val="24"/>
              </w:rPr>
              <w:t>）、序批式活性污泥（</w:t>
            </w:r>
            <w:r>
              <w:rPr>
                <w:color w:val="auto"/>
                <w:sz w:val="24"/>
                <w:szCs w:val="24"/>
              </w:rPr>
              <w:t>SBR</w:t>
            </w:r>
            <w:r>
              <w:rPr>
                <w:rFonts w:hint="eastAsia"/>
                <w:color w:val="auto"/>
                <w:sz w:val="24"/>
                <w:szCs w:val="24"/>
              </w:rPr>
              <w:t>）、氧化沟、曝气生物滤池（</w:t>
            </w:r>
            <w:r>
              <w:rPr>
                <w:color w:val="auto"/>
                <w:sz w:val="24"/>
                <w:szCs w:val="24"/>
              </w:rPr>
              <w:t>BAF</w:t>
            </w:r>
            <w:r>
              <w:rPr>
                <w:rFonts w:hint="eastAsia"/>
                <w:color w:val="auto"/>
                <w:sz w:val="24"/>
                <w:szCs w:val="24"/>
              </w:rPr>
              <w:t>）、移动生物床反应器（</w:t>
            </w:r>
            <w:r>
              <w:rPr>
                <w:color w:val="auto"/>
                <w:sz w:val="24"/>
                <w:szCs w:val="24"/>
              </w:rPr>
              <w:t>MBBR</w:t>
            </w:r>
            <w:r>
              <w:rPr>
                <w:rFonts w:hint="eastAsia"/>
                <w:color w:val="auto"/>
                <w:sz w:val="24"/>
                <w:szCs w:val="24"/>
              </w:rPr>
              <w:t>）、膜生物反应器（</w:t>
            </w:r>
            <w:r>
              <w:rPr>
                <w:color w:val="auto"/>
                <w:sz w:val="24"/>
                <w:szCs w:val="24"/>
              </w:rPr>
              <w:t>MBR</w:t>
            </w:r>
            <w:r>
              <w:rPr>
                <w:rFonts w:hint="eastAsia"/>
                <w:color w:val="auto"/>
                <w:sz w:val="24"/>
                <w:szCs w:val="24"/>
              </w:rPr>
              <w:t>）、二沉池；深度处理及回用：混凝沉淀、沉淀、过滤、反硝化、高级氧化、曝气生物滤池、生物接触氧化、超滤、反渗透、电渗析、离子交换。</w:t>
            </w:r>
          </w:p>
          <w:p w14:paraId="06D8E7BD">
            <w:pPr>
              <w:pStyle w:val="16"/>
              <w:spacing w:line="360" w:lineRule="auto"/>
              <w:ind w:firstLine="480" w:firstLineChars="200"/>
              <w:rPr>
                <w:color w:val="auto"/>
                <w:sz w:val="24"/>
                <w:szCs w:val="24"/>
              </w:rPr>
            </w:pPr>
            <w:r>
              <w:rPr>
                <w:rFonts w:hint="eastAsia"/>
                <w:color w:val="auto"/>
                <w:sz w:val="24"/>
                <w:szCs w:val="24"/>
              </w:rPr>
              <w:t>本项目依托的自建综合废水处理站采用</w:t>
            </w:r>
            <w:r>
              <w:rPr>
                <w:color w:val="auto"/>
                <w:sz w:val="24"/>
                <w:szCs w:val="24"/>
              </w:rPr>
              <w:t>“</w:t>
            </w:r>
            <w:r>
              <w:rPr>
                <w:rFonts w:hint="eastAsia"/>
                <w:color w:val="auto"/>
                <w:sz w:val="24"/>
                <w:szCs w:val="24"/>
                <w:lang w:eastAsia="zh-CN"/>
              </w:rPr>
              <w:t>中和+物化沉淀+过滤+水解酸化+接触好氧+MBR</w:t>
            </w:r>
            <w:r>
              <w:rPr>
                <w:color w:val="auto"/>
                <w:sz w:val="24"/>
                <w:szCs w:val="24"/>
              </w:rPr>
              <w:t>”</w:t>
            </w:r>
            <w:r>
              <w:rPr>
                <w:rFonts w:hint="eastAsia"/>
                <w:color w:val="auto"/>
                <w:sz w:val="24"/>
                <w:szCs w:val="24"/>
              </w:rPr>
              <w:t>属于可行技术中的“沉淀、过滤</w:t>
            </w:r>
            <w:r>
              <w:rPr>
                <w:rFonts w:hint="eastAsia"/>
                <w:color w:val="auto"/>
                <w:sz w:val="24"/>
                <w:szCs w:val="24"/>
                <w:lang w:eastAsia="zh-CN"/>
              </w:rPr>
              <w:t>、</w:t>
            </w:r>
            <w:r>
              <w:rPr>
                <w:rFonts w:hint="eastAsia"/>
                <w:color w:val="auto"/>
                <w:sz w:val="24"/>
                <w:szCs w:val="24"/>
                <w:lang w:val="en-US" w:eastAsia="zh-CN"/>
              </w:rPr>
              <w:t>水解酸化、</w:t>
            </w:r>
            <w:r>
              <w:rPr>
                <w:rFonts w:hint="eastAsia"/>
                <w:color w:val="auto"/>
                <w:sz w:val="24"/>
                <w:szCs w:val="24"/>
              </w:rPr>
              <w:t>膜生物反应器（</w:t>
            </w:r>
            <w:r>
              <w:rPr>
                <w:color w:val="auto"/>
                <w:sz w:val="24"/>
                <w:szCs w:val="24"/>
              </w:rPr>
              <w:t>MBR</w:t>
            </w:r>
            <w:r>
              <w:rPr>
                <w:rFonts w:hint="eastAsia"/>
                <w:color w:val="auto"/>
                <w:sz w:val="24"/>
                <w:szCs w:val="24"/>
              </w:rPr>
              <w:t>）”。</w:t>
            </w:r>
            <w:r>
              <w:rPr>
                <w:color w:val="auto"/>
                <w:sz w:val="24"/>
                <w:szCs w:val="24"/>
              </w:rPr>
              <w:t>因此本项目采用的废水环保处理措施是属于可行技术。</w:t>
            </w:r>
          </w:p>
          <w:p w14:paraId="4A3EE825">
            <w:pPr>
              <w:widowControl w:val="0"/>
              <w:adjustRightInd w:val="0"/>
              <w:snapToGrid w:val="0"/>
              <w:spacing w:line="360" w:lineRule="auto"/>
              <w:ind w:firstLine="482" w:firstLineChars="200"/>
              <w:jc w:val="both"/>
              <w:rPr>
                <w:b/>
                <w:bCs/>
                <w:color w:val="auto"/>
                <w:kern w:val="0"/>
                <w:sz w:val="24"/>
              </w:rPr>
            </w:pPr>
            <w:r>
              <w:rPr>
                <w:rFonts w:hint="eastAsia"/>
                <w:b/>
                <w:bCs/>
                <w:color w:val="auto"/>
                <w:kern w:val="0"/>
                <w:sz w:val="24"/>
              </w:rPr>
              <w:t>3</w:t>
            </w:r>
            <w:r>
              <w:rPr>
                <w:b/>
                <w:bCs/>
                <w:color w:val="auto"/>
                <w:kern w:val="0"/>
                <w:sz w:val="24"/>
              </w:rPr>
              <w:t>、废水污染源监测计划</w:t>
            </w:r>
          </w:p>
          <w:p w14:paraId="6A5CACE7">
            <w:pPr>
              <w:spacing w:line="360" w:lineRule="auto"/>
              <w:ind w:firstLine="480" w:firstLineChars="200"/>
              <w:rPr>
                <w:color w:val="auto"/>
                <w:kern w:val="0"/>
                <w:sz w:val="24"/>
                <w:lang w:bidi="ar"/>
              </w:rPr>
            </w:pPr>
            <w:r>
              <w:rPr>
                <w:color w:val="auto"/>
                <w:sz w:val="24"/>
              </w:rPr>
              <w:t>按照《排污许可申请与核发技术规范 总则》（HJ942-2018）、《排污单位自行监测技术指南 总则》（HJ819-2017）、《排污单位自行监测技术指南 涂装》（HJ1086-2020）</w:t>
            </w:r>
            <w:r>
              <w:rPr>
                <w:rFonts w:hint="eastAsia"/>
                <w:color w:val="auto"/>
                <w:sz w:val="24"/>
              </w:rPr>
              <w:t>、</w:t>
            </w:r>
            <w:r>
              <w:rPr>
                <w:color w:val="auto"/>
                <w:sz w:val="24"/>
              </w:rPr>
              <w:t xml:space="preserve">《排污许可证申请与核发技术规范 </w:t>
            </w:r>
            <w:r>
              <w:rPr>
                <w:rFonts w:hint="eastAsia"/>
                <w:color w:val="auto"/>
                <w:sz w:val="24"/>
              </w:rPr>
              <w:t>水处理通用工序</w:t>
            </w:r>
            <w:r>
              <w:rPr>
                <w:color w:val="auto"/>
                <w:sz w:val="24"/>
              </w:rPr>
              <w:t>》（HJ</w:t>
            </w:r>
            <w:r>
              <w:rPr>
                <w:rFonts w:hint="eastAsia"/>
                <w:color w:val="auto"/>
                <w:sz w:val="24"/>
              </w:rPr>
              <w:t>1120</w:t>
            </w:r>
            <w:r>
              <w:rPr>
                <w:color w:val="auto"/>
                <w:sz w:val="24"/>
              </w:rPr>
              <w:t>-20</w:t>
            </w:r>
            <w:r>
              <w:rPr>
                <w:rFonts w:hint="eastAsia"/>
                <w:color w:val="auto"/>
                <w:sz w:val="24"/>
              </w:rPr>
              <w:t>20</w:t>
            </w:r>
            <w:r>
              <w:rPr>
                <w:color w:val="auto"/>
                <w:sz w:val="24"/>
              </w:rPr>
              <w:t>）等要求，</w:t>
            </w:r>
            <w:r>
              <w:rPr>
                <w:color w:val="auto"/>
                <w:kern w:val="0"/>
                <w:sz w:val="24"/>
                <w:lang w:bidi="ar"/>
              </w:rPr>
              <w:t>并结合项目运营期间污染物排放特点，制定本项目的污染源监测计划，建议建设单位按监测计划实施。监测分析方法按照现行国家、部颁标准和有关规定执行。</w:t>
            </w:r>
          </w:p>
          <w:p w14:paraId="4DDEB0F4">
            <w:pPr>
              <w:ind w:left="21" w:leftChars="10" w:right="21" w:rightChars="10" w:firstLine="465"/>
              <w:jc w:val="center"/>
              <w:rPr>
                <w:b/>
                <w:color w:val="auto"/>
                <w:szCs w:val="21"/>
              </w:rPr>
            </w:pPr>
            <w:r>
              <w:rPr>
                <w:b/>
                <w:color w:val="auto"/>
                <w:szCs w:val="21"/>
              </w:rPr>
              <w:t>表4-</w:t>
            </w:r>
            <w:r>
              <w:rPr>
                <w:rFonts w:hint="eastAsia"/>
                <w:b/>
                <w:color w:val="auto"/>
                <w:szCs w:val="21"/>
              </w:rPr>
              <w:t>1</w:t>
            </w:r>
            <w:r>
              <w:rPr>
                <w:rFonts w:hint="eastAsia"/>
                <w:b/>
                <w:color w:val="auto"/>
                <w:szCs w:val="21"/>
                <w:lang w:val="en-US" w:eastAsia="zh-CN"/>
              </w:rPr>
              <w:t>5</w:t>
            </w:r>
            <w:r>
              <w:rPr>
                <w:b/>
                <w:color w:val="auto"/>
                <w:szCs w:val="21"/>
              </w:rPr>
              <w:t>本项目</w:t>
            </w:r>
            <w:r>
              <w:rPr>
                <w:rFonts w:hint="eastAsia"/>
                <w:b/>
                <w:color w:val="auto"/>
                <w:szCs w:val="21"/>
                <w:lang w:val="en-US" w:eastAsia="zh-CN"/>
              </w:rPr>
              <w:t>的</w:t>
            </w:r>
            <w:r>
              <w:rPr>
                <w:b/>
                <w:color w:val="auto"/>
                <w:szCs w:val="21"/>
              </w:rPr>
              <w:t>废水监测内容一览表</w:t>
            </w:r>
          </w:p>
          <w:tbl>
            <w:tblPr>
              <w:tblStyle w:val="42"/>
              <w:tblW w:w="9543"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533"/>
              <w:gridCol w:w="858"/>
              <w:gridCol w:w="757"/>
              <w:gridCol w:w="1151"/>
              <w:gridCol w:w="733"/>
              <w:gridCol w:w="684"/>
              <w:gridCol w:w="766"/>
              <w:gridCol w:w="4061"/>
            </w:tblGrid>
            <w:tr w14:paraId="1291F19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vAlign w:val="center"/>
                </w:tcPr>
                <w:p w14:paraId="73374CFE">
                  <w:pPr>
                    <w:ind w:left="21" w:leftChars="10" w:right="21" w:rightChars="10"/>
                    <w:jc w:val="center"/>
                    <w:rPr>
                      <w:b/>
                      <w:color w:val="auto"/>
                      <w:szCs w:val="21"/>
                    </w:rPr>
                  </w:pPr>
                  <w:r>
                    <w:rPr>
                      <w:b/>
                      <w:color w:val="auto"/>
                      <w:szCs w:val="21"/>
                    </w:rPr>
                    <w:t>序号</w:t>
                  </w:r>
                </w:p>
              </w:tc>
              <w:tc>
                <w:tcPr>
                  <w:tcW w:w="858" w:type="dxa"/>
                  <w:vAlign w:val="center"/>
                </w:tcPr>
                <w:p w14:paraId="2B919806">
                  <w:pPr>
                    <w:ind w:left="21" w:leftChars="10" w:right="21" w:rightChars="10"/>
                    <w:jc w:val="center"/>
                    <w:rPr>
                      <w:b/>
                      <w:color w:val="auto"/>
                      <w:szCs w:val="21"/>
                    </w:rPr>
                  </w:pPr>
                  <w:r>
                    <w:rPr>
                      <w:b/>
                      <w:color w:val="auto"/>
                      <w:szCs w:val="21"/>
                    </w:rPr>
                    <w:t>排放口编号</w:t>
                  </w:r>
                </w:p>
              </w:tc>
              <w:tc>
                <w:tcPr>
                  <w:tcW w:w="757" w:type="dxa"/>
                  <w:vAlign w:val="center"/>
                </w:tcPr>
                <w:p w14:paraId="0B81D974">
                  <w:pPr>
                    <w:ind w:left="21" w:leftChars="10" w:right="21" w:rightChars="10"/>
                    <w:jc w:val="center"/>
                    <w:rPr>
                      <w:b/>
                      <w:color w:val="auto"/>
                      <w:szCs w:val="21"/>
                    </w:rPr>
                  </w:pPr>
                  <w:r>
                    <w:rPr>
                      <w:b/>
                      <w:color w:val="auto"/>
                      <w:szCs w:val="21"/>
                    </w:rPr>
                    <w:t>监测类型</w:t>
                  </w:r>
                </w:p>
              </w:tc>
              <w:tc>
                <w:tcPr>
                  <w:tcW w:w="1151" w:type="dxa"/>
                  <w:vAlign w:val="center"/>
                </w:tcPr>
                <w:p w14:paraId="0F7FDE42">
                  <w:pPr>
                    <w:ind w:left="21" w:leftChars="10" w:right="21" w:rightChars="10"/>
                    <w:jc w:val="center"/>
                    <w:rPr>
                      <w:b/>
                      <w:color w:val="auto"/>
                      <w:szCs w:val="21"/>
                    </w:rPr>
                  </w:pPr>
                  <w:r>
                    <w:rPr>
                      <w:b/>
                      <w:color w:val="auto"/>
                      <w:szCs w:val="21"/>
                    </w:rPr>
                    <w:t>污染物名称</w:t>
                  </w:r>
                </w:p>
              </w:tc>
              <w:tc>
                <w:tcPr>
                  <w:tcW w:w="733" w:type="dxa"/>
                  <w:vAlign w:val="center"/>
                </w:tcPr>
                <w:p w14:paraId="377E3669">
                  <w:pPr>
                    <w:ind w:left="21" w:leftChars="10" w:right="21" w:rightChars="10"/>
                    <w:jc w:val="center"/>
                    <w:rPr>
                      <w:b/>
                      <w:color w:val="auto"/>
                      <w:szCs w:val="21"/>
                    </w:rPr>
                  </w:pPr>
                  <w:r>
                    <w:rPr>
                      <w:b/>
                      <w:color w:val="auto"/>
                      <w:szCs w:val="21"/>
                    </w:rPr>
                    <w:t>监测频次</w:t>
                  </w:r>
                </w:p>
              </w:tc>
              <w:tc>
                <w:tcPr>
                  <w:tcW w:w="684" w:type="dxa"/>
                  <w:vAlign w:val="center"/>
                </w:tcPr>
                <w:p w14:paraId="7FFA28F7">
                  <w:pPr>
                    <w:ind w:left="21" w:leftChars="10" w:right="21" w:rightChars="10"/>
                    <w:jc w:val="center"/>
                    <w:rPr>
                      <w:b/>
                      <w:color w:val="auto"/>
                      <w:szCs w:val="21"/>
                    </w:rPr>
                  </w:pPr>
                  <w:r>
                    <w:rPr>
                      <w:b/>
                      <w:color w:val="auto"/>
                      <w:szCs w:val="21"/>
                    </w:rPr>
                    <w:t>监测点</w:t>
                  </w:r>
                </w:p>
              </w:tc>
              <w:tc>
                <w:tcPr>
                  <w:tcW w:w="766" w:type="dxa"/>
                  <w:vAlign w:val="center"/>
                </w:tcPr>
                <w:p w14:paraId="3B028F3B">
                  <w:pPr>
                    <w:ind w:left="21" w:leftChars="10" w:right="21" w:rightChars="10"/>
                    <w:jc w:val="center"/>
                    <w:rPr>
                      <w:b/>
                      <w:color w:val="auto"/>
                      <w:szCs w:val="21"/>
                    </w:rPr>
                  </w:pPr>
                  <w:r>
                    <w:rPr>
                      <w:b/>
                      <w:color w:val="auto"/>
                      <w:szCs w:val="21"/>
                    </w:rPr>
                    <w:t>监测单位</w:t>
                  </w:r>
                </w:p>
              </w:tc>
              <w:tc>
                <w:tcPr>
                  <w:tcW w:w="4061" w:type="dxa"/>
                  <w:vAlign w:val="center"/>
                </w:tcPr>
                <w:p w14:paraId="6C3D9BE1">
                  <w:pPr>
                    <w:ind w:left="21" w:leftChars="10" w:right="21" w:rightChars="10"/>
                    <w:jc w:val="center"/>
                    <w:rPr>
                      <w:b/>
                      <w:color w:val="auto"/>
                      <w:szCs w:val="21"/>
                    </w:rPr>
                  </w:pPr>
                  <w:r>
                    <w:rPr>
                      <w:b/>
                      <w:color w:val="auto"/>
                      <w:szCs w:val="21"/>
                    </w:rPr>
                    <w:t>处理后执行标准</w:t>
                  </w:r>
                </w:p>
              </w:tc>
            </w:tr>
            <w:tr w14:paraId="62ACF87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dxa"/>
                  <w:vAlign w:val="center"/>
                </w:tcPr>
                <w:p w14:paraId="03EDE23C">
                  <w:pPr>
                    <w:ind w:left="21" w:leftChars="10" w:right="21" w:rightChars="10"/>
                    <w:jc w:val="center"/>
                    <w:rPr>
                      <w:color w:val="auto"/>
                      <w:szCs w:val="21"/>
                    </w:rPr>
                  </w:pPr>
                  <w:r>
                    <w:rPr>
                      <w:color w:val="auto"/>
                      <w:szCs w:val="21"/>
                    </w:rPr>
                    <w:t>1</w:t>
                  </w:r>
                </w:p>
              </w:tc>
              <w:tc>
                <w:tcPr>
                  <w:tcW w:w="858" w:type="dxa"/>
                  <w:vAlign w:val="center"/>
                </w:tcPr>
                <w:p w14:paraId="580CC9FF">
                  <w:pPr>
                    <w:ind w:left="21" w:leftChars="10" w:right="21" w:rightChars="10"/>
                    <w:jc w:val="center"/>
                    <w:rPr>
                      <w:rFonts w:hint="eastAsia" w:eastAsia="宋体"/>
                      <w:color w:val="auto"/>
                      <w:szCs w:val="21"/>
                      <w:lang w:eastAsia="zh-CN"/>
                    </w:rPr>
                  </w:pPr>
                  <w:r>
                    <w:rPr>
                      <w:color w:val="auto"/>
                      <w:szCs w:val="21"/>
                    </w:rPr>
                    <w:t>DW00</w:t>
                  </w:r>
                  <w:r>
                    <w:rPr>
                      <w:rFonts w:hint="eastAsia"/>
                      <w:color w:val="auto"/>
                      <w:szCs w:val="21"/>
                      <w:lang w:val="en-US" w:eastAsia="zh-CN"/>
                    </w:rPr>
                    <w:t>1</w:t>
                  </w:r>
                </w:p>
              </w:tc>
              <w:tc>
                <w:tcPr>
                  <w:tcW w:w="757" w:type="dxa"/>
                  <w:vAlign w:val="center"/>
                </w:tcPr>
                <w:p w14:paraId="7DAE304C">
                  <w:pPr>
                    <w:ind w:left="21" w:leftChars="10" w:right="21" w:rightChars="10"/>
                    <w:jc w:val="center"/>
                    <w:rPr>
                      <w:color w:val="auto"/>
                      <w:szCs w:val="21"/>
                    </w:rPr>
                  </w:pPr>
                  <w:r>
                    <w:rPr>
                      <w:rFonts w:hint="eastAsia"/>
                      <w:color w:val="auto"/>
                      <w:szCs w:val="21"/>
                    </w:rPr>
                    <w:t>生产</w:t>
                  </w:r>
                  <w:r>
                    <w:rPr>
                      <w:color w:val="auto"/>
                      <w:szCs w:val="21"/>
                    </w:rPr>
                    <w:t>废水</w:t>
                  </w:r>
                </w:p>
              </w:tc>
              <w:tc>
                <w:tcPr>
                  <w:tcW w:w="1151" w:type="dxa"/>
                  <w:vAlign w:val="center"/>
                </w:tcPr>
                <w:p w14:paraId="1E7FCCB2">
                  <w:pPr>
                    <w:ind w:left="21" w:leftChars="10" w:right="21" w:rightChars="10"/>
                    <w:jc w:val="center"/>
                    <w:rPr>
                      <w:rFonts w:hint="default" w:eastAsia="宋体"/>
                      <w:color w:val="auto"/>
                      <w:sz w:val="21"/>
                      <w:szCs w:val="21"/>
                      <w:lang w:val="en-US" w:eastAsia="zh-CN"/>
                    </w:rPr>
                  </w:pPr>
                  <w:r>
                    <w:rPr>
                      <w:color w:val="auto"/>
                      <w:sz w:val="21"/>
                      <w:szCs w:val="21"/>
                    </w:rPr>
                    <w:t>pH、COD</w:t>
                  </w:r>
                  <w:r>
                    <w:rPr>
                      <w:color w:val="auto"/>
                      <w:sz w:val="21"/>
                      <w:szCs w:val="21"/>
                      <w:vertAlign w:val="subscript"/>
                    </w:rPr>
                    <w:t>Cr</w:t>
                  </w:r>
                  <w:r>
                    <w:rPr>
                      <w:color w:val="auto"/>
                      <w:sz w:val="21"/>
                      <w:szCs w:val="21"/>
                    </w:rPr>
                    <w:t>、BOD</w:t>
                  </w:r>
                  <w:r>
                    <w:rPr>
                      <w:color w:val="auto"/>
                      <w:sz w:val="21"/>
                      <w:szCs w:val="21"/>
                      <w:vertAlign w:val="subscript"/>
                    </w:rPr>
                    <w:t>5</w:t>
                  </w:r>
                  <w:r>
                    <w:rPr>
                      <w:color w:val="auto"/>
                      <w:sz w:val="21"/>
                      <w:szCs w:val="21"/>
                    </w:rPr>
                    <w:t>、SS、氨氮、总磷、总氮</w:t>
                  </w:r>
                  <w:r>
                    <w:rPr>
                      <w:rFonts w:hint="eastAsia"/>
                      <w:color w:val="auto"/>
                      <w:sz w:val="21"/>
                      <w:szCs w:val="21"/>
                      <w:lang w:eastAsia="zh-CN"/>
                    </w:rPr>
                    <w:t>、</w:t>
                  </w:r>
                  <w:r>
                    <w:rPr>
                      <w:rFonts w:hint="eastAsia"/>
                      <w:color w:val="auto"/>
                      <w:sz w:val="21"/>
                      <w:szCs w:val="21"/>
                      <w:lang w:val="en-US" w:eastAsia="zh-CN"/>
                    </w:rPr>
                    <w:t>总铝</w:t>
                  </w:r>
                </w:p>
              </w:tc>
              <w:tc>
                <w:tcPr>
                  <w:tcW w:w="733" w:type="dxa"/>
                  <w:vAlign w:val="center"/>
                </w:tcPr>
                <w:p w14:paraId="27DC9086">
                  <w:pPr>
                    <w:ind w:left="21" w:leftChars="10" w:right="21" w:rightChars="10"/>
                    <w:jc w:val="center"/>
                    <w:rPr>
                      <w:color w:val="auto"/>
                      <w:sz w:val="21"/>
                      <w:szCs w:val="21"/>
                    </w:rPr>
                  </w:pPr>
                  <w:r>
                    <w:rPr>
                      <w:color w:val="auto"/>
                      <w:kern w:val="0"/>
                      <w:sz w:val="21"/>
                      <w:szCs w:val="21"/>
                    </w:rPr>
                    <w:t>每</w:t>
                  </w:r>
                  <w:r>
                    <w:rPr>
                      <w:rFonts w:hint="eastAsia"/>
                      <w:color w:val="auto"/>
                      <w:kern w:val="0"/>
                      <w:sz w:val="21"/>
                      <w:szCs w:val="21"/>
                      <w:lang w:val="en-US" w:eastAsia="zh-CN"/>
                    </w:rPr>
                    <w:t>半年</w:t>
                  </w:r>
                  <w:r>
                    <w:rPr>
                      <w:color w:val="auto"/>
                      <w:kern w:val="0"/>
                      <w:sz w:val="21"/>
                      <w:szCs w:val="21"/>
                    </w:rPr>
                    <w:t>1次</w:t>
                  </w:r>
                </w:p>
              </w:tc>
              <w:tc>
                <w:tcPr>
                  <w:tcW w:w="684" w:type="dxa"/>
                  <w:vAlign w:val="center"/>
                </w:tcPr>
                <w:p w14:paraId="53A11F93">
                  <w:pPr>
                    <w:ind w:left="21" w:leftChars="10" w:right="21" w:rightChars="10"/>
                    <w:jc w:val="center"/>
                    <w:rPr>
                      <w:color w:val="auto"/>
                      <w:sz w:val="21"/>
                      <w:szCs w:val="21"/>
                    </w:rPr>
                  </w:pPr>
                  <w:r>
                    <w:rPr>
                      <w:color w:val="auto"/>
                      <w:sz w:val="21"/>
                      <w:szCs w:val="21"/>
                    </w:rPr>
                    <w:t>废水排放口</w:t>
                  </w:r>
                </w:p>
              </w:tc>
              <w:tc>
                <w:tcPr>
                  <w:tcW w:w="766" w:type="dxa"/>
                  <w:vAlign w:val="center"/>
                </w:tcPr>
                <w:p w14:paraId="67451B66">
                  <w:pPr>
                    <w:ind w:left="21" w:leftChars="10" w:right="21" w:rightChars="10"/>
                    <w:jc w:val="center"/>
                    <w:rPr>
                      <w:color w:val="auto"/>
                      <w:sz w:val="21"/>
                      <w:szCs w:val="21"/>
                    </w:rPr>
                  </w:pPr>
                  <w:r>
                    <w:rPr>
                      <w:color w:val="auto"/>
                      <w:sz w:val="21"/>
                      <w:szCs w:val="21"/>
                    </w:rPr>
                    <w:t>委托第三方监测单位</w:t>
                  </w:r>
                </w:p>
              </w:tc>
              <w:tc>
                <w:tcPr>
                  <w:tcW w:w="4061" w:type="dxa"/>
                  <w:vAlign w:val="center"/>
                </w:tcPr>
                <w:p w14:paraId="6138FF74">
                  <w:pPr>
                    <w:ind w:left="21" w:leftChars="10" w:right="21" w:rightChars="10"/>
                    <w:jc w:val="center"/>
                    <w:rPr>
                      <w:color w:val="auto"/>
                      <w:sz w:val="21"/>
                      <w:szCs w:val="21"/>
                    </w:rPr>
                  </w:pPr>
                  <w:r>
                    <w:rPr>
                      <w:color w:val="auto"/>
                      <w:sz w:val="21"/>
                      <w:szCs w:val="21"/>
                    </w:rPr>
                    <w:t>广东省《水污染物排放限值》（DB44/26-2001）第二时段</w:t>
                  </w:r>
                  <w:r>
                    <w:rPr>
                      <w:rFonts w:hint="eastAsia"/>
                      <w:color w:val="auto"/>
                      <w:sz w:val="21"/>
                      <w:szCs w:val="21"/>
                    </w:rPr>
                    <w:t>一级标准及</w:t>
                  </w:r>
                  <w:r>
                    <w:rPr>
                      <w:rFonts w:hint="eastAsia" w:ascii="Times New Roman" w:hAnsi="Times New Roman" w:eastAsia="宋体" w:cs="Times New Roman"/>
                      <w:color w:val="auto"/>
                      <w:sz w:val="21"/>
                      <w:szCs w:val="21"/>
                      <w:lang w:val="en-US" w:eastAsia="zh-CN"/>
                    </w:rPr>
                    <w:t>广东省地方标准《电镀水污染物排放标准》（DB/441597-2015）表2新建项目非珠三角水污染物排放限值（其中化学需氧量、悬浮物、氨氮、总磷、总氮、总铝等六项指标按照表</w:t>
                  </w: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非珠三角排放限值的</w:t>
                  </w:r>
                  <w:r>
                    <w:rPr>
                      <w:rFonts w:hint="default" w:ascii="Times New Roman" w:hAnsi="Times New Roman" w:eastAsia="宋体" w:cs="Times New Roman"/>
                      <w:color w:val="auto"/>
                      <w:sz w:val="21"/>
                      <w:szCs w:val="21"/>
                      <w:lang w:val="en-US" w:eastAsia="zh-CN"/>
                    </w:rPr>
                    <w:t>200%</w:t>
                  </w:r>
                  <w:r>
                    <w:rPr>
                      <w:rFonts w:hint="eastAsia" w:ascii="Times New Roman" w:hAnsi="Times New Roman" w:eastAsia="宋体" w:cs="Times New Roman"/>
                      <w:color w:val="auto"/>
                      <w:sz w:val="21"/>
                      <w:szCs w:val="21"/>
                      <w:lang w:val="en-US" w:eastAsia="zh-CN"/>
                    </w:rPr>
                    <w:t>执行）</w:t>
                  </w:r>
                  <w:r>
                    <w:rPr>
                      <w:rFonts w:hint="eastAsia"/>
                      <w:color w:val="auto"/>
                      <w:spacing w:val="4"/>
                      <w:sz w:val="21"/>
                      <w:szCs w:val="21"/>
                    </w:rPr>
                    <w:t>较严值</w:t>
                  </w:r>
                </w:p>
              </w:tc>
            </w:tr>
          </w:tbl>
          <w:p w14:paraId="20C468E3">
            <w:pPr>
              <w:widowControl w:val="0"/>
              <w:adjustRightInd w:val="0"/>
              <w:snapToGrid w:val="0"/>
              <w:spacing w:line="360" w:lineRule="auto"/>
              <w:ind w:firstLine="482" w:firstLineChars="200"/>
              <w:jc w:val="both"/>
              <w:rPr>
                <w:b/>
                <w:bCs/>
                <w:color w:val="auto"/>
                <w:kern w:val="0"/>
                <w:sz w:val="24"/>
              </w:rPr>
            </w:pPr>
            <w:r>
              <w:rPr>
                <w:b/>
                <w:bCs/>
                <w:color w:val="auto"/>
                <w:kern w:val="0"/>
                <w:sz w:val="24"/>
              </w:rPr>
              <w:t>（三）噪声</w:t>
            </w:r>
          </w:p>
          <w:p w14:paraId="29F891C6">
            <w:pPr>
              <w:widowControl w:val="0"/>
              <w:adjustRightInd w:val="0"/>
              <w:snapToGrid w:val="0"/>
              <w:spacing w:line="360" w:lineRule="auto"/>
              <w:ind w:firstLine="482" w:firstLineChars="200"/>
              <w:jc w:val="both"/>
              <w:rPr>
                <w:b/>
                <w:bCs/>
                <w:color w:val="auto"/>
                <w:kern w:val="0"/>
                <w:sz w:val="24"/>
              </w:rPr>
            </w:pPr>
            <w:r>
              <w:rPr>
                <w:b/>
                <w:bCs/>
                <w:color w:val="auto"/>
                <w:kern w:val="0"/>
                <w:sz w:val="24"/>
              </w:rPr>
              <w:t>1、噪声污染物排放源强</w:t>
            </w:r>
          </w:p>
          <w:p w14:paraId="3FFD3372">
            <w:pPr>
              <w:widowControl w:val="0"/>
              <w:adjustRightInd w:val="0"/>
              <w:snapToGrid w:val="0"/>
              <w:spacing w:line="360" w:lineRule="auto"/>
              <w:ind w:firstLine="480" w:firstLineChars="200"/>
              <w:jc w:val="both"/>
              <w:rPr>
                <w:color w:val="auto"/>
                <w:kern w:val="0"/>
                <w:sz w:val="24"/>
              </w:rPr>
            </w:pPr>
            <w:r>
              <w:rPr>
                <w:color w:val="auto"/>
                <w:kern w:val="0"/>
                <w:sz w:val="24"/>
              </w:rPr>
              <w:t>本项目生产过程中噪声主要来源于生产设备运转，</w:t>
            </w:r>
            <w:r>
              <w:rPr>
                <w:color w:val="auto"/>
                <w:sz w:val="24"/>
              </w:rPr>
              <w:t>根据《实用环境保护数据大全》（第六册）、《机加工行业环境影响评价中常见污染源强估算及污染治理》和类比同类型项目调查分析</w:t>
            </w:r>
            <w:r>
              <w:rPr>
                <w:color w:val="auto"/>
                <w:kern w:val="0"/>
                <w:sz w:val="24"/>
              </w:rPr>
              <w:t>，各主要噪声源源强见下表</w:t>
            </w:r>
            <w:r>
              <w:rPr>
                <w:bCs/>
                <w:snapToGrid w:val="0"/>
                <w:color w:val="auto"/>
                <w:kern w:val="0"/>
                <w:sz w:val="24"/>
              </w:rPr>
              <w:t>，</w:t>
            </w:r>
            <w:r>
              <w:rPr>
                <w:color w:val="auto"/>
                <w:kern w:val="0"/>
                <w:sz w:val="24"/>
              </w:rPr>
              <w:t>噪声源强为60~</w:t>
            </w:r>
            <w:r>
              <w:rPr>
                <w:rFonts w:hint="eastAsia"/>
                <w:color w:val="auto"/>
                <w:kern w:val="0"/>
                <w:sz w:val="24"/>
                <w:lang w:val="en-US" w:eastAsia="zh-CN"/>
              </w:rPr>
              <w:t>7</w:t>
            </w:r>
            <w:r>
              <w:rPr>
                <w:color w:val="auto"/>
                <w:kern w:val="0"/>
                <w:sz w:val="24"/>
              </w:rPr>
              <w:t>5dB（A）。</w:t>
            </w:r>
            <w:r>
              <w:rPr>
                <w:color w:val="auto"/>
                <w:sz w:val="24"/>
              </w:rPr>
              <w:t>根据《噪声与振动控制工程手册》（机械工业出版社）：墙体隔声效果可以达到10~40dB（A），加装减振底座的降噪量在5~8dB（A）；本评价取基础减振降噪效果为6.5dB（A），墙体隔声的降噪效果为25dB（A）</w:t>
            </w:r>
            <w:r>
              <w:rPr>
                <w:color w:val="auto"/>
                <w:kern w:val="0"/>
                <w:sz w:val="24"/>
              </w:rPr>
              <w:t>，综合取31.5dB（A）。正常工况下，各噪声声源源强详见下表：</w:t>
            </w:r>
          </w:p>
          <w:p w14:paraId="6FAB6012">
            <w:pPr>
              <w:pStyle w:val="32"/>
              <w:snapToGrid w:val="0"/>
              <w:spacing w:after="0" w:line="240" w:lineRule="auto"/>
              <w:ind w:left="0" w:leftChars="0"/>
              <w:jc w:val="center"/>
              <w:rPr>
                <w:b/>
                <w:bCs/>
                <w:color w:val="auto"/>
                <w:sz w:val="21"/>
                <w:szCs w:val="21"/>
              </w:rPr>
            </w:pPr>
            <w:r>
              <w:rPr>
                <w:b/>
                <w:bCs/>
                <w:color w:val="auto"/>
                <w:sz w:val="21"/>
                <w:szCs w:val="21"/>
              </w:rPr>
              <w:t>表4-</w:t>
            </w:r>
            <w:r>
              <w:rPr>
                <w:rFonts w:hint="eastAsia"/>
                <w:b/>
                <w:bCs/>
                <w:color w:val="auto"/>
                <w:sz w:val="21"/>
                <w:szCs w:val="21"/>
              </w:rPr>
              <w:t>1</w:t>
            </w:r>
            <w:r>
              <w:rPr>
                <w:rFonts w:hint="eastAsia"/>
                <w:b/>
                <w:bCs/>
                <w:color w:val="auto"/>
                <w:sz w:val="21"/>
                <w:szCs w:val="21"/>
                <w:lang w:val="en-US" w:eastAsia="zh-CN"/>
              </w:rPr>
              <w:t>6</w:t>
            </w:r>
            <w:r>
              <w:rPr>
                <w:b/>
                <w:bCs/>
                <w:color w:val="auto"/>
                <w:sz w:val="21"/>
                <w:szCs w:val="21"/>
              </w:rPr>
              <w:t xml:space="preserve"> 各设备噪声排放情况一览表</w:t>
            </w:r>
          </w:p>
          <w:tbl>
            <w:tblPr>
              <w:tblStyle w:val="196"/>
              <w:tblW w:w="92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3"/>
              <w:gridCol w:w="999"/>
              <w:gridCol w:w="1125"/>
              <w:gridCol w:w="660"/>
              <w:gridCol w:w="810"/>
              <w:gridCol w:w="600"/>
              <w:gridCol w:w="1185"/>
              <w:gridCol w:w="825"/>
              <w:gridCol w:w="870"/>
              <w:gridCol w:w="660"/>
              <w:gridCol w:w="1064"/>
            </w:tblGrid>
            <w:tr w14:paraId="76296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3" w:type="dxa"/>
                  <w:vMerge w:val="restart"/>
                  <w:tcBorders>
                    <w:right w:val="single" w:color="000000" w:sz="6" w:space="0"/>
                    <w:tl2br w:val="nil"/>
                    <w:tr2bl w:val="nil"/>
                  </w:tcBorders>
                  <w:vAlign w:val="center"/>
                </w:tcPr>
                <w:p w14:paraId="1C919391">
                  <w:pPr>
                    <w:snapToGrid w:val="0"/>
                    <w:spacing w:line="240" w:lineRule="auto"/>
                    <w:jc w:val="center"/>
                    <w:rPr>
                      <w:b/>
                      <w:bCs/>
                      <w:color w:val="auto"/>
                      <w:szCs w:val="21"/>
                    </w:rPr>
                  </w:pPr>
                  <w:r>
                    <w:rPr>
                      <w:b/>
                      <w:bCs/>
                      <w:color w:val="auto"/>
                      <w:szCs w:val="21"/>
                    </w:rPr>
                    <w:t>序号</w:t>
                  </w:r>
                </w:p>
              </w:tc>
              <w:tc>
                <w:tcPr>
                  <w:tcW w:w="999" w:type="dxa"/>
                  <w:vMerge w:val="restart"/>
                  <w:tcBorders>
                    <w:left w:val="single" w:color="000000" w:sz="6" w:space="0"/>
                    <w:tl2br w:val="nil"/>
                    <w:tr2bl w:val="nil"/>
                  </w:tcBorders>
                  <w:vAlign w:val="center"/>
                </w:tcPr>
                <w:p w14:paraId="17D6F36D">
                  <w:pPr>
                    <w:snapToGrid w:val="0"/>
                    <w:spacing w:line="240" w:lineRule="auto"/>
                    <w:jc w:val="center"/>
                    <w:rPr>
                      <w:b/>
                      <w:bCs/>
                      <w:color w:val="auto"/>
                      <w:szCs w:val="21"/>
                    </w:rPr>
                  </w:pPr>
                  <w:r>
                    <w:rPr>
                      <w:b/>
                      <w:bCs/>
                      <w:color w:val="auto"/>
                      <w:szCs w:val="21"/>
                    </w:rPr>
                    <w:t>工序</w:t>
                  </w:r>
                </w:p>
              </w:tc>
              <w:tc>
                <w:tcPr>
                  <w:tcW w:w="1125" w:type="dxa"/>
                  <w:vMerge w:val="restart"/>
                  <w:tcBorders>
                    <w:right w:val="single" w:color="000000" w:sz="6" w:space="0"/>
                    <w:tl2br w:val="nil"/>
                    <w:tr2bl w:val="nil"/>
                  </w:tcBorders>
                  <w:vAlign w:val="center"/>
                </w:tcPr>
                <w:p w14:paraId="2C455698">
                  <w:pPr>
                    <w:snapToGrid w:val="0"/>
                    <w:spacing w:line="240" w:lineRule="auto"/>
                    <w:jc w:val="center"/>
                    <w:rPr>
                      <w:b/>
                      <w:bCs/>
                      <w:color w:val="auto"/>
                      <w:szCs w:val="21"/>
                    </w:rPr>
                  </w:pPr>
                  <w:r>
                    <w:rPr>
                      <w:b/>
                      <w:bCs/>
                      <w:color w:val="auto"/>
                      <w:szCs w:val="21"/>
                    </w:rPr>
                    <w:t>设备名称</w:t>
                  </w:r>
                </w:p>
              </w:tc>
              <w:tc>
                <w:tcPr>
                  <w:tcW w:w="660" w:type="dxa"/>
                  <w:vMerge w:val="restart"/>
                  <w:tcBorders>
                    <w:left w:val="single" w:color="000000" w:sz="6" w:space="0"/>
                    <w:tl2br w:val="nil"/>
                    <w:tr2bl w:val="nil"/>
                  </w:tcBorders>
                  <w:vAlign w:val="center"/>
                </w:tcPr>
                <w:p w14:paraId="7B17CF52">
                  <w:pPr>
                    <w:snapToGrid w:val="0"/>
                    <w:spacing w:line="240" w:lineRule="auto"/>
                    <w:jc w:val="center"/>
                    <w:rPr>
                      <w:b/>
                      <w:bCs/>
                      <w:color w:val="auto"/>
                      <w:szCs w:val="21"/>
                    </w:rPr>
                  </w:pPr>
                  <w:r>
                    <w:rPr>
                      <w:b/>
                      <w:bCs/>
                      <w:color w:val="auto"/>
                      <w:szCs w:val="21"/>
                    </w:rPr>
                    <w:t>数量</w:t>
                  </w:r>
                </w:p>
              </w:tc>
              <w:tc>
                <w:tcPr>
                  <w:tcW w:w="810" w:type="dxa"/>
                  <w:vMerge w:val="restart"/>
                  <w:tcBorders>
                    <w:tl2br w:val="nil"/>
                    <w:tr2bl w:val="nil"/>
                  </w:tcBorders>
                  <w:vAlign w:val="center"/>
                </w:tcPr>
                <w:p w14:paraId="5B796F47">
                  <w:pPr>
                    <w:snapToGrid w:val="0"/>
                    <w:spacing w:line="240" w:lineRule="auto"/>
                    <w:jc w:val="center"/>
                    <w:rPr>
                      <w:b/>
                      <w:bCs/>
                      <w:color w:val="auto"/>
                      <w:szCs w:val="21"/>
                    </w:rPr>
                  </w:pPr>
                  <w:r>
                    <w:rPr>
                      <w:b/>
                      <w:bCs/>
                      <w:color w:val="auto"/>
                      <w:szCs w:val="21"/>
                    </w:rPr>
                    <w:t>声源类型</w:t>
                  </w:r>
                </w:p>
              </w:tc>
              <w:tc>
                <w:tcPr>
                  <w:tcW w:w="2610" w:type="dxa"/>
                  <w:gridSpan w:val="3"/>
                  <w:tcBorders>
                    <w:bottom w:val="single" w:color="000000" w:sz="6" w:space="0"/>
                    <w:tl2br w:val="nil"/>
                    <w:tr2bl w:val="nil"/>
                  </w:tcBorders>
                  <w:vAlign w:val="center"/>
                </w:tcPr>
                <w:p w14:paraId="5CAEE59C">
                  <w:pPr>
                    <w:snapToGrid w:val="0"/>
                    <w:spacing w:line="240" w:lineRule="auto"/>
                    <w:jc w:val="center"/>
                    <w:rPr>
                      <w:b/>
                      <w:bCs/>
                      <w:color w:val="auto"/>
                      <w:szCs w:val="21"/>
                    </w:rPr>
                  </w:pPr>
                  <w:r>
                    <w:rPr>
                      <w:b/>
                      <w:bCs/>
                      <w:color w:val="auto"/>
                      <w:szCs w:val="21"/>
                    </w:rPr>
                    <w:t>噪声源强dB（A）</w:t>
                  </w:r>
                </w:p>
              </w:tc>
              <w:tc>
                <w:tcPr>
                  <w:tcW w:w="870" w:type="dxa"/>
                  <w:vMerge w:val="restart"/>
                  <w:tcBorders>
                    <w:tl2br w:val="nil"/>
                    <w:tr2bl w:val="nil"/>
                  </w:tcBorders>
                  <w:vAlign w:val="center"/>
                </w:tcPr>
                <w:p w14:paraId="3CAB8450">
                  <w:pPr>
                    <w:snapToGrid w:val="0"/>
                    <w:spacing w:line="240" w:lineRule="auto"/>
                    <w:jc w:val="center"/>
                    <w:rPr>
                      <w:b/>
                      <w:bCs/>
                      <w:color w:val="auto"/>
                      <w:szCs w:val="21"/>
                    </w:rPr>
                  </w:pPr>
                  <w:r>
                    <w:rPr>
                      <w:b/>
                      <w:bCs/>
                      <w:color w:val="auto"/>
                      <w:szCs w:val="21"/>
                    </w:rPr>
                    <w:t>措施</w:t>
                  </w:r>
                </w:p>
              </w:tc>
              <w:tc>
                <w:tcPr>
                  <w:tcW w:w="660" w:type="dxa"/>
                  <w:vMerge w:val="restart"/>
                  <w:tcBorders>
                    <w:tl2br w:val="nil"/>
                    <w:tr2bl w:val="nil"/>
                  </w:tcBorders>
                  <w:vAlign w:val="center"/>
                </w:tcPr>
                <w:p w14:paraId="1AFFC775">
                  <w:pPr>
                    <w:snapToGrid w:val="0"/>
                    <w:spacing w:line="240" w:lineRule="auto"/>
                    <w:jc w:val="center"/>
                    <w:rPr>
                      <w:b/>
                      <w:bCs/>
                      <w:color w:val="auto"/>
                      <w:szCs w:val="21"/>
                    </w:rPr>
                  </w:pPr>
                  <w:r>
                    <w:rPr>
                      <w:b/>
                      <w:bCs/>
                      <w:color w:val="auto"/>
                      <w:szCs w:val="21"/>
                    </w:rPr>
                    <w:t>持续时间</w:t>
                  </w:r>
                </w:p>
              </w:tc>
              <w:tc>
                <w:tcPr>
                  <w:tcW w:w="1064" w:type="dxa"/>
                  <w:vMerge w:val="restart"/>
                  <w:tcBorders>
                    <w:tl2br w:val="nil"/>
                    <w:tr2bl w:val="nil"/>
                  </w:tcBorders>
                  <w:vAlign w:val="center"/>
                </w:tcPr>
                <w:p w14:paraId="61939789">
                  <w:pPr>
                    <w:snapToGrid w:val="0"/>
                    <w:spacing w:line="240" w:lineRule="auto"/>
                    <w:jc w:val="center"/>
                    <w:rPr>
                      <w:b/>
                      <w:bCs/>
                      <w:color w:val="auto"/>
                      <w:szCs w:val="21"/>
                    </w:rPr>
                  </w:pPr>
                  <w:r>
                    <w:rPr>
                      <w:b/>
                      <w:bCs/>
                      <w:color w:val="auto"/>
                      <w:szCs w:val="21"/>
                    </w:rPr>
                    <w:t>治理后的排放强度dB（A）</w:t>
                  </w:r>
                </w:p>
              </w:tc>
            </w:tr>
            <w:tr w14:paraId="22368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3" w:type="dxa"/>
                  <w:vMerge w:val="continue"/>
                  <w:tcBorders>
                    <w:bottom w:val="single" w:color="auto" w:sz="4" w:space="0"/>
                    <w:right w:val="single" w:color="000000" w:sz="6" w:space="0"/>
                    <w:tl2br w:val="nil"/>
                    <w:tr2bl w:val="nil"/>
                  </w:tcBorders>
                  <w:vAlign w:val="center"/>
                </w:tcPr>
                <w:p w14:paraId="2C5F40C9">
                  <w:pPr>
                    <w:snapToGrid w:val="0"/>
                    <w:spacing w:line="240" w:lineRule="auto"/>
                    <w:jc w:val="center"/>
                    <w:rPr>
                      <w:b/>
                      <w:bCs/>
                      <w:color w:val="auto"/>
                      <w:szCs w:val="21"/>
                    </w:rPr>
                  </w:pPr>
                </w:p>
              </w:tc>
              <w:tc>
                <w:tcPr>
                  <w:tcW w:w="999" w:type="dxa"/>
                  <w:vMerge w:val="continue"/>
                  <w:tcBorders>
                    <w:left w:val="single" w:color="000000" w:sz="6" w:space="0"/>
                    <w:bottom w:val="single" w:color="auto" w:sz="4" w:space="0"/>
                    <w:tl2br w:val="nil"/>
                    <w:tr2bl w:val="nil"/>
                  </w:tcBorders>
                  <w:vAlign w:val="center"/>
                </w:tcPr>
                <w:p w14:paraId="5D453376">
                  <w:pPr>
                    <w:snapToGrid w:val="0"/>
                    <w:spacing w:line="240" w:lineRule="auto"/>
                    <w:jc w:val="center"/>
                    <w:rPr>
                      <w:b/>
                      <w:bCs/>
                      <w:color w:val="auto"/>
                      <w:szCs w:val="21"/>
                    </w:rPr>
                  </w:pPr>
                </w:p>
              </w:tc>
              <w:tc>
                <w:tcPr>
                  <w:tcW w:w="1125" w:type="dxa"/>
                  <w:vMerge w:val="continue"/>
                  <w:tcBorders>
                    <w:bottom w:val="single" w:color="auto" w:sz="4" w:space="0"/>
                    <w:right w:val="single" w:color="000000" w:sz="6" w:space="0"/>
                    <w:tl2br w:val="nil"/>
                    <w:tr2bl w:val="nil"/>
                  </w:tcBorders>
                  <w:vAlign w:val="center"/>
                </w:tcPr>
                <w:p w14:paraId="42D42AE8">
                  <w:pPr>
                    <w:snapToGrid w:val="0"/>
                    <w:spacing w:line="240" w:lineRule="auto"/>
                    <w:jc w:val="center"/>
                    <w:rPr>
                      <w:b/>
                      <w:bCs/>
                      <w:color w:val="auto"/>
                      <w:szCs w:val="21"/>
                    </w:rPr>
                  </w:pPr>
                </w:p>
              </w:tc>
              <w:tc>
                <w:tcPr>
                  <w:tcW w:w="660" w:type="dxa"/>
                  <w:vMerge w:val="continue"/>
                  <w:tcBorders>
                    <w:left w:val="single" w:color="000000" w:sz="6" w:space="0"/>
                    <w:bottom w:val="single" w:color="auto" w:sz="4" w:space="0"/>
                    <w:tl2br w:val="nil"/>
                    <w:tr2bl w:val="nil"/>
                  </w:tcBorders>
                  <w:vAlign w:val="center"/>
                </w:tcPr>
                <w:p w14:paraId="607ED57B">
                  <w:pPr>
                    <w:snapToGrid w:val="0"/>
                    <w:spacing w:line="240" w:lineRule="auto"/>
                    <w:jc w:val="center"/>
                    <w:rPr>
                      <w:b/>
                      <w:bCs/>
                      <w:color w:val="auto"/>
                      <w:szCs w:val="21"/>
                    </w:rPr>
                  </w:pPr>
                </w:p>
              </w:tc>
              <w:tc>
                <w:tcPr>
                  <w:tcW w:w="810" w:type="dxa"/>
                  <w:vMerge w:val="continue"/>
                  <w:tcBorders>
                    <w:bottom w:val="single" w:color="auto" w:sz="4" w:space="0"/>
                    <w:tl2br w:val="nil"/>
                    <w:tr2bl w:val="nil"/>
                  </w:tcBorders>
                  <w:vAlign w:val="center"/>
                </w:tcPr>
                <w:p w14:paraId="7CD0A94B">
                  <w:pPr>
                    <w:snapToGrid w:val="0"/>
                    <w:spacing w:line="240" w:lineRule="auto"/>
                    <w:jc w:val="center"/>
                    <w:rPr>
                      <w:b/>
                      <w:bCs/>
                      <w:color w:val="auto"/>
                      <w:szCs w:val="21"/>
                    </w:rPr>
                  </w:pPr>
                </w:p>
              </w:tc>
              <w:tc>
                <w:tcPr>
                  <w:tcW w:w="600" w:type="dxa"/>
                  <w:tcBorders>
                    <w:top w:val="single" w:color="000000" w:sz="6" w:space="0"/>
                    <w:bottom w:val="single" w:color="auto" w:sz="4" w:space="0"/>
                    <w:right w:val="single" w:color="000000" w:sz="6" w:space="0"/>
                    <w:tl2br w:val="nil"/>
                    <w:tr2bl w:val="nil"/>
                  </w:tcBorders>
                  <w:vAlign w:val="center"/>
                </w:tcPr>
                <w:p w14:paraId="6BFBABBD">
                  <w:pPr>
                    <w:autoSpaceDE w:val="0"/>
                    <w:autoSpaceDN w:val="0"/>
                    <w:spacing w:line="300" w:lineRule="exact"/>
                    <w:jc w:val="center"/>
                    <w:rPr>
                      <w:b/>
                      <w:bCs/>
                      <w:color w:val="auto"/>
                      <w:szCs w:val="21"/>
                    </w:rPr>
                  </w:pPr>
                  <w:r>
                    <w:rPr>
                      <w:b/>
                      <w:bCs/>
                      <w:color w:val="auto"/>
                      <w:szCs w:val="21"/>
                    </w:rPr>
                    <w:t>核算方法</w:t>
                  </w:r>
                </w:p>
              </w:tc>
              <w:tc>
                <w:tcPr>
                  <w:tcW w:w="1185" w:type="dxa"/>
                  <w:tcBorders>
                    <w:top w:val="single" w:color="000000" w:sz="6" w:space="0"/>
                    <w:left w:val="single" w:color="000000" w:sz="6" w:space="0"/>
                    <w:bottom w:val="single" w:color="auto" w:sz="4" w:space="0"/>
                    <w:tl2br w:val="nil"/>
                    <w:tr2bl w:val="nil"/>
                  </w:tcBorders>
                  <w:vAlign w:val="center"/>
                </w:tcPr>
                <w:p w14:paraId="30F8577D">
                  <w:pPr>
                    <w:adjustRightInd w:val="0"/>
                    <w:snapToGrid w:val="0"/>
                    <w:spacing w:line="300" w:lineRule="exact"/>
                    <w:jc w:val="center"/>
                    <w:rPr>
                      <w:b/>
                      <w:bCs/>
                      <w:color w:val="auto"/>
                      <w:szCs w:val="21"/>
                    </w:rPr>
                  </w:pPr>
                  <w:r>
                    <w:rPr>
                      <w:b/>
                      <w:bCs/>
                      <w:color w:val="auto"/>
                      <w:szCs w:val="21"/>
                    </w:rPr>
                    <w:t>单台治理前1m处声压级</w:t>
                  </w:r>
                </w:p>
              </w:tc>
              <w:tc>
                <w:tcPr>
                  <w:tcW w:w="825" w:type="dxa"/>
                  <w:tcBorders>
                    <w:top w:val="single" w:color="000000" w:sz="6" w:space="0"/>
                    <w:bottom w:val="single" w:color="auto" w:sz="4" w:space="0"/>
                    <w:tl2br w:val="nil"/>
                    <w:tr2bl w:val="nil"/>
                  </w:tcBorders>
                  <w:vAlign w:val="center"/>
                </w:tcPr>
                <w:p w14:paraId="42412A8E">
                  <w:pPr>
                    <w:adjustRightInd w:val="0"/>
                    <w:snapToGrid w:val="0"/>
                    <w:spacing w:line="300" w:lineRule="exact"/>
                    <w:jc w:val="center"/>
                    <w:rPr>
                      <w:b/>
                      <w:bCs/>
                      <w:color w:val="auto"/>
                      <w:szCs w:val="21"/>
                    </w:rPr>
                  </w:pPr>
                  <w:r>
                    <w:rPr>
                      <w:b/>
                      <w:bCs/>
                      <w:color w:val="auto"/>
                      <w:szCs w:val="21"/>
                    </w:rPr>
                    <w:t>噪声叠加值</w:t>
                  </w:r>
                </w:p>
              </w:tc>
              <w:tc>
                <w:tcPr>
                  <w:tcW w:w="870" w:type="dxa"/>
                  <w:vMerge w:val="continue"/>
                  <w:tcBorders>
                    <w:bottom w:val="single" w:color="auto" w:sz="4" w:space="0"/>
                    <w:tl2br w:val="nil"/>
                    <w:tr2bl w:val="nil"/>
                  </w:tcBorders>
                  <w:vAlign w:val="center"/>
                </w:tcPr>
                <w:p w14:paraId="590A62C0">
                  <w:pPr>
                    <w:snapToGrid w:val="0"/>
                    <w:spacing w:line="240" w:lineRule="auto"/>
                    <w:jc w:val="center"/>
                    <w:rPr>
                      <w:b/>
                      <w:bCs/>
                      <w:color w:val="auto"/>
                      <w:szCs w:val="21"/>
                    </w:rPr>
                  </w:pPr>
                </w:p>
              </w:tc>
              <w:tc>
                <w:tcPr>
                  <w:tcW w:w="660" w:type="dxa"/>
                  <w:vMerge w:val="continue"/>
                  <w:tcBorders>
                    <w:bottom w:val="single" w:color="auto" w:sz="4" w:space="0"/>
                    <w:tl2br w:val="nil"/>
                    <w:tr2bl w:val="nil"/>
                  </w:tcBorders>
                  <w:vAlign w:val="center"/>
                </w:tcPr>
                <w:p w14:paraId="7E7B3F6E">
                  <w:pPr>
                    <w:snapToGrid w:val="0"/>
                    <w:spacing w:line="240" w:lineRule="auto"/>
                    <w:jc w:val="center"/>
                    <w:rPr>
                      <w:b/>
                      <w:bCs/>
                      <w:color w:val="auto"/>
                      <w:szCs w:val="21"/>
                    </w:rPr>
                  </w:pPr>
                </w:p>
              </w:tc>
              <w:tc>
                <w:tcPr>
                  <w:tcW w:w="1064" w:type="dxa"/>
                  <w:vMerge w:val="continue"/>
                  <w:tcBorders>
                    <w:bottom w:val="single" w:color="auto" w:sz="4" w:space="0"/>
                    <w:tl2br w:val="nil"/>
                    <w:tr2bl w:val="nil"/>
                  </w:tcBorders>
                  <w:vAlign w:val="center"/>
                </w:tcPr>
                <w:p w14:paraId="593D5D70">
                  <w:pPr>
                    <w:snapToGrid w:val="0"/>
                    <w:spacing w:line="240" w:lineRule="auto"/>
                    <w:jc w:val="center"/>
                    <w:rPr>
                      <w:b/>
                      <w:bCs/>
                      <w:color w:val="auto"/>
                      <w:szCs w:val="21"/>
                    </w:rPr>
                  </w:pPr>
                </w:p>
              </w:tc>
            </w:tr>
            <w:tr w14:paraId="7369D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3" w:type="dxa"/>
                  <w:tcBorders>
                    <w:top w:val="single" w:color="auto" w:sz="4" w:space="0"/>
                    <w:bottom w:val="single" w:color="auto" w:sz="4" w:space="0"/>
                    <w:right w:val="single" w:color="000000" w:sz="6" w:space="0"/>
                    <w:tl2br w:val="nil"/>
                    <w:tr2bl w:val="nil"/>
                  </w:tcBorders>
                  <w:vAlign w:val="center"/>
                </w:tcPr>
                <w:p w14:paraId="2048C35E">
                  <w:pPr>
                    <w:snapToGrid w:val="0"/>
                    <w:spacing w:line="240" w:lineRule="auto"/>
                    <w:jc w:val="center"/>
                    <w:rPr>
                      <w:color w:val="auto"/>
                      <w:szCs w:val="21"/>
                    </w:rPr>
                  </w:pPr>
                  <w:r>
                    <w:rPr>
                      <w:color w:val="auto"/>
                      <w:szCs w:val="21"/>
                    </w:rPr>
                    <w:t>1</w:t>
                  </w:r>
                </w:p>
              </w:tc>
              <w:tc>
                <w:tcPr>
                  <w:tcW w:w="999" w:type="dxa"/>
                  <w:tcBorders>
                    <w:top w:val="single" w:color="auto" w:sz="4" w:space="0"/>
                    <w:left w:val="single" w:color="000000" w:sz="6" w:space="0"/>
                    <w:bottom w:val="single" w:color="auto" w:sz="4" w:space="0"/>
                    <w:tl2br w:val="nil"/>
                    <w:tr2bl w:val="nil"/>
                  </w:tcBorders>
                  <w:vAlign w:val="center"/>
                </w:tcPr>
                <w:p w14:paraId="227BB2C2">
                  <w:pPr>
                    <w:snapToGrid w:val="0"/>
                    <w:spacing w:line="240" w:lineRule="auto"/>
                    <w:jc w:val="center"/>
                    <w:rPr>
                      <w:color w:val="auto"/>
                      <w:szCs w:val="21"/>
                    </w:rPr>
                  </w:pPr>
                  <w:r>
                    <w:rPr>
                      <w:rFonts w:hint="eastAsia"/>
                      <w:color w:val="auto"/>
                      <w:szCs w:val="21"/>
                    </w:rPr>
                    <w:t>电泳漆涂装</w:t>
                  </w:r>
                </w:p>
              </w:tc>
              <w:tc>
                <w:tcPr>
                  <w:tcW w:w="1125" w:type="dxa"/>
                  <w:tcBorders>
                    <w:top w:val="single" w:color="auto" w:sz="4" w:space="0"/>
                    <w:bottom w:val="single" w:color="auto" w:sz="4" w:space="0"/>
                    <w:right w:val="single" w:color="000000" w:sz="6" w:space="0"/>
                    <w:tl2br w:val="nil"/>
                    <w:tr2bl w:val="nil"/>
                  </w:tcBorders>
                  <w:vAlign w:val="center"/>
                </w:tcPr>
                <w:p w14:paraId="7E858C7F">
                  <w:pPr>
                    <w:snapToGrid w:val="0"/>
                    <w:spacing w:line="240" w:lineRule="auto"/>
                    <w:jc w:val="center"/>
                    <w:rPr>
                      <w:color w:val="auto"/>
                      <w:szCs w:val="21"/>
                    </w:rPr>
                  </w:pPr>
                  <w:r>
                    <w:rPr>
                      <w:rFonts w:hint="eastAsia"/>
                      <w:color w:val="auto"/>
                      <w:szCs w:val="21"/>
                    </w:rPr>
                    <w:t>电泳漆表面加工线</w:t>
                  </w:r>
                </w:p>
              </w:tc>
              <w:tc>
                <w:tcPr>
                  <w:tcW w:w="660" w:type="dxa"/>
                  <w:tcBorders>
                    <w:top w:val="single" w:color="auto" w:sz="4" w:space="0"/>
                    <w:left w:val="single" w:color="000000" w:sz="6" w:space="0"/>
                    <w:bottom w:val="single" w:color="auto" w:sz="4" w:space="0"/>
                    <w:tl2br w:val="nil"/>
                    <w:tr2bl w:val="nil"/>
                  </w:tcBorders>
                  <w:vAlign w:val="center"/>
                </w:tcPr>
                <w:p w14:paraId="646BE40A">
                  <w:pPr>
                    <w:snapToGrid w:val="0"/>
                    <w:spacing w:line="240" w:lineRule="auto"/>
                    <w:jc w:val="center"/>
                    <w:rPr>
                      <w:color w:val="auto"/>
                      <w:szCs w:val="21"/>
                    </w:rPr>
                  </w:pPr>
                  <w:r>
                    <w:rPr>
                      <w:rFonts w:hint="eastAsia"/>
                      <w:color w:val="auto"/>
                      <w:szCs w:val="21"/>
                    </w:rPr>
                    <w:t>1条</w:t>
                  </w:r>
                </w:p>
              </w:tc>
              <w:tc>
                <w:tcPr>
                  <w:tcW w:w="810" w:type="dxa"/>
                  <w:tcBorders>
                    <w:top w:val="single" w:color="auto" w:sz="4" w:space="0"/>
                    <w:bottom w:val="single" w:color="auto" w:sz="4" w:space="0"/>
                    <w:tl2br w:val="nil"/>
                    <w:tr2bl w:val="nil"/>
                  </w:tcBorders>
                  <w:vAlign w:val="center"/>
                </w:tcPr>
                <w:p w14:paraId="1A182FDF">
                  <w:pPr>
                    <w:snapToGrid w:val="0"/>
                    <w:spacing w:line="240" w:lineRule="auto"/>
                    <w:jc w:val="center"/>
                    <w:rPr>
                      <w:color w:val="auto"/>
                      <w:szCs w:val="21"/>
                    </w:rPr>
                  </w:pPr>
                  <w:r>
                    <w:rPr>
                      <w:color w:val="auto"/>
                      <w:szCs w:val="21"/>
                    </w:rPr>
                    <w:t>频发</w:t>
                  </w:r>
                </w:p>
              </w:tc>
              <w:tc>
                <w:tcPr>
                  <w:tcW w:w="600" w:type="dxa"/>
                  <w:vMerge w:val="restart"/>
                  <w:tcBorders>
                    <w:top w:val="single" w:color="auto" w:sz="4" w:space="0"/>
                    <w:right w:val="single" w:color="000000" w:sz="6" w:space="0"/>
                    <w:tl2br w:val="nil"/>
                    <w:tr2bl w:val="nil"/>
                  </w:tcBorders>
                  <w:vAlign w:val="center"/>
                </w:tcPr>
                <w:p w14:paraId="2CF1487E">
                  <w:pPr>
                    <w:snapToGrid w:val="0"/>
                    <w:spacing w:line="240" w:lineRule="auto"/>
                    <w:jc w:val="center"/>
                    <w:rPr>
                      <w:color w:val="auto"/>
                      <w:szCs w:val="21"/>
                    </w:rPr>
                  </w:pPr>
                  <w:r>
                    <w:rPr>
                      <w:color w:val="auto"/>
                      <w:szCs w:val="21"/>
                    </w:rPr>
                    <w:t>类比法</w:t>
                  </w:r>
                </w:p>
              </w:tc>
              <w:tc>
                <w:tcPr>
                  <w:tcW w:w="1185" w:type="dxa"/>
                  <w:tcBorders>
                    <w:top w:val="single" w:color="auto" w:sz="4" w:space="0"/>
                    <w:left w:val="single" w:color="000000" w:sz="6" w:space="0"/>
                    <w:bottom w:val="single" w:color="auto" w:sz="4" w:space="0"/>
                    <w:tl2br w:val="nil"/>
                    <w:tr2bl w:val="nil"/>
                  </w:tcBorders>
                  <w:vAlign w:val="center"/>
                </w:tcPr>
                <w:p w14:paraId="3F76D261">
                  <w:pPr>
                    <w:adjustRightInd w:val="0"/>
                    <w:snapToGrid w:val="0"/>
                    <w:spacing w:line="300" w:lineRule="exact"/>
                    <w:jc w:val="center"/>
                    <w:rPr>
                      <w:b/>
                      <w:bCs/>
                      <w:color w:val="auto"/>
                      <w:szCs w:val="21"/>
                    </w:rPr>
                  </w:pPr>
                  <w:r>
                    <w:rPr>
                      <w:rFonts w:hint="eastAsia"/>
                      <w:color w:val="auto"/>
                      <w:szCs w:val="21"/>
                    </w:rPr>
                    <w:t>65</w:t>
                  </w:r>
                  <w:r>
                    <w:rPr>
                      <w:color w:val="auto"/>
                      <w:szCs w:val="21"/>
                    </w:rPr>
                    <w:t>~</w:t>
                  </w:r>
                  <w:r>
                    <w:rPr>
                      <w:rFonts w:hint="eastAsia"/>
                      <w:color w:val="auto"/>
                      <w:szCs w:val="21"/>
                    </w:rPr>
                    <w:t>75</w:t>
                  </w:r>
                </w:p>
              </w:tc>
              <w:tc>
                <w:tcPr>
                  <w:tcW w:w="825" w:type="dxa"/>
                  <w:tcBorders>
                    <w:top w:val="single" w:color="auto" w:sz="4" w:space="0"/>
                    <w:bottom w:val="single" w:color="auto" w:sz="4" w:space="0"/>
                    <w:tl2br w:val="nil"/>
                    <w:tr2bl w:val="nil"/>
                  </w:tcBorders>
                  <w:vAlign w:val="center"/>
                </w:tcPr>
                <w:p w14:paraId="4C71AD74">
                  <w:pPr>
                    <w:adjustRightInd w:val="0"/>
                    <w:snapToGrid w:val="0"/>
                    <w:spacing w:line="300" w:lineRule="exact"/>
                    <w:jc w:val="center"/>
                    <w:rPr>
                      <w:color w:val="auto"/>
                      <w:szCs w:val="21"/>
                    </w:rPr>
                  </w:pPr>
                  <w:r>
                    <w:rPr>
                      <w:rFonts w:hint="eastAsia"/>
                      <w:color w:val="auto"/>
                      <w:szCs w:val="21"/>
                    </w:rPr>
                    <w:t>75</w:t>
                  </w:r>
                </w:p>
              </w:tc>
              <w:tc>
                <w:tcPr>
                  <w:tcW w:w="870" w:type="dxa"/>
                  <w:vMerge w:val="restart"/>
                  <w:tcBorders>
                    <w:top w:val="single" w:color="auto" w:sz="4" w:space="0"/>
                    <w:tl2br w:val="nil"/>
                    <w:tr2bl w:val="nil"/>
                  </w:tcBorders>
                  <w:vAlign w:val="center"/>
                </w:tcPr>
                <w:p w14:paraId="4018094B">
                  <w:pPr>
                    <w:snapToGrid w:val="0"/>
                    <w:spacing w:line="240" w:lineRule="auto"/>
                    <w:jc w:val="center"/>
                    <w:rPr>
                      <w:color w:val="auto"/>
                      <w:szCs w:val="21"/>
                    </w:rPr>
                  </w:pPr>
                  <w:r>
                    <w:rPr>
                      <w:color w:val="auto"/>
                      <w:szCs w:val="21"/>
                    </w:rPr>
                    <w:t>选用低噪声设备、减振基础、厂房建筑隔声（隔声量≥31.5dB（A））</w:t>
                  </w:r>
                </w:p>
              </w:tc>
              <w:tc>
                <w:tcPr>
                  <w:tcW w:w="660" w:type="dxa"/>
                  <w:tcBorders>
                    <w:top w:val="single" w:color="auto" w:sz="4" w:space="0"/>
                    <w:bottom w:val="single" w:color="auto" w:sz="4" w:space="0"/>
                    <w:tl2br w:val="nil"/>
                    <w:tr2bl w:val="nil"/>
                  </w:tcBorders>
                  <w:vAlign w:val="center"/>
                </w:tcPr>
                <w:p w14:paraId="75294707">
                  <w:pPr>
                    <w:snapToGrid w:val="0"/>
                    <w:spacing w:line="240" w:lineRule="auto"/>
                    <w:jc w:val="center"/>
                    <w:rPr>
                      <w:color w:val="auto"/>
                      <w:szCs w:val="21"/>
                    </w:rPr>
                  </w:pPr>
                  <w:r>
                    <w:rPr>
                      <w:rFonts w:hint="eastAsia"/>
                      <w:color w:val="auto"/>
                      <w:szCs w:val="21"/>
                      <w:lang w:val="en-US" w:eastAsia="zh-CN"/>
                    </w:rPr>
                    <w:t>8</w:t>
                  </w:r>
                  <w:r>
                    <w:rPr>
                      <w:color w:val="auto"/>
                      <w:szCs w:val="21"/>
                    </w:rPr>
                    <w:t>h/d</w:t>
                  </w:r>
                </w:p>
              </w:tc>
              <w:tc>
                <w:tcPr>
                  <w:tcW w:w="1064" w:type="dxa"/>
                  <w:tcBorders>
                    <w:top w:val="single" w:color="auto" w:sz="4" w:space="0"/>
                    <w:bottom w:val="single" w:color="auto" w:sz="4" w:space="0"/>
                    <w:tl2br w:val="nil"/>
                    <w:tr2bl w:val="nil"/>
                  </w:tcBorders>
                  <w:vAlign w:val="center"/>
                </w:tcPr>
                <w:p w14:paraId="4B96CE01">
                  <w:pPr>
                    <w:jc w:val="center"/>
                    <w:textAlignment w:val="center"/>
                    <w:rPr>
                      <w:color w:val="auto"/>
                      <w:szCs w:val="21"/>
                    </w:rPr>
                  </w:pPr>
                  <w:r>
                    <w:rPr>
                      <w:rFonts w:hint="eastAsia"/>
                      <w:color w:val="auto"/>
                      <w:kern w:val="0"/>
                      <w:szCs w:val="21"/>
                      <w:lang w:bidi="ar"/>
                    </w:rPr>
                    <w:t>43.5</w:t>
                  </w:r>
                </w:p>
              </w:tc>
            </w:tr>
            <w:tr w14:paraId="177D0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13" w:type="dxa"/>
                  <w:tcBorders>
                    <w:top w:val="single" w:color="auto" w:sz="4" w:space="0"/>
                    <w:bottom w:val="single" w:color="auto" w:sz="4" w:space="0"/>
                    <w:right w:val="single" w:color="000000" w:sz="6" w:space="0"/>
                    <w:tl2br w:val="nil"/>
                    <w:tr2bl w:val="nil"/>
                  </w:tcBorders>
                  <w:vAlign w:val="center"/>
                </w:tcPr>
                <w:p w14:paraId="3F4E0EEC">
                  <w:pPr>
                    <w:snapToGrid w:val="0"/>
                    <w:spacing w:line="240" w:lineRule="auto"/>
                    <w:jc w:val="center"/>
                    <w:rPr>
                      <w:color w:val="auto"/>
                      <w:szCs w:val="21"/>
                    </w:rPr>
                  </w:pPr>
                  <w:r>
                    <w:rPr>
                      <w:color w:val="auto"/>
                      <w:szCs w:val="21"/>
                    </w:rPr>
                    <w:t>2</w:t>
                  </w:r>
                </w:p>
              </w:tc>
              <w:tc>
                <w:tcPr>
                  <w:tcW w:w="999" w:type="dxa"/>
                  <w:tcBorders>
                    <w:top w:val="single" w:color="auto" w:sz="4" w:space="0"/>
                    <w:left w:val="single" w:color="000000" w:sz="6" w:space="0"/>
                    <w:bottom w:val="single" w:color="auto" w:sz="4" w:space="0"/>
                    <w:tl2br w:val="nil"/>
                    <w:tr2bl w:val="nil"/>
                  </w:tcBorders>
                  <w:vAlign w:val="center"/>
                </w:tcPr>
                <w:p w14:paraId="309F59DD">
                  <w:pPr>
                    <w:snapToGrid w:val="0"/>
                    <w:spacing w:line="240" w:lineRule="auto"/>
                    <w:jc w:val="center"/>
                    <w:rPr>
                      <w:color w:val="auto"/>
                      <w:szCs w:val="21"/>
                    </w:rPr>
                  </w:pPr>
                  <w:r>
                    <w:rPr>
                      <w:rFonts w:hint="eastAsia"/>
                      <w:color w:val="auto"/>
                      <w:szCs w:val="21"/>
                    </w:rPr>
                    <w:t>烘干固化</w:t>
                  </w:r>
                </w:p>
              </w:tc>
              <w:tc>
                <w:tcPr>
                  <w:tcW w:w="1125" w:type="dxa"/>
                  <w:tcBorders>
                    <w:top w:val="single" w:color="auto" w:sz="4" w:space="0"/>
                    <w:bottom w:val="single" w:color="auto" w:sz="4" w:space="0"/>
                    <w:right w:val="single" w:color="000000" w:sz="6" w:space="0"/>
                    <w:tl2br w:val="nil"/>
                    <w:tr2bl w:val="nil"/>
                  </w:tcBorders>
                  <w:vAlign w:val="center"/>
                </w:tcPr>
                <w:p w14:paraId="6C473CDD">
                  <w:pPr>
                    <w:snapToGrid w:val="0"/>
                    <w:spacing w:line="240" w:lineRule="auto"/>
                    <w:jc w:val="center"/>
                    <w:rPr>
                      <w:color w:val="auto"/>
                      <w:szCs w:val="21"/>
                    </w:rPr>
                  </w:pPr>
                  <w:r>
                    <w:rPr>
                      <w:rFonts w:hint="eastAsia"/>
                      <w:color w:val="auto"/>
                      <w:szCs w:val="21"/>
                    </w:rPr>
                    <w:t>电烤箱</w:t>
                  </w:r>
                </w:p>
              </w:tc>
              <w:tc>
                <w:tcPr>
                  <w:tcW w:w="660" w:type="dxa"/>
                  <w:tcBorders>
                    <w:top w:val="single" w:color="auto" w:sz="4" w:space="0"/>
                    <w:left w:val="single" w:color="000000" w:sz="6" w:space="0"/>
                    <w:bottom w:val="single" w:color="auto" w:sz="4" w:space="0"/>
                    <w:tl2br w:val="nil"/>
                    <w:tr2bl w:val="nil"/>
                  </w:tcBorders>
                  <w:vAlign w:val="center"/>
                </w:tcPr>
                <w:p w14:paraId="03F6D25D">
                  <w:pPr>
                    <w:snapToGrid w:val="0"/>
                    <w:spacing w:line="240" w:lineRule="auto"/>
                    <w:jc w:val="center"/>
                    <w:rPr>
                      <w:color w:val="auto"/>
                      <w:szCs w:val="21"/>
                    </w:rPr>
                  </w:pPr>
                  <w:r>
                    <w:rPr>
                      <w:rFonts w:hint="eastAsia"/>
                      <w:color w:val="auto"/>
                      <w:szCs w:val="21"/>
                      <w:lang w:val="en-US" w:eastAsia="zh-CN"/>
                    </w:rPr>
                    <w:t>2</w:t>
                  </w:r>
                  <w:r>
                    <w:rPr>
                      <w:rFonts w:hint="eastAsia"/>
                      <w:color w:val="auto"/>
                      <w:szCs w:val="21"/>
                    </w:rPr>
                    <w:t>个</w:t>
                  </w:r>
                </w:p>
              </w:tc>
              <w:tc>
                <w:tcPr>
                  <w:tcW w:w="810" w:type="dxa"/>
                  <w:tcBorders>
                    <w:top w:val="single" w:color="auto" w:sz="4" w:space="0"/>
                    <w:bottom w:val="single" w:color="auto" w:sz="4" w:space="0"/>
                    <w:tl2br w:val="nil"/>
                    <w:tr2bl w:val="nil"/>
                  </w:tcBorders>
                  <w:vAlign w:val="center"/>
                </w:tcPr>
                <w:p w14:paraId="2EF0F8CD">
                  <w:pPr>
                    <w:snapToGrid w:val="0"/>
                    <w:spacing w:line="240" w:lineRule="auto"/>
                    <w:jc w:val="center"/>
                    <w:rPr>
                      <w:color w:val="auto"/>
                      <w:szCs w:val="21"/>
                    </w:rPr>
                  </w:pPr>
                  <w:r>
                    <w:rPr>
                      <w:rFonts w:hint="eastAsia"/>
                      <w:color w:val="auto"/>
                      <w:szCs w:val="21"/>
                    </w:rPr>
                    <w:t>频</w:t>
                  </w:r>
                  <w:r>
                    <w:rPr>
                      <w:color w:val="auto"/>
                      <w:szCs w:val="21"/>
                    </w:rPr>
                    <w:t>发</w:t>
                  </w:r>
                </w:p>
              </w:tc>
              <w:tc>
                <w:tcPr>
                  <w:tcW w:w="600" w:type="dxa"/>
                  <w:vMerge w:val="continue"/>
                  <w:tcBorders>
                    <w:right w:val="single" w:color="000000" w:sz="6" w:space="0"/>
                    <w:tl2br w:val="nil"/>
                    <w:tr2bl w:val="nil"/>
                  </w:tcBorders>
                  <w:vAlign w:val="center"/>
                </w:tcPr>
                <w:p w14:paraId="6D85A118">
                  <w:pPr>
                    <w:autoSpaceDE w:val="0"/>
                    <w:autoSpaceDN w:val="0"/>
                    <w:spacing w:line="300" w:lineRule="exact"/>
                    <w:jc w:val="center"/>
                    <w:rPr>
                      <w:b/>
                      <w:bCs/>
                      <w:color w:val="auto"/>
                      <w:szCs w:val="21"/>
                    </w:rPr>
                  </w:pPr>
                </w:p>
              </w:tc>
              <w:tc>
                <w:tcPr>
                  <w:tcW w:w="1185" w:type="dxa"/>
                  <w:tcBorders>
                    <w:top w:val="single" w:color="auto" w:sz="4" w:space="0"/>
                    <w:left w:val="single" w:color="000000" w:sz="6" w:space="0"/>
                    <w:bottom w:val="single" w:color="auto" w:sz="4" w:space="0"/>
                    <w:tl2br w:val="nil"/>
                    <w:tr2bl w:val="nil"/>
                  </w:tcBorders>
                  <w:vAlign w:val="center"/>
                </w:tcPr>
                <w:p w14:paraId="3A8200A4">
                  <w:pPr>
                    <w:adjustRightInd w:val="0"/>
                    <w:snapToGrid w:val="0"/>
                    <w:spacing w:line="300" w:lineRule="exact"/>
                    <w:jc w:val="center"/>
                    <w:rPr>
                      <w:rFonts w:hint="default"/>
                      <w:b/>
                      <w:bCs/>
                      <w:color w:val="auto"/>
                      <w:szCs w:val="21"/>
                      <w:lang w:val="en-US"/>
                    </w:rPr>
                  </w:pPr>
                  <w:r>
                    <w:rPr>
                      <w:rFonts w:hint="eastAsia"/>
                      <w:color w:val="auto"/>
                      <w:szCs w:val="21"/>
                      <w:lang w:val="en-US" w:eastAsia="zh-CN"/>
                    </w:rPr>
                    <w:t>60</w:t>
                  </w:r>
                  <w:r>
                    <w:rPr>
                      <w:color w:val="auto"/>
                      <w:szCs w:val="21"/>
                    </w:rPr>
                    <w:t>~</w:t>
                  </w:r>
                  <w:r>
                    <w:rPr>
                      <w:rFonts w:hint="eastAsia"/>
                      <w:color w:val="auto"/>
                      <w:szCs w:val="21"/>
                      <w:lang w:val="en-US" w:eastAsia="zh-CN"/>
                    </w:rPr>
                    <w:t>70</w:t>
                  </w:r>
                </w:p>
              </w:tc>
              <w:tc>
                <w:tcPr>
                  <w:tcW w:w="825" w:type="dxa"/>
                  <w:tcBorders>
                    <w:top w:val="single" w:color="auto" w:sz="4" w:space="0"/>
                    <w:bottom w:val="single" w:color="auto" w:sz="4" w:space="0"/>
                    <w:tl2br w:val="nil"/>
                    <w:tr2bl w:val="nil"/>
                  </w:tcBorders>
                  <w:vAlign w:val="center"/>
                </w:tcPr>
                <w:p w14:paraId="285F7536">
                  <w:pPr>
                    <w:adjustRightInd w:val="0"/>
                    <w:snapToGrid w:val="0"/>
                    <w:spacing w:line="300" w:lineRule="exact"/>
                    <w:jc w:val="center"/>
                    <w:rPr>
                      <w:rFonts w:hint="default" w:eastAsia="宋体"/>
                      <w:color w:val="auto"/>
                      <w:szCs w:val="21"/>
                      <w:lang w:val="en-US" w:eastAsia="zh-CN"/>
                    </w:rPr>
                  </w:pPr>
                  <w:r>
                    <w:rPr>
                      <w:rFonts w:hint="eastAsia"/>
                      <w:color w:val="auto"/>
                      <w:szCs w:val="21"/>
                      <w:lang w:val="en-US" w:eastAsia="zh-CN"/>
                    </w:rPr>
                    <w:t>73</w:t>
                  </w:r>
                </w:p>
              </w:tc>
              <w:tc>
                <w:tcPr>
                  <w:tcW w:w="870" w:type="dxa"/>
                  <w:vMerge w:val="continue"/>
                  <w:tcBorders>
                    <w:tl2br w:val="nil"/>
                    <w:tr2bl w:val="nil"/>
                  </w:tcBorders>
                  <w:vAlign w:val="center"/>
                </w:tcPr>
                <w:p w14:paraId="71206617">
                  <w:pPr>
                    <w:snapToGrid w:val="0"/>
                    <w:spacing w:line="240" w:lineRule="auto"/>
                    <w:jc w:val="center"/>
                    <w:rPr>
                      <w:b/>
                      <w:bCs/>
                      <w:color w:val="auto"/>
                      <w:szCs w:val="21"/>
                    </w:rPr>
                  </w:pPr>
                </w:p>
              </w:tc>
              <w:tc>
                <w:tcPr>
                  <w:tcW w:w="660" w:type="dxa"/>
                  <w:tcBorders>
                    <w:top w:val="single" w:color="auto" w:sz="4" w:space="0"/>
                    <w:bottom w:val="single" w:color="auto" w:sz="4" w:space="0"/>
                    <w:tl2br w:val="nil"/>
                    <w:tr2bl w:val="nil"/>
                  </w:tcBorders>
                  <w:vAlign w:val="center"/>
                </w:tcPr>
                <w:p w14:paraId="02F97985">
                  <w:pPr>
                    <w:snapToGrid w:val="0"/>
                    <w:spacing w:line="240" w:lineRule="auto"/>
                    <w:jc w:val="center"/>
                    <w:rPr>
                      <w:color w:val="auto"/>
                      <w:szCs w:val="21"/>
                    </w:rPr>
                  </w:pPr>
                  <w:r>
                    <w:rPr>
                      <w:rFonts w:hint="eastAsia"/>
                      <w:color w:val="auto"/>
                      <w:szCs w:val="21"/>
                      <w:lang w:val="en-US" w:eastAsia="zh-CN"/>
                    </w:rPr>
                    <w:t>8</w:t>
                  </w:r>
                  <w:r>
                    <w:rPr>
                      <w:color w:val="auto"/>
                      <w:szCs w:val="21"/>
                    </w:rPr>
                    <w:t>h/d</w:t>
                  </w:r>
                </w:p>
              </w:tc>
              <w:tc>
                <w:tcPr>
                  <w:tcW w:w="1064" w:type="dxa"/>
                  <w:tcBorders>
                    <w:top w:val="single" w:color="auto" w:sz="4" w:space="0"/>
                    <w:bottom w:val="single" w:color="auto" w:sz="4" w:space="0"/>
                    <w:tl2br w:val="nil"/>
                    <w:tr2bl w:val="nil"/>
                  </w:tcBorders>
                  <w:vAlign w:val="center"/>
                </w:tcPr>
                <w:p w14:paraId="37B78BDA">
                  <w:pPr>
                    <w:jc w:val="center"/>
                    <w:textAlignment w:val="center"/>
                    <w:rPr>
                      <w:color w:val="auto"/>
                      <w:szCs w:val="21"/>
                    </w:rPr>
                  </w:pPr>
                  <w:r>
                    <w:rPr>
                      <w:rFonts w:hint="eastAsia"/>
                      <w:color w:val="auto"/>
                      <w:kern w:val="0"/>
                      <w:szCs w:val="21"/>
                      <w:lang w:val="en-US" w:eastAsia="zh-CN" w:bidi="ar"/>
                    </w:rPr>
                    <w:t>41</w:t>
                  </w:r>
                  <w:r>
                    <w:rPr>
                      <w:rFonts w:hint="eastAsia"/>
                      <w:color w:val="auto"/>
                      <w:kern w:val="0"/>
                      <w:szCs w:val="21"/>
                      <w:lang w:bidi="ar"/>
                    </w:rPr>
                    <w:t>.5</w:t>
                  </w:r>
                </w:p>
              </w:tc>
            </w:tr>
          </w:tbl>
          <w:p w14:paraId="339A843A">
            <w:pPr>
              <w:pStyle w:val="189"/>
              <w:widowControl w:val="0"/>
              <w:spacing w:line="360" w:lineRule="auto"/>
              <w:ind w:firstLine="0" w:firstLineChars="0"/>
              <w:rPr>
                <w:b/>
                <w:bCs/>
                <w:color w:val="auto"/>
                <w:szCs w:val="21"/>
              </w:rPr>
            </w:pPr>
            <w:r>
              <w:rPr>
                <w:b/>
                <w:bCs/>
                <w:color w:val="auto"/>
                <w:szCs w:val="21"/>
              </w:rPr>
              <w:t>备注：</w:t>
            </w:r>
            <w:r>
              <w:rPr>
                <w:color w:val="auto"/>
                <w:szCs w:val="21"/>
              </w:rPr>
              <w:t>噪声排放值计算中，噪声源强取最大值。</w:t>
            </w:r>
          </w:p>
          <w:p w14:paraId="49CF8042">
            <w:pPr>
              <w:pStyle w:val="189"/>
              <w:widowControl w:val="0"/>
              <w:spacing w:line="360" w:lineRule="auto"/>
              <w:ind w:firstLine="482"/>
              <w:rPr>
                <w:b/>
                <w:bCs/>
                <w:color w:val="auto"/>
                <w:sz w:val="24"/>
              </w:rPr>
            </w:pPr>
            <w:r>
              <w:rPr>
                <w:b/>
                <w:bCs/>
                <w:color w:val="auto"/>
                <w:sz w:val="24"/>
              </w:rPr>
              <w:t>2、厂界噪声预测分析</w:t>
            </w:r>
          </w:p>
          <w:p w14:paraId="38783FFD">
            <w:pPr>
              <w:pStyle w:val="189"/>
              <w:widowControl w:val="0"/>
              <w:spacing w:line="360" w:lineRule="auto"/>
              <w:ind w:firstLine="482"/>
              <w:rPr>
                <w:b/>
                <w:bCs/>
                <w:color w:val="auto"/>
                <w:sz w:val="24"/>
              </w:rPr>
            </w:pPr>
            <w:r>
              <w:rPr>
                <w:b/>
                <w:bCs/>
                <w:color w:val="auto"/>
                <w:sz w:val="24"/>
              </w:rPr>
              <w:t>（1）预测评价内容</w:t>
            </w:r>
          </w:p>
          <w:p w14:paraId="783BA8D8">
            <w:pPr>
              <w:pStyle w:val="189"/>
              <w:widowControl w:val="0"/>
              <w:spacing w:line="360" w:lineRule="auto"/>
              <w:ind w:firstLine="480"/>
              <w:rPr>
                <w:color w:val="auto"/>
                <w:sz w:val="24"/>
              </w:rPr>
            </w:pPr>
            <w:r>
              <w:rPr>
                <w:color w:val="auto"/>
                <w:sz w:val="24"/>
              </w:rPr>
              <w:t>①厂界噪声预测。预测厂界（东北、东南、西南、西北边界）噪声。</w:t>
            </w:r>
          </w:p>
          <w:p w14:paraId="23C961CE">
            <w:pPr>
              <w:pStyle w:val="189"/>
              <w:widowControl w:val="0"/>
              <w:spacing w:line="360" w:lineRule="auto"/>
              <w:ind w:firstLine="480"/>
              <w:rPr>
                <w:color w:val="auto"/>
                <w:sz w:val="24"/>
              </w:rPr>
            </w:pPr>
            <w:r>
              <w:rPr>
                <w:color w:val="auto"/>
                <w:sz w:val="24"/>
              </w:rPr>
              <w:t>②敏感目标噪声预测。50米范围内</w:t>
            </w:r>
            <w:r>
              <w:rPr>
                <w:rFonts w:hint="eastAsia"/>
                <w:color w:val="auto"/>
                <w:sz w:val="24"/>
              </w:rPr>
              <w:t>有</w:t>
            </w:r>
            <w:r>
              <w:rPr>
                <w:color w:val="auto"/>
                <w:sz w:val="24"/>
              </w:rPr>
              <w:t>居民敏感点，故</w:t>
            </w:r>
            <w:r>
              <w:rPr>
                <w:rFonts w:hint="eastAsia"/>
                <w:color w:val="auto"/>
                <w:sz w:val="24"/>
              </w:rPr>
              <w:t>需</w:t>
            </w:r>
            <w:r>
              <w:rPr>
                <w:color w:val="auto"/>
                <w:sz w:val="24"/>
              </w:rPr>
              <w:t>预测敏感点噪声。</w:t>
            </w:r>
          </w:p>
          <w:p w14:paraId="7FB9CEB5">
            <w:pPr>
              <w:pStyle w:val="189"/>
              <w:widowControl w:val="0"/>
              <w:spacing w:line="360" w:lineRule="auto"/>
              <w:ind w:firstLine="480"/>
              <w:rPr>
                <w:color w:val="auto"/>
                <w:sz w:val="24"/>
              </w:rPr>
            </w:pPr>
            <w:r>
              <w:rPr>
                <w:color w:val="auto"/>
                <w:sz w:val="24"/>
              </w:rPr>
              <w:t>根据工程分析，项目主要噪声为机械设备运行产生的噪声，采用</w:t>
            </w:r>
            <w:r>
              <w:rPr>
                <w:rFonts w:hint="eastAsia"/>
                <w:color w:val="auto"/>
                <w:sz w:val="24"/>
                <w:lang w:val="en-US" w:eastAsia="zh-CN"/>
              </w:rPr>
              <w:t>1</w:t>
            </w:r>
            <w:r>
              <w:rPr>
                <w:color w:val="auto"/>
                <w:sz w:val="24"/>
              </w:rPr>
              <w:t>班工作制度，每班8小时，本报告对项目昼</w:t>
            </w:r>
            <w:r>
              <w:rPr>
                <w:rFonts w:hint="eastAsia"/>
                <w:color w:val="auto"/>
                <w:sz w:val="24"/>
              </w:rPr>
              <w:t>夜</w:t>
            </w:r>
            <w:r>
              <w:rPr>
                <w:color w:val="auto"/>
                <w:sz w:val="24"/>
              </w:rPr>
              <w:t>间生产加工时段内进行噪声预测。</w:t>
            </w:r>
          </w:p>
          <w:p w14:paraId="163C02C6">
            <w:pPr>
              <w:pStyle w:val="189"/>
              <w:widowControl w:val="0"/>
              <w:spacing w:line="360" w:lineRule="auto"/>
              <w:ind w:firstLine="482"/>
              <w:rPr>
                <w:b/>
                <w:bCs/>
                <w:color w:val="auto"/>
                <w:sz w:val="24"/>
              </w:rPr>
            </w:pPr>
            <w:r>
              <w:rPr>
                <w:b/>
                <w:bCs/>
                <w:color w:val="auto"/>
                <w:sz w:val="24"/>
              </w:rPr>
              <w:t>（2）预测模式</w:t>
            </w:r>
          </w:p>
          <w:p w14:paraId="174313B7">
            <w:pPr>
              <w:pStyle w:val="189"/>
              <w:widowControl w:val="0"/>
              <w:spacing w:line="360" w:lineRule="auto"/>
              <w:ind w:firstLine="480"/>
              <w:rPr>
                <w:color w:val="auto"/>
                <w:sz w:val="24"/>
              </w:rPr>
            </w:pPr>
            <w:r>
              <w:rPr>
                <w:color w:val="auto"/>
                <w:sz w:val="24"/>
              </w:rPr>
              <w:t>根据《环境影响评价技术导则 声环境》（HJ2.4-2021）的要求，项目环评采用的模型为《环境影响评价技术导则 声环境》(HJ2.4-2021)附录A（规范性附录）点声源户外声传播的衰减和附录B（规范性附录）中“B.1工业噪声预测计算模型”。本环评预测项目内设备运行产生的噪声对厂界和环境保护目标的影响，应用过程中将根据具体情况作必要简化。</w:t>
            </w:r>
          </w:p>
          <w:p w14:paraId="03580649">
            <w:pPr>
              <w:pStyle w:val="189"/>
              <w:widowControl w:val="0"/>
              <w:spacing w:line="360" w:lineRule="auto"/>
              <w:ind w:firstLine="482"/>
              <w:rPr>
                <w:b/>
                <w:bCs/>
                <w:color w:val="auto"/>
                <w:sz w:val="24"/>
              </w:rPr>
            </w:pPr>
            <w:r>
              <w:rPr>
                <w:b/>
                <w:bCs/>
                <w:color w:val="auto"/>
                <w:sz w:val="24"/>
              </w:rPr>
              <w:t>①对室内声源等效室外声源声功率级计算</w:t>
            </w:r>
          </w:p>
          <w:p w14:paraId="62F5D7D6">
            <w:pPr>
              <w:pStyle w:val="189"/>
              <w:widowControl w:val="0"/>
              <w:spacing w:line="360" w:lineRule="auto"/>
              <w:ind w:firstLine="480"/>
              <w:rPr>
                <w:color w:val="auto"/>
                <w:sz w:val="24"/>
              </w:rPr>
            </w:pPr>
            <w:r>
              <w:rPr>
                <w:color w:val="auto"/>
                <w:sz w:val="24"/>
              </w:rPr>
              <w:t>室内声源可采用等效室外声源声功率级法进行计算。设靠近开口处（或窗户）室内、室外某倍频带的声压级分别为L</w:t>
            </w:r>
            <w:r>
              <w:rPr>
                <w:color w:val="auto"/>
                <w:sz w:val="24"/>
                <w:vertAlign w:val="subscript"/>
              </w:rPr>
              <w:t>p1</w:t>
            </w:r>
            <w:r>
              <w:rPr>
                <w:color w:val="auto"/>
                <w:sz w:val="24"/>
              </w:rPr>
              <w:t>和L</w:t>
            </w:r>
            <w:r>
              <w:rPr>
                <w:color w:val="auto"/>
                <w:sz w:val="24"/>
                <w:vertAlign w:val="subscript"/>
              </w:rPr>
              <w:t>p2</w:t>
            </w:r>
            <w:r>
              <w:rPr>
                <w:color w:val="auto"/>
                <w:sz w:val="24"/>
              </w:rPr>
              <w:t>。若声源所在室内声场为近似扩散声场，则室外的倍频带声压级可按下式近似求出：</w:t>
            </w:r>
          </w:p>
          <w:p w14:paraId="0C662B3A">
            <w:pPr>
              <w:pStyle w:val="189"/>
              <w:widowControl w:val="0"/>
              <w:spacing w:line="360" w:lineRule="auto"/>
              <w:ind w:firstLine="480"/>
              <w:rPr>
                <w:color w:val="auto"/>
                <w:sz w:val="24"/>
              </w:rPr>
            </w:pPr>
            <w:r>
              <w:rPr>
                <w:color w:val="auto"/>
                <w:sz w:val="24"/>
              </w:rPr>
              <w:object>
                <v:shape id="_x0000_i1036" o:spt="75" type="#_x0000_t75" style="height:19pt;width:96pt;" o:ole="t" filled="f" o:preferrelative="t" stroked="f" coordsize="21600,21600">
                  <v:path/>
                  <v:fill on="f" focussize="0,0"/>
                  <v:stroke on="f" joinstyle="miter"/>
                  <v:imagedata r:id="rId39" embosscolor="#FFFFFF" o:title=""/>
                  <o:lock v:ext="edit" aspectratio="t"/>
                  <w10:wrap type="none"/>
                  <w10:anchorlock/>
                </v:shape>
                <o:OLEObject Type="Embed" ProgID="Equation.KSEE3" ShapeID="_x0000_i1036" DrawAspect="Content" ObjectID="_1468075736" r:id="rId38">
                  <o:LockedField>false</o:LockedField>
                </o:OLEObject>
              </w:object>
            </w:r>
          </w:p>
          <w:p w14:paraId="4694F48F">
            <w:pPr>
              <w:pStyle w:val="189"/>
              <w:widowControl w:val="0"/>
              <w:spacing w:line="360" w:lineRule="auto"/>
              <w:ind w:firstLine="480"/>
              <w:rPr>
                <w:color w:val="auto"/>
                <w:sz w:val="24"/>
              </w:rPr>
            </w:pPr>
            <w:r>
              <w:rPr>
                <w:color w:val="auto"/>
                <w:sz w:val="24"/>
              </w:rPr>
              <w:t>式中：TL—隔墙（或窗户）倍频带的隔声量，dB(A)</w:t>
            </w:r>
          </w:p>
          <w:p w14:paraId="5B76FD65">
            <w:pPr>
              <w:pStyle w:val="189"/>
              <w:spacing w:line="360" w:lineRule="auto"/>
              <w:ind w:firstLine="0" w:firstLineChars="0"/>
              <w:jc w:val="center"/>
              <w:rPr>
                <w:color w:val="auto"/>
                <w:sz w:val="24"/>
              </w:rPr>
            </w:pPr>
            <w:r>
              <w:rPr>
                <w:color w:val="auto"/>
                <w:sz w:val="24"/>
              </w:rPr>
              <w:drawing>
                <wp:inline distT="0" distB="0" distL="0" distR="0">
                  <wp:extent cx="2178050" cy="1028700"/>
                  <wp:effectExtent l="0" t="0" r="0" b="0"/>
                  <wp:docPr id="11" name="图片 769"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69" descr="图片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2178050" cy="1028700"/>
                          </a:xfrm>
                          <a:prstGeom prst="rect">
                            <a:avLst/>
                          </a:prstGeom>
                          <a:noFill/>
                          <a:ln>
                            <a:noFill/>
                          </a:ln>
                        </pic:spPr>
                      </pic:pic>
                    </a:graphicData>
                  </a:graphic>
                </wp:inline>
              </w:drawing>
            </w:r>
          </w:p>
          <w:p w14:paraId="7EE3F7A9">
            <w:pPr>
              <w:pStyle w:val="189"/>
              <w:spacing w:line="360" w:lineRule="auto"/>
              <w:ind w:firstLine="0" w:firstLineChars="0"/>
              <w:jc w:val="center"/>
              <w:rPr>
                <w:b/>
                <w:bCs/>
                <w:color w:val="auto"/>
                <w:szCs w:val="21"/>
              </w:rPr>
            </w:pPr>
            <w:r>
              <w:rPr>
                <w:b/>
                <w:bCs/>
                <w:color w:val="auto"/>
                <w:szCs w:val="21"/>
              </w:rPr>
              <w:t>图4-</w:t>
            </w:r>
            <w:r>
              <w:rPr>
                <w:rFonts w:hint="eastAsia"/>
                <w:b/>
                <w:bCs/>
                <w:color w:val="auto"/>
                <w:szCs w:val="21"/>
              </w:rPr>
              <w:t>5</w:t>
            </w:r>
            <w:r>
              <w:rPr>
                <w:b/>
                <w:bCs/>
                <w:color w:val="auto"/>
                <w:szCs w:val="21"/>
              </w:rPr>
              <w:t>室内声源等效为室外声源图例</w:t>
            </w:r>
          </w:p>
          <w:p w14:paraId="0AA104C9">
            <w:pPr>
              <w:pStyle w:val="189"/>
              <w:spacing w:line="360" w:lineRule="auto"/>
              <w:ind w:firstLine="480"/>
              <w:rPr>
                <w:color w:val="auto"/>
                <w:sz w:val="24"/>
              </w:rPr>
            </w:pPr>
            <w:r>
              <w:rPr>
                <w:color w:val="auto"/>
                <w:sz w:val="24"/>
              </w:rPr>
              <w:t>某一室内声源靠近转护结构处产生的倍频带声压级按下式计算：</w:t>
            </w:r>
          </w:p>
          <w:p w14:paraId="5E414632">
            <w:pPr>
              <w:pStyle w:val="189"/>
              <w:spacing w:line="360" w:lineRule="auto"/>
              <w:ind w:firstLine="480"/>
              <w:rPr>
                <w:color w:val="auto"/>
                <w:sz w:val="24"/>
              </w:rPr>
            </w:pPr>
            <w:r>
              <w:rPr>
                <w:color w:val="auto"/>
                <w:sz w:val="24"/>
              </w:rPr>
              <w:object>
                <v:shape id="_x0000_i1037" o:spt="75" type="#_x0000_t75" style="height:31.5pt;width:132.5pt;" o:ole="t" filled="f" o:preferrelative="t" stroked="f" coordsize="21600,21600">
                  <v:path/>
                  <v:fill on="f" focussize="0,0"/>
                  <v:stroke on="f" joinstyle="miter"/>
                  <v:imagedata r:id="rId42" embosscolor="#FFFFFF" o:title=""/>
                  <o:lock v:ext="edit" aspectratio="t"/>
                  <w10:wrap type="none"/>
                  <w10:anchorlock/>
                </v:shape>
                <o:OLEObject Type="Embed" ProgID="Equation.KSEE3" ShapeID="_x0000_i1037" DrawAspect="Content" ObjectID="_1468075737" r:id="rId41">
                  <o:LockedField>false</o:LockedField>
                </o:OLEObject>
              </w:object>
            </w:r>
          </w:p>
          <w:p w14:paraId="092EC854">
            <w:pPr>
              <w:pStyle w:val="189"/>
              <w:spacing w:line="360" w:lineRule="auto"/>
              <w:ind w:firstLine="480"/>
              <w:rPr>
                <w:color w:val="auto"/>
                <w:sz w:val="24"/>
              </w:rPr>
            </w:pPr>
            <w:r>
              <w:rPr>
                <w:color w:val="auto"/>
                <w:sz w:val="24"/>
              </w:rPr>
              <w:t>式中：</w:t>
            </w:r>
          </w:p>
          <w:p w14:paraId="62C80206">
            <w:pPr>
              <w:pStyle w:val="189"/>
              <w:spacing w:line="360" w:lineRule="auto"/>
              <w:ind w:firstLine="480"/>
              <w:rPr>
                <w:color w:val="auto"/>
                <w:sz w:val="24"/>
              </w:rPr>
            </w:pPr>
            <w:r>
              <w:rPr>
                <w:color w:val="auto"/>
                <w:sz w:val="24"/>
              </w:rPr>
              <w:t>Q—指向性因数。通常对无指向性声源，当声源放在房间中心时，Q=1；当入在一面墙的中心时，Q=2；当放在两面墙夹角处时，Q=4；当放在三面墙夹角处时，Q=8；</w:t>
            </w:r>
          </w:p>
          <w:p w14:paraId="2E029345">
            <w:pPr>
              <w:pStyle w:val="189"/>
              <w:spacing w:line="360" w:lineRule="auto"/>
              <w:ind w:firstLine="480"/>
              <w:rPr>
                <w:color w:val="auto"/>
                <w:sz w:val="24"/>
              </w:rPr>
            </w:pPr>
            <w:r>
              <w:rPr>
                <w:color w:val="auto"/>
                <w:sz w:val="24"/>
              </w:rPr>
              <w:t>R—房间常数；</w:t>
            </w:r>
            <w:r>
              <w:rPr>
                <w:color w:val="auto"/>
                <w:sz w:val="24"/>
              </w:rPr>
              <w:object>
                <v:shape id="_x0000_i1038" o:spt="75" type="#_x0000_t75" style="height:16pt;width:75pt;" o:ole="t" filled="f" o:preferrelative="t" stroked="f" coordsize="21600,21600">
                  <v:path/>
                  <v:fill on="f" focussize="0,0"/>
                  <v:stroke on="f" joinstyle="miter"/>
                  <v:imagedata r:id="rId44" embosscolor="#FFFFFF" o:title=""/>
                  <o:lock v:ext="edit" aspectratio="t"/>
                  <w10:wrap type="none"/>
                  <w10:anchorlock/>
                </v:shape>
                <o:OLEObject Type="Embed" ProgID="Equation.KSEE3" ShapeID="_x0000_i1038" DrawAspect="Content" ObjectID="_1468075738" r:id="rId43">
                  <o:LockedField>false</o:LockedField>
                </o:OLEObject>
              </w:object>
            </w:r>
            <w:r>
              <w:rPr>
                <w:color w:val="auto"/>
                <w:sz w:val="24"/>
              </w:rPr>
              <w:t>，S为房间内表面面积，m</w:t>
            </w:r>
            <w:r>
              <w:rPr>
                <w:color w:val="auto"/>
                <w:sz w:val="24"/>
                <w:vertAlign w:val="superscript"/>
              </w:rPr>
              <w:t>2</w:t>
            </w:r>
            <w:r>
              <w:rPr>
                <w:color w:val="auto"/>
                <w:sz w:val="24"/>
              </w:rPr>
              <w:t>；</w:t>
            </w:r>
            <w:r>
              <w:rPr>
                <w:color w:val="auto"/>
                <w:sz w:val="24"/>
              </w:rPr>
              <w:object>
                <v:shape id="_x0000_i1039" o:spt="75" type="#_x0000_t75" style="height:11pt;width:12pt;" o:ole="t" filled="f" o:preferrelative="t" stroked="f" coordsize="21600,21600">
                  <v:path/>
                  <v:fill on="f" focussize="0,0"/>
                  <v:stroke on="f" joinstyle="miter"/>
                  <v:imagedata r:id="rId46" embosscolor="#FFFFFF" o:title=""/>
                  <o:lock v:ext="edit" aspectratio="t"/>
                  <w10:wrap type="none"/>
                  <w10:anchorlock/>
                </v:shape>
                <o:OLEObject Type="Embed" ProgID="Equation.KSEE3" ShapeID="_x0000_i1039" DrawAspect="Content" ObjectID="_1468075739" r:id="rId45">
                  <o:LockedField>false</o:LockedField>
                </o:OLEObject>
              </w:object>
            </w:r>
            <w:r>
              <w:rPr>
                <w:color w:val="auto"/>
                <w:sz w:val="24"/>
              </w:rPr>
              <w:t>为平均吸声系数；</w:t>
            </w:r>
          </w:p>
          <w:p w14:paraId="33D897E8">
            <w:pPr>
              <w:pStyle w:val="189"/>
              <w:spacing w:line="360" w:lineRule="auto"/>
              <w:ind w:firstLine="480"/>
              <w:rPr>
                <w:color w:val="auto"/>
                <w:sz w:val="24"/>
              </w:rPr>
            </w:pPr>
            <w:r>
              <w:rPr>
                <w:color w:val="auto"/>
                <w:sz w:val="24"/>
              </w:rPr>
              <w:t>r—声源到靠近围护结构某点处的距离，m。</w:t>
            </w:r>
          </w:p>
          <w:p w14:paraId="174870F5">
            <w:pPr>
              <w:pStyle w:val="189"/>
              <w:spacing w:line="360" w:lineRule="auto"/>
              <w:ind w:firstLine="482"/>
              <w:rPr>
                <w:b/>
                <w:bCs/>
                <w:color w:val="auto"/>
                <w:sz w:val="24"/>
              </w:rPr>
            </w:pPr>
            <w:r>
              <w:rPr>
                <w:b/>
                <w:bCs/>
                <w:color w:val="auto"/>
                <w:sz w:val="24"/>
              </w:rPr>
              <w:t>②同一发声点位噪声贡献值（Leqg）计算公式</w:t>
            </w:r>
          </w:p>
          <w:p w14:paraId="51221A08">
            <w:pPr>
              <w:pStyle w:val="189"/>
              <w:spacing w:line="360" w:lineRule="auto"/>
              <w:ind w:firstLine="480"/>
              <w:rPr>
                <w:color w:val="auto"/>
                <w:sz w:val="24"/>
              </w:rPr>
            </w:pPr>
            <w:r>
              <w:rPr>
                <w:color w:val="auto"/>
                <w:sz w:val="24"/>
              </w:rPr>
              <w:drawing>
                <wp:inline distT="0" distB="0" distL="0" distR="0">
                  <wp:extent cx="1905000" cy="463550"/>
                  <wp:effectExtent l="0" t="0" r="0" b="0"/>
                  <wp:docPr id="15" name="图片 77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73" descr="图片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1905000" cy="463550"/>
                          </a:xfrm>
                          <a:prstGeom prst="rect">
                            <a:avLst/>
                          </a:prstGeom>
                          <a:noFill/>
                          <a:ln>
                            <a:noFill/>
                          </a:ln>
                        </pic:spPr>
                      </pic:pic>
                    </a:graphicData>
                  </a:graphic>
                </wp:inline>
              </w:drawing>
            </w:r>
          </w:p>
          <w:p w14:paraId="244D7322">
            <w:pPr>
              <w:pStyle w:val="189"/>
              <w:spacing w:line="360" w:lineRule="auto"/>
              <w:ind w:firstLine="480"/>
              <w:rPr>
                <w:color w:val="auto"/>
                <w:sz w:val="24"/>
              </w:rPr>
            </w:pPr>
            <w:r>
              <w:rPr>
                <w:color w:val="auto"/>
                <w:sz w:val="24"/>
              </w:rPr>
              <w:t>式中：L</w:t>
            </w:r>
            <w:r>
              <w:rPr>
                <w:color w:val="auto"/>
                <w:sz w:val="24"/>
                <w:vertAlign w:val="subscript"/>
              </w:rPr>
              <w:t>eqg</w:t>
            </w:r>
            <w:r>
              <w:rPr>
                <w:color w:val="auto"/>
                <w:sz w:val="24"/>
              </w:rPr>
              <w:t>—噪声贡献值，dB；</w:t>
            </w:r>
          </w:p>
          <w:p w14:paraId="4A46AB1B">
            <w:pPr>
              <w:pStyle w:val="189"/>
              <w:spacing w:line="360" w:lineRule="auto"/>
              <w:ind w:firstLine="480"/>
              <w:rPr>
                <w:color w:val="auto"/>
                <w:sz w:val="24"/>
              </w:rPr>
            </w:pPr>
            <w:r>
              <w:rPr>
                <w:color w:val="auto"/>
                <w:sz w:val="24"/>
              </w:rPr>
              <w:t>T—预测计算的时间段，s；</w:t>
            </w:r>
          </w:p>
          <w:p w14:paraId="141EF6CA">
            <w:pPr>
              <w:pStyle w:val="189"/>
              <w:spacing w:line="360" w:lineRule="auto"/>
              <w:ind w:firstLine="480"/>
              <w:rPr>
                <w:color w:val="auto"/>
                <w:sz w:val="24"/>
              </w:rPr>
            </w:pPr>
            <w:r>
              <w:rPr>
                <w:color w:val="auto"/>
                <w:sz w:val="24"/>
              </w:rPr>
              <w:t>t</w:t>
            </w:r>
            <w:r>
              <w:rPr>
                <w:color w:val="auto"/>
                <w:sz w:val="24"/>
                <w:vertAlign w:val="subscript"/>
              </w:rPr>
              <w:t>i</w:t>
            </w:r>
            <w:r>
              <w:rPr>
                <w:color w:val="auto"/>
                <w:sz w:val="24"/>
              </w:rPr>
              <w:t>—i声源在T时段内的运行时间，s；</w:t>
            </w:r>
          </w:p>
          <w:p w14:paraId="02EE5DE8">
            <w:pPr>
              <w:pStyle w:val="189"/>
              <w:spacing w:line="360" w:lineRule="auto"/>
              <w:ind w:firstLine="480"/>
              <w:rPr>
                <w:color w:val="auto"/>
                <w:sz w:val="24"/>
              </w:rPr>
            </w:pPr>
            <w:r>
              <w:rPr>
                <w:color w:val="auto"/>
                <w:sz w:val="24"/>
              </w:rPr>
              <w:t>L</w:t>
            </w:r>
            <w:r>
              <w:rPr>
                <w:color w:val="auto"/>
                <w:sz w:val="24"/>
                <w:vertAlign w:val="subscript"/>
              </w:rPr>
              <w:t>Ai</w:t>
            </w:r>
            <w:r>
              <w:rPr>
                <w:color w:val="auto"/>
                <w:sz w:val="24"/>
              </w:rPr>
              <w:t>—i声源在预测点产生的等效连续A声级，dB。</w:t>
            </w:r>
          </w:p>
          <w:p w14:paraId="0D953B71">
            <w:pPr>
              <w:pStyle w:val="189"/>
              <w:spacing w:line="360" w:lineRule="auto"/>
              <w:ind w:firstLine="482"/>
              <w:rPr>
                <w:b/>
                <w:bCs/>
                <w:color w:val="auto"/>
                <w:sz w:val="24"/>
              </w:rPr>
            </w:pPr>
            <w:r>
              <w:rPr>
                <w:b/>
                <w:bCs/>
                <w:color w:val="auto"/>
                <w:sz w:val="24"/>
              </w:rPr>
              <w:t>③噪声衰减的计算</w:t>
            </w:r>
          </w:p>
          <w:p w14:paraId="31160D56">
            <w:pPr>
              <w:pStyle w:val="189"/>
              <w:spacing w:line="360" w:lineRule="auto"/>
              <w:ind w:firstLine="480"/>
              <w:rPr>
                <w:color w:val="auto"/>
                <w:sz w:val="24"/>
              </w:rPr>
            </w:pPr>
            <w:r>
              <w:rPr>
                <w:color w:val="auto"/>
                <w:sz w:val="24"/>
              </w:rPr>
              <w:t>对室外噪声源主要考虑噪声的几何发散衰减，计算公式为：</w:t>
            </w:r>
          </w:p>
          <w:p w14:paraId="360A57F6">
            <w:pPr>
              <w:pStyle w:val="189"/>
              <w:spacing w:line="360" w:lineRule="auto"/>
              <w:ind w:firstLine="480"/>
              <w:rPr>
                <w:color w:val="auto"/>
                <w:sz w:val="24"/>
              </w:rPr>
            </w:pPr>
            <w:r>
              <w:rPr>
                <w:color w:val="auto"/>
                <w:sz w:val="24"/>
              </w:rPr>
              <w:t>L</w:t>
            </w:r>
            <w:r>
              <w:rPr>
                <w:color w:val="auto"/>
                <w:sz w:val="24"/>
                <w:vertAlign w:val="subscript"/>
              </w:rPr>
              <w:t>p(r)</w:t>
            </w:r>
            <w:r>
              <w:rPr>
                <w:color w:val="auto"/>
                <w:sz w:val="24"/>
              </w:rPr>
              <w:t>=Lp(r</w:t>
            </w:r>
            <w:r>
              <w:rPr>
                <w:color w:val="auto"/>
                <w:sz w:val="24"/>
                <w:vertAlign w:val="subscript"/>
              </w:rPr>
              <w:t>0</w:t>
            </w:r>
            <w:r>
              <w:rPr>
                <w:color w:val="auto"/>
                <w:sz w:val="24"/>
              </w:rPr>
              <w:t>)-20lg（r/r</w:t>
            </w:r>
            <w:r>
              <w:rPr>
                <w:color w:val="auto"/>
                <w:sz w:val="24"/>
                <w:vertAlign w:val="subscript"/>
              </w:rPr>
              <w:t>0</w:t>
            </w:r>
            <w:r>
              <w:rPr>
                <w:color w:val="auto"/>
                <w:sz w:val="24"/>
              </w:rPr>
              <w:t>）</w:t>
            </w:r>
          </w:p>
          <w:p w14:paraId="45DD494A">
            <w:pPr>
              <w:pStyle w:val="189"/>
              <w:spacing w:line="360" w:lineRule="auto"/>
              <w:ind w:firstLine="480"/>
              <w:rPr>
                <w:color w:val="auto"/>
                <w:sz w:val="24"/>
              </w:rPr>
            </w:pPr>
            <w:r>
              <w:rPr>
                <w:color w:val="auto"/>
                <w:sz w:val="24"/>
              </w:rPr>
              <w:t>式中：L</w:t>
            </w:r>
            <w:r>
              <w:rPr>
                <w:color w:val="auto"/>
                <w:sz w:val="24"/>
                <w:vertAlign w:val="subscript"/>
              </w:rPr>
              <w:t>p(r)</w:t>
            </w:r>
            <w:r>
              <w:rPr>
                <w:color w:val="auto"/>
                <w:sz w:val="24"/>
              </w:rPr>
              <w:t>—预测点处声压级，dB；</w:t>
            </w:r>
          </w:p>
          <w:p w14:paraId="55517C51">
            <w:pPr>
              <w:pStyle w:val="189"/>
              <w:spacing w:line="360" w:lineRule="auto"/>
              <w:ind w:firstLine="480"/>
              <w:rPr>
                <w:color w:val="auto"/>
                <w:sz w:val="24"/>
              </w:rPr>
            </w:pPr>
            <w:r>
              <w:rPr>
                <w:color w:val="auto"/>
                <w:sz w:val="24"/>
              </w:rPr>
              <w:t>L</w:t>
            </w:r>
            <w:r>
              <w:rPr>
                <w:color w:val="auto"/>
                <w:sz w:val="24"/>
                <w:vertAlign w:val="subscript"/>
              </w:rPr>
              <w:t>p(r0)</w:t>
            </w:r>
            <w:r>
              <w:rPr>
                <w:color w:val="auto"/>
                <w:sz w:val="24"/>
              </w:rPr>
              <w:t>—参考位置r</w:t>
            </w:r>
            <w:r>
              <w:rPr>
                <w:color w:val="auto"/>
                <w:sz w:val="24"/>
                <w:vertAlign w:val="subscript"/>
              </w:rPr>
              <w:t>0</w:t>
            </w:r>
            <w:r>
              <w:rPr>
                <w:color w:val="auto"/>
                <w:sz w:val="24"/>
              </w:rPr>
              <w:t>处的声压级，dB；</w:t>
            </w:r>
          </w:p>
          <w:p w14:paraId="321B0080">
            <w:pPr>
              <w:pStyle w:val="189"/>
              <w:spacing w:line="360" w:lineRule="auto"/>
              <w:ind w:firstLine="480"/>
              <w:rPr>
                <w:color w:val="auto"/>
                <w:sz w:val="24"/>
              </w:rPr>
            </w:pPr>
            <w:r>
              <w:rPr>
                <w:color w:val="auto"/>
                <w:sz w:val="24"/>
              </w:rPr>
              <w:t>r—预测点距声源的距离；</w:t>
            </w:r>
          </w:p>
          <w:p w14:paraId="50EEF681">
            <w:pPr>
              <w:pStyle w:val="189"/>
              <w:spacing w:line="360" w:lineRule="auto"/>
              <w:ind w:firstLine="480"/>
              <w:rPr>
                <w:color w:val="auto"/>
                <w:sz w:val="24"/>
              </w:rPr>
            </w:pPr>
            <w:r>
              <w:rPr>
                <w:color w:val="auto"/>
                <w:sz w:val="24"/>
              </w:rPr>
              <w:t>r</w:t>
            </w:r>
            <w:r>
              <w:rPr>
                <w:color w:val="auto"/>
                <w:sz w:val="24"/>
                <w:vertAlign w:val="subscript"/>
              </w:rPr>
              <w:t>0</w:t>
            </w:r>
            <w:r>
              <w:rPr>
                <w:color w:val="auto"/>
                <w:sz w:val="24"/>
              </w:rPr>
              <w:t>—参考位置距声源的距离。</w:t>
            </w:r>
          </w:p>
          <w:p w14:paraId="7A73A20E">
            <w:pPr>
              <w:pStyle w:val="189"/>
              <w:spacing w:line="360" w:lineRule="auto"/>
              <w:ind w:firstLine="480"/>
              <w:rPr>
                <w:color w:val="auto"/>
                <w:sz w:val="24"/>
              </w:rPr>
            </w:pPr>
            <w:r>
              <w:rPr>
                <w:color w:val="auto"/>
                <w:sz w:val="24"/>
              </w:rPr>
              <w:t>如果已知点声源的倍频带声功率级或A计权声功率级（LAw），且声源处于自由声场，计算公式为：</w:t>
            </w:r>
          </w:p>
          <w:p w14:paraId="411CE234">
            <w:pPr>
              <w:pStyle w:val="189"/>
              <w:spacing w:line="360" w:lineRule="auto"/>
              <w:ind w:firstLine="480"/>
              <w:rPr>
                <w:color w:val="auto"/>
                <w:sz w:val="24"/>
              </w:rPr>
            </w:pPr>
            <w:r>
              <w:rPr>
                <w:color w:val="auto"/>
                <w:sz w:val="24"/>
              </w:rPr>
              <w:t>L</w:t>
            </w:r>
            <w:r>
              <w:rPr>
                <w:color w:val="auto"/>
                <w:sz w:val="24"/>
                <w:vertAlign w:val="subscript"/>
              </w:rPr>
              <w:t>p(r)</w:t>
            </w:r>
            <w:r>
              <w:rPr>
                <w:color w:val="auto"/>
                <w:sz w:val="24"/>
              </w:rPr>
              <w:t>=Lw-20lgr-11</w:t>
            </w:r>
          </w:p>
          <w:p w14:paraId="0C1ECD1F">
            <w:pPr>
              <w:pStyle w:val="189"/>
              <w:spacing w:line="360" w:lineRule="auto"/>
              <w:ind w:firstLine="480"/>
              <w:rPr>
                <w:color w:val="auto"/>
                <w:sz w:val="24"/>
              </w:rPr>
            </w:pPr>
            <w:r>
              <w:rPr>
                <w:color w:val="auto"/>
                <w:sz w:val="24"/>
              </w:rPr>
              <w:t>式中：Lp(r)—预测点处声压级，dB；</w:t>
            </w:r>
          </w:p>
          <w:p w14:paraId="14AFC4C7">
            <w:pPr>
              <w:pStyle w:val="189"/>
              <w:spacing w:line="360" w:lineRule="auto"/>
              <w:ind w:firstLine="480"/>
              <w:rPr>
                <w:color w:val="auto"/>
                <w:sz w:val="24"/>
              </w:rPr>
            </w:pPr>
            <w:r>
              <w:rPr>
                <w:color w:val="auto"/>
                <w:sz w:val="24"/>
              </w:rPr>
              <w:t>L</w:t>
            </w:r>
            <w:r>
              <w:rPr>
                <w:color w:val="auto"/>
                <w:sz w:val="24"/>
                <w:vertAlign w:val="subscript"/>
              </w:rPr>
              <w:t>w</w:t>
            </w:r>
            <w:r>
              <w:rPr>
                <w:color w:val="auto"/>
                <w:sz w:val="24"/>
              </w:rPr>
              <w:t>—由点声源产生的倍频带声功率级，dB；</w:t>
            </w:r>
          </w:p>
          <w:p w14:paraId="361CC7B5">
            <w:pPr>
              <w:pStyle w:val="189"/>
              <w:spacing w:line="360" w:lineRule="auto"/>
              <w:ind w:firstLine="480"/>
              <w:rPr>
                <w:color w:val="auto"/>
                <w:sz w:val="24"/>
              </w:rPr>
            </w:pPr>
            <w:r>
              <w:rPr>
                <w:color w:val="auto"/>
                <w:sz w:val="24"/>
              </w:rPr>
              <w:t>r—预测点距声源的距离。</w:t>
            </w:r>
          </w:p>
          <w:p w14:paraId="09263430">
            <w:pPr>
              <w:pStyle w:val="189"/>
              <w:spacing w:line="360" w:lineRule="auto"/>
              <w:ind w:firstLine="480"/>
              <w:rPr>
                <w:color w:val="auto"/>
                <w:sz w:val="24"/>
              </w:rPr>
            </w:pPr>
            <w:r>
              <w:rPr>
                <w:color w:val="auto"/>
                <w:sz w:val="24"/>
              </w:rPr>
              <w:t>或通过如下公式计算：</w:t>
            </w:r>
          </w:p>
          <w:p w14:paraId="19ACC937">
            <w:pPr>
              <w:pStyle w:val="189"/>
              <w:spacing w:line="360" w:lineRule="auto"/>
              <w:ind w:firstLine="480"/>
              <w:rPr>
                <w:color w:val="auto"/>
                <w:sz w:val="24"/>
              </w:rPr>
            </w:pPr>
            <w:r>
              <w:rPr>
                <w:color w:val="auto"/>
                <w:sz w:val="24"/>
              </w:rPr>
              <w:t>L</w:t>
            </w:r>
            <w:r>
              <w:rPr>
                <w:color w:val="auto"/>
                <w:sz w:val="24"/>
                <w:vertAlign w:val="subscript"/>
              </w:rPr>
              <w:t>A(r)</w:t>
            </w:r>
            <w:r>
              <w:rPr>
                <w:color w:val="auto"/>
                <w:sz w:val="24"/>
              </w:rPr>
              <w:t>=L</w:t>
            </w:r>
            <w:r>
              <w:rPr>
                <w:color w:val="auto"/>
                <w:sz w:val="24"/>
                <w:vertAlign w:val="subscript"/>
              </w:rPr>
              <w:t>Aw</w:t>
            </w:r>
            <w:r>
              <w:rPr>
                <w:color w:val="auto"/>
                <w:sz w:val="24"/>
              </w:rPr>
              <w:t>-20lgr-11（A.8）</w:t>
            </w:r>
          </w:p>
          <w:p w14:paraId="14B00A2A">
            <w:pPr>
              <w:pStyle w:val="189"/>
              <w:spacing w:line="360" w:lineRule="auto"/>
              <w:ind w:firstLine="480"/>
              <w:rPr>
                <w:color w:val="auto"/>
                <w:sz w:val="24"/>
              </w:rPr>
            </w:pPr>
            <w:r>
              <w:rPr>
                <w:color w:val="auto"/>
                <w:sz w:val="24"/>
              </w:rPr>
              <w:t>式中：L</w:t>
            </w:r>
            <w:r>
              <w:rPr>
                <w:color w:val="auto"/>
                <w:sz w:val="24"/>
                <w:vertAlign w:val="subscript"/>
              </w:rPr>
              <w:t>A(r)</w:t>
            </w:r>
            <w:r>
              <w:rPr>
                <w:color w:val="auto"/>
                <w:sz w:val="24"/>
              </w:rPr>
              <w:t>—距声源r处的A声级，dB(A)；</w:t>
            </w:r>
          </w:p>
          <w:p w14:paraId="4082B62A">
            <w:pPr>
              <w:pStyle w:val="189"/>
              <w:spacing w:line="360" w:lineRule="auto"/>
              <w:ind w:firstLine="480"/>
              <w:rPr>
                <w:color w:val="auto"/>
                <w:sz w:val="24"/>
              </w:rPr>
            </w:pPr>
            <w:r>
              <w:rPr>
                <w:color w:val="auto"/>
                <w:sz w:val="24"/>
              </w:rPr>
              <w:t>L</w:t>
            </w:r>
            <w:r>
              <w:rPr>
                <w:color w:val="auto"/>
                <w:sz w:val="24"/>
                <w:vertAlign w:val="subscript"/>
              </w:rPr>
              <w:t>Aw</w:t>
            </w:r>
            <w:r>
              <w:rPr>
                <w:color w:val="auto"/>
                <w:sz w:val="24"/>
              </w:rPr>
              <w:t>—点声源A计权声功率级，dB；</w:t>
            </w:r>
          </w:p>
          <w:p w14:paraId="719338FB">
            <w:pPr>
              <w:pStyle w:val="189"/>
              <w:spacing w:line="360" w:lineRule="auto"/>
              <w:ind w:firstLine="480"/>
              <w:rPr>
                <w:color w:val="auto"/>
                <w:sz w:val="24"/>
              </w:rPr>
            </w:pPr>
            <w:r>
              <w:rPr>
                <w:color w:val="auto"/>
                <w:sz w:val="24"/>
              </w:rPr>
              <w:t>r—预测点距声源的距离。</w:t>
            </w:r>
          </w:p>
          <w:p w14:paraId="37FDD937">
            <w:pPr>
              <w:pStyle w:val="189"/>
              <w:spacing w:line="360" w:lineRule="auto"/>
              <w:ind w:firstLine="480"/>
              <w:rPr>
                <w:color w:val="auto"/>
                <w:sz w:val="24"/>
              </w:rPr>
            </w:pPr>
            <w:r>
              <w:rPr>
                <w:color w:val="auto"/>
                <w:sz w:val="24"/>
              </w:rPr>
              <w:t>如果声源处于半自由声场，计算公式为：</w:t>
            </w:r>
          </w:p>
          <w:p w14:paraId="2082D957">
            <w:pPr>
              <w:pStyle w:val="189"/>
              <w:spacing w:line="360" w:lineRule="auto"/>
              <w:ind w:firstLine="480"/>
              <w:rPr>
                <w:color w:val="auto"/>
                <w:sz w:val="24"/>
              </w:rPr>
            </w:pPr>
            <w:r>
              <w:rPr>
                <w:color w:val="auto"/>
                <w:sz w:val="24"/>
              </w:rPr>
              <w:t>Lp(r)=Lw-20lgr-8</w:t>
            </w:r>
          </w:p>
          <w:p w14:paraId="56D8A796">
            <w:pPr>
              <w:pStyle w:val="189"/>
              <w:spacing w:line="360" w:lineRule="auto"/>
              <w:ind w:firstLine="480"/>
              <w:rPr>
                <w:color w:val="auto"/>
                <w:sz w:val="24"/>
              </w:rPr>
            </w:pPr>
            <w:r>
              <w:rPr>
                <w:color w:val="auto"/>
                <w:sz w:val="24"/>
              </w:rPr>
              <w:t>式中：L</w:t>
            </w:r>
            <w:r>
              <w:rPr>
                <w:color w:val="auto"/>
                <w:sz w:val="24"/>
                <w:vertAlign w:val="subscript"/>
              </w:rPr>
              <w:t>p(r)</w:t>
            </w:r>
            <w:r>
              <w:rPr>
                <w:color w:val="auto"/>
                <w:sz w:val="24"/>
              </w:rPr>
              <w:t>—预测点处声压级，dB；</w:t>
            </w:r>
          </w:p>
          <w:p w14:paraId="50A1FC2F">
            <w:pPr>
              <w:pStyle w:val="189"/>
              <w:spacing w:line="360" w:lineRule="auto"/>
              <w:ind w:firstLine="480"/>
              <w:rPr>
                <w:color w:val="auto"/>
                <w:sz w:val="24"/>
              </w:rPr>
            </w:pPr>
            <w:r>
              <w:rPr>
                <w:color w:val="auto"/>
                <w:sz w:val="24"/>
              </w:rPr>
              <w:t>Lw—由点声源产生的倍频带声功率级，dB；</w:t>
            </w:r>
          </w:p>
          <w:p w14:paraId="715476FB">
            <w:pPr>
              <w:pStyle w:val="189"/>
              <w:spacing w:line="360" w:lineRule="auto"/>
              <w:ind w:firstLine="480"/>
              <w:rPr>
                <w:color w:val="auto"/>
                <w:sz w:val="24"/>
              </w:rPr>
            </w:pPr>
            <w:r>
              <w:rPr>
                <w:color w:val="auto"/>
                <w:sz w:val="24"/>
              </w:rPr>
              <w:t>r—预测点距声源的距离。</w:t>
            </w:r>
          </w:p>
          <w:p w14:paraId="50656834">
            <w:pPr>
              <w:pStyle w:val="189"/>
              <w:spacing w:line="360" w:lineRule="auto"/>
              <w:ind w:firstLine="480"/>
              <w:rPr>
                <w:color w:val="auto"/>
                <w:sz w:val="24"/>
              </w:rPr>
            </w:pPr>
            <w:r>
              <w:rPr>
                <w:color w:val="auto"/>
                <w:sz w:val="24"/>
              </w:rPr>
              <w:t>或通过如下公式计算：</w:t>
            </w:r>
          </w:p>
          <w:p w14:paraId="5D5B77D1">
            <w:pPr>
              <w:pStyle w:val="189"/>
              <w:spacing w:line="360" w:lineRule="auto"/>
              <w:ind w:firstLine="480"/>
              <w:rPr>
                <w:color w:val="auto"/>
                <w:sz w:val="24"/>
              </w:rPr>
            </w:pPr>
            <w:r>
              <w:rPr>
                <w:color w:val="auto"/>
                <w:sz w:val="24"/>
              </w:rPr>
              <w:t>L</w:t>
            </w:r>
            <w:r>
              <w:rPr>
                <w:color w:val="auto"/>
                <w:sz w:val="24"/>
                <w:vertAlign w:val="subscript"/>
              </w:rPr>
              <w:t>A(r)</w:t>
            </w:r>
            <w:r>
              <w:rPr>
                <w:color w:val="auto"/>
                <w:sz w:val="24"/>
              </w:rPr>
              <w:t>=L</w:t>
            </w:r>
            <w:r>
              <w:rPr>
                <w:color w:val="auto"/>
                <w:sz w:val="24"/>
                <w:vertAlign w:val="subscript"/>
              </w:rPr>
              <w:t>Aw</w:t>
            </w:r>
            <w:r>
              <w:rPr>
                <w:color w:val="auto"/>
                <w:sz w:val="24"/>
              </w:rPr>
              <w:t>-20lgr-8</w:t>
            </w:r>
          </w:p>
          <w:p w14:paraId="19108078">
            <w:pPr>
              <w:pStyle w:val="189"/>
              <w:spacing w:line="360" w:lineRule="auto"/>
              <w:ind w:firstLine="480"/>
              <w:rPr>
                <w:color w:val="auto"/>
                <w:sz w:val="24"/>
              </w:rPr>
            </w:pPr>
            <w:r>
              <w:rPr>
                <w:color w:val="auto"/>
                <w:sz w:val="24"/>
              </w:rPr>
              <w:t>式中：L</w:t>
            </w:r>
            <w:r>
              <w:rPr>
                <w:color w:val="auto"/>
                <w:sz w:val="24"/>
                <w:vertAlign w:val="subscript"/>
              </w:rPr>
              <w:t>A(r)</w:t>
            </w:r>
            <w:r>
              <w:rPr>
                <w:color w:val="auto"/>
                <w:sz w:val="24"/>
              </w:rPr>
              <w:t>—距声源r处的A声级，dB(A)；</w:t>
            </w:r>
          </w:p>
          <w:p w14:paraId="291D3285">
            <w:pPr>
              <w:pStyle w:val="189"/>
              <w:spacing w:line="360" w:lineRule="auto"/>
              <w:ind w:firstLine="480"/>
              <w:rPr>
                <w:color w:val="auto"/>
                <w:sz w:val="24"/>
              </w:rPr>
            </w:pPr>
            <w:r>
              <w:rPr>
                <w:color w:val="auto"/>
                <w:sz w:val="24"/>
              </w:rPr>
              <w:t>L</w:t>
            </w:r>
            <w:r>
              <w:rPr>
                <w:color w:val="auto"/>
                <w:sz w:val="24"/>
                <w:vertAlign w:val="subscript"/>
              </w:rPr>
              <w:t>Aw</w:t>
            </w:r>
            <w:r>
              <w:rPr>
                <w:color w:val="auto"/>
                <w:sz w:val="24"/>
              </w:rPr>
              <w:t>—点声源A计权声功率级，dB；</w:t>
            </w:r>
          </w:p>
          <w:p w14:paraId="6027D143">
            <w:pPr>
              <w:pStyle w:val="189"/>
              <w:spacing w:line="360" w:lineRule="auto"/>
              <w:ind w:firstLine="480"/>
              <w:rPr>
                <w:color w:val="auto"/>
                <w:sz w:val="24"/>
              </w:rPr>
            </w:pPr>
            <w:r>
              <w:rPr>
                <w:color w:val="auto"/>
                <w:sz w:val="24"/>
              </w:rPr>
              <w:t>r—预测点距声源的距离。</w:t>
            </w:r>
          </w:p>
          <w:p w14:paraId="7293D2F9">
            <w:pPr>
              <w:pStyle w:val="189"/>
              <w:spacing w:line="360" w:lineRule="auto"/>
              <w:ind w:firstLine="482"/>
              <w:rPr>
                <w:b/>
                <w:bCs/>
                <w:color w:val="auto"/>
                <w:sz w:val="24"/>
              </w:rPr>
            </w:pPr>
            <w:r>
              <w:rPr>
                <w:b/>
                <w:bCs/>
                <w:color w:val="auto"/>
                <w:sz w:val="24"/>
              </w:rPr>
              <w:t>（3）预测计算结果与对照分析</w:t>
            </w:r>
          </w:p>
          <w:p w14:paraId="2C11A048">
            <w:pPr>
              <w:pStyle w:val="189"/>
              <w:spacing w:line="360" w:lineRule="auto"/>
              <w:ind w:firstLine="480"/>
              <w:rPr>
                <w:color w:val="auto"/>
                <w:sz w:val="24"/>
              </w:rPr>
            </w:pPr>
            <w:r>
              <w:rPr>
                <w:color w:val="auto"/>
                <w:sz w:val="24"/>
              </w:rPr>
              <w:t>利用上述模式预测计算，本项目正常生产状况下噪声预测结果达标，具体见下表。</w:t>
            </w:r>
          </w:p>
          <w:p w14:paraId="2C8C9BE4">
            <w:pPr>
              <w:spacing w:line="240" w:lineRule="auto"/>
              <w:jc w:val="center"/>
              <w:rPr>
                <w:b/>
                <w:bCs/>
                <w:color w:val="auto"/>
                <w:szCs w:val="21"/>
                <w:highlight w:val="none"/>
              </w:rPr>
            </w:pPr>
            <w:r>
              <w:rPr>
                <w:b/>
                <w:bCs/>
                <w:color w:val="auto"/>
                <w:szCs w:val="21"/>
                <w:highlight w:val="none"/>
              </w:rPr>
              <w:t>表4-1</w:t>
            </w:r>
            <w:r>
              <w:rPr>
                <w:rFonts w:hint="eastAsia"/>
                <w:b/>
                <w:bCs/>
                <w:color w:val="auto"/>
                <w:szCs w:val="21"/>
                <w:highlight w:val="none"/>
                <w:lang w:val="en-US" w:eastAsia="zh-CN"/>
              </w:rPr>
              <w:t>7</w:t>
            </w:r>
            <w:r>
              <w:rPr>
                <w:b/>
                <w:bCs/>
                <w:color w:val="auto"/>
                <w:szCs w:val="21"/>
                <w:highlight w:val="none"/>
              </w:rPr>
              <w:t>采取相关措施后本项目噪声对预测点的预测结果</w:t>
            </w:r>
          </w:p>
          <w:tbl>
            <w:tblPr>
              <w:tblStyle w:val="42"/>
              <w:tblW w:w="9518"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275"/>
              <w:gridCol w:w="840"/>
              <w:gridCol w:w="1425"/>
              <w:gridCol w:w="870"/>
              <w:gridCol w:w="735"/>
              <w:gridCol w:w="1275"/>
              <w:gridCol w:w="915"/>
              <w:gridCol w:w="675"/>
              <w:gridCol w:w="647"/>
            </w:tblGrid>
            <w:tr w14:paraId="07D991B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restart"/>
                  <w:tcBorders>
                    <w:tl2br w:val="nil"/>
                    <w:tr2bl w:val="nil"/>
                  </w:tcBorders>
                  <w:vAlign w:val="center"/>
                </w:tcPr>
                <w:p w14:paraId="29454AD4">
                  <w:pPr>
                    <w:spacing w:line="240" w:lineRule="auto"/>
                    <w:jc w:val="center"/>
                    <w:rPr>
                      <w:rFonts w:hint="default" w:eastAsia="宋体"/>
                      <w:b/>
                      <w:color w:val="auto"/>
                      <w:spacing w:val="-2"/>
                      <w:kern w:val="0"/>
                      <w:sz w:val="21"/>
                      <w:szCs w:val="21"/>
                      <w:highlight w:val="none"/>
                      <w:lang w:val="en-US" w:eastAsia="zh-CN"/>
                    </w:rPr>
                  </w:pPr>
                  <w:r>
                    <w:rPr>
                      <w:rFonts w:hint="eastAsia"/>
                      <w:b/>
                      <w:color w:val="auto"/>
                      <w:spacing w:val="-2"/>
                      <w:kern w:val="0"/>
                      <w:sz w:val="21"/>
                      <w:szCs w:val="21"/>
                      <w:highlight w:val="none"/>
                      <w:lang w:val="en-US" w:eastAsia="zh-CN"/>
                    </w:rPr>
                    <w:t>混合噪声贡献</w:t>
                  </w:r>
                  <w:r>
                    <w:rPr>
                      <w:b/>
                      <w:color w:val="auto"/>
                      <w:spacing w:val="-2"/>
                      <w:kern w:val="0"/>
                      <w:sz w:val="21"/>
                      <w:szCs w:val="21"/>
                      <w:highlight w:val="none"/>
                    </w:rPr>
                    <w:t>值/dB</w:t>
                  </w:r>
                  <w:r>
                    <w:rPr>
                      <w:rFonts w:hint="eastAsia"/>
                      <w:b/>
                      <w:color w:val="auto"/>
                      <w:spacing w:val="-2"/>
                      <w:kern w:val="0"/>
                      <w:sz w:val="21"/>
                      <w:szCs w:val="21"/>
                      <w:highlight w:val="none"/>
                    </w:rPr>
                    <w:t>（</w:t>
                  </w:r>
                  <w:r>
                    <w:rPr>
                      <w:b/>
                      <w:color w:val="auto"/>
                      <w:spacing w:val="-2"/>
                      <w:kern w:val="0"/>
                      <w:sz w:val="21"/>
                      <w:szCs w:val="21"/>
                      <w:highlight w:val="none"/>
                    </w:rPr>
                    <w:t>A</w:t>
                  </w:r>
                  <w:r>
                    <w:rPr>
                      <w:rFonts w:hint="eastAsia"/>
                      <w:b/>
                      <w:color w:val="auto"/>
                      <w:spacing w:val="-2"/>
                      <w:kern w:val="0"/>
                      <w:sz w:val="21"/>
                      <w:szCs w:val="21"/>
                      <w:highlight w:val="none"/>
                    </w:rPr>
                    <w:t>）</w:t>
                  </w:r>
                </w:p>
              </w:tc>
              <w:tc>
                <w:tcPr>
                  <w:tcW w:w="1275" w:type="dxa"/>
                  <w:vMerge w:val="restart"/>
                  <w:tcBorders>
                    <w:tl2br w:val="nil"/>
                    <w:tr2bl w:val="nil"/>
                  </w:tcBorders>
                  <w:vAlign w:val="center"/>
                </w:tcPr>
                <w:p w14:paraId="078BED9E">
                  <w:pPr>
                    <w:spacing w:line="240" w:lineRule="auto"/>
                    <w:jc w:val="center"/>
                    <w:rPr>
                      <w:b/>
                      <w:color w:val="auto"/>
                      <w:spacing w:val="-2"/>
                      <w:kern w:val="0"/>
                      <w:sz w:val="21"/>
                      <w:szCs w:val="21"/>
                      <w:highlight w:val="none"/>
                    </w:rPr>
                  </w:pPr>
                  <w:r>
                    <w:rPr>
                      <w:b/>
                      <w:color w:val="auto"/>
                      <w:spacing w:val="-2"/>
                      <w:kern w:val="0"/>
                      <w:sz w:val="21"/>
                      <w:szCs w:val="21"/>
                      <w:highlight w:val="none"/>
                    </w:rPr>
                    <w:t>边界</w:t>
                  </w:r>
                </w:p>
              </w:tc>
              <w:tc>
                <w:tcPr>
                  <w:tcW w:w="840" w:type="dxa"/>
                  <w:vMerge w:val="restart"/>
                  <w:tcBorders>
                    <w:tl2br w:val="nil"/>
                    <w:tr2bl w:val="nil"/>
                  </w:tcBorders>
                  <w:vAlign w:val="center"/>
                </w:tcPr>
                <w:p w14:paraId="6254680D">
                  <w:pPr>
                    <w:spacing w:line="240" w:lineRule="auto"/>
                    <w:jc w:val="center"/>
                    <w:rPr>
                      <w:b/>
                      <w:color w:val="auto"/>
                      <w:spacing w:val="-2"/>
                      <w:kern w:val="0"/>
                      <w:sz w:val="21"/>
                      <w:szCs w:val="21"/>
                      <w:highlight w:val="none"/>
                    </w:rPr>
                  </w:pPr>
                  <w:r>
                    <w:rPr>
                      <w:b/>
                      <w:color w:val="auto"/>
                      <w:spacing w:val="-2"/>
                      <w:kern w:val="0"/>
                      <w:sz w:val="21"/>
                      <w:szCs w:val="21"/>
                      <w:highlight w:val="none"/>
                    </w:rPr>
                    <w:t>与</w:t>
                  </w:r>
                  <w:r>
                    <w:rPr>
                      <w:rFonts w:hint="eastAsia"/>
                      <w:b/>
                      <w:color w:val="auto"/>
                      <w:spacing w:val="-2"/>
                      <w:kern w:val="0"/>
                      <w:sz w:val="21"/>
                      <w:szCs w:val="21"/>
                      <w:highlight w:val="none"/>
                    </w:rPr>
                    <w:t>厂界</w:t>
                  </w:r>
                  <w:r>
                    <w:rPr>
                      <w:b/>
                      <w:color w:val="auto"/>
                      <w:spacing w:val="-2"/>
                      <w:kern w:val="0"/>
                      <w:sz w:val="21"/>
                      <w:szCs w:val="21"/>
                      <w:highlight w:val="none"/>
                    </w:rPr>
                    <w:t>距离</w:t>
                  </w:r>
                </w:p>
              </w:tc>
              <w:tc>
                <w:tcPr>
                  <w:tcW w:w="1425" w:type="dxa"/>
                  <w:vMerge w:val="restart"/>
                  <w:tcBorders>
                    <w:tl2br w:val="nil"/>
                    <w:tr2bl w:val="nil"/>
                  </w:tcBorders>
                  <w:vAlign w:val="center"/>
                </w:tcPr>
                <w:p w14:paraId="5B28AE09">
                  <w:pPr>
                    <w:spacing w:line="240" w:lineRule="auto"/>
                    <w:jc w:val="center"/>
                    <w:rPr>
                      <w:rFonts w:hint="eastAsia"/>
                      <w:b/>
                      <w:color w:val="auto"/>
                      <w:spacing w:val="-2"/>
                      <w:kern w:val="0"/>
                      <w:sz w:val="21"/>
                      <w:szCs w:val="21"/>
                      <w:highlight w:val="none"/>
                    </w:rPr>
                  </w:pPr>
                  <w:r>
                    <w:rPr>
                      <w:rFonts w:hint="eastAsia"/>
                      <w:b/>
                      <w:color w:val="auto"/>
                      <w:spacing w:val="-2"/>
                      <w:kern w:val="0"/>
                      <w:sz w:val="21"/>
                      <w:szCs w:val="21"/>
                      <w:highlight w:val="none"/>
                    </w:rPr>
                    <w:t>本</w:t>
                  </w:r>
                  <w:r>
                    <w:rPr>
                      <w:rFonts w:hint="eastAsia"/>
                      <w:b/>
                      <w:color w:val="auto"/>
                      <w:spacing w:val="-2"/>
                      <w:kern w:val="0"/>
                      <w:sz w:val="21"/>
                      <w:szCs w:val="21"/>
                      <w:highlight w:val="none"/>
                      <w:lang w:eastAsia="zh-CN"/>
                    </w:rPr>
                    <w:t>改建</w:t>
                  </w:r>
                  <w:r>
                    <w:rPr>
                      <w:rFonts w:hint="eastAsia"/>
                      <w:b/>
                      <w:color w:val="auto"/>
                      <w:spacing w:val="-2"/>
                      <w:kern w:val="0"/>
                      <w:sz w:val="21"/>
                      <w:szCs w:val="21"/>
                      <w:highlight w:val="none"/>
                    </w:rPr>
                    <w:t>项目厂界</w:t>
                  </w:r>
                  <w:r>
                    <w:rPr>
                      <w:b/>
                      <w:color w:val="auto"/>
                      <w:spacing w:val="-2"/>
                      <w:kern w:val="0"/>
                      <w:sz w:val="21"/>
                      <w:szCs w:val="21"/>
                      <w:highlight w:val="none"/>
                    </w:rPr>
                    <w:t>贡献值/dB</w:t>
                  </w:r>
                  <w:r>
                    <w:rPr>
                      <w:rFonts w:hint="eastAsia"/>
                      <w:b/>
                      <w:color w:val="auto"/>
                      <w:spacing w:val="-2"/>
                      <w:kern w:val="0"/>
                      <w:sz w:val="21"/>
                      <w:szCs w:val="21"/>
                      <w:highlight w:val="none"/>
                    </w:rPr>
                    <w:t>（</w:t>
                  </w:r>
                  <w:r>
                    <w:rPr>
                      <w:b/>
                      <w:color w:val="auto"/>
                      <w:spacing w:val="-2"/>
                      <w:kern w:val="0"/>
                      <w:sz w:val="21"/>
                      <w:szCs w:val="21"/>
                      <w:highlight w:val="none"/>
                    </w:rPr>
                    <w:t>A</w:t>
                  </w:r>
                  <w:r>
                    <w:rPr>
                      <w:rFonts w:hint="eastAsia"/>
                      <w:b/>
                      <w:color w:val="auto"/>
                      <w:spacing w:val="-2"/>
                      <w:kern w:val="0"/>
                      <w:sz w:val="21"/>
                      <w:szCs w:val="21"/>
                      <w:highlight w:val="none"/>
                    </w:rPr>
                    <w:t>）</w:t>
                  </w:r>
                </w:p>
              </w:tc>
              <w:tc>
                <w:tcPr>
                  <w:tcW w:w="1605" w:type="dxa"/>
                  <w:gridSpan w:val="2"/>
                  <w:tcBorders>
                    <w:tl2br w:val="nil"/>
                    <w:tr2bl w:val="nil"/>
                  </w:tcBorders>
                  <w:vAlign w:val="center"/>
                </w:tcPr>
                <w:p w14:paraId="42A97E04">
                  <w:pPr>
                    <w:spacing w:line="240" w:lineRule="auto"/>
                    <w:jc w:val="center"/>
                    <w:rPr>
                      <w:rFonts w:hint="eastAsia"/>
                      <w:b/>
                      <w:color w:val="auto"/>
                      <w:spacing w:val="-2"/>
                      <w:kern w:val="0"/>
                      <w:sz w:val="21"/>
                      <w:szCs w:val="21"/>
                      <w:highlight w:val="none"/>
                    </w:rPr>
                  </w:pPr>
                  <w:r>
                    <w:rPr>
                      <w:rFonts w:hint="eastAsia"/>
                      <w:b/>
                      <w:color w:val="auto"/>
                      <w:spacing w:val="-2"/>
                      <w:kern w:val="0"/>
                      <w:sz w:val="21"/>
                      <w:szCs w:val="21"/>
                      <w:highlight w:val="none"/>
                    </w:rPr>
                    <w:t>现有项目本底值</w:t>
                  </w:r>
                  <w:r>
                    <w:rPr>
                      <w:b/>
                      <w:color w:val="auto"/>
                      <w:spacing w:val="-2"/>
                      <w:kern w:val="0"/>
                      <w:sz w:val="21"/>
                      <w:szCs w:val="21"/>
                      <w:highlight w:val="none"/>
                    </w:rPr>
                    <w:t>/dB</w:t>
                  </w:r>
                  <w:r>
                    <w:rPr>
                      <w:rFonts w:hint="eastAsia"/>
                      <w:b/>
                      <w:color w:val="auto"/>
                      <w:spacing w:val="-2"/>
                      <w:kern w:val="0"/>
                      <w:sz w:val="21"/>
                      <w:szCs w:val="21"/>
                      <w:highlight w:val="none"/>
                    </w:rPr>
                    <w:t>（</w:t>
                  </w:r>
                  <w:r>
                    <w:rPr>
                      <w:b/>
                      <w:color w:val="auto"/>
                      <w:spacing w:val="-2"/>
                      <w:kern w:val="0"/>
                      <w:sz w:val="21"/>
                      <w:szCs w:val="21"/>
                      <w:highlight w:val="none"/>
                    </w:rPr>
                    <w:t>A</w:t>
                  </w:r>
                  <w:r>
                    <w:rPr>
                      <w:rFonts w:hint="eastAsia"/>
                      <w:b/>
                      <w:color w:val="auto"/>
                      <w:spacing w:val="-2"/>
                      <w:kern w:val="0"/>
                      <w:sz w:val="21"/>
                      <w:szCs w:val="21"/>
                      <w:highlight w:val="none"/>
                    </w:rPr>
                    <w:t>）</w:t>
                  </w:r>
                </w:p>
              </w:tc>
              <w:tc>
                <w:tcPr>
                  <w:tcW w:w="2190" w:type="dxa"/>
                  <w:gridSpan w:val="2"/>
                  <w:tcBorders>
                    <w:tl2br w:val="nil"/>
                    <w:tr2bl w:val="nil"/>
                  </w:tcBorders>
                  <w:vAlign w:val="center"/>
                </w:tcPr>
                <w:p w14:paraId="7B5424C2">
                  <w:pPr>
                    <w:spacing w:line="240" w:lineRule="auto"/>
                    <w:jc w:val="center"/>
                    <w:rPr>
                      <w:rFonts w:hint="eastAsia"/>
                      <w:b/>
                      <w:color w:val="auto"/>
                      <w:spacing w:val="-2"/>
                      <w:kern w:val="0"/>
                      <w:sz w:val="21"/>
                      <w:szCs w:val="21"/>
                      <w:highlight w:val="none"/>
                    </w:rPr>
                  </w:pPr>
                  <w:r>
                    <w:rPr>
                      <w:rFonts w:hint="eastAsia"/>
                      <w:b/>
                      <w:color w:val="auto"/>
                      <w:spacing w:val="-2"/>
                      <w:kern w:val="0"/>
                      <w:sz w:val="21"/>
                      <w:szCs w:val="21"/>
                      <w:highlight w:val="none"/>
                      <w:lang w:eastAsia="zh-CN"/>
                    </w:rPr>
                    <w:t>改建</w:t>
                  </w:r>
                  <w:r>
                    <w:rPr>
                      <w:rFonts w:hint="eastAsia"/>
                      <w:b/>
                      <w:color w:val="auto"/>
                      <w:spacing w:val="-2"/>
                      <w:kern w:val="0"/>
                      <w:sz w:val="21"/>
                      <w:szCs w:val="21"/>
                      <w:highlight w:val="none"/>
                    </w:rPr>
                    <w:t>项目运营后全厂厂界叠加</w:t>
                  </w:r>
                  <w:r>
                    <w:rPr>
                      <w:b/>
                      <w:color w:val="auto"/>
                      <w:spacing w:val="-2"/>
                      <w:kern w:val="0"/>
                      <w:sz w:val="21"/>
                      <w:szCs w:val="21"/>
                      <w:highlight w:val="none"/>
                    </w:rPr>
                    <w:t>值/dB</w:t>
                  </w:r>
                  <w:r>
                    <w:rPr>
                      <w:rFonts w:hint="eastAsia"/>
                      <w:b/>
                      <w:color w:val="auto"/>
                      <w:spacing w:val="-2"/>
                      <w:kern w:val="0"/>
                      <w:sz w:val="21"/>
                      <w:szCs w:val="21"/>
                      <w:highlight w:val="none"/>
                    </w:rPr>
                    <w:t>（</w:t>
                  </w:r>
                  <w:r>
                    <w:rPr>
                      <w:b/>
                      <w:color w:val="auto"/>
                      <w:spacing w:val="-2"/>
                      <w:kern w:val="0"/>
                      <w:sz w:val="21"/>
                      <w:szCs w:val="21"/>
                      <w:highlight w:val="none"/>
                    </w:rPr>
                    <w:t>A</w:t>
                  </w:r>
                  <w:r>
                    <w:rPr>
                      <w:rFonts w:hint="eastAsia"/>
                      <w:b/>
                      <w:color w:val="auto"/>
                      <w:spacing w:val="-2"/>
                      <w:kern w:val="0"/>
                      <w:sz w:val="21"/>
                      <w:szCs w:val="21"/>
                      <w:highlight w:val="none"/>
                    </w:rPr>
                    <w:t>）</w:t>
                  </w:r>
                </w:p>
              </w:tc>
              <w:tc>
                <w:tcPr>
                  <w:tcW w:w="1322" w:type="dxa"/>
                  <w:gridSpan w:val="2"/>
                  <w:tcBorders>
                    <w:tl2br w:val="nil"/>
                    <w:tr2bl w:val="nil"/>
                  </w:tcBorders>
                  <w:vAlign w:val="center"/>
                </w:tcPr>
                <w:p w14:paraId="6613275A">
                  <w:pPr>
                    <w:spacing w:line="240" w:lineRule="auto"/>
                    <w:jc w:val="center"/>
                    <w:rPr>
                      <w:rFonts w:hint="eastAsia"/>
                      <w:b/>
                      <w:color w:val="auto"/>
                      <w:spacing w:val="-2"/>
                      <w:kern w:val="0"/>
                      <w:sz w:val="21"/>
                      <w:szCs w:val="21"/>
                      <w:highlight w:val="none"/>
                    </w:rPr>
                  </w:pPr>
                  <w:r>
                    <w:rPr>
                      <w:b/>
                      <w:color w:val="auto"/>
                      <w:spacing w:val="-2"/>
                      <w:kern w:val="0"/>
                      <w:sz w:val="21"/>
                      <w:szCs w:val="21"/>
                      <w:highlight w:val="none"/>
                    </w:rPr>
                    <w:t>执行标准/dB</w:t>
                  </w:r>
                  <w:r>
                    <w:rPr>
                      <w:rFonts w:hint="eastAsia"/>
                      <w:b/>
                      <w:color w:val="auto"/>
                      <w:spacing w:val="-2"/>
                      <w:kern w:val="0"/>
                      <w:sz w:val="21"/>
                      <w:szCs w:val="21"/>
                      <w:highlight w:val="none"/>
                    </w:rPr>
                    <w:t>（</w:t>
                  </w:r>
                  <w:r>
                    <w:rPr>
                      <w:b/>
                      <w:color w:val="auto"/>
                      <w:spacing w:val="-2"/>
                      <w:kern w:val="0"/>
                      <w:sz w:val="21"/>
                      <w:szCs w:val="21"/>
                      <w:highlight w:val="none"/>
                    </w:rPr>
                    <w:t>A</w:t>
                  </w:r>
                  <w:r>
                    <w:rPr>
                      <w:rFonts w:hint="eastAsia"/>
                      <w:b/>
                      <w:color w:val="auto"/>
                      <w:spacing w:val="-2"/>
                      <w:kern w:val="0"/>
                      <w:sz w:val="21"/>
                      <w:szCs w:val="21"/>
                      <w:highlight w:val="none"/>
                    </w:rPr>
                    <w:t>）</w:t>
                  </w:r>
                </w:p>
              </w:tc>
            </w:tr>
            <w:tr w14:paraId="6048130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l2br w:val="nil"/>
                    <w:tr2bl w:val="nil"/>
                  </w:tcBorders>
                  <w:vAlign w:val="center"/>
                </w:tcPr>
                <w:p w14:paraId="40B81A82">
                  <w:pPr>
                    <w:spacing w:line="240" w:lineRule="auto"/>
                    <w:jc w:val="center"/>
                    <w:rPr>
                      <w:b/>
                      <w:color w:val="auto"/>
                      <w:spacing w:val="-2"/>
                      <w:kern w:val="0"/>
                      <w:sz w:val="21"/>
                      <w:szCs w:val="21"/>
                      <w:highlight w:val="none"/>
                    </w:rPr>
                  </w:pPr>
                </w:p>
              </w:tc>
              <w:tc>
                <w:tcPr>
                  <w:tcW w:w="1275" w:type="dxa"/>
                  <w:vMerge w:val="continue"/>
                  <w:tcBorders>
                    <w:tl2br w:val="nil"/>
                    <w:tr2bl w:val="nil"/>
                  </w:tcBorders>
                  <w:vAlign w:val="center"/>
                </w:tcPr>
                <w:p w14:paraId="688FC719">
                  <w:pPr>
                    <w:spacing w:line="240" w:lineRule="auto"/>
                    <w:jc w:val="center"/>
                    <w:rPr>
                      <w:b/>
                      <w:color w:val="auto"/>
                      <w:spacing w:val="-2"/>
                      <w:kern w:val="0"/>
                      <w:sz w:val="21"/>
                      <w:szCs w:val="21"/>
                      <w:highlight w:val="none"/>
                    </w:rPr>
                  </w:pPr>
                </w:p>
              </w:tc>
              <w:tc>
                <w:tcPr>
                  <w:tcW w:w="840" w:type="dxa"/>
                  <w:vMerge w:val="continue"/>
                  <w:tcBorders>
                    <w:tl2br w:val="nil"/>
                    <w:tr2bl w:val="nil"/>
                  </w:tcBorders>
                  <w:vAlign w:val="center"/>
                </w:tcPr>
                <w:p w14:paraId="4D40E056">
                  <w:pPr>
                    <w:spacing w:line="240" w:lineRule="auto"/>
                    <w:ind w:firstLine="414" w:firstLineChars="200"/>
                    <w:jc w:val="center"/>
                    <w:rPr>
                      <w:b/>
                      <w:color w:val="auto"/>
                      <w:spacing w:val="-2"/>
                      <w:kern w:val="0"/>
                      <w:sz w:val="21"/>
                      <w:szCs w:val="21"/>
                      <w:highlight w:val="none"/>
                    </w:rPr>
                  </w:pPr>
                </w:p>
              </w:tc>
              <w:tc>
                <w:tcPr>
                  <w:tcW w:w="1425" w:type="dxa"/>
                  <w:vMerge w:val="continue"/>
                  <w:tcBorders>
                    <w:tl2br w:val="nil"/>
                    <w:tr2bl w:val="nil"/>
                  </w:tcBorders>
                  <w:vAlign w:val="center"/>
                </w:tcPr>
                <w:p w14:paraId="62EE7712">
                  <w:pPr>
                    <w:spacing w:line="240" w:lineRule="auto"/>
                    <w:ind w:firstLine="414" w:firstLineChars="200"/>
                    <w:jc w:val="center"/>
                    <w:rPr>
                      <w:b/>
                      <w:color w:val="auto"/>
                      <w:spacing w:val="-2"/>
                      <w:kern w:val="0"/>
                      <w:sz w:val="21"/>
                      <w:szCs w:val="21"/>
                      <w:highlight w:val="none"/>
                    </w:rPr>
                  </w:pPr>
                </w:p>
              </w:tc>
              <w:tc>
                <w:tcPr>
                  <w:tcW w:w="870" w:type="dxa"/>
                  <w:tcBorders>
                    <w:tl2br w:val="nil"/>
                    <w:tr2bl w:val="nil"/>
                  </w:tcBorders>
                  <w:vAlign w:val="center"/>
                </w:tcPr>
                <w:p w14:paraId="715AE63F">
                  <w:pPr>
                    <w:spacing w:line="240" w:lineRule="auto"/>
                    <w:jc w:val="center"/>
                    <w:rPr>
                      <w:b/>
                      <w:color w:val="auto"/>
                      <w:spacing w:val="-2"/>
                      <w:kern w:val="0"/>
                      <w:sz w:val="21"/>
                      <w:szCs w:val="21"/>
                      <w:highlight w:val="none"/>
                    </w:rPr>
                  </w:pPr>
                  <w:r>
                    <w:rPr>
                      <w:b/>
                      <w:color w:val="auto"/>
                      <w:spacing w:val="-2"/>
                      <w:kern w:val="0"/>
                      <w:sz w:val="21"/>
                      <w:szCs w:val="21"/>
                      <w:highlight w:val="none"/>
                    </w:rPr>
                    <w:t>昼间</w:t>
                  </w:r>
                </w:p>
              </w:tc>
              <w:tc>
                <w:tcPr>
                  <w:tcW w:w="735" w:type="dxa"/>
                  <w:tcBorders>
                    <w:tl2br w:val="nil"/>
                    <w:tr2bl w:val="nil"/>
                  </w:tcBorders>
                  <w:vAlign w:val="center"/>
                </w:tcPr>
                <w:p w14:paraId="473FF0A1">
                  <w:pPr>
                    <w:spacing w:line="240" w:lineRule="auto"/>
                    <w:jc w:val="center"/>
                    <w:rPr>
                      <w:rFonts w:hint="eastAsia"/>
                      <w:b/>
                      <w:color w:val="auto"/>
                      <w:spacing w:val="-2"/>
                      <w:kern w:val="0"/>
                      <w:sz w:val="21"/>
                      <w:szCs w:val="21"/>
                      <w:highlight w:val="none"/>
                    </w:rPr>
                  </w:pPr>
                  <w:r>
                    <w:rPr>
                      <w:rFonts w:hint="eastAsia"/>
                      <w:b/>
                      <w:color w:val="auto"/>
                      <w:spacing w:val="-2"/>
                      <w:kern w:val="0"/>
                      <w:sz w:val="21"/>
                      <w:szCs w:val="21"/>
                      <w:highlight w:val="none"/>
                    </w:rPr>
                    <w:t>夜间</w:t>
                  </w:r>
                </w:p>
              </w:tc>
              <w:tc>
                <w:tcPr>
                  <w:tcW w:w="1275" w:type="dxa"/>
                  <w:tcBorders>
                    <w:tl2br w:val="nil"/>
                    <w:tr2bl w:val="nil"/>
                  </w:tcBorders>
                  <w:vAlign w:val="center"/>
                </w:tcPr>
                <w:p w14:paraId="7AFF2022">
                  <w:pPr>
                    <w:spacing w:line="240" w:lineRule="auto"/>
                    <w:jc w:val="center"/>
                    <w:rPr>
                      <w:b/>
                      <w:color w:val="auto"/>
                      <w:spacing w:val="-2"/>
                      <w:kern w:val="0"/>
                      <w:sz w:val="21"/>
                      <w:szCs w:val="21"/>
                      <w:highlight w:val="none"/>
                    </w:rPr>
                  </w:pPr>
                  <w:r>
                    <w:rPr>
                      <w:b/>
                      <w:color w:val="auto"/>
                      <w:spacing w:val="-2"/>
                      <w:kern w:val="0"/>
                      <w:sz w:val="21"/>
                      <w:szCs w:val="21"/>
                      <w:highlight w:val="none"/>
                    </w:rPr>
                    <w:t>昼间</w:t>
                  </w:r>
                </w:p>
              </w:tc>
              <w:tc>
                <w:tcPr>
                  <w:tcW w:w="915" w:type="dxa"/>
                  <w:tcBorders>
                    <w:tl2br w:val="nil"/>
                    <w:tr2bl w:val="nil"/>
                  </w:tcBorders>
                  <w:vAlign w:val="center"/>
                </w:tcPr>
                <w:p w14:paraId="2880BBC7">
                  <w:pPr>
                    <w:spacing w:line="240" w:lineRule="auto"/>
                    <w:jc w:val="center"/>
                    <w:rPr>
                      <w:rFonts w:hint="eastAsia"/>
                      <w:b/>
                      <w:color w:val="auto"/>
                      <w:spacing w:val="-2"/>
                      <w:kern w:val="0"/>
                      <w:sz w:val="21"/>
                      <w:szCs w:val="21"/>
                      <w:highlight w:val="none"/>
                    </w:rPr>
                  </w:pPr>
                  <w:r>
                    <w:rPr>
                      <w:rFonts w:hint="eastAsia"/>
                      <w:b/>
                      <w:color w:val="auto"/>
                      <w:spacing w:val="-2"/>
                      <w:kern w:val="0"/>
                      <w:sz w:val="21"/>
                      <w:szCs w:val="21"/>
                      <w:highlight w:val="none"/>
                    </w:rPr>
                    <w:t>夜间</w:t>
                  </w:r>
                </w:p>
              </w:tc>
              <w:tc>
                <w:tcPr>
                  <w:tcW w:w="675" w:type="dxa"/>
                  <w:tcBorders>
                    <w:tl2br w:val="nil"/>
                    <w:tr2bl w:val="nil"/>
                  </w:tcBorders>
                  <w:vAlign w:val="center"/>
                </w:tcPr>
                <w:p w14:paraId="6DB08BD8">
                  <w:pPr>
                    <w:spacing w:line="240" w:lineRule="auto"/>
                    <w:jc w:val="center"/>
                    <w:rPr>
                      <w:b/>
                      <w:color w:val="auto"/>
                      <w:spacing w:val="-2"/>
                      <w:kern w:val="0"/>
                      <w:sz w:val="21"/>
                      <w:szCs w:val="21"/>
                      <w:highlight w:val="none"/>
                    </w:rPr>
                  </w:pPr>
                  <w:r>
                    <w:rPr>
                      <w:b/>
                      <w:color w:val="auto"/>
                      <w:spacing w:val="-2"/>
                      <w:kern w:val="0"/>
                      <w:sz w:val="21"/>
                      <w:szCs w:val="21"/>
                      <w:highlight w:val="none"/>
                    </w:rPr>
                    <w:t>昼间</w:t>
                  </w:r>
                </w:p>
              </w:tc>
              <w:tc>
                <w:tcPr>
                  <w:tcW w:w="647" w:type="dxa"/>
                  <w:tcBorders>
                    <w:tl2br w:val="nil"/>
                    <w:tr2bl w:val="nil"/>
                  </w:tcBorders>
                  <w:vAlign w:val="center"/>
                </w:tcPr>
                <w:p w14:paraId="28F1D368">
                  <w:pPr>
                    <w:spacing w:line="240" w:lineRule="auto"/>
                    <w:jc w:val="center"/>
                    <w:rPr>
                      <w:rFonts w:hint="eastAsia"/>
                      <w:b/>
                      <w:color w:val="auto"/>
                      <w:spacing w:val="-2"/>
                      <w:kern w:val="0"/>
                      <w:sz w:val="21"/>
                      <w:szCs w:val="21"/>
                      <w:highlight w:val="none"/>
                    </w:rPr>
                  </w:pPr>
                  <w:r>
                    <w:rPr>
                      <w:rFonts w:hint="eastAsia"/>
                      <w:b/>
                      <w:color w:val="auto"/>
                      <w:spacing w:val="-2"/>
                      <w:kern w:val="0"/>
                      <w:sz w:val="21"/>
                      <w:szCs w:val="21"/>
                      <w:highlight w:val="none"/>
                    </w:rPr>
                    <w:t>夜间</w:t>
                  </w:r>
                </w:p>
              </w:tc>
            </w:tr>
            <w:tr w14:paraId="0574CEC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restart"/>
                  <w:tcBorders>
                    <w:tl2br w:val="nil"/>
                    <w:tr2bl w:val="nil"/>
                  </w:tcBorders>
                  <w:vAlign w:val="center"/>
                </w:tcPr>
                <w:p w14:paraId="48EA0770">
                  <w:pPr>
                    <w:adjustRightInd w:val="0"/>
                    <w:snapToGrid w:val="0"/>
                    <w:jc w:val="center"/>
                    <w:rPr>
                      <w:rFonts w:hint="default" w:eastAsia="宋体"/>
                      <w:color w:val="auto"/>
                      <w:sz w:val="21"/>
                      <w:szCs w:val="21"/>
                      <w:highlight w:val="none"/>
                      <w:lang w:val="en-US" w:eastAsia="zh-CN"/>
                    </w:rPr>
                  </w:pPr>
                  <w:r>
                    <w:rPr>
                      <w:rFonts w:hint="eastAsia"/>
                      <w:b w:val="0"/>
                      <w:bCs/>
                      <w:color w:val="auto"/>
                      <w:spacing w:val="-2"/>
                      <w:kern w:val="0"/>
                      <w:sz w:val="21"/>
                      <w:szCs w:val="21"/>
                      <w:highlight w:val="none"/>
                      <w:lang w:val="en-US" w:eastAsia="zh-CN"/>
                    </w:rPr>
                    <w:t>45.62</w:t>
                  </w:r>
                </w:p>
              </w:tc>
              <w:tc>
                <w:tcPr>
                  <w:tcW w:w="1275" w:type="dxa"/>
                  <w:tcBorders>
                    <w:tl2br w:val="nil"/>
                    <w:tr2bl w:val="nil"/>
                  </w:tcBorders>
                  <w:shd w:val="clear" w:color="auto" w:fill="auto"/>
                  <w:vAlign w:val="center"/>
                </w:tcPr>
                <w:p w14:paraId="435D19CF">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厂界东</w:t>
                  </w:r>
                  <w:r>
                    <w:rPr>
                      <w:rFonts w:hint="eastAsia"/>
                      <w:color w:val="auto"/>
                      <w:sz w:val="21"/>
                      <w:szCs w:val="21"/>
                      <w:highlight w:val="none"/>
                      <w:lang w:val="en-US" w:eastAsia="zh-CN"/>
                    </w:rPr>
                    <w:t>北</w:t>
                  </w:r>
                  <w:r>
                    <w:rPr>
                      <w:color w:val="auto"/>
                      <w:sz w:val="21"/>
                      <w:szCs w:val="21"/>
                      <w:highlight w:val="none"/>
                    </w:rPr>
                    <w:t>侧</w:t>
                  </w:r>
                </w:p>
              </w:tc>
              <w:tc>
                <w:tcPr>
                  <w:tcW w:w="840" w:type="dxa"/>
                  <w:tcBorders>
                    <w:tl2br w:val="nil"/>
                    <w:tr2bl w:val="nil"/>
                  </w:tcBorders>
                  <w:vAlign w:val="center"/>
                </w:tcPr>
                <w:p w14:paraId="758ED7F5">
                  <w:pPr>
                    <w:spacing w:line="240" w:lineRule="auto"/>
                    <w:jc w:val="center"/>
                    <w:rPr>
                      <w:rFonts w:hint="eastAsia"/>
                      <w:color w:val="auto"/>
                      <w:spacing w:val="-2"/>
                      <w:kern w:val="0"/>
                      <w:sz w:val="21"/>
                      <w:szCs w:val="21"/>
                      <w:highlight w:val="none"/>
                    </w:rPr>
                  </w:pPr>
                  <w:r>
                    <w:rPr>
                      <w:rFonts w:hint="eastAsia"/>
                      <w:color w:val="auto"/>
                      <w:spacing w:val="-2"/>
                      <w:kern w:val="0"/>
                      <w:sz w:val="21"/>
                      <w:szCs w:val="21"/>
                      <w:highlight w:val="none"/>
                      <w:lang w:val="en-US" w:eastAsia="zh-CN"/>
                    </w:rPr>
                    <w:t>60</w:t>
                  </w:r>
                  <w:r>
                    <w:rPr>
                      <w:rFonts w:hint="eastAsia"/>
                      <w:color w:val="auto"/>
                      <w:spacing w:val="-2"/>
                      <w:kern w:val="0"/>
                      <w:sz w:val="21"/>
                      <w:szCs w:val="21"/>
                      <w:highlight w:val="none"/>
                    </w:rPr>
                    <w:t>m</w:t>
                  </w:r>
                </w:p>
              </w:tc>
              <w:tc>
                <w:tcPr>
                  <w:tcW w:w="1425" w:type="dxa"/>
                  <w:tcBorders>
                    <w:tl2br w:val="nil"/>
                    <w:tr2bl w:val="nil"/>
                  </w:tcBorders>
                  <w:vAlign w:val="center"/>
                </w:tcPr>
                <w:p w14:paraId="03FFDAFA">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10.06</w:t>
                  </w:r>
                </w:p>
              </w:tc>
              <w:tc>
                <w:tcPr>
                  <w:tcW w:w="870" w:type="dxa"/>
                  <w:tcBorders>
                    <w:tl2br w:val="nil"/>
                    <w:tr2bl w:val="nil"/>
                  </w:tcBorders>
                  <w:vAlign w:val="center"/>
                </w:tcPr>
                <w:p w14:paraId="09805DCC">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55</w:t>
                  </w:r>
                </w:p>
              </w:tc>
              <w:tc>
                <w:tcPr>
                  <w:tcW w:w="735" w:type="dxa"/>
                  <w:tcBorders>
                    <w:tl2br w:val="nil"/>
                    <w:tr2bl w:val="nil"/>
                  </w:tcBorders>
                  <w:vAlign w:val="center"/>
                </w:tcPr>
                <w:p w14:paraId="1C9B1EB2">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43</w:t>
                  </w:r>
                </w:p>
              </w:tc>
              <w:tc>
                <w:tcPr>
                  <w:tcW w:w="1275" w:type="dxa"/>
                  <w:tcBorders>
                    <w:tl2br w:val="nil"/>
                    <w:tr2bl w:val="nil"/>
                  </w:tcBorders>
                  <w:shd w:val="clear" w:color="auto" w:fill="auto"/>
                  <w:vAlign w:val="center"/>
                </w:tcPr>
                <w:p w14:paraId="05F5665D">
                  <w:pPr>
                    <w:spacing w:line="240" w:lineRule="auto"/>
                    <w:jc w:val="center"/>
                    <w:rPr>
                      <w:rFonts w:hint="default" w:ascii="Times New Roman" w:hAnsi="Times New Roman" w:eastAsia="宋体" w:cs="Times New Roman"/>
                      <w:color w:val="auto"/>
                      <w:spacing w:val="-2"/>
                      <w:kern w:val="0"/>
                      <w:sz w:val="21"/>
                      <w:szCs w:val="21"/>
                      <w:highlight w:val="none"/>
                      <w:lang w:val="en-US" w:eastAsia="zh-CN" w:bidi="ar-SA"/>
                    </w:rPr>
                  </w:pPr>
                  <w:r>
                    <w:rPr>
                      <w:rFonts w:hint="eastAsia"/>
                      <w:color w:val="auto"/>
                      <w:spacing w:val="-2"/>
                      <w:kern w:val="0"/>
                      <w:sz w:val="21"/>
                      <w:szCs w:val="21"/>
                      <w:highlight w:val="none"/>
                      <w:lang w:val="en-US" w:eastAsia="zh-CN"/>
                    </w:rPr>
                    <w:t>55</w:t>
                  </w:r>
                </w:p>
              </w:tc>
              <w:tc>
                <w:tcPr>
                  <w:tcW w:w="915" w:type="dxa"/>
                  <w:tcBorders>
                    <w:tl2br w:val="nil"/>
                    <w:tr2bl w:val="nil"/>
                  </w:tcBorders>
                  <w:shd w:val="clear" w:color="auto" w:fill="auto"/>
                  <w:vAlign w:val="center"/>
                </w:tcPr>
                <w:p w14:paraId="3264AD24">
                  <w:pPr>
                    <w:spacing w:line="240" w:lineRule="auto"/>
                    <w:jc w:val="center"/>
                    <w:rPr>
                      <w:rFonts w:hint="default" w:ascii="Times New Roman" w:hAnsi="Times New Roman" w:eastAsia="宋体" w:cs="Times New Roman"/>
                      <w:color w:val="auto"/>
                      <w:spacing w:val="-2"/>
                      <w:kern w:val="0"/>
                      <w:sz w:val="21"/>
                      <w:szCs w:val="21"/>
                      <w:highlight w:val="none"/>
                      <w:lang w:val="en-US" w:eastAsia="zh-CN" w:bidi="ar-SA"/>
                    </w:rPr>
                  </w:pPr>
                  <w:r>
                    <w:rPr>
                      <w:rFonts w:hint="eastAsia"/>
                      <w:color w:val="auto"/>
                      <w:spacing w:val="-2"/>
                      <w:kern w:val="0"/>
                      <w:sz w:val="21"/>
                      <w:szCs w:val="21"/>
                      <w:highlight w:val="none"/>
                      <w:lang w:val="en-US" w:eastAsia="zh-CN"/>
                    </w:rPr>
                    <w:t>43</w:t>
                  </w:r>
                </w:p>
              </w:tc>
              <w:tc>
                <w:tcPr>
                  <w:tcW w:w="675" w:type="dxa"/>
                  <w:tcBorders>
                    <w:tl2br w:val="nil"/>
                    <w:tr2bl w:val="nil"/>
                  </w:tcBorders>
                  <w:vAlign w:val="center"/>
                </w:tcPr>
                <w:p w14:paraId="5B531020">
                  <w:pPr>
                    <w:spacing w:line="240" w:lineRule="auto"/>
                    <w:jc w:val="center"/>
                    <w:rPr>
                      <w:color w:val="auto"/>
                      <w:spacing w:val="-2"/>
                      <w:kern w:val="0"/>
                      <w:sz w:val="21"/>
                      <w:szCs w:val="21"/>
                      <w:highlight w:val="none"/>
                    </w:rPr>
                  </w:pPr>
                  <w:r>
                    <w:rPr>
                      <w:rFonts w:hint="eastAsia"/>
                      <w:color w:val="auto"/>
                      <w:spacing w:val="-2"/>
                      <w:kern w:val="0"/>
                      <w:sz w:val="21"/>
                      <w:szCs w:val="21"/>
                      <w:highlight w:val="none"/>
                    </w:rPr>
                    <w:t>65</w:t>
                  </w:r>
                </w:p>
              </w:tc>
              <w:tc>
                <w:tcPr>
                  <w:tcW w:w="647" w:type="dxa"/>
                  <w:tcBorders>
                    <w:tl2br w:val="nil"/>
                    <w:tr2bl w:val="nil"/>
                  </w:tcBorders>
                  <w:vAlign w:val="center"/>
                </w:tcPr>
                <w:p w14:paraId="1C9E717F">
                  <w:pPr>
                    <w:spacing w:line="240" w:lineRule="auto"/>
                    <w:jc w:val="center"/>
                    <w:rPr>
                      <w:color w:val="auto"/>
                      <w:spacing w:val="-2"/>
                      <w:kern w:val="0"/>
                      <w:sz w:val="21"/>
                      <w:szCs w:val="21"/>
                      <w:highlight w:val="none"/>
                    </w:rPr>
                  </w:pPr>
                  <w:r>
                    <w:rPr>
                      <w:rFonts w:hint="eastAsia"/>
                      <w:color w:val="auto"/>
                      <w:spacing w:val="-2"/>
                      <w:kern w:val="0"/>
                      <w:sz w:val="21"/>
                      <w:szCs w:val="21"/>
                      <w:highlight w:val="none"/>
                    </w:rPr>
                    <w:t>55</w:t>
                  </w:r>
                </w:p>
              </w:tc>
            </w:tr>
            <w:tr w14:paraId="367D4F7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l2br w:val="nil"/>
                    <w:tr2bl w:val="nil"/>
                  </w:tcBorders>
                  <w:vAlign w:val="center"/>
                </w:tcPr>
                <w:p w14:paraId="6D2CB61A">
                  <w:pPr>
                    <w:adjustRightInd w:val="0"/>
                    <w:snapToGrid w:val="0"/>
                    <w:jc w:val="center"/>
                    <w:rPr>
                      <w:color w:val="auto"/>
                      <w:sz w:val="21"/>
                      <w:szCs w:val="21"/>
                      <w:highlight w:val="none"/>
                    </w:rPr>
                  </w:pPr>
                </w:p>
              </w:tc>
              <w:tc>
                <w:tcPr>
                  <w:tcW w:w="1275" w:type="dxa"/>
                  <w:tcBorders>
                    <w:tl2br w:val="nil"/>
                    <w:tr2bl w:val="nil"/>
                  </w:tcBorders>
                  <w:shd w:val="clear" w:color="auto" w:fill="auto"/>
                  <w:vAlign w:val="center"/>
                </w:tcPr>
                <w:p w14:paraId="525F8BFC">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厂界</w:t>
                  </w:r>
                  <w:r>
                    <w:rPr>
                      <w:rFonts w:hint="eastAsia"/>
                      <w:color w:val="auto"/>
                      <w:sz w:val="21"/>
                      <w:szCs w:val="21"/>
                      <w:highlight w:val="none"/>
                      <w:lang w:val="en-US" w:eastAsia="zh-CN"/>
                    </w:rPr>
                    <w:t>东</w:t>
                  </w:r>
                  <w:r>
                    <w:rPr>
                      <w:color w:val="auto"/>
                      <w:sz w:val="21"/>
                      <w:szCs w:val="21"/>
                      <w:highlight w:val="none"/>
                    </w:rPr>
                    <w:t>南侧</w:t>
                  </w:r>
                </w:p>
              </w:tc>
              <w:tc>
                <w:tcPr>
                  <w:tcW w:w="840" w:type="dxa"/>
                  <w:tcBorders>
                    <w:tl2br w:val="nil"/>
                    <w:tr2bl w:val="nil"/>
                  </w:tcBorders>
                  <w:vAlign w:val="center"/>
                </w:tcPr>
                <w:p w14:paraId="6752E42D">
                  <w:pPr>
                    <w:spacing w:line="240" w:lineRule="auto"/>
                    <w:jc w:val="center"/>
                    <w:rPr>
                      <w:color w:val="auto"/>
                      <w:spacing w:val="-2"/>
                      <w:kern w:val="0"/>
                      <w:sz w:val="21"/>
                      <w:szCs w:val="21"/>
                      <w:highlight w:val="none"/>
                    </w:rPr>
                  </w:pPr>
                  <w:r>
                    <w:rPr>
                      <w:rFonts w:hint="eastAsia"/>
                      <w:color w:val="auto"/>
                      <w:spacing w:val="-2"/>
                      <w:kern w:val="0"/>
                      <w:sz w:val="21"/>
                      <w:szCs w:val="21"/>
                      <w:highlight w:val="none"/>
                      <w:lang w:val="en-US" w:eastAsia="zh-CN"/>
                    </w:rPr>
                    <w:t>15</w:t>
                  </w:r>
                  <w:r>
                    <w:rPr>
                      <w:rFonts w:hint="eastAsia"/>
                      <w:color w:val="auto"/>
                      <w:spacing w:val="-2"/>
                      <w:kern w:val="0"/>
                      <w:sz w:val="21"/>
                      <w:szCs w:val="21"/>
                      <w:highlight w:val="none"/>
                    </w:rPr>
                    <w:t>m</w:t>
                  </w:r>
                </w:p>
              </w:tc>
              <w:tc>
                <w:tcPr>
                  <w:tcW w:w="1425" w:type="dxa"/>
                  <w:tcBorders>
                    <w:tl2br w:val="nil"/>
                    <w:tr2bl w:val="nil"/>
                  </w:tcBorders>
                  <w:vAlign w:val="center"/>
                </w:tcPr>
                <w:p w14:paraId="72087F5E">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22.10</w:t>
                  </w:r>
                </w:p>
              </w:tc>
              <w:tc>
                <w:tcPr>
                  <w:tcW w:w="870" w:type="dxa"/>
                  <w:tcBorders>
                    <w:tl2br w:val="nil"/>
                    <w:tr2bl w:val="nil"/>
                  </w:tcBorders>
                  <w:vAlign w:val="center"/>
                </w:tcPr>
                <w:p w14:paraId="4B0B1E00">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55</w:t>
                  </w:r>
                </w:p>
              </w:tc>
              <w:tc>
                <w:tcPr>
                  <w:tcW w:w="735" w:type="dxa"/>
                  <w:tcBorders>
                    <w:tl2br w:val="nil"/>
                    <w:tr2bl w:val="nil"/>
                  </w:tcBorders>
                  <w:vAlign w:val="center"/>
                </w:tcPr>
                <w:p w14:paraId="048AD2BA">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42</w:t>
                  </w:r>
                </w:p>
              </w:tc>
              <w:tc>
                <w:tcPr>
                  <w:tcW w:w="1275" w:type="dxa"/>
                  <w:tcBorders>
                    <w:tl2br w:val="nil"/>
                    <w:tr2bl w:val="nil"/>
                  </w:tcBorders>
                  <w:vAlign w:val="center"/>
                </w:tcPr>
                <w:p w14:paraId="5CC2CC30">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55</w:t>
                  </w:r>
                </w:p>
              </w:tc>
              <w:tc>
                <w:tcPr>
                  <w:tcW w:w="915" w:type="dxa"/>
                  <w:tcBorders>
                    <w:tl2br w:val="nil"/>
                    <w:tr2bl w:val="nil"/>
                  </w:tcBorders>
                  <w:vAlign w:val="center"/>
                </w:tcPr>
                <w:p w14:paraId="38202421">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42</w:t>
                  </w:r>
                </w:p>
              </w:tc>
              <w:tc>
                <w:tcPr>
                  <w:tcW w:w="675" w:type="dxa"/>
                  <w:tcBorders>
                    <w:tl2br w:val="nil"/>
                    <w:tr2bl w:val="nil"/>
                  </w:tcBorders>
                  <w:vAlign w:val="center"/>
                </w:tcPr>
                <w:p w14:paraId="4416E5E6">
                  <w:pPr>
                    <w:spacing w:line="240" w:lineRule="auto"/>
                    <w:jc w:val="center"/>
                    <w:rPr>
                      <w:color w:val="auto"/>
                      <w:spacing w:val="-2"/>
                      <w:kern w:val="0"/>
                      <w:sz w:val="21"/>
                      <w:szCs w:val="21"/>
                      <w:highlight w:val="none"/>
                    </w:rPr>
                  </w:pPr>
                  <w:r>
                    <w:rPr>
                      <w:rFonts w:hint="eastAsia"/>
                      <w:color w:val="auto"/>
                      <w:spacing w:val="-2"/>
                      <w:kern w:val="0"/>
                      <w:sz w:val="21"/>
                      <w:szCs w:val="21"/>
                      <w:highlight w:val="none"/>
                    </w:rPr>
                    <w:t>65</w:t>
                  </w:r>
                </w:p>
              </w:tc>
              <w:tc>
                <w:tcPr>
                  <w:tcW w:w="647" w:type="dxa"/>
                  <w:tcBorders>
                    <w:tl2br w:val="nil"/>
                    <w:tr2bl w:val="nil"/>
                  </w:tcBorders>
                  <w:vAlign w:val="center"/>
                </w:tcPr>
                <w:p w14:paraId="3D7E6F36">
                  <w:pPr>
                    <w:spacing w:line="240" w:lineRule="auto"/>
                    <w:jc w:val="center"/>
                    <w:rPr>
                      <w:color w:val="auto"/>
                      <w:spacing w:val="-2"/>
                      <w:kern w:val="0"/>
                      <w:sz w:val="21"/>
                      <w:szCs w:val="21"/>
                      <w:highlight w:val="none"/>
                    </w:rPr>
                  </w:pPr>
                  <w:r>
                    <w:rPr>
                      <w:rFonts w:hint="eastAsia"/>
                      <w:color w:val="auto"/>
                      <w:spacing w:val="-2"/>
                      <w:kern w:val="0"/>
                      <w:sz w:val="21"/>
                      <w:szCs w:val="21"/>
                      <w:highlight w:val="none"/>
                    </w:rPr>
                    <w:t>55</w:t>
                  </w:r>
                </w:p>
              </w:tc>
            </w:tr>
            <w:tr w14:paraId="26CA114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l2br w:val="nil"/>
                    <w:tr2bl w:val="nil"/>
                  </w:tcBorders>
                  <w:vAlign w:val="center"/>
                </w:tcPr>
                <w:p w14:paraId="005E9B2B">
                  <w:pPr>
                    <w:adjustRightInd w:val="0"/>
                    <w:snapToGrid w:val="0"/>
                    <w:jc w:val="center"/>
                    <w:rPr>
                      <w:color w:val="auto"/>
                      <w:sz w:val="21"/>
                      <w:szCs w:val="21"/>
                      <w:highlight w:val="none"/>
                    </w:rPr>
                  </w:pPr>
                </w:p>
              </w:tc>
              <w:tc>
                <w:tcPr>
                  <w:tcW w:w="1275" w:type="dxa"/>
                  <w:tcBorders>
                    <w:tl2br w:val="nil"/>
                    <w:tr2bl w:val="nil"/>
                  </w:tcBorders>
                  <w:shd w:val="clear" w:color="auto" w:fill="auto"/>
                  <w:vAlign w:val="center"/>
                </w:tcPr>
                <w:p w14:paraId="5B3C4862">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厂界西</w:t>
                  </w:r>
                  <w:r>
                    <w:rPr>
                      <w:rFonts w:hint="eastAsia"/>
                      <w:color w:val="auto"/>
                      <w:sz w:val="21"/>
                      <w:szCs w:val="21"/>
                      <w:highlight w:val="none"/>
                      <w:lang w:val="en-US" w:eastAsia="zh-CN"/>
                    </w:rPr>
                    <w:t>南</w:t>
                  </w:r>
                  <w:r>
                    <w:rPr>
                      <w:color w:val="auto"/>
                      <w:sz w:val="21"/>
                      <w:szCs w:val="21"/>
                      <w:highlight w:val="none"/>
                    </w:rPr>
                    <w:t>侧</w:t>
                  </w:r>
                </w:p>
              </w:tc>
              <w:tc>
                <w:tcPr>
                  <w:tcW w:w="840" w:type="dxa"/>
                  <w:tcBorders>
                    <w:tl2br w:val="nil"/>
                    <w:tr2bl w:val="nil"/>
                  </w:tcBorders>
                  <w:vAlign w:val="center"/>
                </w:tcPr>
                <w:p w14:paraId="48737BAA">
                  <w:pPr>
                    <w:spacing w:line="240" w:lineRule="auto"/>
                    <w:jc w:val="center"/>
                    <w:rPr>
                      <w:color w:val="auto"/>
                      <w:spacing w:val="-2"/>
                      <w:kern w:val="0"/>
                      <w:sz w:val="21"/>
                      <w:szCs w:val="21"/>
                      <w:highlight w:val="none"/>
                    </w:rPr>
                  </w:pPr>
                  <w:r>
                    <w:rPr>
                      <w:rFonts w:hint="eastAsia"/>
                      <w:color w:val="auto"/>
                      <w:spacing w:val="-2"/>
                      <w:kern w:val="0"/>
                      <w:sz w:val="21"/>
                      <w:szCs w:val="21"/>
                      <w:highlight w:val="none"/>
                      <w:lang w:val="en-US" w:eastAsia="zh-CN"/>
                    </w:rPr>
                    <w:t>95</w:t>
                  </w:r>
                  <w:r>
                    <w:rPr>
                      <w:rFonts w:hint="eastAsia"/>
                      <w:color w:val="auto"/>
                      <w:spacing w:val="-2"/>
                      <w:kern w:val="0"/>
                      <w:sz w:val="21"/>
                      <w:szCs w:val="21"/>
                      <w:highlight w:val="none"/>
                    </w:rPr>
                    <w:t>m</w:t>
                  </w:r>
                </w:p>
              </w:tc>
              <w:tc>
                <w:tcPr>
                  <w:tcW w:w="1425" w:type="dxa"/>
                  <w:tcBorders>
                    <w:tl2br w:val="nil"/>
                    <w:tr2bl w:val="nil"/>
                  </w:tcBorders>
                  <w:vAlign w:val="center"/>
                </w:tcPr>
                <w:p w14:paraId="115C07B2">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6.07</w:t>
                  </w:r>
                </w:p>
              </w:tc>
              <w:tc>
                <w:tcPr>
                  <w:tcW w:w="870" w:type="dxa"/>
                  <w:tcBorders>
                    <w:tl2br w:val="nil"/>
                    <w:tr2bl w:val="nil"/>
                  </w:tcBorders>
                  <w:vAlign w:val="center"/>
                </w:tcPr>
                <w:p w14:paraId="129FFED9">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54</w:t>
                  </w:r>
                </w:p>
              </w:tc>
              <w:tc>
                <w:tcPr>
                  <w:tcW w:w="735" w:type="dxa"/>
                  <w:tcBorders>
                    <w:tl2br w:val="nil"/>
                    <w:tr2bl w:val="nil"/>
                  </w:tcBorders>
                  <w:vAlign w:val="center"/>
                </w:tcPr>
                <w:p w14:paraId="1F0093BD">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42</w:t>
                  </w:r>
                </w:p>
              </w:tc>
              <w:tc>
                <w:tcPr>
                  <w:tcW w:w="1275" w:type="dxa"/>
                  <w:tcBorders>
                    <w:tl2br w:val="nil"/>
                    <w:tr2bl w:val="nil"/>
                  </w:tcBorders>
                  <w:shd w:val="clear" w:color="auto" w:fill="auto"/>
                  <w:vAlign w:val="center"/>
                </w:tcPr>
                <w:p w14:paraId="74308962">
                  <w:pPr>
                    <w:spacing w:line="240" w:lineRule="auto"/>
                    <w:jc w:val="center"/>
                    <w:rPr>
                      <w:rFonts w:hint="default" w:ascii="Times New Roman" w:hAnsi="Times New Roman" w:eastAsia="宋体" w:cs="Times New Roman"/>
                      <w:color w:val="auto"/>
                      <w:spacing w:val="-2"/>
                      <w:kern w:val="0"/>
                      <w:sz w:val="21"/>
                      <w:szCs w:val="21"/>
                      <w:highlight w:val="none"/>
                      <w:lang w:val="en-US" w:eastAsia="zh-CN" w:bidi="ar-SA"/>
                    </w:rPr>
                  </w:pPr>
                  <w:r>
                    <w:rPr>
                      <w:rFonts w:hint="eastAsia"/>
                      <w:color w:val="auto"/>
                      <w:spacing w:val="-2"/>
                      <w:kern w:val="0"/>
                      <w:sz w:val="21"/>
                      <w:szCs w:val="21"/>
                      <w:highlight w:val="none"/>
                      <w:lang w:val="en-US" w:eastAsia="zh-CN"/>
                    </w:rPr>
                    <w:t>54</w:t>
                  </w:r>
                </w:p>
              </w:tc>
              <w:tc>
                <w:tcPr>
                  <w:tcW w:w="915" w:type="dxa"/>
                  <w:tcBorders>
                    <w:tl2br w:val="nil"/>
                    <w:tr2bl w:val="nil"/>
                  </w:tcBorders>
                  <w:shd w:val="clear" w:color="auto" w:fill="auto"/>
                  <w:vAlign w:val="center"/>
                </w:tcPr>
                <w:p w14:paraId="051358A2">
                  <w:pPr>
                    <w:spacing w:line="240" w:lineRule="auto"/>
                    <w:jc w:val="center"/>
                    <w:rPr>
                      <w:rFonts w:hint="default" w:ascii="Times New Roman" w:hAnsi="Times New Roman" w:eastAsia="宋体" w:cs="Times New Roman"/>
                      <w:color w:val="auto"/>
                      <w:spacing w:val="-2"/>
                      <w:kern w:val="0"/>
                      <w:sz w:val="21"/>
                      <w:szCs w:val="21"/>
                      <w:highlight w:val="none"/>
                      <w:lang w:val="en-US" w:eastAsia="zh-CN" w:bidi="ar-SA"/>
                    </w:rPr>
                  </w:pPr>
                  <w:r>
                    <w:rPr>
                      <w:rFonts w:hint="eastAsia"/>
                      <w:color w:val="auto"/>
                      <w:spacing w:val="-2"/>
                      <w:kern w:val="0"/>
                      <w:sz w:val="21"/>
                      <w:szCs w:val="21"/>
                      <w:highlight w:val="none"/>
                      <w:lang w:val="en-US" w:eastAsia="zh-CN"/>
                    </w:rPr>
                    <w:t>42</w:t>
                  </w:r>
                </w:p>
              </w:tc>
              <w:tc>
                <w:tcPr>
                  <w:tcW w:w="675" w:type="dxa"/>
                  <w:tcBorders>
                    <w:tl2br w:val="nil"/>
                    <w:tr2bl w:val="nil"/>
                  </w:tcBorders>
                  <w:vAlign w:val="center"/>
                </w:tcPr>
                <w:p w14:paraId="523C0535">
                  <w:pPr>
                    <w:spacing w:line="240" w:lineRule="auto"/>
                    <w:jc w:val="center"/>
                    <w:rPr>
                      <w:color w:val="auto"/>
                      <w:spacing w:val="-2"/>
                      <w:kern w:val="0"/>
                      <w:sz w:val="21"/>
                      <w:szCs w:val="21"/>
                      <w:highlight w:val="none"/>
                    </w:rPr>
                  </w:pPr>
                  <w:r>
                    <w:rPr>
                      <w:rFonts w:hint="eastAsia"/>
                      <w:color w:val="auto"/>
                      <w:spacing w:val="-2"/>
                      <w:kern w:val="0"/>
                      <w:sz w:val="21"/>
                      <w:szCs w:val="21"/>
                      <w:highlight w:val="none"/>
                    </w:rPr>
                    <w:t>65</w:t>
                  </w:r>
                </w:p>
              </w:tc>
              <w:tc>
                <w:tcPr>
                  <w:tcW w:w="647" w:type="dxa"/>
                  <w:tcBorders>
                    <w:tl2br w:val="nil"/>
                    <w:tr2bl w:val="nil"/>
                  </w:tcBorders>
                  <w:vAlign w:val="center"/>
                </w:tcPr>
                <w:p w14:paraId="63A0B198">
                  <w:pPr>
                    <w:spacing w:line="240" w:lineRule="auto"/>
                    <w:jc w:val="center"/>
                    <w:rPr>
                      <w:color w:val="auto"/>
                      <w:spacing w:val="-2"/>
                      <w:kern w:val="0"/>
                      <w:sz w:val="21"/>
                      <w:szCs w:val="21"/>
                      <w:highlight w:val="none"/>
                    </w:rPr>
                  </w:pPr>
                  <w:r>
                    <w:rPr>
                      <w:rFonts w:hint="eastAsia"/>
                      <w:color w:val="auto"/>
                      <w:spacing w:val="-2"/>
                      <w:kern w:val="0"/>
                      <w:sz w:val="21"/>
                      <w:szCs w:val="21"/>
                      <w:highlight w:val="none"/>
                    </w:rPr>
                    <w:t>55</w:t>
                  </w:r>
                </w:p>
              </w:tc>
            </w:tr>
            <w:tr w14:paraId="7C9B94E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l2br w:val="nil"/>
                    <w:tr2bl w:val="nil"/>
                  </w:tcBorders>
                  <w:vAlign w:val="center"/>
                </w:tcPr>
                <w:p w14:paraId="31058A57">
                  <w:pPr>
                    <w:adjustRightInd w:val="0"/>
                    <w:snapToGrid w:val="0"/>
                    <w:jc w:val="center"/>
                    <w:rPr>
                      <w:color w:val="auto"/>
                      <w:sz w:val="21"/>
                      <w:szCs w:val="21"/>
                      <w:highlight w:val="none"/>
                    </w:rPr>
                  </w:pPr>
                </w:p>
              </w:tc>
              <w:tc>
                <w:tcPr>
                  <w:tcW w:w="1275" w:type="dxa"/>
                  <w:tcBorders>
                    <w:tl2br w:val="nil"/>
                    <w:tr2bl w:val="nil"/>
                  </w:tcBorders>
                  <w:shd w:val="clear" w:color="auto" w:fill="auto"/>
                  <w:vAlign w:val="center"/>
                </w:tcPr>
                <w:p w14:paraId="41F9566D">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厂界</w:t>
                  </w:r>
                  <w:r>
                    <w:rPr>
                      <w:rFonts w:hint="eastAsia"/>
                      <w:color w:val="auto"/>
                      <w:sz w:val="21"/>
                      <w:szCs w:val="21"/>
                      <w:highlight w:val="none"/>
                      <w:lang w:val="en-US" w:eastAsia="zh-CN"/>
                    </w:rPr>
                    <w:t>西</w:t>
                  </w:r>
                  <w:r>
                    <w:rPr>
                      <w:color w:val="auto"/>
                      <w:sz w:val="21"/>
                      <w:szCs w:val="21"/>
                      <w:highlight w:val="none"/>
                    </w:rPr>
                    <w:t>北侧</w:t>
                  </w:r>
                </w:p>
              </w:tc>
              <w:tc>
                <w:tcPr>
                  <w:tcW w:w="840" w:type="dxa"/>
                  <w:tcBorders>
                    <w:tl2br w:val="nil"/>
                    <w:tr2bl w:val="nil"/>
                  </w:tcBorders>
                  <w:vAlign w:val="center"/>
                </w:tcPr>
                <w:p w14:paraId="3C98F243">
                  <w:pPr>
                    <w:spacing w:line="240" w:lineRule="auto"/>
                    <w:jc w:val="center"/>
                    <w:rPr>
                      <w:color w:val="auto"/>
                      <w:spacing w:val="-2"/>
                      <w:kern w:val="0"/>
                      <w:sz w:val="21"/>
                      <w:szCs w:val="21"/>
                      <w:highlight w:val="none"/>
                    </w:rPr>
                  </w:pPr>
                  <w:r>
                    <w:rPr>
                      <w:rFonts w:hint="eastAsia"/>
                      <w:color w:val="auto"/>
                      <w:spacing w:val="-2"/>
                      <w:kern w:val="0"/>
                      <w:sz w:val="21"/>
                      <w:szCs w:val="21"/>
                      <w:highlight w:val="none"/>
                      <w:lang w:val="en-US" w:eastAsia="zh-CN"/>
                    </w:rPr>
                    <w:t>165</w:t>
                  </w:r>
                  <w:r>
                    <w:rPr>
                      <w:rFonts w:hint="eastAsia"/>
                      <w:color w:val="auto"/>
                      <w:spacing w:val="-2"/>
                      <w:kern w:val="0"/>
                      <w:sz w:val="21"/>
                      <w:szCs w:val="21"/>
                      <w:highlight w:val="none"/>
                    </w:rPr>
                    <w:t>m</w:t>
                  </w:r>
                </w:p>
              </w:tc>
              <w:tc>
                <w:tcPr>
                  <w:tcW w:w="1425" w:type="dxa"/>
                  <w:tcBorders>
                    <w:tl2br w:val="nil"/>
                    <w:tr2bl w:val="nil"/>
                  </w:tcBorders>
                  <w:vAlign w:val="center"/>
                </w:tcPr>
                <w:p w14:paraId="5292D931">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1.27</w:t>
                  </w:r>
                </w:p>
              </w:tc>
              <w:tc>
                <w:tcPr>
                  <w:tcW w:w="870" w:type="dxa"/>
                  <w:tcBorders>
                    <w:tl2br w:val="nil"/>
                    <w:tr2bl w:val="nil"/>
                  </w:tcBorders>
                  <w:vAlign w:val="center"/>
                </w:tcPr>
                <w:p w14:paraId="66A3195F">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56</w:t>
                  </w:r>
                </w:p>
              </w:tc>
              <w:tc>
                <w:tcPr>
                  <w:tcW w:w="735" w:type="dxa"/>
                  <w:tcBorders>
                    <w:tl2br w:val="nil"/>
                    <w:tr2bl w:val="nil"/>
                  </w:tcBorders>
                  <w:vAlign w:val="center"/>
                </w:tcPr>
                <w:p w14:paraId="1A1132EC">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43</w:t>
                  </w:r>
                </w:p>
              </w:tc>
              <w:tc>
                <w:tcPr>
                  <w:tcW w:w="1275" w:type="dxa"/>
                  <w:tcBorders>
                    <w:tl2br w:val="nil"/>
                    <w:tr2bl w:val="nil"/>
                  </w:tcBorders>
                  <w:shd w:val="clear" w:color="auto" w:fill="auto"/>
                  <w:vAlign w:val="center"/>
                </w:tcPr>
                <w:p w14:paraId="20DB404F">
                  <w:pPr>
                    <w:spacing w:line="240" w:lineRule="auto"/>
                    <w:jc w:val="center"/>
                    <w:rPr>
                      <w:rFonts w:hint="default" w:ascii="Times New Roman" w:hAnsi="Times New Roman" w:eastAsia="宋体" w:cs="Times New Roman"/>
                      <w:color w:val="auto"/>
                      <w:spacing w:val="-2"/>
                      <w:kern w:val="0"/>
                      <w:sz w:val="21"/>
                      <w:szCs w:val="21"/>
                      <w:highlight w:val="none"/>
                      <w:lang w:val="en-US" w:eastAsia="zh-CN" w:bidi="ar-SA"/>
                    </w:rPr>
                  </w:pPr>
                  <w:r>
                    <w:rPr>
                      <w:rFonts w:hint="eastAsia"/>
                      <w:color w:val="auto"/>
                      <w:spacing w:val="-2"/>
                      <w:kern w:val="0"/>
                      <w:sz w:val="21"/>
                      <w:szCs w:val="21"/>
                      <w:highlight w:val="none"/>
                      <w:lang w:val="en-US" w:eastAsia="zh-CN"/>
                    </w:rPr>
                    <w:t>56</w:t>
                  </w:r>
                </w:p>
              </w:tc>
              <w:tc>
                <w:tcPr>
                  <w:tcW w:w="915" w:type="dxa"/>
                  <w:tcBorders>
                    <w:tl2br w:val="nil"/>
                    <w:tr2bl w:val="nil"/>
                  </w:tcBorders>
                  <w:shd w:val="clear" w:color="auto" w:fill="auto"/>
                  <w:vAlign w:val="center"/>
                </w:tcPr>
                <w:p w14:paraId="163ECF7F">
                  <w:pPr>
                    <w:spacing w:line="240" w:lineRule="auto"/>
                    <w:jc w:val="center"/>
                    <w:rPr>
                      <w:rFonts w:hint="default" w:ascii="Times New Roman" w:hAnsi="Times New Roman" w:eastAsia="宋体" w:cs="Times New Roman"/>
                      <w:color w:val="auto"/>
                      <w:spacing w:val="-2"/>
                      <w:kern w:val="0"/>
                      <w:sz w:val="21"/>
                      <w:szCs w:val="21"/>
                      <w:highlight w:val="none"/>
                      <w:lang w:val="en-US" w:eastAsia="zh-CN" w:bidi="ar-SA"/>
                    </w:rPr>
                  </w:pPr>
                  <w:r>
                    <w:rPr>
                      <w:rFonts w:hint="eastAsia"/>
                      <w:color w:val="auto"/>
                      <w:spacing w:val="-2"/>
                      <w:kern w:val="0"/>
                      <w:sz w:val="21"/>
                      <w:szCs w:val="21"/>
                      <w:highlight w:val="none"/>
                      <w:lang w:val="en-US" w:eastAsia="zh-CN"/>
                    </w:rPr>
                    <w:t>43</w:t>
                  </w:r>
                </w:p>
              </w:tc>
              <w:tc>
                <w:tcPr>
                  <w:tcW w:w="675" w:type="dxa"/>
                  <w:tcBorders>
                    <w:tl2br w:val="nil"/>
                    <w:tr2bl w:val="nil"/>
                  </w:tcBorders>
                  <w:vAlign w:val="center"/>
                </w:tcPr>
                <w:p w14:paraId="02AB08D7">
                  <w:pPr>
                    <w:spacing w:line="240" w:lineRule="auto"/>
                    <w:jc w:val="center"/>
                    <w:rPr>
                      <w:color w:val="auto"/>
                      <w:spacing w:val="-2"/>
                      <w:kern w:val="0"/>
                      <w:sz w:val="21"/>
                      <w:szCs w:val="21"/>
                      <w:highlight w:val="none"/>
                    </w:rPr>
                  </w:pPr>
                  <w:r>
                    <w:rPr>
                      <w:rFonts w:hint="eastAsia"/>
                      <w:color w:val="auto"/>
                      <w:spacing w:val="-2"/>
                      <w:kern w:val="0"/>
                      <w:sz w:val="21"/>
                      <w:szCs w:val="21"/>
                      <w:highlight w:val="none"/>
                    </w:rPr>
                    <w:t>65</w:t>
                  </w:r>
                </w:p>
              </w:tc>
              <w:tc>
                <w:tcPr>
                  <w:tcW w:w="647" w:type="dxa"/>
                  <w:tcBorders>
                    <w:tl2br w:val="nil"/>
                    <w:tr2bl w:val="nil"/>
                  </w:tcBorders>
                  <w:vAlign w:val="center"/>
                </w:tcPr>
                <w:p w14:paraId="767EE171">
                  <w:pPr>
                    <w:spacing w:line="240" w:lineRule="auto"/>
                    <w:jc w:val="center"/>
                    <w:rPr>
                      <w:color w:val="auto"/>
                      <w:spacing w:val="-2"/>
                      <w:kern w:val="0"/>
                      <w:sz w:val="21"/>
                      <w:szCs w:val="21"/>
                      <w:highlight w:val="none"/>
                    </w:rPr>
                  </w:pPr>
                  <w:r>
                    <w:rPr>
                      <w:rFonts w:hint="eastAsia"/>
                      <w:color w:val="auto"/>
                      <w:spacing w:val="-2"/>
                      <w:kern w:val="0"/>
                      <w:sz w:val="21"/>
                      <w:szCs w:val="21"/>
                      <w:highlight w:val="none"/>
                    </w:rPr>
                    <w:t>55</w:t>
                  </w:r>
                </w:p>
              </w:tc>
            </w:tr>
            <w:tr w14:paraId="1C3CBD1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l2br w:val="nil"/>
                    <w:tr2bl w:val="nil"/>
                  </w:tcBorders>
                  <w:vAlign w:val="center"/>
                </w:tcPr>
                <w:p w14:paraId="77AB4AA2">
                  <w:pPr>
                    <w:adjustRightInd w:val="0"/>
                    <w:snapToGrid w:val="0"/>
                    <w:jc w:val="center"/>
                    <w:rPr>
                      <w:color w:val="auto"/>
                      <w:sz w:val="21"/>
                      <w:szCs w:val="21"/>
                      <w:highlight w:val="none"/>
                    </w:rPr>
                  </w:pPr>
                </w:p>
              </w:tc>
              <w:tc>
                <w:tcPr>
                  <w:tcW w:w="1275" w:type="dxa"/>
                  <w:tcBorders>
                    <w:tl2br w:val="nil"/>
                    <w:tr2bl w:val="nil"/>
                  </w:tcBorders>
                  <w:shd w:val="clear" w:color="auto" w:fill="auto"/>
                  <w:vAlign w:val="center"/>
                </w:tcPr>
                <w:p w14:paraId="5BF820A4">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龙源实验学校</w:t>
                  </w:r>
                </w:p>
              </w:tc>
              <w:tc>
                <w:tcPr>
                  <w:tcW w:w="840" w:type="dxa"/>
                  <w:tcBorders>
                    <w:tl2br w:val="nil"/>
                    <w:tr2bl w:val="nil"/>
                  </w:tcBorders>
                  <w:vAlign w:val="center"/>
                </w:tcPr>
                <w:p w14:paraId="015B3366">
                  <w:pPr>
                    <w:spacing w:line="240" w:lineRule="auto"/>
                    <w:jc w:val="center"/>
                    <w:rPr>
                      <w:color w:val="auto"/>
                      <w:spacing w:val="-2"/>
                      <w:kern w:val="0"/>
                      <w:sz w:val="21"/>
                      <w:szCs w:val="21"/>
                      <w:highlight w:val="none"/>
                    </w:rPr>
                  </w:pPr>
                  <w:r>
                    <w:rPr>
                      <w:rFonts w:hint="eastAsia"/>
                      <w:color w:val="auto"/>
                      <w:spacing w:val="-2"/>
                      <w:kern w:val="0"/>
                      <w:sz w:val="21"/>
                      <w:szCs w:val="21"/>
                      <w:highlight w:val="none"/>
                      <w:lang w:val="en-US" w:eastAsia="zh-CN"/>
                    </w:rPr>
                    <w:t>32</w:t>
                  </w:r>
                  <w:r>
                    <w:rPr>
                      <w:rFonts w:hint="eastAsia"/>
                      <w:color w:val="auto"/>
                      <w:spacing w:val="-2"/>
                      <w:kern w:val="0"/>
                      <w:sz w:val="21"/>
                      <w:szCs w:val="21"/>
                      <w:highlight w:val="none"/>
                    </w:rPr>
                    <w:t>m</w:t>
                  </w:r>
                </w:p>
              </w:tc>
              <w:tc>
                <w:tcPr>
                  <w:tcW w:w="1425" w:type="dxa"/>
                  <w:tcBorders>
                    <w:tl2br w:val="nil"/>
                    <w:tr2bl w:val="nil"/>
                  </w:tcBorders>
                  <w:vAlign w:val="center"/>
                </w:tcPr>
                <w:p w14:paraId="22CF7DFD">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12.18</w:t>
                  </w:r>
                </w:p>
              </w:tc>
              <w:tc>
                <w:tcPr>
                  <w:tcW w:w="870" w:type="dxa"/>
                  <w:tcBorders>
                    <w:tl2br w:val="nil"/>
                    <w:tr2bl w:val="nil"/>
                  </w:tcBorders>
                  <w:shd w:val="clear" w:color="auto" w:fill="auto"/>
                  <w:vAlign w:val="center"/>
                </w:tcPr>
                <w:p w14:paraId="0D2113A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56</w:t>
                  </w:r>
                </w:p>
              </w:tc>
              <w:tc>
                <w:tcPr>
                  <w:tcW w:w="735" w:type="dxa"/>
                  <w:tcBorders>
                    <w:tl2br w:val="nil"/>
                    <w:tr2bl w:val="nil"/>
                  </w:tcBorders>
                  <w:shd w:val="clear" w:color="auto" w:fill="auto"/>
                  <w:vAlign w:val="center"/>
                </w:tcPr>
                <w:p w14:paraId="48FBAA3F">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43</w:t>
                  </w:r>
                </w:p>
              </w:tc>
              <w:tc>
                <w:tcPr>
                  <w:tcW w:w="1275" w:type="dxa"/>
                  <w:tcBorders>
                    <w:tl2br w:val="nil"/>
                    <w:tr2bl w:val="nil"/>
                  </w:tcBorders>
                  <w:shd w:val="clear" w:color="auto" w:fill="auto"/>
                  <w:vAlign w:val="center"/>
                </w:tcPr>
                <w:p w14:paraId="79BF1A66">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56</w:t>
                  </w:r>
                </w:p>
              </w:tc>
              <w:tc>
                <w:tcPr>
                  <w:tcW w:w="915" w:type="dxa"/>
                  <w:tcBorders>
                    <w:tl2br w:val="nil"/>
                    <w:tr2bl w:val="nil"/>
                  </w:tcBorders>
                  <w:vAlign w:val="center"/>
                </w:tcPr>
                <w:p w14:paraId="3364A59B">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43</w:t>
                  </w:r>
                </w:p>
              </w:tc>
              <w:tc>
                <w:tcPr>
                  <w:tcW w:w="675" w:type="dxa"/>
                  <w:tcBorders>
                    <w:tl2br w:val="nil"/>
                    <w:tr2bl w:val="nil"/>
                  </w:tcBorders>
                  <w:vAlign w:val="center"/>
                </w:tcPr>
                <w:p w14:paraId="3731EA2D">
                  <w:pPr>
                    <w:spacing w:line="240" w:lineRule="auto"/>
                    <w:jc w:val="center"/>
                    <w:rPr>
                      <w:color w:val="auto"/>
                      <w:spacing w:val="-2"/>
                      <w:kern w:val="0"/>
                      <w:sz w:val="21"/>
                      <w:szCs w:val="21"/>
                      <w:highlight w:val="none"/>
                    </w:rPr>
                  </w:pPr>
                  <w:r>
                    <w:rPr>
                      <w:rFonts w:hint="eastAsia"/>
                      <w:color w:val="auto"/>
                      <w:spacing w:val="-2"/>
                      <w:kern w:val="0"/>
                      <w:sz w:val="21"/>
                      <w:szCs w:val="21"/>
                      <w:highlight w:val="none"/>
                    </w:rPr>
                    <w:t>60</w:t>
                  </w:r>
                </w:p>
              </w:tc>
              <w:tc>
                <w:tcPr>
                  <w:tcW w:w="647" w:type="dxa"/>
                  <w:tcBorders>
                    <w:tl2br w:val="nil"/>
                    <w:tr2bl w:val="nil"/>
                  </w:tcBorders>
                  <w:vAlign w:val="center"/>
                </w:tcPr>
                <w:p w14:paraId="10F18309">
                  <w:pPr>
                    <w:spacing w:line="240" w:lineRule="auto"/>
                    <w:jc w:val="center"/>
                    <w:rPr>
                      <w:color w:val="auto"/>
                      <w:spacing w:val="-2"/>
                      <w:kern w:val="0"/>
                      <w:sz w:val="21"/>
                      <w:szCs w:val="21"/>
                      <w:highlight w:val="none"/>
                    </w:rPr>
                  </w:pPr>
                  <w:r>
                    <w:rPr>
                      <w:rFonts w:hint="eastAsia"/>
                      <w:color w:val="auto"/>
                      <w:spacing w:val="-2"/>
                      <w:kern w:val="0"/>
                      <w:sz w:val="21"/>
                      <w:szCs w:val="21"/>
                      <w:highlight w:val="none"/>
                    </w:rPr>
                    <w:t>50</w:t>
                  </w:r>
                </w:p>
              </w:tc>
            </w:tr>
            <w:tr w14:paraId="76B9DF3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l2br w:val="nil"/>
                    <w:tr2bl w:val="nil"/>
                  </w:tcBorders>
                  <w:vAlign w:val="center"/>
                </w:tcPr>
                <w:p w14:paraId="612E3C58">
                  <w:pPr>
                    <w:adjustRightInd w:val="0"/>
                    <w:snapToGrid w:val="0"/>
                    <w:jc w:val="center"/>
                    <w:rPr>
                      <w:color w:val="auto"/>
                      <w:sz w:val="21"/>
                      <w:szCs w:val="21"/>
                      <w:highlight w:val="none"/>
                    </w:rPr>
                  </w:pPr>
                </w:p>
              </w:tc>
              <w:tc>
                <w:tcPr>
                  <w:tcW w:w="1275" w:type="dxa"/>
                  <w:tcBorders>
                    <w:tl2br w:val="nil"/>
                    <w:tr2bl w:val="nil"/>
                  </w:tcBorders>
                  <w:shd w:val="clear" w:color="auto" w:fill="auto"/>
                  <w:vAlign w:val="center"/>
                </w:tcPr>
                <w:p w14:paraId="7E0A8D3E">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阳光天地</w:t>
                  </w:r>
                </w:p>
              </w:tc>
              <w:tc>
                <w:tcPr>
                  <w:tcW w:w="840" w:type="dxa"/>
                  <w:tcBorders>
                    <w:tl2br w:val="nil"/>
                    <w:tr2bl w:val="nil"/>
                  </w:tcBorders>
                  <w:vAlign w:val="center"/>
                </w:tcPr>
                <w:p w14:paraId="45CDEFE2">
                  <w:pPr>
                    <w:spacing w:line="240" w:lineRule="auto"/>
                    <w:jc w:val="center"/>
                    <w:rPr>
                      <w:rFonts w:hint="eastAsia"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35m</w:t>
                  </w:r>
                </w:p>
              </w:tc>
              <w:tc>
                <w:tcPr>
                  <w:tcW w:w="1425" w:type="dxa"/>
                  <w:tcBorders>
                    <w:tl2br w:val="nil"/>
                    <w:tr2bl w:val="nil"/>
                  </w:tcBorders>
                  <w:vAlign w:val="center"/>
                </w:tcPr>
                <w:p w14:paraId="08788ADF">
                  <w:pPr>
                    <w:spacing w:line="240" w:lineRule="auto"/>
                    <w:jc w:val="center"/>
                    <w:rPr>
                      <w:rFonts w:hint="eastAsia"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0</w:t>
                  </w:r>
                </w:p>
              </w:tc>
              <w:tc>
                <w:tcPr>
                  <w:tcW w:w="870" w:type="dxa"/>
                  <w:tcBorders>
                    <w:tl2br w:val="nil"/>
                    <w:tr2bl w:val="nil"/>
                  </w:tcBorders>
                  <w:shd w:val="clear" w:color="auto" w:fill="auto"/>
                  <w:vAlign w:val="center"/>
                </w:tcPr>
                <w:p w14:paraId="1374315B">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56</w:t>
                  </w:r>
                </w:p>
              </w:tc>
              <w:tc>
                <w:tcPr>
                  <w:tcW w:w="735" w:type="dxa"/>
                  <w:tcBorders>
                    <w:tl2br w:val="nil"/>
                    <w:tr2bl w:val="nil"/>
                  </w:tcBorders>
                  <w:shd w:val="clear" w:color="auto" w:fill="auto"/>
                  <w:vAlign w:val="center"/>
                </w:tcPr>
                <w:p w14:paraId="6B96273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46</w:t>
                  </w:r>
                </w:p>
              </w:tc>
              <w:tc>
                <w:tcPr>
                  <w:tcW w:w="1275" w:type="dxa"/>
                  <w:tcBorders>
                    <w:tl2br w:val="nil"/>
                    <w:tr2bl w:val="nil"/>
                  </w:tcBorders>
                  <w:shd w:val="clear" w:color="auto" w:fill="auto"/>
                  <w:vAlign w:val="center"/>
                </w:tcPr>
                <w:p w14:paraId="7A6AEA1A">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56</w:t>
                  </w:r>
                </w:p>
              </w:tc>
              <w:tc>
                <w:tcPr>
                  <w:tcW w:w="915" w:type="dxa"/>
                  <w:tcBorders>
                    <w:tl2br w:val="nil"/>
                    <w:tr2bl w:val="nil"/>
                  </w:tcBorders>
                  <w:vAlign w:val="center"/>
                </w:tcPr>
                <w:p w14:paraId="72A3DD28">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46</w:t>
                  </w:r>
                </w:p>
              </w:tc>
              <w:tc>
                <w:tcPr>
                  <w:tcW w:w="675" w:type="dxa"/>
                  <w:tcBorders>
                    <w:tl2br w:val="nil"/>
                    <w:tr2bl w:val="nil"/>
                  </w:tcBorders>
                  <w:vAlign w:val="center"/>
                </w:tcPr>
                <w:p w14:paraId="13682F29">
                  <w:pPr>
                    <w:spacing w:line="240" w:lineRule="auto"/>
                    <w:jc w:val="center"/>
                    <w:rPr>
                      <w:rFonts w:hint="eastAsia"/>
                      <w:color w:val="auto"/>
                      <w:spacing w:val="-2"/>
                      <w:kern w:val="0"/>
                      <w:sz w:val="21"/>
                      <w:szCs w:val="21"/>
                      <w:highlight w:val="none"/>
                    </w:rPr>
                  </w:pPr>
                  <w:r>
                    <w:rPr>
                      <w:rFonts w:hint="eastAsia"/>
                      <w:color w:val="auto"/>
                      <w:spacing w:val="-2"/>
                      <w:kern w:val="0"/>
                      <w:sz w:val="21"/>
                      <w:szCs w:val="21"/>
                      <w:highlight w:val="none"/>
                    </w:rPr>
                    <w:t>60</w:t>
                  </w:r>
                </w:p>
              </w:tc>
              <w:tc>
                <w:tcPr>
                  <w:tcW w:w="647" w:type="dxa"/>
                  <w:tcBorders>
                    <w:tl2br w:val="nil"/>
                    <w:tr2bl w:val="nil"/>
                  </w:tcBorders>
                  <w:vAlign w:val="center"/>
                </w:tcPr>
                <w:p w14:paraId="1EE5F377">
                  <w:pPr>
                    <w:spacing w:line="240" w:lineRule="auto"/>
                    <w:jc w:val="center"/>
                    <w:rPr>
                      <w:rFonts w:hint="eastAsia"/>
                      <w:color w:val="auto"/>
                      <w:spacing w:val="-2"/>
                      <w:kern w:val="0"/>
                      <w:sz w:val="21"/>
                      <w:szCs w:val="21"/>
                      <w:highlight w:val="none"/>
                    </w:rPr>
                  </w:pPr>
                  <w:r>
                    <w:rPr>
                      <w:rFonts w:hint="eastAsia"/>
                      <w:color w:val="auto"/>
                      <w:spacing w:val="-2"/>
                      <w:kern w:val="0"/>
                      <w:sz w:val="21"/>
                      <w:szCs w:val="21"/>
                      <w:highlight w:val="none"/>
                    </w:rPr>
                    <w:t>50</w:t>
                  </w:r>
                </w:p>
              </w:tc>
            </w:tr>
            <w:tr w14:paraId="61EEE33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1" w:type="dxa"/>
                  <w:vMerge w:val="continue"/>
                  <w:tcBorders>
                    <w:tl2br w:val="nil"/>
                    <w:tr2bl w:val="nil"/>
                  </w:tcBorders>
                  <w:vAlign w:val="center"/>
                </w:tcPr>
                <w:p w14:paraId="53B529A8">
                  <w:pPr>
                    <w:adjustRightInd w:val="0"/>
                    <w:snapToGrid w:val="0"/>
                    <w:jc w:val="center"/>
                    <w:rPr>
                      <w:color w:val="auto"/>
                      <w:sz w:val="21"/>
                      <w:szCs w:val="21"/>
                      <w:highlight w:val="none"/>
                    </w:rPr>
                  </w:pPr>
                </w:p>
              </w:tc>
              <w:tc>
                <w:tcPr>
                  <w:tcW w:w="1275" w:type="dxa"/>
                  <w:tcBorders>
                    <w:tl2br w:val="nil"/>
                    <w:tr2bl w:val="nil"/>
                  </w:tcBorders>
                  <w:shd w:val="clear" w:color="auto" w:fill="auto"/>
                  <w:vAlign w:val="center"/>
                </w:tcPr>
                <w:p w14:paraId="4360A9B0">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商住楼</w:t>
                  </w:r>
                </w:p>
              </w:tc>
              <w:tc>
                <w:tcPr>
                  <w:tcW w:w="840" w:type="dxa"/>
                  <w:tcBorders>
                    <w:tl2br w:val="nil"/>
                    <w:tr2bl w:val="nil"/>
                  </w:tcBorders>
                  <w:vAlign w:val="center"/>
                </w:tcPr>
                <w:p w14:paraId="680BE26D">
                  <w:pPr>
                    <w:spacing w:line="240" w:lineRule="auto"/>
                    <w:jc w:val="center"/>
                    <w:rPr>
                      <w:rFonts w:hint="eastAsia"/>
                      <w:color w:val="auto"/>
                      <w:spacing w:val="-2"/>
                      <w:kern w:val="0"/>
                      <w:sz w:val="21"/>
                      <w:szCs w:val="21"/>
                      <w:highlight w:val="none"/>
                    </w:rPr>
                  </w:pPr>
                  <w:r>
                    <w:rPr>
                      <w:rFonts w:hint="eastAsia"/>
                      <w:color w:val="auto"/>
                      <w:spacing w:val="-2"/>
                      <w:kern w:val="0"/>
                      <w:sz w:val="21"/>
                      <w:szCs w:val="21"/>
                      <w:highlight w:val="none"/>
                      <w:lang w:val="en-US" w:eastAsia="zh-CN"/>
                    </w:rPr>
                    <w:t>35</w:t>
                  </w:r>
                  <w:r>
                    <w:rPr>
                      <w:rFonts w:hint="eastAsia"/>
                      <w:color w:val="auto"/>
                      <w:spacing w:val="-2"/>
                      <w:kern w:val="0"/>
                      <w:sz w:val="21"/>
                      <w:szCs w:val="21"/>
                      <w:highlight w:val="none"/>
                    </w:rPr>
                    <w:t>m</w:t>
                  </w:r>
                </w:p>
              </w:tc>
              <w:tc>
                <w:tcPr>
                  <w:tcW w:w="1425" w:type="dxa"/>
                  <w:tcBorders>
                    <w:tl2br w:val="nil"/>
                    <w:tr2bl w:val="nil"/>
                  </w:tcBorders>
                  <w:vAlign w:val="center"/>
                </w:tcPr>
                <w:p w14:paraId="2AFA6BFB">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6.07</w:t>
                  </w:r>
                </w:p>
              </w:tc>
              <w:tc>
                <w:tcPr>
                  <w:tcW w:w="870" w:type="dxa"/>
                  <w:tcBorders>
                    <w:tl2br w:val="nil"/>
                    <w:tr2bl w:val="nil"/>
                  </w:tcBorders>
                  <w:shd w:val="clear" w:color="auto" w:fill="auto"/>
                  <w:vAlign w:val="center"/>
                </w:tcPr>
                <w:p w14:paraId="640D43BD">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56</w:t>
                  </w:r>
                </w:p>
              </w:tc>
              <w:tc>
                <w:tcPr>
                  <w:tcW w:w="735" w:type="dxa"/>
                  <w:tcBorders>
                    <w:tl2br w:val="nil"/>
                    <w:tr2bl w:val="nil"/>
                  </w:tcBorders>
                  <w:shd w:val="clear" w:color="auto" w:fill="auto"/>
                  <w:vAlign w:val="center"/>
                </w:tcPr>
                <w:p w14:paraId="6BEC9568">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46</w:t>
                  </w:r>
                </w:p>
              </w:tc>
              <w:tc>
                <w:tcPr>
                  <w:tcW w:w="1275" w:type="dxa"/>
                  <w:tcBorders>
                    <w:tl2br w:val="nil"/>
                    <w:tr2bl w:val="nil"/>
                  </w:tcBorders>
                  <w:shd w:val="clear" w:color="auto" w:fill="auto"/>
                  <w:vAlign w:val="center"/>
                </w:tcPr>
                <w:p w14:paraId="6E2C9843">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56</w:t>
                  </w:r>
                </w:p>
              </w:tc>
              <w:tc>
                <w:tcPr>
                  <w:tcW w:w="915" w:type="dxa"/>
                  <w:tcBorders>
                    <w:tl2br w:val="nil"/>
                    <w:tr2bl w:val="nil"/>
                  </w:tcBorders>
                  <w:vAlign w:val="center"/>
                </w:tcPr>
                <w:p w14:paraId="3FDA2851">
                  <w:pPr>
                    <w:spacing w:line="240" w:lineRule="auto"/>
                    <w:jc w:val="center"/>
                    <w:rPr>
                      <w:rFonts w:hint="default" w:eastAsia="宋体"/>
                      <w:color w:val="auto"/>
                      <w:spacing w:val="-2"/>
                      <w:kern w:val="0"/>
                      <w:sz w:val="21"/>
                      <w:szCs w:val="21"/>
                      <w:highlight w:val="none"/>
                      <w:lang w:val="en-US" w:eastAsia="zh-CN"/>
                    </w:rPr>
                  </w:pPr>
                  <w:r>
                    <w:rPr>
                      <w:rFonts w:hint="eastAsia"/>
                      <w:color w:val="auto"/>
                      <w:spacing w:val="-2"/>
                      <w:kern w:val="0"/>
                      <w:sz w:val="21"/>
                      <w:szCs w:val="21"/>
                      <w:highlight w:val="none"/>
                      <w:lang w:val="en-US" w:eastAsia="zh-CN"/>
                    </w:rPr>
                    <w:t>46</w:t>
                  </w:r>
                </w:p>
              </w:tc>
              <w:tc>
                <w:tcPr>
                  <w:tcW w:w="675" w:type="dxa"/>
                  <w:tcBorders>
                    <w:tl2br w:val="nil"/>
                    <w:tr2bl w:val="nil"/>
                  </w:tcBorders>
                  <w:vAlign w:val="center"/>
                </w:tcPr>
                <w:p w14:paraId="2F498D82">
                  <w:pPr>
                    <w:spacing w:line="240" w:lineRule="auto"/>
                    <w:jc w:val="center"/>
                    <w:rPr>
                      <w:rFonts w:hint="eastAsia"/>
                      <w:color w:val="auto"/>
                      <w:spacing w:val="-2"/>
                      <w:kern w:val="0"/>
                      <w:sz w:val="21"/>
                      <w:szCs w:val="21"/>
                      <w:highlight w:val="none"/>
                    </w:rPr>
                  </w:pPr>
                  <w:r>
                    <w:rPr>
                      <w:rFonts w:hint="eastAsia"/>
                      <w:color w:val="auto"/>
                      <w:spacing w:val="-2"/>
                      <w:kern w:val="0"/>
                      <w:sz w:val="21"/>
                      <w:szCs w:val="21"/>
                      <w:highlight w:val="none"/>
                    </w:rPr>
                    <w:t>60</w:t>
                  </w:r>
                </w:p>
              </w:tc>
              <w:tc>
                <w:tcPr>
                  <w:tcW w:w="647" w:type="dxa"/>
                  <w:tcBorders>
                    <w:tl2br w:val="nil"/>
                    <w:tr2bl w:val="nil"/>
                  </w:tcBorders>
                  <w:vAlign w:val="center"/>
                </w:tcPr>
                <w:p w14:paraId="33C68526">
                  <w:pPr>
                    <w:spacing w:line="240" w:lineRule="auto"/>
                    <w:jc w:val="center"/>
                    <w:rPr>
                      <w:rFonts w:hint="eastAsia"/>
                      <w:color w:val="auto"/>
                      <w:spacing w:val="-2"/>
                      <w:kern w:val="0"/>
                      <w:sz w:val="21"/>
                      <w:szCs w:val="21"/>
                      <w:highlight w:val="none"/>
                    </w:rPr>
                  </w:pPr>
                  <w:r>
                    <w:rPr>
                      <w:rFonts w:hint="eastAsia"/>
                      <w:color w:val="auto"/>
                      <w:spacing w:val="-2"/>
                      <w:kern w:val="0"/>
                      <w:sz w:val="21"/>
                      <w:szCs w:val="21"/>
                      <w:highlight w:val="none"/>
                    </w:rPr>
                    <w:t>50</w:t>
                  </w:r>
                </w:p>
              </w:tc>
            </w:tr>
          </w:tbl>
          <w:p w14:paraId="24906C3C">
            <w:pPr>
              <w:pStyle w:val="189"/>
              <w:spacing w:line="360" w:lineRule="auto"/>
              <w:ind w:firstLine="480"/>
              <w:rPr>
                <w:rFonts w:hint="eastAsia"/>
                <w:b/>
                <w:bCs/>
                <w:color w:val="auto"/>
                <w:sz w:val="24"/>
              </w:rPr>
            </w:pPr>
            <w:r>
              <w:rPr>
                <w:rFonts w:hint="eastAsia"/>
                <w:color w:val="auto"/>
                <w:sz w:val="24"/>
              </w:rPr>
              <w:t>由预测结果可知，本</w:t>
            </w:r>
            <w:r>
              <w:rPr>
                <w:rFonts w:hint="eastAsia"/>
                <w:color w:val="auto"/>
                <w:sz w:val="24"/>
                <w:lang w:eastAsia="zh-CN"/>
              </w:rPr>
              <w:t>改建</w:t>
            </w:r>
            <w:r>
              <w:rPr>
                <w:rFonts w:hint="eastAsia"/>
                <w:color w:val="auto"/>
                <w:sz w:val="24"/>
              </w:rPr>
              <w:t>项目采取噪声污染防治措施后，本项目厂界噪声贡献值均小于《工业企业厂界环境噪声排放标准》（GB12348-2008）中3类标准要求。企业在昼间和夜间运营。本项目最近的敏感点为距离项目厂界南侧32m的龙源实验学校，经叠加敏感点背景值后符合</w:t>
            </w:r>
            <w:r>
              <w:rPr>
                <w:color w:val="auto"/>
                <w:sz w:val="24"/>
              </w:rPr>
              <w:t>《声环境质量标准》（GB3096-2008）</w:t>
            </w:r>
            <w:r>
              <w:rPr>
                <w:rFonts w:hint="eastAsia"/>
                <w:color w:val="auto"/>
                <w:sz w:val="24"/>
              </w:rPr>
              <w:t>中2类标准要求，对周围声环境及附近环境敏感点不会产生影响。</w:t>
            </w:r>
          </w:p>
          <w:p w14:paraId="539501CD">
            <w:pPr>
              <w:pStyle w:val="189"/>
              <w:spacing w:line="360" w:lineRule="auto"/>
              <w:ind w:firstLine="482"/>
              <w:rPr>
                <w:b/>
                <w:bCs/>
                <w:color w:val="auto"/>
                <w:sz w:val="24"/>
              </w:rPr>
            </w:pPr>
            <w:r>
              <w:rPr>
                <w:b/>
                <w:bCs/>
                <w:color w:val="auto"/>
                <w:sz w:val="24"/>
              </w:rPr>
              <w:t>3、噪声污染防治措施</w:t>
            </w:r>
          </w:p>
          <w:p w14:paraId="167304AB">
            <w:pPr>
              <w:pStyle w:val="189"/>
              <w:spacing w:line="360" w:lineRule="auto"/>
              <w:ind w:firstLine="480"/>
              <w:rPr>
                <w:color w:val="auto"/>
                <w:sz w:val="24"/>
              </w:rPr>
            </w:pPr>
            <w:r>
              <w:rPr>
                <w:color w:val="auto"/>
                <w:sz w:val="24"/>
              </w:rPr>
              <w:t>为了避免本项目产生的噪声对周围环境造成不利影响，项目建设单位对该项目的噪声源采取以下减振、隔音、降噪等措施：</w:t>
            </w:r>
          </w:p>
          <w:p w14:paraId="5586DCE0">
            <w:pPr>
              <w:pStyle w:val="189"/>
              <w:spacing w:line="360" w:lineRule="auto"/>
              <w:ind w:firstLine="480"/>
              <w:rPr>
                <w:color w:val="auto"/>
                <w:sz w:val="24"/>
              </w:rPr>
            </w:pPr>
            <w:r>
              <w:rPr>
                <w:color w:val="auto"/>
                <w:sz w:val="24"/>
              </w:rPr>
              <w:t>①合理布置生产设备，利用距离衰减降低设备噪声到达厂区边界时的噪声值，同时优化运行及操作参数，对部分机件采取减震、隔声措施；</w:t>
            </w:r>
          </w:p>
          <w:p w14:paraId="31D46587">
            <w:pPr>
              <w:pStyle w:val="189"/>
              <w:spacing w:line="360" w:lineRule="auto"/>
              <w:ind w:firstLine="480"/>
              <w:rPr>
                <w:color w:val="auto"/>
                <w:sz w:val="24"/>
              </w:rPr>
            </w:pPr>
            <w:r>
              <w:rPr>
                <w:color w:val="auto"/>
                <w:sz w:val="24"/>
              </w:rPr>
              <w:t>②对于机械设备噪声，设备选型首先考虑的是低噪声的设备。同时采用加大减震基础，安装减震装置，在设备安装及设备连接处可采用减震垫或柔性接头等措施。加强设备的巡检和维护，定时加注液压油，防止因机械摩擦产生噪音；</w:t>
            </w:r>
          </w:p>
          <w:p w14:paraId="3C47B1F4">
            <w:pPr>
              <w:pStyle w:val="189"/>
              <w:spacing w:line="360" w:lineRule="auto"/>
              <w:ind w:firstLine="480"/>
              <w:rPr>
                <w:color w:val="auto"/>
                <w:sz w:val="24"/>
              </w:rPr>
            </w:pPr>
            <w:r>
              <w:rPr>
                <w:color w:val="auto"/>
                <w:sz w:val="24"/>
              </w:rPr>
              <w:t>③加强对噪声设备的维护和保养，减少因机械磨损而增加的噪声；项目室内设备噪声隔声量由建筑物的墙、门、窗等综合而成，运营期间门窗紧闭，类似形成隔声间；同时对生产设备底座采取减振处理。</w:t>
            </w:r>
          </w:p>
          <w:p w14:paraId="2582A32D">
            <w:pPr>
              <w:pStyle w:val="189"/>
              <w:spacing w:line="360" w:lineRule="auto"/>
              <w:ind w:firstLine="482"/>
              <w:rPr>
                <w:b/>
                <w:bCs/>
                <w:color w:val="auto"/>
                <w:sz w:val="24"/>
              </w:rPr>
            </w:pPr>
            <w:r>
              <w:rPr>
                <w:rFonts w:hint="eastAsia"/>
                <w:b/>
                <w:bCs/>
                <w:color w:val="auto"/>
                <w:sz w:val="24"/>
              </w:rPr>
              <w:t>4</w:t>
            </w:r>
            <w:r>
              <w:rPr>
                <w:b/>
                <w:bCs/>
                <w:color w:val="auto"/>
                <w:sz w:val="24"/>
              </w:rPr>
              <w:t>、噪声污染源监测要求</w:t>
            </w:r>
          </w:p>
          <w:p w14:paraId="1FBABE68">
            <w:pPr>
              <w:pStyle w:val="189"/>
              <w:spacing w:line="360" w:lineRule="auto"/>
              <w:ind w:firstLine="480"/>
              <w:rPr>
                <w:color w:val="auto"/>
                <w:sz w:val="24"/>
              </w:rPr>
            </w:pPr>
            <w:r>
              <w:rPr>
                <w:color w:val="auto"/>
                <w:sz w:val="24"/>
              </w:rPr>
              <w:t>参考《排污单位自行监测技术指南 总则》（HJ819-2017）的要求，本项目营运期噪声监测计划如下：</w:t>
            </w:r>
          </w:p>
          <w:p w14:paraId="5A275314">
            <w:pPr>
              <w:pStyle w:val="189"/>
              <w:spacing w:line="240" w:lineRule="auto"/>
              <w:ind w:firstLine="0" w:firstLineChars="0"/>
              <w:jc w:val="center"/>
              <w:rPr>
                <w:b/>
                <w:bCs/>
                <w:color w:val="auto"/>
                <w:szCs w:val="21"/>
              </w:rPr>
            </w:pPr>
            <w:r>
              <w:rPr>
                <w:b/>
                <w:bCs/>
                <w:color w:val="auto"/>
                <w:szCs w:val="21"/>
              </w:rPr>
              <w:t>表4-</w:t>
            </w:r>
            <w:r>
              <w:rPr>
                <w:rFonts w:hint="eastAsia"/>
                <w:b/>
                <w:bCs/>
                <w:color w:val="auto"/>
                <w:szCs w:val="21"/>
              </w:rPr>
              <w:t>1</w:t>
            </w:r>
            <w:r>
              <w:rPr>
                <w:rFonts w:hint="eastAsia"/>
                <w:b/>
                <w:bCs/>
                <w:color w:val="auto"/>
                <w:szCs w:val="21"/>
                <w:lang w:val="en-US" w:eastAsia="zh-CN"/>
              </w:rPr>
              <w:t>8</w:t>
            </w:r>
            <w:r>
              <w:rPr>
                <w:b/>
                <w:bCs/>
                <w:color w:val="auto"/>
                <w:szCs w:val="21"/>
              </w:rPr>
              <w:t xml:space="preserve"> 项目噪声污染源监测计划表</w:t>
            </w:r>
          </w:p>
          <w:tbl>
            <w:tblPr>
              <w:tblStyle w:val="42"/>
              <w:tblW w:w="9256" w:type="dxa"/>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1066"/>
              <w:gridCol w:w="1042"/>
              <w:gridCol w:w="2075"/>
              <w:gridCol w:w="1160"/>
              <w:gridCol w:w="906"/>
              <w:gridCol w:w="3007"/>
            </w:tblGrid>
            <w:tr w14:paraId="07BE7EE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6" w:type="dxa"/>
                  <w:tcBorders>
                    <w:tl2br w:val="nil"/>
                    <w:tr2bl w:val="nil"/>
                  </w:tcBorders>
                  <w:vAlign w:val="center"/>
                </w:tcPr>
                <w:p w14:paraId="31AB020E">
                  <w:pPr>
                    <w:widowControl w:val="0"/>
                    <w:jc w:val="center"/>
                    <w:rPr>
                      <w:b/>
                      <w:bCs/>
                      <w:color w:val="auto"/>
                      <w:szCs w:val="21"/>
                    </w:rPr>
                  </w:pPr>
                  <w:r>
                    <w:rPr>
                      <w:b/>
                      <w:bCs/>
                      <w:color w:val="auto"/>
                      <w:szCs w:val="21"/>
                    </w:rPr>
                    <w:t>监测类别</w:t>
                  </w:r>
                </w:p>
              </w:tc>
              <w:tc>
                <w:tcPr>
                  <w:tcW w:w="1042" w:type="dxa"/>
                  <w:tcBorders>
                    <w:tl2br w:val="nil"/>
                    <w:tr2bl w:val="nil"/>
                  </w:tcBorders>
                  <w:vAlign w:val="center"/>
                </w:tcPr>
                <w:p w14:paraId="087A9A1F">
                  <w:pPr>
                    <w:widowControl w:val="0"/>
                    <w:jc w:val="center"/>
                    <w:rPr>
                      <w:b/>
                      <w:bCs/>
                      <w:color w:val="auto"/>
                      <w:szCs w:val="21"/>
                    </w:rPr>
                  </w:pPr>
                  <w:r>
                    <w:rPr>
                      <w:b/>
                      <w:bCs/>
                      <w:color w:val="auto"/>
                      <w:szCs w:val="21"/>
                    </w:rPr>
                    <w:t>监测地点</w:t>
                  </w:r>
                </w:p>
              </w:tc>
              <w:tc>
                <w:tcPr>
                  <w:tcW w:w="2075" w:type="dxa"/>
                  <w:tcBorders>
                    <w:tl2br w:val="nil"/>
                    <w:tr2bl w:val="nil"/>
                  </w:tcBorders>
                  <w:vAlign w:val="center"/>
                </w:tcPr>
                <w:p w14:paraId="6277523A">
                  <w:pPr>
                    <w:widowControl w:val="0"/>
                    <w:jc w:val="center"/>
                    <w:rPr>
                      <w:b/>
                      <w:bCs/>
                      <w:color w:val="auto"/>
                      <w:szCs w:val="21"/>
                    </w:rPr>
                  </w:pPr>
                  <w:r>
                    <w:rPr>
                      <w:b/>
                      <w:bCs/>
                      <w:color w:val="auto"/>
                      <w:szCs w:val="21"/>
                    </w:rPr>
                    <w:t>监测点位</w:t>
                  </w:r>
                </w:p>
              </w:tc>
              <w:tc>
                <w:tcPr>
                  <w:tcW w:w="1160" w:type="dxa"/>
                  <w:tcBorders>
                    <w:tl2br w:val="nil"/>
                    <w:tr2bl w:val="nil"/>
                  </w:tcBorders>
                  <w:vAlign w:val="center"/>
                </w:tcPr>
                <w:p w14:paraId="169A7967">
                  <w:pPr>
                    <w:widowControl w:val="0"/>
                    <w:jc w:val="center"/>
                    <w:rPr>
                      <w:b/>
                      <w:bCs/>
                      <w:color w:val="auto"/>
                      <w:szCs w:val="21"/>
                    </w:rPr>
                  </w:pPr>
                  <w:r>
                    <w:rPr>
                      <w:b/>
                      <w:bCs/>
                      <w:color w:val="auto"/>
                      <w:szCs w:val="21"/>
                    </w:rPr>
                    <w:t>监测项目</w:t>
                  </w:r>
                </w:p>
              </w:tc>
              <w:tc>
                <w:tcPr>
                  <w:tcW w:w="906" w:type="dxa"/>
                  <w:tcBorders>
                    <w:tl2br w:val="nil"/>
                    <w:tr2bl w:val="nil"/>
                  </w:tcBorders>
                  <w:vAlign w:val="center"/>
                </w:tcPr>
                <w:p w14:paraId="3F302156">
                  <w:pPr>
                    <w:widowControl w:val="0"/>
                    <w:jc w:val="center"/>
                    <w:rPr>
                      <w:b/>
                      <w:bCs/>
                      <w:color w:val="auto"/>
                      <w:szCs w:val="21"/>
                    </w:rPr>
                  </w:pPr>
                  <w:r>
                    <w:rPr>
                      <w:b/>
                      <w:bCs/>
                      <w:color w:val="auto"/>
                      <w:szCs w:val="21"/>
                    </w:rPr>
                    <w:t>监测频次</w:t>
                  </w:r>
                </w:p>
              </w:tc>
              <w:tc>
                <w:tcPr>
                  <w:tcW w:w="3007" w:type="dxa"/>
                  <w:tcBorders>
                    <w:tl2br w:val="nil"/>
                    <w:tr2bl w:val="nil"/>
                  </w:tcBorders>
                  <w:vAlign w:val="center"/>
                </w:tcPr>
                <w:p w14:paraId="347BAD92">
                  <w:pPr>
                    <w:widowControl w:val="0"/>
                    <w:jc w:val="center"/>
                    <w:rPr>
                      <w:b/>
                      <w:bCs/>
                      <w:color w:val="auto"/>
                      <w:szCs w:val="21"/>
                    </w:rPr>
                  </w:pPr>
                  <w:r>
                    <w:rPr>
                      <w:b/>
                      <w:bCs/>
                      <w:color w:val="auto"/>
                      <w:szCs w:val="21"/>
                    </w:rPr>
                    <w:t>执行标准</w:t>
                  </w:r>
                </w:p>
              </w:tc>
            </w:tr>
            <w:tr w14:paraId="2C8F9B7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6" w:type="dxa"/>
                  <w:tcBorders>
                    <w:tl2br w:val="nil"/>
                    <w:tr2bl w:val="nil"/>
                  </w:tcBorders>
                  <w:vAlign w:val="center"/>
                </w:tcPr>
                <w:p w14:paraId="3217149F">
                  <w:pPr>
                    <w:widowControl w:val="0"/>
                    <w:jc w:val="center"/>
                    <w:rPr>
                      <w:color w:val="auto"/>
                      <w:szCs w:val="21"/>
                    </w:rPr>
                  </w:pPr>
                  <w:r>
                    <w:rPr>
                      <w:color w:val="auto"/>
                      <w:szCs w:val="21"/>
                    </w:rPr>
                    <w:t>噪声</w:t>
                  </w:r>
                </w:p>
              </w:tc>
              <w:tc>
                <w:tcPr>
                  <w:tcW w:w="1042" w:type="dxa"/>
                  <w:tcBorders>
                    <w:tl2br w:val="nil"/>
                    <w:tr2bl w:val="nil"/>
                  </w:tcBorders>
                  <w:vAlign w:val="center"/>
                </w:tcPr>
                <w:p w14:paraId="3A7EF426">
                  <w:pPr>
                    <w:widowControl w:val="0"/>
                    <w:jc w:val="center"/>
                    <w:rPr>
                      <w:color w:val="auto"/>
                      <w:szCs w:val="21"/>
                    </w:rPr>
                  </w:pPr>
                  <w:r>
                    <w:rPr>
                      <w:color w:val="auto"/>
                      <w:szCs w:val="21"/>
                    </w:rPr>
                    <w:t>厂界噪声</w:t>
                  </w:r>
                </w:p>
              </w:tc>
              <w:tc>
                <w:tcPr>
                  <w:tcW w:w="2075" w:type="dxa"/>
                  <w:tcBorders>
                    <w:tl2br w:val="nil"/>
                    <w:tr2bl w:val="nil"/>
                  </w:tcBorders>
                  <w:vAlign w:val="center"/>
                </w:tcPr>
                <w:p w14:paraId="33692E39">
                  <w:pPr>
                    <w:widowControl w:val="0"/>
                    <w:jc w:val="center"/>
                    <w:rPr>
                      <w:color w:val="auto"/>
                      <w:szCs w:val="21"/>
                    </w:rPr>
                  </w:pPr>
                  <w:r>
                    <w:rPr>
                      <w:color w:val="auto"/>
                      <w:szCs w:val="21"/>
                    </w:rPr>
                    <w:t>厂界东北侧、东南侧、西南侧、西北侧</w:t>
                  </w:r>
                </w:p>
              </w:tc>
              <w:tc>
                <w:tcPr>
                  <w:tcW w:w="1160" w:type="dxa"/>
                  <w:tcBorders>
                    <w:tl2br w:val="nil"/>
                    <w:tr2bl w:val="nil"/>
                  </w:tcBorders>
                  <w:vAlign w:val="center"/>
                </w:tcPr>
                <w:p w14:paraId="651F0112">
                  <w:pPr>
                    <w:widowControl w:val="0"/>
                    <w:jc w:val="center"/>
                    <w:rPr>
                      <w:color w:val="auto"/>
                      <w:szCs w:val="21"/>
                    </w:rPr>
                  </w:pPr>
                  <w:r>
                    <w:rPr>
                      <w:color w:val="auto"/>
                      <w:szCs w:val="21"/>
                    </w:rPr>
                    <w:t>昼</w:t>
                  </w:r>
                  <w:r>
                    <w:rPr>
                      <w:rFonts w:hint="eastAsia"/>
                      <w:color w:val="auto"/>
                      <w:szCs w:val="21"/>
                    </w:rPr>
                    <w:t>夜</w:t>
                  </w:r>
                  <w:r>
                    <w:rPr>
                      <w:color w:val="auto"/>
                      <w:szCs w:val="21"/>
                    </w:rPr>
                    <w:t>间等效连续A声级</w:t>
                  </w:r>
                </w:p>
              </w:tc>
              <w:tc>
                <w:tcPr>
                  <w:tcW w:w="906" w:type="dxa"/>
                  <w:tcBorders>
                    <w:tl2br w:val="nil"/>
                    <w:tr2bl w:val="nil"/>
                  </w:tcBorders>
                  <w:vAlign w:val="center"/>
                </w:tcPr>
                <w:p w14:paraId="7178EA80">
                  <w:pPr>
                    <w:widowControl w:val="0"/>
                    <w:jc w:val="center"/>
                    <w:rPr>
                      <w:color w:val="auto"/>
                      <w:szCs w:val="21"/>
                    </w:rPr>
                  </w:pPr>
                  <w:r>
                    <w:rPr>
                      <w:color w:val="auto"/>
                      <w:szCs w:val="21"/>
                    </w:rPr>
                    <w:t>1次/季</w:t>
                  </w:r>
                </w:p>
              </w:tc>
              <w:tc>
                <w:tcPr>
                  <w:tcW w:w="3007" w:type="dxa"/>
                  <w:tcBorders>
                    <w:tl2br w:val="nil"/>
                    <w:tr2bl w:val="nil"/>
                  </w:tcBorders>
                  <w:vAlign w:val="center"/>
                </w:tcPr>
                <w:p w14:paraId="46C91DF8">
                  <w:pPr>
                    <w:widowControl w:val="0"/>
                    <w:jc w:val="center"/>
                    <w:rPr>
                      <w:color w:val="auto"/>
                      <w:szCs w:val="21"/>
                    </w:rPr>
                  </w:pPr>
                  <w:r>
                    <w:rPr>
                      <w:color w:val="auto"/>
                      <w:szCs w:val="21"/>
                    </w:rPr>
                    <w:t>《工业企业厂界环境噪声排放标准》（GB12348-2008）3类标准</w:t>
                  </w:r>
                </w:p>
              </w:tc>
            </w:tr>
          </w:tbl>
          <w:p w14:paraId="1C4C2569">
            <w:pPr>
              <w:pStyle w:val="189"/>
              <w:spacing w:line="360" w:lineRule="auto"/>
              <w:ind w:firstLine="482"/>
              <w:rPr>
                <w:b/>
                <w:bCs/>
                <w:color w:val="auto"/>
                <w:sz w:val="24"/>
              </w:rPr>
            </w:pPr>
            <w:r>
              <w:rPr>
                <w:b/>
                <w:bCs/>
                <w:color w:val="auto"/>
                <w:sz w:val="24"/>
              </w:rPr>
              <w:t>（四）固体废物</w:t>
            </w:r>
          </w:p>
          <w:p w14:paraId="3043E651">
            <w:pPr>
              <w:pStyle w:val="189"/>
              <w:spacing w:line="360" w:lineRule="auto"/>
              <w:ind w:firstLine="480"/>
              <w:rPr>
                <w:color w:val="auto"/>
                <w:sz w:val="24"/>
              </w:rPr>
            </w:pPr>
            <w:r>
              <w:rPr>
                <w:color w:val="auto"/>
                <w:sz w:val="24"/>
              </w:rPr>
              <w:t>本</w:t>
            </w:r>
            <w:r>
              <w:rPr>
                <w:rFonts w:hint="eastAsia"/>
                <w:color w:val="auto"/>
                <w:sz w:val="24"/>
                <w:lang w:eastAsia="zh-CN"/>
              </w:rPr>
              <w:t>改建</w:t>
            </w:r>
            <w:r>
              <w:rPr>
                <w:color w:val="auto"/>
                <w:sz w:val="24"/>
              </w:rPr>
              <w:t>项目建成后产生的固体废物主要是危险废物为槽</w:t>
            </w:r>
            <w:r>
              <w:rPr>
                <w:rFonts w:hint="eastAsia"/>
                <w:color w:val="auto"/>
                <w:sz w:val="24"/>
              </w:rPr>
              <w:t>液</w:t>
            </w:r>
            <w:r>
              <w:rPr>
                <w:color w:val="auto"/>
                <w:sz w:val="24"/>
              </w:rPr>
              <w:t>、废活性炭、废化学品包装容器。项目固体废物污染源强核算结果及相关参数见下表。</w:t>
            </w:r>
          </w:p>
          <w:p w14:paraId="37E77B9B">
            <w:pPr>
              <w:pStyle w:val="189"/>
              <w:spacing w:line="240" w:lineRule="auto"/>
              <w:ind w:firstLine="0" w:firstLineChars="0"/>
              <w:jc w:val="center"/>
              <w:rPr>
                <w:b/>
                <w:bCs/>
                <w:color w:val="auto"/>
                <w:szCs w:val="21"/>
              </w:rPr>
            </w:pPr>
            <w:r>
              <w:rPr>
                <w:b/>
                <w:bCs/>
                <w:color w:val="auto"/>
                <w:szCs w:val="21"/>
              </w:rPr>
              <w:t>表4-</w:t>
            </w:r>
            <w:r>
              <w:rPr>
                <w:rFonts w:hint="eastAsia"/>
                <w:b/>
                <w:bCs/>
                <w:color w:val="auto"/>
                <w:szCs w:val="21"/>
              </w:rPr>
              <w:t>1</w:t>
            </w:r>
            <w:r>
              <w:rPr>
                <w:rFonts w:hint="eastAsia"/>
                <w:b/>
                <w:bCs/>
                <w:color w:val="auto"/>
                <w:szCs w:val="21"/>
                <w:lang w:val="en-US" w:eastAsia="zh-CN"/>
              </w:rPr>
              <w:t>9</w:t>
            </w:r>
            <w:r>
              <w:rPr>
                <w:b/>
                <w:bCs/>
                <w:color w:val="auto"/>
                <w:szCs w:val="21"/>
              </w:rPr>
              <w:t xml:space="preserve"> 本</w:t>
            </w:r>
            <w:r>
              <w:rPr>
                <w:rFonts w:hint="eastAsia"/>
                <w:b/>
                <w:bCs/>
                <w:color w:val="auto"/>
                <w:szCs w:val="21"/>
                <w:lang w:eastAsia="zh-CN"/>
              </w:rPr>
              <w:t>改建</w:t>
            </w:r>
            <w:r>
              <w:rPr>
                <w:b/>
                <w:bCs/>
                <w:color w:val="auto"/>
                <w:szCs w:val="21"/>
              </w:rPr>
              <w:t>项目固体废物污染源强核算结果及相关参数一览表</w:t>
            </w:r>
          </w:p>
          <w:tbl>
            <w:tblPr>
              <w:tblStyle w:val="42"/>
              <w:tblW w:w="9462" w:type="dxa"/>
              <w:jc w:val="center"/>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fixed"/>
              <w:tblCellMar>
                <w:top w:w="0" w:type="dxa"/>
                <w:left w:w="108" w:type="dxa"/>
                <w:bottom w:w="0" w:type="dxa"/>
                <w:right w:w="108" w:type="dxa"/>
              </w:tblCellMar>
            </w:tblPr>
            <w:tblGrid>
              <w:gridCol w:w="502"/>
              <w:gridCol w:w="1976"/>
              <w:gridCol w:w="675"/>
              <w:gridCol w:w="1365"/>
              <w:gridCol w:w="1350"/>
              <w:gridCol w:w="900"/>
              <w:gridCol w:w="645"/>
              <w:gridCol w:w="900"/>
              <w:gridCol w:w="1149"/>
            </w:tblGrid>
            <w:tr w14:paraId="25406835">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dxa"/>
                  <w:vMerge w:val="restart"/>
                  <w:tcBorders>
                    <w:tl2br w:val="nil"/>
                    <w:tr2bl w:val="nil"/>
                  </w:tcBorders>
                  <w:vAlign w:val="center"/>
                </w:tcPr>
                <w:p w14:paraId="467DBC67">
                  <w:pPr>
                    <w:jc w:val="center"/>
                    <w:textAlignment w:val="center"/>
                    <w:rPr>
                      <w:b/>
                      <w:color w:val="auto"/>
                      <w:kern w:val="0"/>
                      <w:szCs w:val="21"/>
                    </w:rPr>
                  </w:pPr>
                  <w:r>
                    <w:rPr>
                      <w:b/>
                      <w:color w:val="auto"/>
                      <w:kern w:val="0"/>
                      <w:szCs w:val="21"/>
                    </w:rPr>
                    <w:t>序号</w:t>
                  </w:r>
                </w:p>
              </w:tc>
              <w:tc>
                <w:tcPr>
                  <w:tcW w:w="1976" w:type="dxa"/>
                  <w:vMerge w:val="restart"/>
                  <w:tcBorders>
                    <w:tl2br w:val="nil"/>
                    <w:tr2bl w:val="nil"/>
                  </w:tcBorders>
                  <w:vAlign w:val="center"/>
                </w:tcPr>
                <w:p w14:paraId="60B1A61D">
                  <w:pPr>
                    <w:jc w:val="center"/>
                    <w:textAlignment w:val="center"/>
                    <w:rPr>
                      <w:b/>
                      <w:color w:val="auto"/>
                      <w:kern w:val="0"/>
                      <w:szCs w:val="21"/>
                    </w:rPr>
                  </w:pPr>
                  <w:r>
                    <w:rPr>
                      <w:b/>
                      <w:color w:val="auto"/>
                      <w:kern w:val="0"/>
                      <w:szCs w:val="21"/>
                    </w:rPr>
                    <w:t>固体废物名称</w:t>
                  </w:r>
                </w:p>
              </w:tc>
              <w:tc>
                <w:tcPr>
                  <w:tcW w:w="675" w:type="dxa"/>
                  <w:vMerge w:val="restart"/>
                  <w:tcBorders>
                    <w:tl2br w:val="nil"/>
                    <w:tr2bl w:val="nil"/>
                  </w:tcBorders>
                  <w:vAlign w:val="center"/>
                </w:tcPr>
                <w:p w14:paraId="1A3E998D">
                  <w:pPr>
                    <w:jc w:val="center"/>
                    <w:textAlignment w:val="center"/>
                    <w:rPr>
                      <w:b/>
                      <w:color w:val="auto"/>
                      <w:kern w:val="0"/>
                      <w:szCs w:val="21"/>
                    </w:rPr>
                  </w:pPr>
                  <w:r>
                    <w:rPr>
                      <w:b/>
                      <w:color w:val="auto"/>
                      <w:kern w:val="0"/>
                      <w:szCs w:val="21"/>
                    </w:rPr>
                    <w:t>固废属性</w:t>
                  </w:r>
                </w:p>
              </w:tc>
              <w:tc>
                <w:tcPr>
                  <w:tcW w:w="1365" w:type="dxa"/>
                  <w:vMerge w:val="restart"/>
                  <w:tcBorders>
                    <w:tl2br w:val="nil"/>
                    <w:tr2bl w:val="nil"/>
                  </w:tcBorders>
                  <w:vAlign w:val="center"/>
                </w:tcPr>
                <w:p w14:paraId="6E958917">
                  <w:pPr>
                    <w:jc w:val="center"/>
                    <w:textAlignment w:val="center"/>
                    <w:rPr>
                      <w:b/>
                      <w:color w:val="auto"/>
                      <w:kern w:val="0"/>
                      <w:szCs w:val="21"/>
                    </w:rPr>
                  </w:pPr>
                  <w:r>
                    <w:rPr>
                      <w:rFonts w:hint="eastAsia"/>
                      <w:b/>
                      <w:color w:val="auto"/>
                      <w:kern w:val="0"/>
                      <w:szCs w:val="21"/>
                    </w:rPr>
                    <w:t>固废代码</w:t>
                  </w:r>
                </w:p>
              </w:tc>
              <w:tc>
                <w:tcPr>
                  <w:tcW w:w="2250" w:type="dxa"/>
                  <w:gridSpan w:val="2"/>
                  <w:tcBorders>
                    <w:tl2br w:val="nil"/>
                    <w:tr2bl w:val="nil"/>
                  </w:tcBorders>
                  <w:vAlign w:val="center"/>
                </w:tcPr>
                <w:p w14:paraId="79B93382">
                  <w:pPr>
                    <w:jc w:val="center"/>
                    <w:textAlignment w:val="center"/>
                    <w:rPr>
                      <w:b/>
                      <w:color w:val="auto"/>
                      <w:kern w:val="0"/>
                      <w:szCs w:val="21"/>
                    </w:rPr>
                  </w:pPr>
                  <w:r>
                    <w:rPr>
                      <w:b/>
                      <w:color w:val="auto"/>
                      <w:kern w:val="0"/>
                      <w:szCs w:val="21"/>
                    </w:rPr>
                    <w:t>产生情况</w:t>
                  </w:r>
                </w:p>
              </w:tc>
              <w:tc>
                <w:tcPr>
                  <w:tcW w:w="1545" w:type="dxa"/>
                  <w:gridSpan w:val="2"/>
                  <w:tcBorders>
                    <w:tl2br w:val="nil"/>
                    <w:tr2bl w:val="nil"/>
                  </w:tcBorders>
                  <w:vAlign w:val="center"/>
                </w:tcPr>
                <w:p w14:paraId="50FA01AE">
                  <w:pPr>
                    <w:jc w:val="center"/>
                    <w:textAlignment w:val="center"/>
                    <w:rPr>
                      <w:b/>
                      <w:color w:val="auto"/>
                      <w:kern w:val="0"/>
                      <w:szCs w:val="21"/>
                    </w:rPr>
                  </w:pPr>
                  <w:r>
                    <w:rPr>
                      <w:b/>
                      <w:color w:val="auto"/>
                      <w:kern w:val="0"/>
                      <w:szCs w:val="21"/>
                    </w:rPr>
                    <w:t>处置措施</w:t>
                  </w:r>
                </w:p>
              </w:tc>
              <w:tc>
                <w:tcPr>
                  <w:tcW w:w="1149" w:type="dxa"/>
                  <w:vMerge w:val="restart"/>
                  <w:tcBorders>
                    <w:tl2br w:val="nil"/>
                    <w:tr2bl w:val="nil"/>
                  </w:tcBorders>
                  <w:vAlign w:val="center"/>
                </w:tcPr>
                <w:p w14:paraId="221F4901">
                  <w:pPr>
                    <w:jc w:val="center"/>
                    <w:textAlignment w:val="center"/>
                    <w:rPr>
                      <w:b/>
                      <w:color w:val="auto"/>
                      <w:kern w:val="0"/>
                      <w:szCs w:val="21"/>
                    </w:rPr>
                  </w:pPr>
                  <w:r>
                    <w:rPr>
                      <w:b/>
                      <w:color w:val="auto"/>
                      <w:kern w:val="0"/>
                      <w:szCs w:val="21"/>
                    </w:rPr>
                    <w:t>最终去向</w:t>
                  </w:r>
                </w:p>
              </w:tc>
            </w:tr>
            <w:tr w14:paraId="62CABBC9">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dxa"/>
                  <w:vMerge w:val="continue"/>
                  <w:tcBorders>
                    <w:tl2br w:val="nil"/>
                    <w:tr2bl w:val="nil"/>
                  </w:tcBorders>
                  <w:vAlign w:val="center"/>
                </w:tcPr>
                <w:p w14:paraId="32EA7F9D">
                  <w:pPr>
                    <w:jc w:val="center"/>
                    <w:textAlignment w:val="center"/>
                    <w:rPr>
                      <w:color w:val="auto"/>
                      <w:kern w:val="0"/>
                      <w:szCs w:val="21"/>
                    </w:rPr>
                  </w:pPr>
                </w:p>
              </w:tc>
              <w:tc>
                <w:tcPr>
                  <w:tcW w:w="1976" w:type="dxa"/>
                  <w:vMerge w:val="continue"/>
                  <w:tcBorders>
                    <w:tl2br w:val="nil"/>
                    <w:tr2bl w:val="nil"/>
                  </w:tcBorders>
                  <w:vAlign w:val="center"/>
                </w:tcPr>
                <w:p w14:paraId="692E7303">
                  <w:pPr>
                    <w:jc w:val="center"/>
                    <w:textAlignment w:val="center"/>
                    <w:rPr>
                      <w:color w:val="auto"/>
                      <w:kern w:val="0"/>
                      <w:szCs w:val="21"/>
                    </w:rPr>
                  </w:pPr>
                </w:p>
              </w:tc>
              <w:tc>
                <w:tcPr>
                  <w:tcW w:w="675" w:type="dxa"/>
                  <w:vMerge w:val="continue"/>
                  <w:tcBorders>
                    <w:tl2br w:val="nil"/>
                    <w:tr2bl w:val="nil"/>
                  </w:tcBorders>
                  <w:vAlign w:val="center"/>
                </w:tcPr>
                <w:p w14:paraId="35FF3725">
                  <w:pPr>
                    <w:jc w:val="center"/>
                    <w:textAlignment w:val="center"/>
                    <w:rPr>
                      <w:color w:val="auto"/>
                      <w:kern w:val="0"/>
                      <w:szCs w:val="21"/>
                    </w:rPr>
                  </w:pPr>
                </w:p>
              </w:tc>
              <w:tc>
                <w:tcPr>
                  <w:tcW w:w="1365" w:type="dxa"/>
                  <w:vMerge w:val="continue"/>
                  <w:tcBorders>
                    <w:tl2br w:val="nil"/>
                    <w:tr2bl w:val="nil"/>
                  </w:tcBorders>
                  <w:vAlign w:val="center"/>
                </w:tcPr>
                <w:p w14:paraId="1AF3665A">
                  <w:pPr>
                    <w:jc w:val="center"/>
                    <w:textAlignment w:val="center"/>
                    <w:rPr>
                      <w:color w:val="auto"/>
                      <w:kern w:val="0"/>
                      <w:szCs w:val="21"/>
                    </w:rPr>
                  </w:pPr>
                </w:p>
              </w:tc>
              <w:tc>
                <w:tcPr>
                  <w:tcW w:w="1350" w:type="dxa"/>
                  <w:tcBorders>
                    <w:tl2br w:val="nil"/>
                    <w:tr2bl w:val="nil"/>
                  </w:tcBorders>
                  <w:vAlign w:val="center"/>
                </w:tcPr>
                <w:p w14:paraId="06AA515B">
                  <w:pPr>
                    <w:jc w:val="center"/>
                    <w:textAlignment w:val="center"/>
                    <w:rPr>
                      <w:color w:val="auto"/>
                      <w:kern w:val="0"/>
                      <w:szCs w:val="21"/>
                    </w:rPr>
                  </w:pPr>
                  <w:r>
                    <w:rPr>
                      <w:color w:val="auto"/>
                      <w:kern w:val="0"/>
                      <w:szCs w:val="21"/>
                    </w:rPr>
                    <w:t>核算方法</w:t>
                  </w:r>
                </w:p>
              </w:tc>
              <w:tc>
                <w:tcPr>
                  <w:tcW w:w="900" w:type="dxa"/>
                  <w:tcBorders>
                    <w:tl2br w:val="nil"/>
                    <w:tr2bl w:val="nil"/>
                  </w:tcBorders>
                  <w:vAlign w:val="center"/>
                </w:tcPr>
                <w:p w14:paraId="4EFFCE8C">
                  <w:pPr>
                    <w:jc w:val="center"/>
                    <w:textAlignment w:val="center"/>
                    <w:rPr>
                      <w:color w:val="auto"/>
                      <w:kern w:val="0"/>
                      <w:szCs w:val="21"/>
                    </w:rPr>
                  </w:pPr>
                  <w:r>
                    <w:rPr>
                      <w:color w:val="auto"/>
                      <w:kern w:val="0"/>
                      <w:szCs w:val="21"/>
                    </w:rPr>
                    <w:t>产生量（t/a）</w:t>
                  </w:r>
                </w:p>
              </w:tc>
              <w:tc>
                <w:tcPr>
                  <w:tcW w:w="645" w:type="dxa"/>
                  <w:tcBorders>
                    <w:tl2br w:val="nil"/>
                    <w:tr2bl w:val="nil"/>
                  </w:tcBorders>
                  <w:vAlign w:val="center"/>
                </w:tcPr>
                <w:p w14:paraId="46A3BD6E">
                  <w:pPr>
                    <w:jc w:val="center"/>
                    <w:textAlignment w:val="center"/>
                    <w:rPr>
                      <w:color w:val="auto"/>
                      <w:kern w:val="0"/>
                      <w:szCs w:val="21"/>
                    </w:rPr>
                  </w:pPr>
                  <w:r>
                    <w:rPr>
                      <w:color w:val="auto"/>
                      <w:kern w:val="0"/>
                      <w:szCs w:val="21"/>
                    </w:rPr>
                    <w:t>工艺</w:t>
                  </w:r>
                </w:p>
              </w:tc>
              <w:tc>
                <w:tcPr>
                  <w:tcW w:w="900" w:type="dxa"/>
                  <w:tcBorders>
                    <w:tl2br w:val="nil"/>
                    <w:tr2bl w:val="nil"/>
                  </w:tcBorders>
                  <w:vAlign w:val="center"/>
                </w:tcPr>
                <w:p w14:paraId="12A7065F">
                  <w:pPr>
                    <w:jc w:val="center"/>
                    <w:textAlignment w:val="center"/>
                    <w:rPr>
                      <w:color w:val="auto"/>
                      <w:kern w:val="0"/>
                      <w:szCs w:val="21"/>
                    </w:rPr>
                  </w:pPr>
                  <w:r>
                    <w:rPr>
                      <w:color w:val="auto"/>
                      <w:kern w:val="0"/>
                      <w:szCs w:val="21"/>
                    </w:rPr>
                    <w:t>处置量（t/a）</w:t>
                  </w:r>
                </w:p>
              </w:tc>
              <w:tc>
                <w:tcPr>
                  <w:tcW w:w="1149" w:type="dxa"/>
                  <w:vMerge w:val="continue"/>
                  <w:tcBorders>
                    <w:tl2br w:val="nil"/>
                    <w:tr2bl w:val="nil"/>
                  </w:tcBorders>
                  <w:vAlign w:val="center"/>
                </w:tcPr>
                <w:p w14:paraId="2CAC2316">
                  <w:pPr>
                    <w:jc w:val="center"/>
                    <w:textAlignment w:val="center"/>
                    <w:rPr>
                      <w:color w:val="auto"/>
                      <w:kern w:val="0"/>
                      <w:szCs w:val="21"/>
                    </w:rPr>
                  </w:pPr>
                </w:p>
              </w:tc>
            </w:tr>
            <w:tr w14:paraId="521A90DC">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dxa"/>
                  <w:tcBorders>
                    <w:tl2br w:val="nil"/>
                    <w:tr2bl w:val="nil"/>
                  </w:tcBorders>
                  <w:vAlign w:val="center"/>
                </w:tcPr>
                <w:p w14:paraId="16930216">
                  <w:pPr>
                    <w:jc w:val="center"/>
                    <w:textAlignment w:val="center"/>
                    <w:rPr>
                      <w:color w:val="auto"/>
                      <w:kern w:val="0"/>
                      <w:szCs w:val="21"/>
                    </w:rPr>
                  </w:pPr>
                  <w:r>
                    <w:rPr>
                      <w:color w:val="auto"/>
                      <w:kern w:val="0"/>
                      <w:szCs w:val="21"/>
                    </w:rPr>
                    <w:t>1</w:t>
                  </w:r>
                </w:p>
              </w:tc>
              <w:tc>
                <w:tcPr>
                  <w:tcW w:w="1976" w:type="dxa"/>
                  <w:tcBorders>
                    <w:tl2br w:val="nil"/>
                    <w:tr2bl w:val="nil"/>
                  </w:tcBorders>
                  <w:vAlign w:val="center"/>
                </w:tcPr>
                <w:p w14:paraId="20C3C755">
                  <w:pPr>
                    <w:jc w:val="center"/>
                    <w:textAlignment w:val="center"/>
                    <w:rPr>
                      <w:rFonts w:hint="eastAsia"/>
                      <w:color w:val="auto"/>
                      <w:kern w:val="0"/>
                      <w:szCs w:val="21"/>
                    </w:rPr>
                  </w:pPr>
                  <w:r>
                    <w:rPr>
                      <w:rFonts w:hint="eastAsia"/>
                      <w:color w:val="auto"/>
                      <w:kern w:val="0"/>
                      <w:szCs w:val="21"/>
                    </w:rPr>
                    <w:t>预脱脂槽液</w:t>
                  </w:r>
                </w:p>
              </w:tc>
              <w:tc>
                <w:tcPr>
                  <w:tcW w:w="675" w:type="dxa"/>
                  <w:vMerge w:val="restart"/>
                  <w:tcBorders>
                    <w:tl2br w:val="nil"/>
                    <w:tr2bl w:val="nil"/>
                  </w:tcBorders>
                  <w:vAlign w:val="center"/>
                </w:tcPr>
                <w:p w14:paraId="11C2CA58">
                  <w:pPr>
                    <w:jc w:val="center"/>
                    <w:rPr>
                      <w:color w:val="auto"/>
                    </w:rPr>
                  </w:pPr>
                  <w:r>
                    <w:rPr>
                      <w:rFonts w:hint="eastAsia"/>
                      <w:color w:val="auto"/>
                      <w:kern w:val="0"/>
                      <w:szCs w:val="21"/>
                      <w:lang w:val="en-US" w:eastAsia="zh-CN"/>
                    </w:rPr>
                    <w:t>危险</w:t>
                  </w:r>
                  <w:r>
                    <w:rPr>
                      <w:rFonts w:hint="eastAsia"/>
                      <w:color w:val="auto"/>
                      <w:kern w:val="0"/>
                      <w:szCs w:val="21"/>
                    </w:rPr>
                    <w:t>固废</w:t>
                  </w:r>
                </w:p>
              </w:tc>
              <w:tc>
                <w:tcPr>
                  <w:tcW w:w="1365" w:type="dxa"/>
                  <w:tcBorders>
                    <w:tl2br w:val="nil"/>
                    <w:tr2bl w:val="nil"/>
                  </w:tcBorders>
                  <w:vAlign w:val="center"/>
                </w:tcPr>
                <w:p w14:paraId="78D949DD">
                  <w:pPr>
                    <w:jc w:val="center"/>
                    <w:textAlignment w:val="center"/>
                    <w:rPr>
                      <w:color w:val="auto"/>
                      <w:kern w:val="0"/>
                      <w:szCs w:val="21"/>
                    </w:rPr>
                  </w:pPr>
                  <w:r>
                    <w:rPr>
                      <w:color w:val="auto"/>
                      <w:kern w:val="0"/>
                      <w:szCs w:val="21"/>
                    </w:rPr>
                    <w:t>336-064-17</w:t>
                  </w:r>
                </w:p>
              </w:tc>
              <w:tc>
                <w:tcPr>
                  <w:tcW w:w="1350" w:type="dxa"/>
                  <w:tcBorders>
                    <w:tl2br w:val="nil"/>
                    <w:tr2bl w:val="nil"/>
                  </w:tcBorders>
                  <w:vAlign w:val="center"/>
                </w:tcPr>
                <w:p w14:paraId="42F39075">
                  <w:pPr>
                    <w:jc w:val="center"/>
                    <w:textAlignment w:val="center"/>
                    <w:rPr>
                      <w:color w:val="auto"/>
                      <w:kern w:val="0"/>
                      <w:szCs w:val="21"/>
                    </w:rPr>
                  </w:pPr>
                  <w:r>
                    <w:rPr>
                      <w:color w:val="auto"/>
                      <w:kern w:val="0"/>
                      <w:szCs w:val="21"/>
                    </w:rPr>
                    <w:t>物料衡算法</w:t>
                  </w:r>
                </w:p>
              </w:tc>
              <w:tc>
                <w:tcPr>
                  <w:tcW w:w="900" w:type="dxa"/>
                  <w:tcBorders>
                    <w:tl2br w:val="nil"/>
                    <w:tr2bl w:val="nil"/>
                  </w:tcBorders>
                  <w:vAlign w:val="center"/>
                </w:tcPr>
                <w:p w14:paraId="14F9A502">
                  <w:pPr>
                    <w:jc w:val="center"/>
                    <w:textAlignment w:val="center"/>
                    <w:rPr>
                      <w:color w:val="auto"/>
                      <w:kern w:val="0"/>
                      <w:szCs w:val="21"/>
                    </w:rPr>
                  </w:pPr>
                  <w:r>
                    <w:rPr>
                      <w:rFonts w:hint="eastAsia"/>
                      <w:color w:val="auto"/>
                      <w:kern w:val="0"/>
                      <w:szCs w:val="21"/>
                    </w:rPr>
                    <w:t>2.6496</w:t>
                  </w:r>
                </w:p>
              </w:tc>
              <w:tc>
                <w:tcPr>
                  <w:tcW w:w="645" w:type="dxa"/>
                  <w:tcBorders>
                    <w:tl2br w:val="nil"/>
                    <w:tr2bl w:val="nil"/>
                  </w:tcBorders>
                  <w:vAlign w:val="center"/>
                </w:tcPr>
                <w:p w14:paraId="483C02A9">
                  <w:pPr>
                    <w:jc w:val="center"/>
                    <w:textAlignment w:val="center"/>
                    <w:rPr>
                      <w:color w:val="auto"/>
                      <w:kern w:val="0"/>
                      <w:szCs w:val="21"/>
                    </w:rPr>
                  </w:pPr>
                  <w:r>
                    <w:rPr>
                      <w:color w:val="auto"/>
                      <w:kern w:val="0"/>
                      <w:szCs w:val="21"/>
                    </w:rPr>
                    <w:t>委外</w:t>
                  </w:r>
                </w:p>
              </w:tc>
              <w:tc>
                <w:tcPr>
                  <w:tcW w:w="900" w:type="dxa"/>
                  <w:tcBorders>
                    <w:tl2br w:val="nil"/>
                    <w:tr2bl w:val="nil"/>
                  </w:tcBorders>
                  <w:vAlign w:val="center"/>
                </w:tcPr>
                <w:p w14:paraId="413EEB6E">
                  <w:pPr>
                    <w:jc w:val="center"/>
                    <w:textAlignment w:val="center"/>
                    <w:rPr>
                      <w:color w:val="auto"/>
                      <w:kern w:val="0"/>
                      <w:szCs w:val="21"/>
                    </w:rPr>
                  </w:pPr>
                  <w:r>
                    <w:rPr>
                      <w:rFonts w:hint="eastAsia"/>
                      <w:color w:val="auto"/>
                      <w:kern w:val="0"/>
                      <w:szCs w:val="21"/>
                    </w:rPr>
                    <w:t>2.6496</w:t>
                  </w:r>
                </w:p>
              </w:tc>
              <w:tc>
                <w:tcPr>
                  <w:tcW w:w="1149" w:type="dxa"/>
                  <w:vMerge w:val="restart"/>
                  <w:tcBorders>
                    <w:tl2br w:val="nil"/>
                    <w:tr2bl w:val="nil"/>
                  </w:tcBorders>
                  <w:vAlign w:val="center"/>
                </w:tcPr>
                <w:p w14:paraId="25DAB33A">
                  <w:pPr>
                    <w:jc w:val="center"/>
                    <w:textAlignment w:val="center"/>
                    <w:rPr>
                      <w:color w:val="auto"/>
                      <w:kern w:val="0"/>
                      <w:szCs w:val="21"/>
                    </w:rPr>
                  </w:pPr>
                  <w:r>
                    <w:rPr>
                      <w:bCs/>
                      <w:color w:val="auto"/>
                      <w:kern w:val="0"/>
                      <w:szCs w:val="21"/>
                    </w:rPr>
                    <w:t>收集后交由有危废资质单位收集处置</w:t>
                  </w:r>
                </w:p>
              </w:tc>
            </w:tr>
            <w:tr w14:paraId="4E955030">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dxa"/>
                  <w:tcBorders>
                    <w:tl2br w:val="nil"/>
                    <w:tr2bl w:val="nil"/>
                  </w:tcBorders>
                  <w:vAlign w:val="center"/>
                </w:tcPr>
                <w:p w14:paraId="60342B20">
                  <w:pPr>
                    <w:jc w:val="center"/>
                    <w:textAlignment w:val="center"/>
                    <w:rPr>
                      <w:color w:val="auto"/>
                      <w:kern w:val="0"/>
                      <w:szCs w:val="21"/>
                    </w:rPr>
                  </w:pPr>
                  <w:r>
                    <w:rPr>
                      <w:color w:val="auto"/>
                      <w:kern w:val="0"/>
                      <w:szCs w:val="21"/>
                    </w:rPr>
                    <w:t>2</w:t>
                  </w:r>
                </w:p>
              </w:tc>
              <w:tc>
                <w:tcPr>
                  <w:tcW w:w="1976" w:type="dxa"/>
                  <w:tcBorders>
                    <w:tl2br w:val="nil"/>
                    <w:tr2bl w:val="nil"/>
                  </w:tcBorders>
                  <w:vAlign w:val="center"/>
                </w:tcPr>
                <w:p w14:paraId="4C675758">
                  <w:pPr>
                    <w:jc w:val="center"/>
                    <w:textAlignment w:val="center"/>
                    <w:rPr>
                      <w:color w:val="auto"/>
                      <w:kern w:val="0"/>
                      <w:szCs w:val="21"/>
                    </w:rPr>
                  </w:pPr>
                  <w:r>
                    <w:rPr>
                      <w:rFonts w:hint="eastAsia"/>
                      <w:color w:val="auto"/>
                      <w:kern w:val="0"/>
                      <w:szCs w:val="21"/>
                    </w:rPr>
                    <w:t>阴极电泳槽液</w:t>
                  </w:r>
                </w:p>
              </w:tc>
              <w:tc>
                <w:tcPr>
                  <w:tcW w:w="675" w:type="dxa"/>
                  <w:vMerge w:val="continue"/>
                  <w:tcBorders>
                    <w:tl2br w:val="nil"/>
                    <w:tr2bl w:val="nil"/>
                  </w:tcBorders>
                  <w:vAlign w:val="center"/>
                </w:tcPr>
                <w:p w14:paraId="338EBA50">
                  <w:pPr>
                    <w:jc w:val="center"/>
                    <w:rPr>
                      <w:color w:val="auto"/>
                    </w:rPr>
                  </w:pPr>
                </w:p>
              </w:tc>
              <w:tc>
                <w:tcPr>
                  <w:tcW w:w="1365" w:type="dxa"/>
                  <w:tcBorders>
                    <w:tl2br w:val="nil"/>
                    <w:tr2bl w:val="nil"/>
                  </w:tcBorders>
                  <w:vAlign w:val="center"/>
                </w:tcPr>
                <w:p w14:paraId="058E65C2">
                  <w:pPr>
                    <w:jc w:val="center"/>
                    <w:rPr>
                      <w:color w:val="auto"/>
                      <w:kern w:val="0"/>
                      <w:szCs w:val="21"/>
                    </w:rPr>
                  </w:pPr>
                  <w:r>
                    <w:rPr>
                      <w:color w:val="auto"/>
                      <w:kern w:val="0"/>
                      <w:szCs w:val="21"/>
                    </w:rPr>
                    <w:t>336-064-17</w:t>
                  </w:r>
                </w:p>
              </w:tc>
              <w:tc>
                <w:tcPr>
                  <w:tcW w:w="1350" w:type="dxa"/>
                  <w:tcBorders>
                    <w:tl2br w:val="nil"/>
                    <w:tr2bl w:val="nil"/>
                  </w:tcBorders>
                  <w:vAlign w:val="center"/>
                </w:tcPr>
                <w:p w14:paraId="42E27D06">
                  <w:pPr>
                    <w:jc w:val="center"/>
                    <w:textAlignment w:val="center"/>
                    <w:rPr>
                      <w:color w:val="auto"/>
                      <w:kern w:val="0"/>
                      <w:szCs w:val="21"/>
                    </w:rPr>
                  </w:pPr>
                  <w:r>
                    <w:rPr>
                      <w:color w:val="auto"/>
                      <w:kern w:val="0"/>
                      <w:szCs w:val="21"/>
                    </w:rPr>
                    <w:t>物料衡算法</w:t>
                  </w:r>
                </w:p>
              </w:tc>
              <w:tc>
                <w:tcPr>
                  <w:tcW w:w="900" w:type="dxa"/>
                  <w:tcBorders>
                    <w:tl2br w:val="nil"/>
                    <w:tr2bl w:val="nil"/>
                  </w:tcBorders>
                  <w:vAlign w:val="center"/>
                </w:tcPr>
                <w:p w14:paraId="05E315D7">
                  <w:pPr>
                    <w:jc w:val="center"/>
                    <w:textAlignment w:val="center"/>
                    <w:rPr>
                      <w:color w:val="auto"/>
                      <w:kern w:val="0"/>
                      <w:szCs w:val="21"/>
                    </w:rPr>
                  </w:pPr>
                  <w:r>
                    <w:rPr>
                      <w:rFonts w:hint="eastAsia"/>
                      <w:color w:val="auto"/>
                      <w:kern w:val="0"/>
                      <w:szCs w:val="21"/>
                    </w:rPr>
                    <w:t>0.544</w:t>
                  </w:r>
                </w:p>
              </w:tc>
              <w:tc>
                <w:tcPr>
                  <w:tcW w:w="645" w:type="dxa"/>
                  <w:tcBorders>
                    <w:tl2br w:val="nil"/>
                    <w:tr2bl w:val="nil"/>
                  </w:tcBorders>
                  <w:vAlign w:val="center"/>
                </w:tcPr>
                <w:p w14:paraId="73C99798">
                  <w:pPr>
                    <w:jc w:val="center"/>
                    <w:textAlignment w:val="center"/>
                    <w:rPr>
                      <w:color w:val="auto"/>
                      <w:kern w:val="0"/>
                      <w:szCs w:val="21"/>
                    </w:rPr>
                  </w:pPr>
                  <w:r>
                    <w:rPr>
                      <w:color w:val="auto"/>
                      <w:kern w:val="0"/>
                      <w:szCs w:val="21"/>
                    </w:rPr>
                    <w:t>委外</w:t>
                  </w:r>
                </w:p>
              </w:tc>
              <w:tc>
                <w:tcPr>
                  <w:tcW w:w="900" w:type="dxa"/>
                  <w:tcBorders>
                    <w:tl2br w:val="nil"/>
                    <w:tr2bl w:val="nil"/>
                  </w:tcBorders>
                  <w:vAlign w:val="center"/>
                </w:tcPr>
                <w:p w14:paraId="17C98ECB">
                  <w:pPr>
                    <w:jc w:val="center"/>
                    <w:textAlignment w:val="center"/>
                    <w:rPr>
                      <w:rFonts w:hint="eastAsia"/>
                      <w:color w:val="auto"/>
                      <w:kern w:val="0"/>
                      <w:szCs w:val="21"/>
                    </w:rPr>
                  </w:pPr>
                  <w:r>
                    <w:rPr>
                      <w:rFonts w:hint="eastAsia"/>
                      <w:color w:val="auto"/>
                      <w:kern w:val="0"/>
                      <w:szCs w:val="21"/>
                    </w:rPr>
                    <w:t>0.544</w:t>
                  </w:r>
                </w:p>
              </w:tc>
              <w:tc>
                <w:tcPr>
                  <w:tcW w:w="1149" w:type="dxa"/>
                  <w:vMerge w:val="continue"/>
                  <w:tcBorders>
                    <w:tl2br w:val="nil"/>
                    <w:tr2bl w:val="nil"/>
                  </w:tcBorders>
                  <w:vAlign w:val="center"/>
                </w:tcPr>
                <w:p w14:paraId="2A77BCDE">
                  <w:pPr>
                    <w:jc w:val="center"/>
                    <w:textAlignment w:val="center"/>
                    <w:rPr>
                      <w:color w:val="auto"/>
                      <w:kern w:val="0"/>
                      <w:szCs w:val="21"/>
                    </w:rPr>
                  </w:pPr>
                </w:p>
              </w:tc>
            </w:tr>
            <w:tr w14:paraId="3017FFD8">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dxa"/>
                  <w:tcBorders>
                    <w:tl2br w:val="nil"/>
                    <w:tr2bl w:val="nil"/>
                  </w:tcBorders>
                  <w:vAlign w:val="center"/>
                </w:tcPr>
                <w:p w14:paraId="51321C7A">
                  <w:pPr>
                    <w:jc w:val="center"/>
                    <w:textAlignment w:val="center"/>
                    <w:rPr>
                      <w:color w:val="auto"/>
                      <w:kern w:val="0"/>
                      <w:szCs w:val="21"/>
                    </w:rPr>
                  </w:pPr>
                  <w:r>
                    <w:rPr>
                      <w:color w:val="auto"/>
                      <w:kern w:val="0"/>
                      <w:szCs w:val="21"/>
                    </w:rPr>
                    <w:t>3</w:t>
                  </w:r>
                </w:p>
              </w:tc>
              <w:tc>
                <w:tcPr>
                  <w:tcW w:w="1976" w:type="dxa"/>
                  <w:tcBorders>
                    <w:tl2br w:val="nil"/>
                    <w:tr2bl w:val="nil"/>
                  </w:tcBorders>
                  <w:vAlign w:val="center"/>
                </w:tcPr>
                <w:p w14:paraId="0A7B4266">
                  <w:pPr>
                    <w:jc w:val="center"/>
                    <w:textAlignment w:val="center"/>
                    <w:rPr>
                      <w:color w:val="auto"/>
                      <w:kern w:val="0"/>
                      <w:szCs w:val="21"/>
                    </w:rPr>
                  </w:pPr>
                  <w:r>
                    <w:rPr>
                      <w:color w:val="auto"/>
                      <w:kern w:val="0"/>
                      <w:szCs w:val="21"/>
                    </w:rPr>
                    <w:t>废化学品包装容器</w:t>
                  </w:r>
                </w:p>
              </w:tc>
              <w:tc>
                <w:tcPr>
                  <w:tcW w:w="675" w:type="dxa"/>
                  <w:vMerge w:val="continue"/>
                  <w:tcBorders>
                    <w:tl2br w:val="nil"/>
                    <w:tr2bl w:val="nil"/>
                  </w:tcBorders>
                  <w:vAlign w:val="center"/>
                </w:tcPr>
                <w:p w14:paraId="35AF00DF">
                  <w:pPr>
                    <w:jc w:val="center"/>
                    <w:rPr>
                      <w:color w:val="auto"/>
                    </w:rPr>
                  </w:pPr>
                </w:p>
              </w:tc>
              <w:tc>
                <w:tcPr>
                  <w:tcW w:w="1365" w:type="dxa"/>
                  <w:tcBorders>
                    <w:tl2br w:val="nil"/>
                    <w:tr2bl w:val="nil"/>
                  </w:tcBorders>
                  <w:vAlign w:val="center"/>
                </w:tcPr>
                <w:p w14:paraId="15C13F3C">
                  <w:pPr>
                    <w:jc w:val="center"/>
                    <w:rPr>
                      <w:color w:val="auto"/>
                      <w:kern w:val="0"/>
                      <w:szCs w:val="21"/>
                    </w:rPr>
                  </w:pPr>
                  <w:r>
                    <w:rPr>
                      <w:color w:val="auto"/>
                      <w:kern w:val="0"/>
                      <w:szCs w:val="21"/>
                    </w:rPr>
                    <w:t>900-041-49</w:t>
                  </w:r>
                </w:p>
              </w:tc>
              <w:tc>
                <w:tcPr>
                  <w:tcW w:w="1350" w:type="dxa"/>
                  <w:tcBorders>
                    <w:tl2br w:val="nil"/>
                    <w:tr2bl w:val="nil"/>
                  </w:tcBorders>
                  <w:vAlign w:val="center"/>
                </w:tcPr>
                <w:p w14:paraId="31A39A91">
                  <w:pPr>
                    <w:jc w:val="center"/>
                    <w:textAlignment w:val="center"/>
                    <w:rPr>
                      <w:color w:val="auto"/>
                      <w:kern w:val="0"/>
                      <w:szCs w:val="21"/>
                    </w:rPr>
                  </w:pPr>
                  <w:r>
                    <w:rPr>
                      <w:color w:val="auto"/>
                      <w:kern w:val="0"/>
                      <w:szCs w:val="21"/>
                    </w:rPr>
                    <w:t>物料衡算法</w:t>
                  </w:r>
                </w:p>
              </w:tc>
              <w:tc>
                <w:tcPr>
                  <w:tcW w:w="900" w:type="dxa"/>
                  <w:tcBorders>
                    <w:tl2br w:val="nil"/>
                    <w:tr2bl w:val="nil"/>
                  </w:tcBorders>
                  <w:vAlign w:val="center"/>
                </w:tcPr>
                <w:p w14:paraId="6C6D883C">
                  <w:pPr>
                    <w:jc w:val="center"/>
                    <w:textAlignment w:val="center"/>
                    <w:rPr>
                      <w:color w:val="auto"/>
                      <w:kern w:val="0"/>
                      <w:szCs w:val="21"/>
                    </w:rPr>
                  </w:pPr>
                  <w:r>
                    <w:rPr>
                      <w:rFonts w:hint="eastAsia"/>
                      <w:color w:val="auto"/>
                      <w:kern w:val="0"/>
                      <w:szCs w:val="21"/>
                    </w:rPr>
                    <w:t>0.201</w:t>
                  </w:r>
                </w:p>
              </w:tc>
              <w:tc>
                <w:tcPr>
                  <w:tcW w:w="645" w:type="dxa"/>
                  <w:tcBorders>
                    <w:tl2br w:val="nil"/>
                    <w:tr2bl w:val="nil"/>
                  </w:tcBorders>
                  <w:vAlign w:val="center"/>
                </w:tcPr>
                <w:p w14:paraId="411064A7">
                  <w:pPr>
                    <w:jc w:val="center"/>
                    <w:textAlignment w:val="center"/>
                    <w:rPr>
                      <w:color w:val="auto"/>
                      <w:kern w:val="0"/>
                      <w:szCs w:val="21"/>
                    </w:rPr>
                  </w:pPr>
                  <w:r>
                    <w:rPr>
                      <w:color w:val="auto"/>
                      <w:kern w:val="0"/>
                      <w:szCs w:val="21"/>
                    </w:rPr>
                    <w:t>委外</w:t>
                  </w:r>
                </w:p>
              </w:tc>
              <w:tc>
                <w:tcPr>
                  <w:tcW w:w="900" w:type="dxa"/>
                  <w:tcBorders>
                    <w:tl2br w:val="nil"/>
                    <w:tr2bl w:val="nil"/>
                  </w:tcBorders>
                  <w:vAlign w:val="center"/>
                </w:tcPr>
                <w:p w14:paraId="2CF22213">
                  <w:pPr>
                    <w:jc w:val="center"/>
                    <w:textAlignment w:val="center"/>
                    <w:rPr>
                      <w:rFonts w:hint="eastAsia"/>
                      <w:color w:val="auto"/>
                      <w:kern w:val="0"/>
                      <w:szCs w:val="21"/>
                    </w:rPr>
                  </w:pPr>
                  <w:r>
                    <w:rPr>
                      <w:rFonts w:hint="eastAsia"/>
                      <w:color w:val="auto"/>
                      <w:kern w:val="0"/>
                      <w:szCs w:val="21"/>
                    </w:rPr>
                    <w:t>0.201</w:t>
                  </w:r>
                </w:p>
              </w:tc>
              <w:tc>
                <w:tcPr>
                  <w:tcW w:w="1149" w:type="dxa"/>
                  <w:vMerge w:val="continue"/>
                  <w:tcBorders>
                    <w:tl2br w:val="nil"/>
                    <w:tr2bl w:val="nil"/>
                  </w:tcBorders>
                  <w:vAlign w:val="center"/>
                </w:tcPr>
                <w:p w14:paraId="601210B6">
                  <w:pPr>
                    <w:jc w:val="center"/>
                    <w:textAlignment w:val="center"/>
                    <w:rPr>
                      <w:color w:val="auto"/>
                      <w:kern w:val="0"/>
                      <w:szCs w:val="21"/>
                    </w:rPr>
                  </w:pPr>
                </w:p>
              </w:tc>
            </w:tr>
            <w:tr w14:paraId="51DA6256">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dxa"/>
                  <w:tcBorders>
                    <w:bottom w:val="single" w:color="auto" w:sz="4" w:space="0"/>
                    <w:tl2br w:val="nil"/>
                    <w:tr2bl w:val="nil"/>
                  </w:tcBorders>
                  <w:vAlign w:val="center"/>
                </w:tcPr>
                <w:p w14:paraId="4A5824F9">
                  <w:pPr>
                    <w:jc w:val="center"/>
                    <w:textAlignment w:val="center"/>
                    <w:rPr>
                      <w:rFonts w:hint="eastAsia" w:eastAsia="宋体"/>
                      <w:color w:val="auto"/>
                      <w:kern w:val="0"/>
                      <w:szCs w:val="21"/>
                      <w:lang w:eastAsia="zh-CN"/>
                    </w:rPr>
                  </w:pPr>
                  <w:r>
                    <w:rPr>
                      <w:rFonts w:hint="eastAsia"/>
                      <w:color w:val="auto"/>
                      <w:kern w:val="0"/>
                      <w:szCs w:val="21"/>
                      <w:lang w:val="en-US" w:eastAsia="zh-CN"/>
                    </w:rPr>
                    <w:t>4</w:t>
                  </w:r>
                </w:p>
              </w:tc>
              <w:tc>
                <w:tcPr>
                  <w:tcW w:w="1976" w:type="dxa"/>
                  <w:tcBorders>
                    <w:bottom w:val="single" w:color="auto" w:sz="4" w:space="0"/>
                    <w:tl2br w:val="nil"/>
                    <w:tr2bl w:val="nil"/>
                  </w:tcBorders>
                  <w:vAlign w:val="center"/>
                </w:tcPr>
                <w:p w14:paraId="328F4484">
                  <w:pPr>
                    <w:jc w:val="center"/>
                    <w:textAlignment w:val="center"/>
                    <w:rPr>
                      <w:rFonts w:hint="eastAsia"/>
                      <w:color w:val="auto"/>
                      <w:kern w:val="0"/>
                      <w:szCs w:val="21"/>
                    </w:rPr>
                  </w:pPr>
                  <w:r>
                    <w:rPr>
                      <w:color w:val="auto"/>
                      <w:kern w:val="0"/>
                      <w:szCs w:val="21"/>
                    </w:rPr>
                    <w:t>废活性炭</w:t>
                  </w:r>
                </w:p>
              </w:tc>
              <w:tc>
                <w:tcPr>
                  <w:tcW w:w="675" w:type="dxa"/>
                  <w:vMerge w:val="continue"/>
                  <w:tcBorders>
                    <w:bottom w:val="single" w:color="auto" w:sz="4" w:space="0"/>
                    <w:tl2br w:val="nil"/>
                    <w:tr2bl w:val="nil"/>
                  </w:tcBorders>
                  <w:vAlign w:val="center"/>
                </w:tcPr>
                <w:p w14:paraId="3D44508C">
                  <w:pPr>
                    <w:jc w:val="center"/>
                    <w:rPr>
                      <w:color w:val="auto"/>
                    </w:rPr>
                  </w:pPr>
                </w:p>
              </w:tc>
              <w:tc>
                <w:tcPr>
                  <w:tcW w:w="1365" w:type="dxa"/>
                  <w:tcBorders>
                    <w:bottom w:val="single" w:color="auto" w:sz="4" w:space="0"/>
                    <w:tl2br w:val="nil"/>
                    <w:tr2bl w:val="nil"/>
                  </w:tcBorders>
                  <w:vAlign w:val="center"/>
                </w:tcPr>
                <w:p w14:paraId="00D2E77A">
                  <w:pPr>
                    <w:jc w:val="center"/>
                    <w:rPr>
                      <w:rFonts w:hint="eastAsia"/>
                      <w:color w:val="auto"/>
                      <w:kern w:val="0"/>
                      <w:szCs w:val="21"/>
                    </w:rPr>
                  </w:pPr>
                  <w:r>
                    <w:rPr>
                      <w:color w:val="auto"/>
                      <w:kern w:val="0"/>
                      <w:szCs w:val="21"/>
                    </w:rPr>
                    <w:t>900-</w:t>
                  </w:r>
                  <w:r>
                    <w:rPr>
                      <w:rFonts w:hint="eastAsia"/>
                      <w:color w:val="auto"/>
                      <w:kern w:val="0"/>
                      <w:szCs w:val="21"/>
                    </w:rPr>
                    <w:t>0</w:t>
                  </w:r>
                  <w:r>
                    <w:rPr>
                      <w:rFonts w:hint="eastAsia"/>
                      <w:color w:val="auto"/>
                      <w:kern w:val="0"/>
                      <w:szCs w:val="21"/>
                      <w:lang w:val="en-US" w:eastAsia="zh-CN"/>
                    </w:rPr>
                    <w:t>39</w:t>
                  </w:r>
                  <w:r>
                    <w:rPr>
                      <w:color w:val="auto"/>
                      <w:kern w:val="0"/>
                      <w:szCs w:val="21"/>
                    </w:rPr>
                    <w:t>-</w:t>
                  </w:r>
                  <w:r>
                    <w:rPr>
                      <w:rFonts w:hint="eastAsia"/>
                      <w:color w:val="auto"/>
                      <w:kern w:val="0"/>
                      <w:szCs w:val="21"/>
                    </w:rPr>
                    <w:t>49</w:t>
                  </w:r>
                </w:p>
              </w:tc>
              <w:tc>
                <w:tcPr>
                  <w:tcW w:w="1350" w:type="dxa"/>
                  <w:tcBorders>
                    <w:bottom w:val="single" w:color="auto" w:sz="4" w:space="0"/>
                    <w:tl2br w:val="nil"/>
                    <w:tr2bl w:val="nil"/>
                  </w:tcBorders>
                  <w:vAlign w:val="center"/>
                </w:tcPr>
                <w:p w14:paraId="3606D3EA">
                  <w:pPr>
                    <w:jc w:val="center"/>
                    <w:textAlignment w:val="center"/>
                    <w:rPr>
                      <w:color w:val="auto"/>
                      <w:kern w:val="0"/>
                      <w:szCs w:val="21"/>
                    </w:rPr>
                  </w:pPr>
                  <w:r>
                    <w:rPr>
                      <w:color w:val="auto"/>
                      <w:kern w:val="0"/>
                      <w:szCs w:val="21"/>
                    </w:rPr>
                    <w:t>物料衡算法</w:t>
                  </w:r>
                </w:p>
              </w:tc>
              <w:tc>
                <w:tcPr>
                  <w:tcW w:w="900" w:type="dxa"/>
                  <w:tcBorders>
                    <w:bottom w:val="single" w:color="auto" w:sz="4" w:space="0"/>
                    <w:tl2br w:val="nil"/>
                    <w:tr2bl w:val="nil"/>
                  </w:tcBorders>
                  <w:vAlign w:val="center"/>
                </w:tcPr>
                <w:p w14:paraId="3EFC925F">
                  <w:pPr>
                    <w:jc w:val="center"/>
                    <w:textAlignment w:val="center"/>
                    <w:rPr>
                      <w:rFonts w:hint="default"/>
                      <w:color w:val="auto"/>
                      <w:kern w:val="0"/>
                      <w:szCs w:val="21"/>
                      <w:highlight w:val="none"/>
                    </w:rPr>
                  </w:pPr>
                  <w:r>
                    <w:rPr>
                      <w:rFonts w:hint="eastAsia"/>
                      <w:color w:val="auto"/>
                      <w:kern w:val="0"/>
                      <w:szCs w:val="21"/>
                      <w:highlight w:val="none"/>
                      <w:lang w:eastAsia="zh-CN"/>
                    </w:rPr>
                    <w:t>3.9424</w:t>
                  </w:r>
                </w:p>
              </w:tc>
              <w:tc>
                <w:tcPr>
                  <w:tcW w:w="645" w:type="dxa"/>
                  <w:tcBorders>
                    <w:bottom w:val="single" w:color="auto" w:sz="4" w:space="0"/>
                    <w:tl2br w:val="nil"/>
                    <w:tr2bl w:val="nil"/>
                  </w:tcBorders>
                  <w:vAlign w:val="center"/>
                </w:tcPr>
                <w:p w14:paraId="7A882E0F">
                  <w:pPr>
                    <w:jc w:val="center"/>
                    <w:textAlignment w:val="center"/>
                    <w:rPr>
                      <w:color w:val="auto"/>
                      <w:kern w:val="0"/>
                      <w:szCs w:val="21"/>
                      <w:highlight w:val="red"/>
                    </w:rPr>
                  </w:pPr>
                  <w:r>
                    <w:rPr>
                      <w:color w:val="auto"/>
                      <w:kern w:val="0"/>
                      <w:szCs w:val="21"/>
                    </w:rPr>
                    <w:t>委外</w:t>
                  </w:r>
                </w:p>
              </w:tc>
              <w:tc>
                <w:tcPr>
                  <w:tcW w:w="900" w:type="dxa"/>
                  <w:tcBorders>
                    <w:bottom w:val="single" w:color="auto" w:sz="4" w:space="0"/>
                    <w:tl2br w:val="nil"/>
                    <w:tr2bl w:val="nil"/>
                  </w:tcBorders>
                  <w:vAlign w:val="center"/>
                </w:tcPr>
                <w:p w14:paraId="555BF6B3">
                  <w:pPr>
                    <w:jc w:val="center"/>
                    <w:textAlignment w:val="center"/>
                    <w:rPr>
                      <w:rFonts w:hint="default"/>
                      <w:color w:val="auto"/>
                      <w:kern w:val="0"/>
                      <w:szCs w:val="21"/>
                      <w:highlight w:val="red"/>
                    </w:rPr>
                  </w:pPr>
                  <w:r>
                    <w:rPr>
                      <w:rFonts w:hint="eastAsia"/>
                      <w:color w:val="auto"/>
                      <w:kern w:val="0"/>
                      <w:szCs w:val="21"/>
                      <w:highlight w:val="none"/>
                      <w:lang w:eastAsia="zh-CN"/>
                    </w:rPr>
                    <w:t>3.9424</w:t>
                  </w:r>
                </w:p>
              </w:tc>
              <w:tc>
                <w:tcPr>
                  <w:tcW w:w="1149" w:type="dxa"/>
                  <w:vMerge w:val="continue"/>
                  <w:tcBorders>
                    <w:bottom w:val="single" w:color="auto" w:sz="4" w:space="0"/>
                    <w:tl2br w:val="nil"/>
                    <w:tr2bl w:val="nil"/>
                  </w:tcBorders>
                  <w:vAlign w:val="center"/>
                </w:tcPr>
                <w:p w14:paraId="4414179B">
                  <w:pPr>
                    <w:jc w:val="center"/>
                    <w:textAlignment w:val="center"/>
                    <w:rPr>
                      <w:color w:val="auto"/>
                      <w:kern w:val="0"/>
                      <w:szCs w:val="21"/>
                    </w:rPr>
                  </w:pPr>
                </w:p>
              </w:tc>
            </w:tr>
            <w:tr w14:paraId="2BF5D07A">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462" w:type="dxa"/>
                  <w:gridSpan w:val="9"/>
                  <w:tcBorders>
                    <w:top w:val="single" w:color="auto" w:sz="4" w:space="0"/>
                    <w:tl2br w:val="nil"/>
                    <w:tr2bl w:val="nil"/>
                  </w:tcBorders>
                  <w:vAlign w:val="center"/>
                </w:tcPr>
                <w:p w14:paraId="068706E6">
                  <w:pPr>
                    <w:jc w:val="both"/>
                    <w:textAlignment w:val="center"/>
                    <w:rPr>
                      <w:rFonts w:hint="default" w:eastAsia="宋体"/>
                      <w:color w:val="auto"/>
                      <w:kern w:val="0"/>
                      <w:szCs w:val="21"/>
                      <w:lang w:val="en-US" w:eastAsia="zh-CN"/>
                    </w:rPr>
                  </w:pPr>
                  <w:r>
                    <w:rPr>
                      <w:rFonts w:hint="eastAsia"/>
                      <w:b/>
                      <w:bCs/>
                      <w:color w:val="auto"/>
                      <w:kern w:val="0"/>
                      <w:szCs w:val="21"/>
                      <w:lang w:val="en-US" w:eastAsia="zh-CN"/>
                    </w:rPr>
                    <w:t>备注：</w:t>
                  </w:r>
                  <w:r>
                    <w:rPr>
                      <w:rFonts w:hint="eastAsia"/>
                      <w:color w:val="auto"/>
                      <w:kern w:val="0"/>
                      <w:szCs w:val="21"/>
                      <w:lang w:val="en-US" w:eastAsia="zh-CN"/>
                    </w:rPr>
                    <w:t>序号1-3危险废物为本改建项目新增，序号4废活性炭则依托现有项目的两级活性炭吸附装置，通过增加活性炭更换频次满足本次改建项目的需求。</w:t>
                  </w:r>
                </w:p>
              </w:tc>
            </w:tr>
          </w:tbl>
          <w:p w14:paraId="41FB4C97">
            <w:pPr>
              <w:pStyle w:val="189"/>
              <w:spacing w:line="360" w:lineRule="auto"/>
              <w:ind w:firstLine="482"/>
              <w:rPr>
                <w:b/>
                <w:bCs/>
                <w:color w:val="auto"/>
                <w:sz w:val="24"/>
              </w:rPr>
            </w:pPr>
            <w:r>
              <w:rPr>
                <w:b/>
                <w:bCs/>
                <w:color w:val="auto"/>
                <w:sz w:val="24"/>
              </w:rPr>
              <w:t>1、固体废物产生及处置情况</w:t>
            </w:r>
          </w:p>
          <w:p w14:paraId="60B62468">
            <w:pPr>
              <w:pStyle w:val="189"/>
              <w:spacing w:line="360" w:lineRule="auto"/>
              <w:ind w:firstLine="482"/>
              <w:rPr>
                <w:b/>
                <w:bCs/>
                <w:color w:val="auto"/>
                <w:sz w:val="24"/>
              </w:rPr>
            </w:pPr>
            <w:r>
              <w:rPr>
                <w:b/>
                <w:bCs/>
                <w:color w:val="auto"/>
                <w:sz w:val="24"/>
              </w:rPr>
              <w:t>（1）生活垃圾</w:t>
            </w:r>
          </w:p>
          <w:p w14:paraId="469F84AB">
            <w:pPr>
              <w:pStyle w:val="189"/>
              <w:spacing w:line="360" w:lineRule="auto"/>
              <w:ind w:firstLine="480"/>
              <w:rPr>
                <w:color w:val="auto"/>
                <w:sz w:val="24"/>
              </w:rPr>
            </w:pPr>
            <w:r>
              <w:rPr>
                <w:rFonts w:hint="eastAsia"/>
                <w:color w:val="auto"/>
                <w:sz w:val="24"/>
              </w:rPr>
              <w:t>本项目无新增员工，因此无新增生活垃圾</w:t>
            </w:r>
            <w:r>
              <w:rPr>
                <w:color w:val="auto"/>
                <w:sz w:val="24"/>
              </w:rPr>
              <w:t>。</w:t>
            </w:r>
          </w:p>
          <w:p w14:paraId="70B17A9F">
            <w:pPr>
              <w:spacing w:line="360" w:lineRule="auto"/>
              <w:ind w:firstLine="482" w:firstLineChars="200"/>
              <w:textAlignment w:val="center"/>
              <w:rPr>
                <w:b/>
                <w:color w:val="auto"/>
                <w:kern w:val="0"/>
                <w:sz w:val="24"/>
              </w:rPr>
            </w:pPr>
            <w:r>
              <w:rPr>
                <w:b/>
                <w:bCs/>
                <w:color w:val="auto"/>
                <w:sz w:val="24"/>
              </w:rPr>
              <w:t>（2）</w:t>
            </w:r>
            <w:r>
              <w:rPr>
                <w:b/>
                <w:color w:val="auto"/>
                <w:kern w:val="0"/>
                <w:sz w:val="24"/>
              </w:rPr>
              <w:t>危险废物</w:t>
            </w:r>
          </w:p>
          <w:p w14:paraId="63BA122E">
            <w:pPr>
              <w:spacing w:line="360" w:lineRule="auto"/>
              <w:ind w:firstLine="482" w:firstLineChars="200"/>
              <w:textAlignment w:val="center"/>
              <w:rPr>
                <w:rFonts w:hint="eastAsia"/>
                <w:b/>
                <w:color w:val="auto"/>
                <w:kern w:val="0"/>
                <w:sz w:val="24"/>
              </w:rPr>
            </w:pPr>
            <w:r>
              <w:rPr>
                <w:b/>
                <w:color w:val="auto"/>
                <w:kern w:val="0"/>
                <w:sz w:val="24"/>
              </w:rPr>
              <w:t>1）</w:t>
            </w:r>
            <w:r>
              <w:rPr>
                <w:rFonts w:hint="eastAsia"/>
                <w:b/>
                <w:color w:val="auto"/>
                <w:kern w:val="0"/>
                <w:sz w:val="24"/>
              </w:rPr>
              <w:t>槽液</w:t>
            </w:r>
          </w:p>
          <w:p w14:paraId="7458689E">
            <w:pPr>
              <w:spacing w:line="360" w:lineRule="auto"/>
              <w:ind w:firstLine="480" w:firstLineChars="200"/>
              <w:textAlignment w:val="center"/>
              <w:rPr>
                <w:rFonts w:hint="eastAsia"/>
                <w:b/>
                <w:color w:val="auto"/>
                <w:kern w:val="0"/>
                <w:sz w:val="24"/>
              </w:rPr>
            </w:pPr>
            <w:r>
              <w:rPr>
                <w:rFonts w:hint="eastAsia"/>
                <w:color w:val="auto"/>
                <w:kern w:val="0"/>
                <w:sz w:val="24"/>
              </w:rPr>
              <w:t>本</w:t>
            </w:r>
            <w:r>
              <w:rPr>
                <w:rFonts w:hint="eastAsia"/>
                <w:color w:val="auto"/>
                <w:kern w:val="0"/>
                <w:sz w:val="24"/>
                <w:lang w:eastAsia="zh-CN"/>
              </w:rPr>
              <w:t>改建</w:t>
            </w:r>
            <w:r>
              <w:rPr>
                <w:rFonts w:hint="eastAsia"/>
                <w:color w:val="auto"/>
                <w:kern w:val="0"/>
                <w:sz w:val="24"/>
              </w:rPr>
              <w:t>项目电泳线的预脱脂槽、阴极电泳槽需定期更换槽液</w:t>
            </w:r>
            <w:r>
              <w:rPr>
                <w:rFonts w:hint="eastAsia"/>
                <w:color w:val="auto"/>
                <w:kern w:val="0"/>
                <w:sz w:val="24"/>
                <w:lang w:eastAsia="zh-CN"/>
              </w:rPr>
              <w:t>，</w:t>
            </w:r>
            <w:r>
              <w:rPr>
                <w:rFonts w:hint="eastAsia"/>
                <w:color w:val="auto"/>
                <w:kern w:val="0"/>
                <w:sz w:val="24"/>
                <w:lang w:val="en-US" w:eastAsia="zh-CN"/>
              </w:rPr>
              <w:t>预脱脂槽主要加入酸性脱脂剂、</w:t>
            </w:r>
            <w:r>
              <w:rPr>
                <w:rFonts w:hint="eastAsia"/>
                <w:color w:val="auto"/>
                <w:kern w:val="0"/>
                <w:sz w:val="24"/>
              </w:rPr>
              <w:t>阴极电泳槽</w:t>
            </w:r>
            <w:r>
              <w:rPr>
                <w:rFonts w:hint="eastAsia"/>
                <w:color w:val="auto"/>
                <w:kern w:val="0"/>
                <w:sz w:val="24"/>
                <w:lang w:val="en-US" w:eastAsia="zh-CN"/>
              </w:rPr>
              <w:t>主要含有电泳漆及稳定剂</w:t>
            </w:r>
            <w:r>
              <w:rPr>
                <w:rFonts w:hint="eastAsia"/>
                <w:color w:val="auto"/>
                <w:kern w:val="0"/>
                <w:sz w:val="24"/>
              </w:rPr>
              <w:t>，根据本</w:t>
            </w:r>
            <w:r>
              <w:rPr>
                <w:rFonts w:hint="eastAsia"/>
                <w:color w:val="auto"/>
                <w:kern w:val="0"/>
                <w:sz w:val="24"/>
                <w:lang w:eastAsia="zh-CN"/>
              </w:rPr>
              <w:t>改建</w:t>
            </w:r>
            <w:r>
              <w:rPr>
                <w:rFonts w:hint="eastAsia"/>
                <w:color w:val="auto"/>
                <w:kern w:val="0"/>
                <w:sz w:val="24"/>
              </w:rPr>
              <w:t>项目的工程分析，预脱脂槽液产生量为2.6496t/a，阴极电泳槽液产生量为0.544t/a，</w:t>
            </w:r>
            <w:r>
              <w:rPr>
                <w:color w:val="auto"/>
                <w:kern w:val="0"/>
                <w:sz w:val="24"/>
              </w:rPr>
              <w:t>属于《国家危险废物名录》（202</w:t>
            </w:r>
            <w:r>
              <w:rPr>
                <w:rFonts w:hint="eastAsia"/>
                <w:color w:val="auto"/>
                <w:kern w:val="0"/>
                <w:sz w:val="24"/>
              </w:rPr>
              <w:t>5</w:t>
            </w:r>
            <w:r>
              <w:rPr>
                <w:color w:val="auto"/>
                <w:kern w:val="0"/>
                <w:sz w:val="24"/>
              </w:rPr>
              <w:t>版）“HW17表面处理废物”，废物代码为336-064-17，统一收集后委托具有危险废物处理资质的单位收集处置。</w:t>
            </w:r>
          </w:p>
          <w:p w14:paraId="7EB2638A">
            <w:pPr>
              <w:pStyle w:val="50"/>
              <w:adjustRightInd/>
              <w:spacing w:line="360" w:lineRule="auto"/>
              <w:ind w:firstLine="482" w:firstLineChars="200"/>
              <w:textAlignment w:val="center"/>
              <w:rPr>
                <w:rFonts w:ascii="Times New Roman" w:cs="Times New Roman"/>
                <w:b/>
                <w:color w:val="auto"/>
              </w:rPr>
            </w:pPr>
            <w:r>
              <w:rPr>
                <w:rFonts w:hint="eastAsia" w:ascii="Times New Roman" w:cs="Times New Roman"/>
                <w:b/>
                <w:color w:val="auto"/>
              </w:rPr>
              <w:t>2</w:t>
            </w:r>
            <w:r>
              <w:rPr>
                <w:rFonts w:ascii="Times New Roman" w:cs="Times New Roman"/>
                <w:b/>
                <w:color w:val="auto"/>
              </w:rPr>
              <w:t>）废化学品包装容器（沾染</w:t>
            </w:r>
            <w:r>
              <w:rPr>
                <w:rFonts w:hint="eastAsia" w:ascii="Times New Roman" w:cs="Times New Roman"/>
                <w:b/>
                <w:color w:val="auto"/>
              </w:rPr>
              <w:t>电泳漆</w:t>
            </w:r>
            <w:r>
              <w:rPr>
                <w:rFonts w:ascii="Times New Roman" w:cs="Times New Roman"/>
                <w:b/>
                <w:color w:val="auto"/>
              </w:rPr>
              <w:t>及</w:t>
            </w:r>
            <w:r>
              <w:rPr>
                <w:rFonts w:hint="eastAsia" w:ascii="Times New Roman" w:cs="Times New Roman"/>
                <w:b/>
                <w:color w:val="auto"/>
              </w:rPr>
              <w:t>稳定</w:t>
            </w:r>
            <w:r>
              <w:rPr>
                <w:rFonts w:ascii="Times New Roman" w:cs="Times New Roman"/>
                <w:b/>
                <w:color w:val="auto"/>
              </w:rPr>
              <w:t>剂）</w:t>
            </w:r>
          </w:p>
          <w:p w14:paraId="1CA1A5F0">
            <w:pPr>
              <w:spacing w:line="360" w:lineRule="auto"/>
              <w:ind w:firstLine="480" w:firstLineChars="200"/>
              <w:textAlignment w:val="center"/>
              <w:rPr>
                <w:rFonts w:hint="eastAsia"/>
                <w:color w:val="auto"/>
                <w:kern w:val="0"/>
                <w:sz w:val="24"/>
              </w:rPr>
            </w:pPr>
            <w:r>
              <w:rPr>
                <w:rFonts w:hint="eastAsia"/>
                <w:color w:val="auto"/>
                <w:kern w:val="0"/>
                <w:sz w:val="24"/>
              </w:rPr>
              <w:t>本</w:t>
            </w:r>
            <w:r>
              <w:rPr>
                <w:rFonts w:hint="eastAsia"/>
                <w:color w:val="auto"/>
                <w:kern w:val="0"/>
                <w:sz w:val="24"/>
                <w:lang w:eastAsia="zh-CN"/>
              </w:rPr>
              <w:t>改建</w:t>
            </w:r>
            <w:r>
              <w:rPr>
                <w:rFonts w:hint="eastAsia"/>
                <w:color w:val="auto"/>
                <w:kern w:val="0"/>
                <w:sz w:val="24"/>
              </w:rPr>
              <w:t>项目单桶化学品重15kg，单空桶重1.5kg，根据本</w:t>
            </w:r>
            <w:r>
              <w:rPr>
                <w:rFonts w:hint="eastAsia"/>
                <w:color w:val="auto"/>
                <w:kern w:val="0"/>
                <w:sz w:val="24"/>
                <w:lang w:eastAsia="zh-CN"/>
              </w:rPr>
              <w:t>改建</w:t>
            </w:r>
            <w:r>
              <w:rPr>
                <w:rFonts w:hint="eastAsia"/>
                <w:color w:val="auto"/>
                <w:kern w:val="0"/>
                <w:sz w:val="24"/>
              </w:rPr>
              <w:t>项目电泳漆和稳定剂的总用量为2.0t/a，则年产生空桶约134个，年产生废化学品包装容器量为0.201t/a，属于《国家危险废物名录》（2025年版）“HW49其他废物”，废物代码900-041-49，统一收集后委托具有危险废物处理资质的单位收集处置。</w:t>
            </w:r>
          </w:p>
          <w:p w14:paraId="050B91CC">
            <w:pPr>
              <w:spacing w:line="360" w:lineRule="auto"/>
              <w:ind w:firstLine="482" w:firstLineChars="200"/>
              <w:textAlignment w:val="center"/>
              <w:rPr>
                <w:b/>
                <w:color w:val="auto"/>
                <w:kern w:val="0"/>
                <w:sz w:val="24"/>
              </w:rPr>
            </w:pPr>
            <w:r>
              <w:rPr>
                <w:rFonts w:hint="eastAsia"/>
                <w:b/>
                <w:color w:val="auto"/>
                <w:kern w:val="0"/>
                <w:sz w:val="24"/>
              </w:rPr>
              <w:t>3</w:t>
            </w:r>
            <w:r>
              <w:rPr>
                <w:b/>
                <w:color w:val="auto"/>
                <w:kern w:val="0"/>
                <w:sz w:val="24"/>
              </w:rPr>
              <w:t>）废活性炭</w:t>
            </w:r>
          </w:p>
          <w:p w14:paraId="27E4FD74">
            <w:pPr>
              <w:spacing w:line="360" w:lineRule="auto"/>
              <w:ind w:firstLine="480" w:firstLineChars="200"/>
              <w:textAlignment w:val="center"/>
              <w:rPr>
                <w:color w:val="auto"/>
                <w:kern w:val="0"/>
                <w:sz w:val="24"/>
              </w:rPr>
            </w:pPr>
            <w:r>
              <w:rPr>
                <w:color w:val="auto"/>
                <w:kern w:val="0"/>
                <w:sz w:val="24"/>
              </w:rPr>
              <w:t>本</w:t>
            </w:r>
            <w:r>
              <w:rPr>
                <w:rFonts w:hint="eastAsia"/>
                <w:color w:val="auto"/>
                <w:kern w:val="0"/>
                <w:sz w:val="24"/>
                <w:lang w:eastAsia="zh-CN"/>
              </w:rPr>
              <w:t>改建</w:t>
            </w:r>
            <w:r>
              <w:rPr>
                <w:color w:val="auto"/>
                <w:kern w:val="0"/>
                <w:sz w:val="24"/>
              </w:rPr>
              <w:t>项目有机废气采用“</w:t>
            </w:r>
            <w:r>
              <w:rPr>
                <w:rFonts w:hint="eastAsia"/>
                <w:color w:val="auto"/>
                <w:kern w:val="0"/>
                <w:sz w:val="24"/>
              </w:rPr>
              <w:t>水喷淋塔+除雾器+两级</w:t>
            </w:r>
            <w:r>
              <w:rPr>
                <w:color w:val="auto"/>
                <w:kern w:val="0"/>
                <w:sz w:val="24"/>
              </w:rPr>
              <w:t>活性炭吸附装置”处理，由于水喷淋塔处理有机废气的效率较低，本项目仅考虑二级活性炭吸附装置的处理效率，本</w:t>
            </w:r>
            <w:r>
              <w:rPr>
                <w:rFonts w:hint="eastAsia"/>
                <w:color w:val="auto"/>
                <w:kern w:val="0"/>
                <w:sz w:val="24"/>
                <w:lang w:eastAsia="zh-CN"/>
              </w:rPr>
              <w:t>改建</w:t>
            </w:r>
            <w:r>
              <w:rPr>
                <w:color w:val="auto"/>
                <w:kern w:val="0"/>
                <w:sz w:val="24"/>
              </w:rPr>
              <w:t>项目有组织收集的有机废气产生量为</w:t>
            </w:r>
            <w:r>
              <w:rPr>
                <w:rFonts w:hint="eastAsia"/>
                <w:color w:val="auto"/>
                <w:kern w:val="0"/>
                <w:sz w:val="24"/>
              </w:rPr>
              <w:t>0.6080</w:t>
            </w:r>
            <w:r>
              <w:rPr>
                <w:color w:val="auto"/>
                <w:kern w:val="0"/>
                <w:sz w:val="24"/>
              </w:rPr>
              <w:t>t/a，</w:t>
            </w:r>
            <w:r>
              <w:rPr>
                <w:rFonts w:hint="eastAsia"/>
                <w:color w:val="auto"/>
                <w:kern w:val="0"/>
                <w:sz w:val="24"/>
              </w:rPr>
              <w:t>两</w:t>
            </w:r>
            <w:r>
              <w:rPr>
                <w:color w:val="auto"/>
                <w:kern w:val="0"/>
                <w:sz w:val="24"/>
              </w:rPr>
              <w:t>级活性炭吸附装置的处理效率为8</w:t>
            </w:r>
            <w:r>
              <w:rPr>
                <w:rFonts w:hint="eastAsia"/>
                <w:color w:val="auto"/>
                <w:kern w:val="0"/>
                <w:sz w:val="24"/>
              </w:rPr>
              <w:t>0</w:t>
            </w:r>
            <w:r>
              <w:rPr>
                <w:color w:val="auto"/>
                <w:kern w:val="0"/>
                <w:sz w:val="24"/>
              </w:rPr>
              <w:t>%，因此活性炭吸附装置吸附的有机废气为</w:t>
            </w:r>
            <w:r>
              <w:rPr>
                <w:rFonts w:hint="eastAsia"/>
                <w:color w:val="auto"/>
                <w:kern w:val="0"/>
                <w:sz w:val="24"/>
              </w:rPr>
              <w:t>0.6080</w:t>
            </w:r>
            <w:r>
              <w:rPr>
                <w:color w:val="auto"/>
                <w:kern w:val="0"/>
                <w:sz w:val="24"/>
              </w:rPr>
              <w:t>t/a×8</w:t>
            </w:r>
            <w:r>
              <w:rPr>
                <w:rFonts w:hint="eastAsia"/>
                <w:color w:val="auto"/>
                <w:kern w:val="0"/>
                <w:sz w:val="24"/>
              </w:rPr>
              <w:t>0</w:t>
            </w:r>
            <w:r>
              <w:rPr>
                <w:color w:val="auto"/>
                <w:kern w:val="0"/>
                <w:sz w:val="24"/>
              </w:rPr>
              <w:t>%=</w:t>
            </w:r>
            <w:r>
              <w:rPr>
                <w:rFonts w:hint="eastAsia"/>
                <w:color w:val="auto"/>
                <w:kern w:val="0"/>
                <w:sz w:val="24"/>
              </w:rPr>
              <w:t>0.4864</w:t>
            </w:r>
            <w:r>
              <w:rPr>
                <w:color w:val="auto"/>
                <w:kern w:val="0"/>
                <w:sz w:val="24"/>
              </w:rPr>
              <w:t>t/a，根据《广东省生态环境厅关于印发工业源挥发性有机物和氮氧化物减排量核算方法的通知》（粤环函〔2023〕538号）“表3.3-</w:t>
            </w:r>
            <w:r>
              <w:rPr>
                <w:rFonts w:hint="eastAsia"/>
                <w:color w:val="auto"/>
                <w:kern w:val="0"/>
                <w:sz w:val="24"/>
              </w:rPr>
              <w:t>3</w:t>
            </w:r>
            <w:r>
              <w:rPr>
                <w:color w:val="auto"/>
                <w:kern w:val="0"/>
                <w:sz w:val="24"/>
              </w:rPr>
              <w:t>废气</w:t>
            </w:r>
            <w:r>
              <w:rPr>
                <w:rFonts w:hint="eastAsia"/>
                <w:color w:val="auto"/>
                <w:kern w:val="0"/>
                <w:sz w:val="24"/>
              </w:rPr>
              <w:t>治理效率参考值</w:t>
            </w:r>
            <w:r>
              <w:rPr>
                <w:color w:val="auto"/>
                <w:kern w:val="0"/>
                <w:sz w:val="24"/>
              </w:rPr>
              <w:t>”，</w:t>
            </w:r>
            <w:r>
              <w:rPr>
                <w:rFonts w:hint="eastAsia"/>
                <w:color w:val="auto"/>
                <w:kern w:val="0"/>
                <w:sz w:val="24"/>
              </w:rPr>
              <w:t>活性炭吸附比例建议取值15%，即1吨活性炭可吸附0.15吨有机废气进行核算</w:t>
            </w:r>
            <w:r>
              <w:rPr>
                <w:color w:val="auto"/>
                <w:kern w:val="0"/>
                <w:sz w:val="24"/>
              </w:rPr>
              <w:t>，则需要的活性炭量为</w:t>
            </w:r>
            <w:r>
              <w:rPr>
                <w:rFonts w:hint="eastAsia"/>
                <w:color w:val="auto"/>
                <w:kern w:val="0"/>
                <w:sz w:val="24"/>
              </w:rPr>
              <w:t>0.4864</w:t>
            </w:r>
            <w:r>
              <w:rPr>
                <w:color w:val="auto"/>
                <w:kern w:val="0"/>
                <w:sz w:val="24"/>
              </w:rPr>
              <w:t>t/a÷0.</w:t>
            </w:r>
            <w:r>
              <w:rPr>
                <w:rFonts w:hint="eastAsia"/>
                <w:color w:val="auto"/>
                <w:kern w:val="0"/>
                <w:sz w:val="24"/>
              </w:rPr>
              <w:t>1</w:t>
            </w:r>
            <w:r>
              <w:rPr>
                <w:color w:val="auto"/>
                <w:kern w:val="0"/>
                <w:sz w:val="24"/>
              </w:rPr>
              <w:t>5=</w:t>
            </w:r>
            <w:r>
              <w:rPr>
                <w:rFonts w:hint="eastAsia"/>
                <w:color w:val="auto"/>
                <w:kern w:val="0"/>
                <w:sz w:val="24"/>
              </w:rPr>
              <w:t>3.2424</w:t>
            </w:r>
            <w:r>
              <w:rPr>
                <w:color w:val="auto"/>
                <w:kern w:val="0"/>
                <w:sz w:val="24"/>
              </w:rPr>
              <w:t>t/a，</w:t>
            </w:r>
            <w:r>
              <w:rPr>
                <w:rFonts w:hint="eastAsia"/>
                <w:color w:val="auto"/>
                <w:kern w:val="0"/>
                <w:sz w:val="24"/>
              </w:rPr>
              <w:t>根据上述废气工程分析，本</w:t>
            </w:r>
            <w:r>
              <w:rPr>
                <w:rFonts w:hint="eastAsia"/>
                <w:color w:val="auto"/>
                <w:kern w:val="0"/>
                <w:sz w:val="24"/>
                <w:lang w:eastAsia="zh-CN"/>
              </w:rPr>
              <w:t>改建</w:t>
            </w:r>
            <w:r>
              <w:rPr>
                <w:rFonts w:hint="eastAsia"/>
                <w:color w:val="auto"/>
                <w:kern w:val="0"/>
                <w:sz w:val="24"/>
              </w:rPr>
              <w:t>项目</w:t>
            </w:r>
            <w:r>
              <w:rPr>
                <w:rFonts w:hint="eastAsia"/>
                <w:color w:val="auto"/>
                <w:kern w:val="0"/>
                <w:sz w:val="24"/>
                <w:lang w:val="en-US" w:eastAsia="zh-CN"/>
              </w:rPr>
              <w:t>依托的</w:t>
            </w:r>
            <w:r>
              <w:rPr>
                <w:rFonts w:hint="eastAsia"/>
                <w:color w:val="auto"/>
                <w:kern w:val="0"/>
                <w:sz w:val="24"/>
              </w:rPr>
              <w:t>两级活性炭吸附装置每次填充量为</w:t>
            </w:r>
            <w:r>
              <w:rPr>
                <w:rFonts w:hint="eastAsia"/>
                <w:color w:val="auto"/>
                <w:kern w:val="0"/>
                <w:sz w:val="24"/>
                <w:lang w:val="en-US" w:eastAsia="zh-CN"/>
              </w:rPr>
              <w:t>2.304</w:t>
            </w:r>
            <w:r>
              <w:rPr>
                <w:rFonts w:hint="eastAsia"/>
                <w:color w:val="auto"/>
                <w:kern w:val="0"/>
                <w:sz w:val="24"/>
              </w:rPr>
              <w:t>t，</w:t>
            </w:r>
            <w:r>
              <w:rPr>
                <w:rFonts w:hint="eastAsia"/>
                <w:color w:val="auto"/>
                <w:kern w:val="0"/>
                <w:sz w:val="24"/>
                <w:lang w:val="en-US" w:eastAsia="zh-CN"/>
              </w:rPr>
              <w:t>每年更换3次</w:t>
            </w:r>
            <w:r>
              <w:rPr>
                <w:color w:val="auto"/>
                <w:kern w:val="0"/>
                <w:sz w:val="24"/>
                <w:highlight w:val="none"/>
              </w:rPr>
              <w:t>，</w:t>
            </w:r>
            <w:r>
              <w:rPr>
                <w:rFonts w:hint="eastAsia"/>
                <w:color w:val="auto"/>
                <w:kern w:val="0"/>
                <w:sz w:val="24"/>
              </w:rPr>
              <w:t>则</w:t>
            </w:r>
            <w:r>
              <w:rPr>
                <w:rFonts w:hint="eastAsia"/>
                <w:color w:val="auto"/>
                <w:kern w:val="0"/>
                <w:sz w:val="24"/>
                <w:lang w:val="en-US" w:eastAsia="zh-CN"/>
              </w:rPr>
              <w:t>本改建项目占用的</w:t>
            </w:r>
            <w:r>
              <w:rPr>
                <w:rFonts w:hint="eastAsia"/>
                <w:color w:val="auto"/>
                <w:kern w:val="0"/>
                <w:sz w:val="24"/>
              </w:rPr>
              <w:t>活性炭用量为</w:t>
            </w:r>
            <w:r>
              <w:rPr>
                <w:rFonts w:hint="eastAsia"/>
                <w:color w:val="auto"/>
                <w:kern w:val="0"/>
                <w:sz w:val="24"/>
                <w:lang w:val="en-US" w:eastAsia="zh-CN"/>
              </w:rPr>
              <w:t>2.304</w:t>
            </w:r>
            <w:r>
              <w:rPr>
                <w:rFonts w:hint="eastAsia"/>
                <w:color w:val="auto"/>
                <w:kern w:val="0"/>
                <w:sz w:val="24"/>
              </w:rPr>
              <w:t>t/次</w:t>
            </w:r>
            <w:r>
              <w:rPr>
                <w:color w:val="auto"/>
                <w:kern w:val="0"/>
                <w:sz w:val="24"/>
              </w:rPr>
              <w:t>×</w:t>
            </w:r>
            <w:r>
              <w:rPr>
                <w:rFonts w:hint="eastAsia"/>
                <w:color w:val="auto"/>
                <w:kern w:val="0"/>
                <w:sz w:val="24"/>
                <w:lang w:val="en-US" w:eastAsia="zh-CN"/>
              </w:rPr>
              <w:t>1.5</w:t>
            </w:r>
            <w:r>
              <w:rPr>
                <w:rFonts w:hint="eastAsia"/>
                <w:color w:val="auto"/>
                <w:kern w:val="0"/>
                <w:sz w:val="24"/>
              </w:rPr>
              <w:t>次</w:t>
            </w:r>
            <w:r>
              <w:rPr>
                <w:rFonts w:hint="eastAsia"/>
                <w:color w:val="auto"/>
                <w:kern w:val="0"/>
                <w:sz w:val="24"/>
                <w:lang w:val="en-US" w:eastAsia="zh-CN"/>
              </w:rPr>
              <w:t>/a</w:t>
            </w:r>
            <w:r>
              <w:rPr>
                <w:rFonts w:hint="eastAsia"/>
                <w:color w:val="auto"/>
                <w:kern w:val="0"/>
                <w:sz w:val="24"/>
              </w:rPr>
              <w:t>=</w:t>
            </w:r>
            <w:r>
              <w:rPr>
                <w:rFonts w:hint="eastAsia"/>
                <w:color w:val="auto"/>
                <w:kern w:val="0"/>
                <w:sz w:val="24"/>
                <w:lang w:val="en-US" w:eastAsia="zh-CN"/>
              </w:rPr>
              <w:t>3.456</w:t>
            </w:r>
            <w:r>
              <w:rPr>
                <w:rFonts w:hint="eastAsia"/>
                <w:color w:val="auto"/>
                <w:kern w:val="0"/>
                <w:sz w:val="24"/>
              </w:rPr>
              <w:t>t/a，满足本</w:t>
            </w:r>
            <w:r>
              <w:rPr>
                <w:rFonts w:hint="eastAsia"/>
                <w:color w:val="auto"/>
                <w:kern w:val="0"/>
                <w:sz w:val="24"/>
                <w:lang w:eastAsia="zh-CN"/>
              </w:rPr>
              <w:t>改建</w:t>
            </w:r>
            <w:r>
              <w:rPr>
                <w:rFonts w:hint="eastAsia"/>
                <w:color w:val="auto"/>
                <w:kern w:val="0"/>
                <w:sz w:val="24"/>
              </w:rPr>
              <w:t>项目所需的活性炭量。因此本</w:t>
            </w:r>
            <w:r>
              <w:rPr>
                <w:rFonts w:hint="eastAsia"/>
                <w:color w:val="auto"/>
                <w:kern w:val="0"/>
                <w:sz w:val="24"/>
                <w:lang w:eastAsia="zh-CN"/>
              </w:rPr>
              <w:t>改建</w:t>
            </w:r>
            <w:r>
              <w:rPr>
                <w:rFonts w:hint="eastAsia"/>
                <w:color w:val="auto"/>
                <w:kern w:val="0"/>
                <w:sz w:val="24"/>
              </w:rPr>
              <w:t>项目产生的废活性炭量为</w:t>
            </w:r>
            <w:r>
              <w:rPr>
                <w:rFonts w:hint="eastAsia"/>
                <w:color w:val="auto"/>
                <w:kern w:val="0"/>
                <w:sz w:val="24"/>
                <w:lang w:val="en-US" w:eastAsia="zh-CN"/>
              </w:rPr>
              <w:t>3.456</w:t>
            </w:r>
            <w:r>
              <w:rPr>
                <w:rFonts w:hint="eastAsia"/>
                <w:color w:val="auto"/>
                <w:kern w:val="0"/>
                <w:sz w:val="24"/>
              </w:rPr>
              <w:t>t/a+0.4864t/a=</w:t>
            </w:r>
            <w:r>
              <w:rPr>
                <w:rFonts w:hint="eastAsia"/>
                <w:color w:val="auto"/>
                <w:kern w:val="0"/>
                <w:sz w:val="24"/>
                <w:lang w:val="en-US" w:eastAsia="zh-CN"/>
              </w:rPr>
              <w:t>3.9424</w:t>
            </w:r>
            <w:r>
              <w:rPr>
                <w:rFonts w:hint="eastAsia"/>
                <w:color w:val="auto"/>
                <w:kern w:val="0"/>
                <w:sz w:val="24"/>
              </w:rPr>
              <w:t>t/a</w:t>
            </w:r>
            <w:r>
              <w:rPr>
                <w:color w:val="auto"/>
                <w:kern w:val="0"/>
                <w:sz w:val="24"/>
              </w:rPr>
              <w:t>，属于《国家危险废物名录》（202</w:t>
            </w:r>
            <w:r>
              <w:rPr>
                <w:rFonts w:hint="eastAsia"/>
                <w:color w:val="auto"/>
                <w:kern w:val="0"/>
                <w:sz w:val="24"/>
              </w:rPr>
              <w:t>5</w:t>
            </w:r>
            <w:r>
              <w:rPr>
                <w:color w:val="auto"/>
                <w:kern w:val="0"/>
                <w:sz w:val="24"/>
              </w:rPr>
              <w:t>年版）“HW49其他废物”，废物代码900-039-49，统一收集后委托具有危险废物处理资质的单位收集处置。</w:t>
            </w:r>
          </w:p>
          <w:p w14:paraId="16DC036A">
            <w:pPr>
              <w:spacing w:line="360" w:lineRule="auto"/>
              <w:ind w:firstLine="480" w:firstLineChars="200"/>
              <w:textAlignment w:val="center"/>
              <w:rPr>
                <w:color w:val="auto"/>
                <w:kern w:val="0"/>
                <w:sz w:val="24"/>
              </w:rPr>
            </w:pPr>
            <w:r>
              <w:rPr>
                <w:color w:val="auto"/>
                <w:kern w:val="0"/>
                <w:sz w:val="24"/>
              </w:rPr>
              <w:t>根据《建设项目危险废物环境影响评价指南》（2017年），则本项目危险废物情况详见</w:t>
            </w:r>
            <w:r>
              <w:rPr>
                <w:rFonts w:hint="eastAsia"/>
                <w:color w:val="auto"/>
                <w:kern w:val="0"/>
                <w:sz w:val="24"/>
              </w:rPr>
              <w:t>下</w:t>
            </w:r>
            <w:r>
              <w:rPr>
                <w:color w:val="auto"/>
                <w:kern w:val="0"/>
                <w:sz w:val="24"/>
              </w:rPr>
              <w:t>表。</w:t>
            </w:r>
          </w:p>
          <w:p w14:paraId="117BBCCC">
            <w:pPr>
              <w:jc w:val="center"/>
              <w:textAlignment w:val="center"/>
              <w:rPr>
                <w:b/>
                <w:color w:val="auto"/>
                <w:kern w:val="0"/>
                <w:szCs w:val="21"/>
              </w:rPr>
            </w:pPr>
            <w:r>
              <w:rPr>
                <w:b/>
                <w:color w:val="auto"/>
                <w:kern w:val="0"/>
                <w:szCs w:val="21"/>
              </w:rPr>
              <w:t>表4-</w:t>
            </w:r>
            <w:r>
              <w:rPr>
                <w:rFonts w:hint="eastAsia"/>
                <w:b/>
                <w:color w:val="auto"/>
                <w:kern w:val="0"/>
                <w:szCs w:val="21"/>
                <w:lang w:val="en-US" w:eastAsia="zh-CN"/>
              </w:rPr>
              <w:t>20</w:t>
            </w:r>
            <w:r>
              <w:rPr>
                <w:b/>
                <w:color w:val="auto"/>
                <w:kern w:val="0"/>
                <w:szCs w:val="21"/>
              </w:rPr>
              <w:t xml:space="preserve"> 项目危险固废产生情况及处置措施一览表</w:t>
            </w:r>
          </w:p>
          <w:tbl>
            <w:tblPr>
              <w:tblStyle w:val="42"/>
              <w:tblW w:w="0" w:type="auto"/>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405"/>
              <w:gridCol w:w="1260"/>
              <w:gridCol w:w="772"/>
              <w:gridCol w:w="850"/>
              <w:gridCol w:w="898"/>
              <w:gridCol w:w="943"/>
              <w:gridCol w:w="464"/>
              <w:gridCol w:w="918"/>
              <w:gridCol w:w="988"/>
              <w:gridCol w:w="495"/>
              <w:gridCol w:w="540"/>
              <w:gridCol w:w="780"/>
            </w:tblGrid>
            <w:tr w14:paraId="266C872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5" w:type="dxa"/>
                  <w:tcBorders>
                    <w:tl2br w:val="nil"/>
                    <w:tr2bl w:val="nil"/>
                  </w:tcBorders>
                  <w:vAlign w:val="center"/>
                </w:tcPr>
                <w:p w14:paraId="530695EE">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序号</w:t>
                  </w:r>
                </w:p>
              </w:tc>
              <w:tc>
                <w:tcPr>
                  <w:tcW w:w="1260" w:type="dxa"/>
                  <w:tcBorders>
                    <w:tl2br w:val="nil"/>
                    <w:tr2bl w:val="nil"/>
                  </w:tcBorders>
                  <w:vAlign w:val="center"/>
                </w:tcPr>
                <w:p w14:paraId="3EB2B1AA">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危险废物名称</w:t>
                  </w:r>
                </w:p>
              </w:tc>
              <w:tc>
                <w:tcPr>
                  <w:tcW w:w="772" w:type="dxa"/>
                  <w:tcBorders>
                    <w:tl2br w:val="nil"/>
                    <w:tr2bl w:val="nil"/>
                  </w:tcBorders>
                  <w:vAlign w:val="center"/>
                </w:tcPr>
                <w:p w14:paraId="6856974E">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危险废物类别</w:t>
                  </w:r>
                </w:p>
              </w:tc>
              <w:tc>
                <w:tcPr>
                  <w:tcW w:w="850" w:type="dxa"/>
                  <w:tcBorders>
                    <w:tl2br w:val="nil"/>
                    <w:tr2bl w:val="nil"/>
                  </w:tcBorders>
                  <w:vAlign w:val="center"/>
                </w:tcPr>
                <w:p w14:paraId="5CF76F4A">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危险废物代码</w:t>
                  </w:r>
                </w:p>
              </w:tc>
              <w:tc>
                <w:tcPr>
                  <w:tcW w:w="898" w:type="dxa"/>
                  <w:tcBorders>
                    <w:tl2br w:val="nil"/>
                    <w:tr2bl w:val="nil"/>
                  </w:tcBorders>
                  <w:vAlign w:val="center"/>
                </w:tcPr>
                <w:p w14:paraId="1B754F90">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产生量（t/a）</w:t>
                  </w:r>
                </w:p>
              </w:tc>
              <w:tc>
                <w:tcPr>
                  <w:tcW w:w="943" w:type="dxa"/>
                  <w:tcBorders>
                    <w:tl2br w:val="nil"/>
                    <w:tr2bl w:val="nil"/>
                  </w:tcBorders>
                  <w:vAlign w:val="center"/>
                </w:tcPr>
                <w:p w14:paraId="7E7A0D71">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产生工序及装置</w:t>
                  </w:r>
                </w:p>
              </w:tc>
              <w:tc>
                <w:tcPr>
                  <w:tcW w:w="464" w:type="dxa"/>
                  <w:tcBorders>
                    <w:tl2br w:val="nil"/>
                    <w:tr2bl w:val="nil"/>
                  </w:tcBorders>
                  <w:vAlign w:val="center"/>
                </w:tcPr>
                <w:p w14:paraId="2B62A8DB">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形态</w:t>
                  </w:r>
                </w:p>
              </w:tc>
              <w:tc>
                <w:tcPr>
                  <w:tcW w:w="918" w:type="dxa"/>
                  <w:tcBorders>
                    <w:tl2br w:val="nil"/>
                    <w:tr2bl w:val="nil"/>
                  </w:tcBorders>
                  <w:vAlign w:val="center"/>
                </w:tcPr>
                <w:p w14:paraId="02F49654">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主要成分</w:t>
                  </w:r>
                </w:p>
              </w:tc>
              <w:tc>
                <w:tcPr>
                  <w:tcW w:w="988" w:type="dxa"/>
                  <w:tcBorders>
                    <w:tl2br w:val="nil"/>
                    <w:tr2bl w:val="nil"/>
                  </w:tcBorders>
                  <w:vAlign w:val="center"/>
                </w:tcPr>
                <w:p w14:paraId="7C37D3E7">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有害成分</w:t>
                  </w:r>
                </w:p>
              </w:tc>
              <w:tc>
                <w:tcPr>
                  <w:tcW w:w="495" w:type="dxa"/>
                  <w:tcBorders>
                    <w:tl2br w:val="nil"/>
                    <w:tr2bl w:val="nil"/>
                  </w:tcBorders>
                  <w:vAlign w:val="center"/>
                </w:tcPr>
                <w:p w14:paraId="04C93864">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产废周期</w:t>
                  </w:r>
                </w:p>
              </w:tc>
              <w:tc>
                <w:tcPr>
                  <w:tcW w:w="540" w:type="dxa"/>
                  <w:tcBorders>
                    <w:tl2br w:val="nil"/>
                    <w:tr2bl w:val="nil"/>
                  </w:tcBorders>
                  <w:vAlign w:val="center"/>
                </w:tcPr>
                <w:p w14:paraId="3684F4EC">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危险特性</w:t>
                  </w:r>
                </w:p>
              </w:tc>
              <w:tc>
                <w:tcPr>
                  <w:tcW w:w="780" w:type="dxa"/>
                  <w:tcBorders>
                    <w:tl2br w:val="nil"/>
                    <w:tr2bl w:val="nil"/>
                  </w:tcBorders>
                  <w:vAlign w:val="center"/>
                </w:tcPr>
                <w:p w14:paraId="25B4DC1A">
                  <w:pPr>
                    <w:pStyle w:val="162"/>
                    <w:adjustRightInd/>
                    <w:ind w:left="-105" w:leftChars="-50" w:right="-105" w:rightChars="-50"/>
                    <w:textAlignment w:val="center"/>
                    <w:rPr>
                      <w:rFonts w:ascii="Times New Roman" w:hAnsi="Times New Roman" w:eastAsia="宋体"/>
                      <w:b/>
                      <w:color w:val="auto"/>
                      <w:sz w:val="21"/>
                      <w:szCs w:val="21"/>
                    </w:rPr>
                  </w:pPr>
                  <w:r>
                    <w:rPr>
                      <w:rFonts w:ascii="Times New Roman" w:hAnsi="Times New Roman" w:eastAsia="宋体"/>
                      <w:b/>
                      <w:color w:val="auto"/>
                      <w:sz w:val="21"/>
                      <w:szCs w:val="21"/>
                    </w:rPr>
                    <w:t>污染防治措施</w:t>
                  </w:r>
                </w:p>
              </w:tc>
            </w:tr>
            <w:tr w14:paraId="2EFB4EF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5" w:type="dxa"/>
                  <w:tcBorders>
                    <w:tl2br w:val="nil"/>
                    <w:tr2bl w:val="nil"/>
                  </w:tcBorders>
                  <w:vAlign w:val="center"/>
                </w:tcPr>
                <w:p w14:paraId="2C8A5F87">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1</w:t>
                  </w:r>
                </w:p>
              </w:tc>
              <w:tc>
                <w:tcPr>
                  <w:tcW w:w="1260" w:type="dxa"/>
                  <w:tcBorders>
                    <w:tl2br w:val="nil"/>
                    <w:tr2bl w:val="nil"/>
                  </w:tcBorders>
                  <w:vAlign w:val="center"/>
                </w:tcPr>
                <w:p w14:paraId="537F8EE4">
                  <w:pPr>
                    <w:jc w:val="center"/>
                    <w:textAlignment w:val="center"/>
                    <w:rPr>
                      <w:rFonts w:hint="eastAsia"/>
                      <w:color w:val="auto"/>
                      <w:kern w:val="0"/>
                      <w:szCs w:val="21"/>
                    </w:rPr>
                  </w:pPr>
                  <w:r>
                    <w:rPr>
                      <w:rFonts w:hint="eastAsia"/>
                      <w:color w:val="auto"/>
                      <w:kern w:val="0"/>
                      <w:szCs w:val="21"/>
                    </w:rPr>
                    <w:t>预脱脂槽液</w:t>
                  </w:r>
                </w:p>
              </w:tc>
              <w:tc>
                <w:tcPr>
                  <w:tcW w:w="772" w:type="dxa"/>
                  <w:tcBorders>
                    <w:tl2br w:val="nil"/>
                    <w:tr2bl w:val="nil"/>
                  </w:tcBorders>
                  <w:vAlign w:val="center"/>
                </w:tcPr>
                <w:p w14:paraId="5F999A4A">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HW17</w:t>
                  </w:r>
                </w:p>
              </w:tc>
              <w:tc>
                <w:tcPr>
                  <w:tcW w:w="850" w:type="dxa"/>
                  <w:tcBorders>
                    <w:tl2br w:val="nil"/>
                    <w:tr2bl w:val="nil"/>
                  </w:tcBorders>
                  <w:vAlign w:val="center"/>
                </w:tcPr>
                <w:p w14:paraId="22C10471">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336-064-17</w:t>
                  </w:r>
                </w:p>
              </w:tc>
              <w:tc>
                <w:tcPr>
                  <w:tcW w:w="898" w:type="dxa"/>
                  <w:tcBorders>
                    <w:tl2br w:val="nil"/>
                    <w:tr2bl w:val="nil"/>
                  </w:tcBorders>
                  <w:vAlign w:val="center"/>
                </w:tcPr>
                <w:p w14:paraId="61D42AAE">
                  <w:pPr>
                    <w:jc w:val="center"/>
                    <w:textAlignment w:val="center"/>
                    <w:rPr>
                      <w:rFonts w:hint="eastAsia"/>
                      <w:color w:val="auto"/>
                      <w:kern w:val="0"/>
                      <w:szCs w:val="21"/>
                    </w:rPr>
                  </w:pPr>
                  <w:r>
                    <w:rPr>
                      <w:rFonts w:hint="eastAsia"/>
                      <w:color w:val="auto"/>
                      <w:kern w:val="0"/>
                      <w:szCs w:val="21"/>
                    </w:rPr>
                    <w:t>2.6496</w:t>
                  </w:r>
                </w:p>
              </w:tc>
              <w:tc>
                <w:tcPr>
                  <w:tcW w:w="943" w:type="dxa"/>
                  <w:tcBorders>
                    <w:tl2br w:val="nil"/>
                    <w:tr2bl w:val="nil"/>
                  </w:tcBorders>
                  <w:vAlign w:val="center"/>
                </w:tcPr>
                <w:p w14:paraId="237647EE">
                  <w:pPr>
                    <w:pStyle w:val="162"/>
                    <w:adjustRightInd/>
                    <w:ind w:left="-105" w:leftChars="-50" w:right="-105" w:rightChars="-50"/>
                    <w:textAlignment w:val="center"/>
                    <w:rPr>
                      <w:rFonts w:ascii="Times New Roman" w:hAnsi="Times New Roman" w:eastAsia="宋体"/>
                      <w:color w:val="auto"/>
                      <w:sz w:val="21"/>
                      <w:szCs w:val="21"/>
                    </w:rPr>
                  </w:pPr>
                  <w:r>
                    <w:rPr>
                      <w:rFonts w:hint="eastAsia" w:ascii="Times New Roman" w:hAnsi="Times New Roman" w:eastAsia="宋体"/>
                      <w:color w:val="auto"/>
                      <w:sz w:val="21"/>
                      <w:szCs w:val="21"/>
                    </w:rPr>
                    <w:t>预脱脂槽</w:t>
                  </w:r>
                </w:p>
              </w:tc>
              <w:tc>
                <w:tcPr>
                  <w:tcW w:w="464" w:type="dxa"/>
                  <w:tcBorders>
                    <w:tl2br w:val="nil"/>
                    <w:tr2bl w:val="nil"/>
                  </w:tcBorders>
                  <w:vAlign w:val="center"/>
                </w:tcPr>
                <w:p w14:paraId="0BB22C76">
                  <w:pPr>
                    <w:pStyle w:val="162"/>
                    <w:adjustRightInd/>
                    <w:ind w:left="-105" w:leftChars="-50" w:right="-105" w:rightChars="-50"/>
                    <w:textAlignment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液体</w:t>
                  </w:r>
                </w:p>
              </w:tc>
              <w:tc>
                <w:tcPr>
                  <w:tcW w:w="918" w:type="dxa"/>
                  <w:tcBorders>
                    <w:tl2br w:val="nil"/>
                    <w:tr2bl w:val="nil"/>
                  </w:tcBorders>
                  <w:vAlign w:val="center"/>
                </w:tcPr>
                <w:p w14:paraId="4D606AC8">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无机酸、无机盐</w:t>
                  </w:r>
                </w:p>
              </w:tc>
              <w:tc>
                <w:tcPr>
                  <w:tcW w:w="988" w:type="dxa"/>
                  <w:tcBorders>
                    <w:tl2br w:val="nil"/>
                    <w:tr2bl w:val="nil"/>
                  </w:tcBorders>
                  <w:vAlign w:val="center"/>
                </w:tcPr>
                <w:p w14:paraId="06ED522D">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无机酸、无机盐</w:t>
                  </w:r>
                </w:p>
              </w:tc>
              <w:tc>
                <w:tcPr>
                  <w:tcW w:w="495" w:type="dxa"/>
                  <w:tcBorders>
                    <w:tl2br w:val="nil"/>
                    <w:tr2bl w:val="nil"/>
                  </w:tcBorders>
                  <w:vAlign w:val="center"/>
                </w:tcPr>
                <w:p w14:paraId="597641D1">
                  <w:pPr>
                    <w:pStyle w:val="162"/>
                    <w:adjustRightInd/>
                    <w:ind w:left="-105" w:leftChars="-50" w:right="-105" w:rightChars="-50"/>
                    <w:textAlignment w:val="center"/>
                    <w:rPr>
                      <w:rFonts w:ascii="Times New Roman" w:hAnsi="Times New Roman" w:eastAsia="宋体"/>
                      <w:color w:val="auto"/>
                      <w:sz w:val="21"/>
                      <w:szCs w:val="21"/>
                    </w:rPr>
                  </w:pPr>
                  <w:r>
                    <w:rPr>
                      <w:rFonts w:hint="eastAsia" w:ascii="Times New Roman" w:hAnsi="Times New Roman" w:eastAsia="宋体"/>
                      <w:color w:val="auto"/>
                      <w:sz w:val="21"/>
                      <w:szCs w:val="21"/>
                    </w:rPr>
                    <w:t>两个月</w:t>
                  </w:r>
                </w:p>
              </w:tc>
              <w:tc>
                <w:tcPr>
                  <w:tcW w:w="540" w:type="dxa"/>
                  <w:tcBorders>
                    <w:tl2br w:val="nil"/>
                    <w:tr2bl w:val="nil"/>
                  </w:tcBorders>
                  <w:vAlign w:val="center"/>
                </w:tcPr>
                <w:p w14:paraId="28C7D4FB">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T/C</w:t>
                  </w:r>
                </w:p>
              </w:tc>
              <w:tc>
                <w:tcPr>
                  <w:tcW w:w="780" w:type="dxa"/>
                  <w:vMerge w:val="restart"/>
                  <w:tcBorders>
                    <w:tl2br w:val="nil"/>
                    <w:tr2bl w:val="nil"/>
                  </w:tcBorders>
                  <w:vAlign w:val="center"/>
                </w:tcPr>
                <w:p w14:paraId="154263CC">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交由危险废物处理资质单位处置</w:t>
                  </w:r>
                </w:p>
              </w:tc>
            </w:tr>
            <w:tr w14:paraId="13C2A32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5" w:type="dxa"/>
                  <w:tcBorders>
                    <w:tl2br w:val="nil"/>
                    <w:tr2bl w:val="nil"/>
                  </w:tcBorders>
                  <w:vAlign w:val="center"/>
                </w:tcPr>
                <w:p w14:paraId="7A10587A">
                  <w:pPr>
                    <w:pStyle w:val="162"/>
                    <w:adjustRightInd/>
                    <w:ind w:left="-105" w:leftChars="-50" w:right="-105" w:rightChars="-50"/>
                    <w:textAlignment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2</w:t>
                  </w:r>
                </w:p>
              </w:tc>
              <w:tc>
                <w:tcPr>
                  <w:tcW w:w="1260" w:type="dxa"/>
                  <w:tcBorders>
                    <w:tl2br w:val="nil"/>
                    <w:tr2bl w:val="nil"/>
                  </w:tcBorders>
                  <w:vAlign w:val="center"/>
                </w:tcPr>
                <w:p w14:paraId="601F33DC">
                  <w:pPr>
                    <w:jc w:val="center"/>
                    <w:textAlignment w:val="center"/>
                    <w:rPr>
                      <w:rFonts w:hint="eastAsia"/>
                      <w:color w:val="auto"/>
                      <w:kern w:val="0"/>
                      <w:szCs w:val="21"/>
                    </w:rPr>
                  </w:pPr>
                  <w:r>
                    <w:rPr>
                      <w:rFonts w:hint="eastAsia"/>
                      <w:color w:val="auto"/>
                      <w:kern w:val="0"/>
                      <w:szCs w:val="21"/>
                    </w:rPr>
                    <w:t>阴极电泳槽液</w:t>
                  </w:r>
                </w:p>
              </w:tc>
              <w:tc>
                <w:tcPr>
                  <w:tcW w:w="772" w:type="dxa"/>
                  <w:tcBorders>
                    <w:tl2br w:val="nil"/>
                    <w:tr2bl w:val="nil"/>
                  </w:tcBorders>
                  <w:vAlign w:val="center"/>
                </w:tcPr>
                <w:p w14:paraId="28155C5C">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HW17</w:t>
                  </w:r>
                </w:p>
              </w:tc>
              <w:tc>
                <w:tcPr>
                  <w:tcW w:w="850" w:type="dxa"/>
                  <w:tcBorders>
                    <w:tl2br w:val="nil"/>
                    <w:tr2bl w:val="nil"/>
                  </w:tcBorders>
                  <w:vAlign w:val="center"/>
                </w:tcPr>
                <w:p w14:paraId="5684FC4E">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336-064-17</w:t>
                  </w:r>
                </w:p>
              </w:tc>
              <w:tc>
                <w:tcPr>
                  <w:tcW w:w="898" w:type="dxa"/>
                  <w:tcBorders>
                    <w:tl2br w:val="nil"/>
                    <w:tr2bl w:val="nil"/>
                  </w:tcBorders>
                  <w:vAlign w:val="center"/>
                </w:tcPr>
                <w:p w14:paraId="46D00FBB">
                  <w:pPr>
                    <w:jc w:val="center"/>
                    <w:textAlignment w:val="center"/>
                    <w:rPr>
                      <w:rFonts w:hint="eastAsia"/>
                      <w:color w:val="auto"/>
                      <w:kern w:val="0"/>
                      <w:szCs w:val="21"/>
                    </w:rPr>
                  </w:pPr>
                  <w:r>
                    <w:rPr>
                      <w:rFonts w:hint="eastAsia"/>
                      <w:color w:val="auto"/>
                      <w:kern w:val="0"/>
                      <w:szCs w:val="21"/>
                    </w:rPr>
                    <w:t>0.544</w:t>
                  </w:r>
                </w:p>
              </w:tc>
              <w:tc>
                <w:tcPr>
                  <w:tcW w:w="943" w:type="dxa"/>
                  <w:tcBorders>
                    <w:tl2br w:val="nil"/>
                    <w:tr2bl w:val="nil"/>
                  </w:tcBorders>
                  <w:vAlign w:val="center"/>
                </w:tcPr>
                <w:p w14:paraId="36F85924">
                  <w:pPr>
                    <w:pStyle w:val="162"/>
                    <w:adjustRightInd/>
                    <w:ind w:left="-105" w:leftChars="-50" w:right="-105" w:rightChars="-50"/>
                    <w:textAlignment w:val="center"/>
                    <w:rPr>
                      <w:rFonts w:ascii="Times New Roman" w:hAnsi="Times New Roman" w:eastAsia="宋体"/>
                      <w:color w:val="auto"/>
                      <w:sz w:val="21"/>
                      <w:szCs w:val="21"/>
                    </w:rPr>
                  </w:pPr>
                  <w:r>
                    <w:rPr>
                      <w:rFonts w:hint="eastAsia" w:ascii="Times New Roman" w:hAnsi="Times New Roman" w:eastAsia="宋体"/>
                      <w:color w:val="auto"/>
                      <w:sz w:val="21"/>
                      <w:szCs w:val="21"/>
                    </w:rPr>
                    <w:t>电泳槽</w:t>
                  </w:r>
                </w:p>
              </w:tc>
              <w:tc>
                <w:tcPr>
                  <w:tcW w:w="464" w:type="dxa"/>
                  <w:tcBorders>
                    <w:tl2br w:val="nil"/>
                    <w:tr2bl w:val="nil"/>
                  </w:tcBorders>
                  <w:vAlign w:val="center"/>
                </w:tcPr>
                <w:p w14:paraId="70809C9B">
                  <w:pPr>
                    <w:pStyle w:val="162"/>
                    <w:adjustRightInd/>
                    <w:ind w:left="-105" w:leftChars="-50" w:right="-105" w:rightChars="-50"/>
                    <w:textAlignment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液体</w:t>
                  </w:r>
                </w:p>
              </w:tc>
              <w:tc>
                <w:tcPr>
                  <w:tcW w:w="918" w:type="dxa"/>
                  <w:tcBorders>
                    <w:tl2br w:val="nil"/>
                    <w:tr2bl w:val="nil"/>
                  </w:tcBorders>
                  <w:vAlign w:val="center"/>
                </w:tcPr>
                <w:p w14:paraId="1104E10B">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助剂、表面活性剂</w:t>
                  </w:r>
                </w:p>
              </w:tc>
              <w:tc>
                <w:tcPr>
                  <w:tcW w:w="988" w:type="dxa"/>
                  <w:tcBorders>
                    <w:tl2br w:val="nil"/>
                    <w:tr2bl w:val="nil"/>
                  </w:tcBorders>
                  <w:vAlign w:val="center"/>
                </w:tcPr>
                <w:p w14:paraId="033A2ADB">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助剂、表面活性剂</w:t>
                  </w:r>
                </w:p>
              </w:tc>
              <w:tc>
                <w:tcPr>
                  <w:tcW w:w="495" w:type="dxa"/>
                  <w:tcBorders>
                    <w:tl2br w:val="nil"/>
                    <w:tr2bl w:val="nil"/>
                  </w:tcBorders>
                  <w:vAlign w:val="center"/>
                </w:tcPr>
                <w:p w14:paraId="698ACE73">
                  <w:pPr>
                    <w:pStyle w:val="162"/>
                    <w:adjustRightInd/>
                    <w:ind w:left="-105" w:leftChars="-50" w:right="-105" w:rightChars="-50"/>
                    <w:textAlignment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季度</w:t>
                  </w:r>
                </w:p>
              </w:tc>
              <w:tc>
                <w:tcPr>
                  <w:tcW w:w="540" w:type="dxa"/>
                  <w:tcBorders>
                    <w:tl2br w:val="nil"/>
                    <w:tr2bl w:val="nil"/>
                  </w:tcBorders>
                  <w:vAlign w:val="center"/>
                </w:tcPr>
                <w:p w14:paraId="0D1F0925">
                  <w:pPr>
                    <w:pStyle w:val="162"/>
                    <w:adjustRightInd/>
                    <w:ind w:left="-105" w:leftChars="-50" w:right="-105" w:rightChars="-50"/>
                    <w:textAlignment w:val="center"/>
                    <w:rPr>
                      <w:rFonts w:hint="eastAsia" w:ascii="Times New Roman" w:hAnsi="Times New Roman" w:eastAsia="宋体"/>
                      <w:color w:val="auto"/>
                      <w:sz w:val="21"/>
                      <w:szCs w:val="21"/>
                    </w:rPr>
                  </w:pPr>
                  <w:r>
                    <w:rPr>
                      <w:rFonts w:ascii="Times New Roman" w:hAnsi="Times New Roman" w:eastAsia="宋体"/>
                      <w:color w:val="auto"/>
                      <w:sz w:val="21"/>
                      <w:szCs w:val="21"/>
                    </w:rPr>
                    <w:t>T/</w:t>
                  </w:r>
                  <w:r>
                    <w:rPr>
                      <w:rFonts w:hint="eastAsia" w:ascii="Times New Roman" w:hAnsi="Times New Roman" w:eastAsia="宋体"/>
                      <w:color w:val="auto"/>
                      <w:sz w:val="21"/>
                      <w:szCs w:val="21"/>
                    </w:rPr>
                    <w:t>C</w:t>
                  </w:r>
                </w:p>
              </w:tc>
              <w:tc>
                <w:tcPr>
                  <w:tcW w:w="780" w:type="dxa"/>
                  <w:vMerge w:val="continue"/>
                  <w:tcBorders>
                    <w:tl2br w:val="nil"/>
                    <w:tr2bl w:val="nil"/>
                  </w:tcBorders>
                  <w:vAlign w:val="center"/>
                </w:tcPr>
                <w:p w14:paraId="7AAE821E">
                  <w:pPr>
                    <w:pStyle w:val="162"/>
                    <w:adjustRightInd/>
                    <w:ind w:left="-105" w:leftChars="-50" w:right="-105" w:rightChars="-50"/>
                    <w:textAlignment w:val="center"/>
                    <w:rPr>
                      <w:rFonts w:ascii="Times New Roman" w:hAnsi="Times New Roman" w:eastAsia="宋体"/>
                      <w:color w:val="auto"/>
                      <w:sz w:val="21"/>
                      <w:szCs w:val="21"/>
                    </w:rPr>
                  </w:pPr>
                </w:p>
              </w:tc>
            </w:tr>
            <w:tr w14:paraId="1829793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5" w:type="dxa"/>
                  <w:tcBorders>
                    <w:tl2br w:val="nil"/>
                    <w:tr2bl w:val="nil"/>
                  </w:tcBorders>
                  <w:vAlign w:val="center"/>
                </w:tcPr>
                <w:p w14:paraId="2CF9B229">
                  <w:pPr>
                    <w:pStyle w:val="162"/>
                    <w:adjustRightInd/>
                    <w:ind w:left="-105" w:leftChars="-50" w:right="-105" w:rightChars="-50"/>
                    <w:textAlignment w:val="center"/>
                    <w:rPr>
                      <w:rFonts w:hint="eastAsia" w:ascii="Times New Roman" w:hAnsi="Times New Roman" w:eastAsia="宋体"/>
                      <w:color w:val="auto"/>
                      <w:sz w:val="21"/>
                      <w:szCs w:val="21"/>
                    </w:rPr>
                  </w:pPr>
                  <w:r>
                    <w:rPr>
                      <w:rFonts w:hint="eastAsia" w:ascii="Times New Roman" w:hAnsi="Times New Roman" w:eastAsia="宋体"/>
                      <w:color w:val="auto"/>
                      <w:sz w:val="21"/>
                      <w:szCs w:val="21"/>
                    </w:rPr>
                    <w:t>3</w:t>
                  </w:r>
                </w:p>
              </w:tc>
              <w:tc>
                <w:tcPr>
                  <w:tcW w:w="1260" w:type="dxa"/>
                  <w:tcBorders>
                    <w:tl2br w:val="nil"/>
                    <w:tr2bl w:val="nil"/>
                  </w:tcBorders>
                  <w:vAlign w:val="center"/>
                </w:tcPr>
                <w:p w14:paraId="0234A212">
                  <w:pPr>
                    <w:jc w:val="center"/>
                    <w:textAlignment w:val="center"/>
                    <w:rPr>
                      <w:rFonts w:hint="eastAsia"/>
                      <w:color w:val="auto"/>
                      <w:kern w:val="0"/>
                      <w:szCs w:val="21"/>
                    </w:rPr>
                  </w:pPr>
                  <w:r>
                    <w:rPr>
                      <w:color w:val="auto"/>
                      <w:kern w:val="0"/>
                      <w:szCs w:val="21"/>
                    </w:rPr>
                    <w:t>废化学品包装容器</w:t>
                  </w:r>
                </w:p>
              </w:tc>
              <w:tc>
                <w:tcPr>
                  <w:tcW w:w="772" w:type="dxa"/>
                  <w:tcBorders>
                    <w:tl2br w:val="nil"/>
                    <w:tr2bl w:val="nil"/>
                  </w:tcBorders>
                  <w:vAlign w:val="center"/>
                </w:tcPr>
                <w:p w14:paraId="383A317B">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HW49</w:t>
                  </w:r>
                </w:p>
              </w:tc>
              <w:tc>
                <w:tcPr>
                  <w:tcW w:w="850" w:type="dxa"/>
                  <w:tcBorders>
                    <w:tl2br w:val="nil"/>
                    <w:tr2bl w:val="nil"/>
                  </w:tcBorders>
                  <w:vAlign w:val="center"/>
                </w:tcPr>
                <w:p w14:paraId="2B890438">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900-041-49</w:t>
                  </w:r>
                </w:p>
              </w:tc>
              <w:tc>
                <w:tcPr>
                  <w:tcW w:w="898" w:type="dxa"/>
                  <w:tcBorders>
                    <w:tl2br w:val="nil"/>
                    <w:tr2bl w:val="nil"/>
                  </w:tcBorders>
                  <w:vAlign w:val="center"/>
                </w:tcPr>
                <w:p w14:paraId="42739C3B">
                  <w:pPr>
                    <w:jc w:val="center"/>
                    <w:textAlignment w:val="center"/>
                    <w:rPr>
                      <w:color w:val="auto"/>
                      <w:kern w:val="0"/>
                      <w:szCs w:val="21"/>
                    </w:rPr>
                  </w:pPr>
                  <w:r>
                    <w:rPr>
                      <w:rFonts w:hint="eastAsia"/>
                      <w:color w:val="auto"/>
                      <w:kern w:val="0"/>
                      <w:szCs w:val="21"/>
                    </w:rPr>
                    <w:t>0.201</w:t>
                  </w:r>
                </w:p>
              </w:tc>
              <w:tc>
                <w:tcPr>
                  <w:tcW w:w="943" w:type="dxa"/>
                  <w:tcBorders>
                    <w:tl2br w:val="nil"/>
                    <w:tr2bl w:val="nil"/>
                  </w:tcBorders>
                  <w:vAlign w:val="center"/>
                </w:tcPr>
                <w:p w14:paraId="683D4CA3">
                  <w:pPr>
                    <w:pStyle w:val="162"/>
                    <w:adjustRightInd/>
                    <w:ind w:left="-105" w:leftChars="-50" w:right="-105" w:rightChars="-50"/>
                    <w:textAlignment w:val="center"/>
                    <w:rPr>
                      <w:rFonts w:ascii="Times New Roman" w:hAnsi="Times New Roman" w:eastAsia="宋体"/>
                      <w:color w:val="auto"/>
                      <w:sz w:val="21"/>
                      <w:szCs w:val="21"/>
                    </w:rPr>
                  </w:pPr>
                  <w:r>
                    <w:rPr>
                      <w:rFonts w:hint="eastAsia" w:ascii="Times New Roman" w:hAnsi="Times New Roman" w:eastAsia="宋体"/>
                      <w:color w:val="auto"/>
                      <w:sz w:val="21"/>
                      <w:szCs w:val="21"/>
                    </w:rPr>
                    <w:t>化学品包装</w:t>
                  </w:r>
                </w:p>
              </w:tc>
              <w:tc>
                <w:tcPr>
                  <w:tcW w:w="464" w:type="dxa"/>
                  <w:tcBorders>
                    <w:tl2br w:val="nil"/>
                    <w:tr2bl w:val="nil"/>
                  </w:tcBorders>
                  <w:vAlign w:val="center"/>
                </w:tcPr>
                <w:p w14:paraId="12B1F4D1">
                  <w:pPr>
                    <w:pStyle w:val="162"/>
                    <w:adjustRightInd/>
                    <w:ind w:left="-105" w:leftChars="-50" w:right="-105" w:rightChars="-50"/>
                    <w:textAlignment w:val="center"/>
                    <w:rPr>
                      <w:rFonts w:ascii="Times New Roman" w:hAnsi="Times New Roman" w:eastAsia="宋体"/>
                      <w:bCs/>
                      <w:color w:val="auto"/>
                      <w:sz w:val="21"/>
                      <w:szCs w:val="21"/>
                    </w:rPr>
                  </w:pPr>
                  <w:r>
                    <w:rPr>
                      <w:rFonts w:hint="eastAsia" w:ascii="Times New Roman" w:hAnsi="Times New Roman" w:eastAsia="宋体"/>
                      <w:bCs/>
                      <w:color w:val="auto"/>
                      <w:sz w:val="21"/>
                      <w:szCs w:val="21"/>
                    </w:rPr>
                    <w:t>固</w:t>
                  </w:r>
                  <w:r>
                    <w:rPr>
                      <w:rFonts w:ascii="Times New Roman" w:hAnsi="Times New Roman" w:eastAsia="宋体"/>
                      <w:bCs/>
                      <w:color w:val="auto"/>
                      <w:sz w:val="21"/>
                      <w:szCs w:val="21"/>
                    </w:rPr>
                    <w:t>体</w:t>
                  </w:r>
                </w:p>
              </w:tc>
              <w:tc>
                <w:tcPr>
                  <w:tcW w:w="918" w:type="dxa"/>
                  <w:tcBorders>
                    <w:tl2br w:val="nil"/>
                    <w:tr2bl w:val="nil"/>
                  </w:tcBorders>
                  <w:vAlign w:val="center"/>
                </w:tcPr>
                <w:p w14:paraId="5009A31B">
                  <w:pPr>
                    <w:pStyle w:val="162"/>
                    <w:adjustRightInd/>
                    <w:ind w:left="-105" w:leftChars="-50" w:right="-105" w:rightChars="-50"/>
                    <w:textAlignment w:val="center"/>
                    <w:rPr>
                      <w:rFonts w:ascii="Times New Roman" w:hAnsi="Times New Roman" w:eastAsia="宋体"/>
                      <w:color w:val="auto"/>
                      <w:sz w:val="21"/>
                      <w:szCs w:val="21"/>
                    </w:rPr>
                  </w:pPr>
                  <w:r>
                    <w:rPr>
                      <w:rFonts w:hint="eastAsia" w:ascii="Times New Roman" w:hAnsi="Times New Roman" w:eastAsia="宋体"/>
                      <w:color w:val="auto"/>
                      <w:sz w:val="21"/>
                      <w:szCs w:val="21"/>
                    </w:rPr>
                    <w:t>漆、稀释剂</w:t>
                  </w:r>
                </w:p>
              </w:tc>
              <w:tc>
                <w:tcPr>
                  <w:tcW w:w="988" w:type="dxa"/>
                  <w:tcBorders>
                    <w:tl2br w:val="nil"/>
                    <w:tr2bl w:val="nil"/>
                  </w:tcBorders>
                  <w:vAlign w:val="center"/>
                </w:tcPr>
                <w:p w14:paraId="1CC330F5">
                  <w:pPr>
                    <w:pStyle w:val="162"/>
                    <w:adjustRightInd/>
                    <w:ind w:left="-105" w:leftChars="-50" w:right="-105" w:rightChars="-50"/>
                    <w:textAlignment w:val="center"/>
                    <w:rPr>
                      <w:rFonts w:ascii="Times New Roman" w:hAnsi="Times New Roman" w:eastAsia="宋体"/>
                      <w:color w:val="auto"/>
                      <w:sz w:val="21"/>
                      <w:szCs w:val="21"/>
                    </w:rPr>
                  </w:pPr>
                  <w:r>
                    <w:rPr>
                      <w:rFonts w:hint="eastAsia" w:ascii="Times New Roman" w:hAnsi="Times New Roman" w:eastAsia="宋体"/>
                      <w:color w:val="auto"/>
                      <w:sz w:val="21"/>
                      <w:szCs w:val="21"/>
                    </w:rPr>
                    <w:t>漆、稀释剂</w:t>
                  </w:r>
                </w:p>
              </w:tc>
              <w:tc>
                <w:tcPr>
                  <w:tcW w:w="495" w:type="dxa"/>
                  <w:tcBorders>
                    <w:tl2br w:val="nil"/>
                    <w:tr2bl w:val="nil"/>
                  </w:tcBorders>
                  <w:vAlign w:val="center"/>
                </w:tcPr>
                <w:p w14:paraId="0739DAEF">
                  <w:pPr>
                    <w:topLinePunct/>
                    <w:jc w:val="center"/>
                    <w:textAlignment w:val="center"/>
                    <w:rPr>
                      <w:bCs/>
                      <w:color w:val="auto"/>
                      <w:kern w:val="0"/>
                      <w:szCs w:val="21"/>
                    </w:rPr>
                  </w:pPr>
                  <w:r>
                    <w:rPr>
                      <w:rFonts w:hint="eastAsia"/>
                      <w:bCs/>
                      <w:color w:val="auto"/>
                      <w:kern w:val="0"/>
                      <w:szCs w:val="21"/>
                    </w:rPr>
                    <w:t>每天</w:t>
                  </w:r>
                </w:p>
              </w:tc>
              <w:tc>
                <w:tcPr>
                  <w:tcW w:w="540" w:type="dxa"/>
                  <w:tcBorders>
                    <w:tl2br w:val="nil"/>
                    <w:tr2bl w:val="nil"/>
                  </w:tcBorders>
                  <w:vAlign w:val="center"/>
                </w:tcPr>
                <w:p w14:paraId="5190B194">
                  <w:pPr>
                    <w:pStyle w:val="162"/>
                    <w:adjustRightInd/>
                    <w:ind w:left="-105" w:leftChars="-50" w:right="-105" w:rightChars="-50"/>
                    <w:textAlignment w:val="center"/>
                    <w:rPr>
                      <w:rFonts w:ascii="Times New Roman" w:hAnsi="Times New Roman" w:eastAsia="宋体"/>
                      <w:bCs/>
                      <w:color w:val="auto"/>
                      <w:sz w:val="21"/>
                      <w:szCs w:val="21"/>
                    </w:rPr>
                  </w:pPr>
                  <w:r>
                    <w:rPr>
                      <w:rFonts w:ascii="Times New Roman" w:hAnsi="Times New Roman" w:eastAsia="宋体"/>
                      <w:bCs/>
                      <w:color w:val="auto"/>
                      <w:sz w:val="21"/>
                      <w:szCs w:val="21"/>
                    </w:rPr>
                    <w:t>T,I</w:t>
                  </w:r>
                </w:p>
              </w:tc>
              <w:tc>
                <w:tcPr>
                  <w:tcW w:w="780" w:type="dxa"/>
                  <w:vMerge w:val="continue"/>
                  <w:tcBorders>
                    <w:tl2br w:val="nil"/>
                    <w:tr2bl w:val="nil"/>
                  </w:tcBorders>
                  <w:vAlign w:val="center"/>
                </w:tcPr>
                <w:p w14:paraId="36F961CB">
                  <w:pPr>
                    <w:pStyle w:val="162"/>
                    <w:adjustRightInd/>
                    <w:ind w:left="-105" w:leftChars="-50" w:right="-105" w:rightChars="-50"/>
                    <w:textAlignment w:val="center"/>
                    <w:rPr>
                      <w:rFonts w:ascii="Times New Roman" w:hAnsi="Times New Roman" w:eastAsia="宋体"/>
                      <w:color w:val="auto"/>
                      <w:sz w:val="21"/>
                      <w:szCs w:val="21"/>
                    </w:rPr>
                  </w:pPr>
                </w:p>
              </w:tc>
            </w:tr>
            <w:tr w14:paraId="5CC8C92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5" w:type="dxa"/>
                  <w:tcBorders>
                    <w:tl2br w:val="nil"/>
                    <w:tr2bl w:val="nil"/>
                  </w:tcBorders>
                  <w:vAlign w:val="center"/>
                </w:tcPr>
                <w:p w14:paraId="158FFC37">
                  <w:pPr>
                    <w:pStyle w:val="162"/>
                    <w:adjustRightInd/>
                    <w:ind w:left="-105" w:leftChars="-50" w:right="-105" w:rightChars="-50"/>
                    <w:textAlignment w:val="center"/>
                    <w:rPr>
                      <w:rFonts w:hint="eastAsia" w:ascii="Times New Roman" w:hAnsi="Times New Roman" w:eastAsia="宋体"/>
                      <w:color w:val="auto"/>
                      <w:sz w:val="21"/>
                      <w:szCs w:val="21"/>
                      <w:lang w:eastAsia="zh-CN"/>
                    </w:rPr>
                  </w:pPr>
                  <w:r>
                    <w:rPr>
                      <w:rFonts w:hint="eastAsia" w:ascii="Times New Roman" w:hAnsi="Times New Roman" w:eastAsia="宋体"/>
                      <w:color w:val="auto"/>
                      <w:sz w:val="21"/>
                      <w:szCs w:val="21"/>
                      <w:lang w:val="en-US" w:eastAsia="zh-CN"/>
                    </w:rPr>
                    <w:t>4</w:t>
                  </w:r>
                </w:p>
              </w:tc>
              <w:tc>
                <w:tcPr>
                  <w:tcW w:w="1260" w:type="dxa"/>
                  <w:tcBorders>
                    <w:tl2br w:val="nil"/>
                    <w:tr2bl w:val="nil"/>
                  </w:tcBorders>
                  <w:vAlign w:val="center"/>
                </w:tcPr>
                <w:p w14:paraId="4FCB827A">
                  <w:pPr>
                    <w:jc w:val="center"/>
                    <w:textAlignment w:val="center"/>
                    <w:rPr>
                      <w:rFonts w:hint="eastAsia"/>
                      <w:color w:val="auto"/>
                      <w:kern w:val="0"/>
                      <w:szCs w:val="21"/>
                    </w:rPr>
                  </w:pPr>
                  <w:r>
                    <w:rPr>
                      <w:color w:val="auto"/>
                      <w:kern w:val="0"/>
                      <w:szCs w:val="21"/>
                    </w:rPr>
                    <w:t>废活性炭</w:t>
                  </w:r>
                </w:p>
              </w:tc>
              <w:tc>
                <w:tcPr>
                  <w:tcW w:w="772" w:type="dxa"/>
                  <w:tcBorders>
                    <w:tl2br w:val="nil"/>
                    <w:tr2bl w:val="nil"/>
                  </w:tcBorders>
                  <w:vAlign w:val="center"/>
                </w:tcPr>
                <w:p w14:paraId="4D595A83">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HW49</w:t>
                  </w:r>
                </w:p>
              </w:tc>
              <w:tc>
                <w:tcPr>
                  <w:tcW w:w="850" w:type="dxa"/>
                  <w:tcBorders>
                    <w:tl2br w:val="nil"/>
                    <w:tr2bl w:val="nil"/>
                  </w:tcBorders>
                  <w:vAlign w:val="center"/>
                </w:tcPr>
                <w:p w14:paraId="77F22569">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900-039-49</w:t>
                  </w:r>
                </w:p>
              </w:tc>
              <w:tc>
                <w:tcPr>
                  <w:tcW w:w="898" w:type="dxa"/>
                  <w:tcBorders>
                    <w:tl2br w:val="nil"/>
                    <w:tr2bl w:val="nil"/>
                  </w:tcBorders>
                  <w:vAlign w:val="center"/>
                </w:tcPr>
                <w:p w14:paraId="1F921479">
                  <w:pPr>
                    <w:jc w:val="center"/>
                    <w:textAlignment w:val="center"/>
                    <w:rPr>
                      <w:rFonts w:hint="default" w:eastAsia="宋体"/>
                      <w:color w:val="auto"/>
                      <w:kern w:val="0"/>
                      <w:szCs w:val="21"/>
                      <w:lang w:val="en-US" w:eastAsia="zh-CN"/>
                    </w:rPr>
                  </w:pPr>
                  <w:r>
                    <w:rPr>
                      <w:rFonts w:hint="eastAsia"/>
                      <w:color w:val="auto"/>
                      <w:kern w:val="0"/>
                      <w:szCs w:val="21"/>
                      <w:lang w:val="en-US" w:eastAsia="zh-CN"/>
                    </w:rPr>
                    <w:t>3.9424</w:t>
                  </w:r>
                </w:p>
              </w:tc>
              <w:tc>
                <w:tcPr>
                  <w:tcW w:w="943" w:type="dxa"/>
                  <w:tcBorders>
                    <w:tl2br w:val="nil"/>
                    <w:tr2bl w:val="nil"/>
                  </w:tcBorders>
                  <w:vAlign w:val="center"/>
                </w:tcPr>
                <w:p w14:paraId="42282C04">
                  <w:pPr>
                    <w:pStyle w:val="162"/>
                    <w:adjustRightInd/>
                    <w:ind w:left="-105" w:leftChars="-50" w:right="-105" w:rightChars="-50"/>
                    <w:textAlignment w:val="center"/>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废气处理</w:t>
                  </w:r>
                </w:p>
              </w:tc>
              <w:tc>
                <w:tcPr>
                  <w:tcW w:w="464" w:type="dxa"/>
                  <w:tcBorders>
                    <w:tl2br w:val="nil"/>
                    <w:tr2bl w:val="nil"/>
                  </w:tcBorders>
                  <w:vAlign w:val="center"/>
                </w:tcPr>
                <w:p w14:paraId="1A2D68ED">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固体</w:t>
                  </w:r>
                </w:p>
              </w:tc>
              <w:tc>
                <w:tcPr>
                  <w:tcW w:w="918" w:type="dxa"/>
                  <w:tcBorders>
                    <w:tl2br w:val="nil"/>
                    <w:tr2bl w:val="nil"/>
                  </w:tcBorders>
                  <w:vAlign w:val="center"/>
                </w:tcPr>
                <w:p w14:paraId="5B1F0CE9">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活性炭、VOCs</w:t>
                  </w:r>
                </w:p>
              </w:tc>
              <w:tc>
                <w:tcPr>
                  <w:tcW w:w="988" w:type="dxa"/>
                  <w:tcBorders>
                    <w:tl2br w:val="nil"/>
                    <w:tr2bl w:val="nil"/>
                  </w:tcBorders>
                  <w:vAlign w:val="center"/>
                </w:tcPr>
                <w:p w14:paraId="513F250E">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VOCs</w:t>
                  </w:r>
                </w:p>
              </w:tc>
              <w:tc>
                <w:tcPr>
                  <w:tcW w:w="495" w:type="dxa"/>
                  <w:tcBorders>
                    <w:tl2br w:val="nil"/>
                    <w:tr2bl w:val="nil"/>
                  </w:tcBorders>
                  <w:vAlign w:val="center"/>
                </w:tcPr>
                <w:p w14:paraId="7E7D5ED4">
                  <w:pPr>
                    <w:pStyle w:val="162"/>
                    <w:adjustRightInd/>
                    <w:ind w:left="-105" w:leftChars="-50" w:right="-105" w:rightChars="-50"/>
                    <w:textAlignment w:val="center"/>
                    <w:rPr>
                      <w:rFonts w:ascii="Times New Roman" w:hAnsi="Times New Roman" w:eastAsia="宋体"/>
                      <w:color w:val="auto"/>
                      <w:sz w:val="21"/>
                      <w:szCs w:val="21"/>
                    </w:rPr>
                  </w:pPr>
                  <w:r>
                    <w:rPr>
                      <w:rFonts w:hint="eastAsia" w:ascii="Times New Roman" w:hAnsi="Times New Roman" w:eastAsia="宋体"/>
                      <w:color w:val="auto"/>
                      <w:sz w:val="21"/>
                      <w:szCs w:val="21"/>
                    </w:rPr>
                    <w:t>两个月</w:t>
                  </w:r>
                </w:p>
              </w:tc>
              <w:tc>
                <w:tcPr>
                  <w:tcW w:w="540" w:type="dxa"/>
                  <w:tcBorders>
                    <w:tl2br w:val="nil"/>
                    <w:tr2bl w:val="nil"/>
                  </w:tcBorders>
                  <w:vAlign w:val="center"/>
                </w:tcPr>
                <w:p w14:paraId="2AABD591">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T</w:t>
                  </w:r>
                </w:p>
              </w:tc>
              <w:tc>
                <w:tcPr>
                  <w:tcW w:w="780" w:type="dxa"/>
                  <w:vMerge w:val="continue"/>
                  <w:tcBorders>
                    <w:tl2br w:val="nil"/>
                    <w:tr2bl w:val="nil"/>
                  </w:tcBorders>
                  <w:vAlign w:val="center"/>
                </w:tcPr>
                <w:p w14:paraId="1D2CDA8B">
                  <w:pPr>
                    <w:pStyle w:val="162"/>
                    <w:adjustRightInd/>
                    <w:ind w:left="-105" w:leftChars="-50" w:right="-105" w:rightChars="-50"/>
                    <w:textAlignment w:val="center"/>
                    <w:rPr>
                      <w:rFonts w:ascii="Times New Roman" w:hAnsi="Times New Roman" w:eastAsia="宋体"/>
                      <w:color w:val="auto"/>
                      <w:sz w:val="21"/>
                      <w:szCs w:val="21"/>
                    </w:rPr>
                  </w:pPr>
                </w:p>
              </w:tc>
            </w:tr>
          </w:tbl>
          <w:p w14:paraId="1DDADCE1">
            <w:pPr>
              <w:pStyle w:val="189"/>
              <w:spacing w:line="360" w:lineRule="auto"/>
              <w:ind w:firstLine="482"/>
              <w:rPr>
                <w:b/>
                <w:bCs/>
                <w:color w:val="auto"/>
                <w:sz w:val="24"/>
              </w:rPr>
            </w:pPr>
            <w:r>
              <w:rPr>
                <w:b/>
                <w:bCs/>
                <w:color w:val="auto"/>
                <w:sz w:val="24"/>
              </w:rPr>
              <w:t>2、固体废物环境管理要求</w:t>
            </w:r>
          </w:p>
          <w:p w14:paraId="70585E2E">
            <w:pPr>
              <w:pStyle w:val="189"/>
              <w:spacing w:line="360" w:lineRule="auto"/>
              <w:ind w:firstLine="482"/>
              <w:rPr>
                <w:b/>
                <w:bCs/>
                <w:color w:val="auto"/>
                <w:sz w:val="24"/>
              </w:rPr>
            </w:pPr>
            <w:r>
              <w:rPr>
                <w:b/>
                <w:bCs/>
                <w:color w:val="auto"/>
                <w:sz w:val="24"/>
              </w:rPr>
              <w:t>（1）危险废物的环境管理要求</w:t>
            </w:r>
          </w:p>
          <w:p w14:paraId="0921FEA1">
            <w:pPr>
              <w:pStyle w:val="189"/>
              <w:spacing w:line="360" w:lineRule="auto"/>
              <w:ind w:firstLine="482"/>
              <w:rPr>
                <w:b/>
                <w:bCs/>
                <w:color w:val="auto"/>
                <w:sz w:val="24"/>
              </w:rPr>
            </w:pPr>
            <w:r>
              <w:rPr>
                <w:b/>
                <w:bCs/>
                <w:color w:val="auto"/>
                <w:sz w:val="24"/>
              </w:rPr>
              <w:t>①产生和收集</w:t>
            </w:r>
          </w:p>
          <w:p w14:paraId="783219F6">
            <w:pPr>
              <w:pStyle w:val="189"/>
              <w:spacing w:line="360" w:lineRule="auto"/>
              <w:ind w:firstLine="480"/>
              <w:rPr>
                <w:color w:val="auto"/>
                <w:sz w:val="24"/>
              </w:rPr>
            </w:pPr>
            <w:r>
              <w:rPr>
                <w:color w:val="auto"/>
                <w:sz w:val="24"/>
              </w:rPr>
              <w:t>本项目产生的危险废物如果收集不当，随意丢弃，其中的有害成分容易因为跑冒滴漏、借助下水道或者混入其他生活垃圾而进入外部环境，造成污染影响。因此，需要落实好收集措施：</w:t>
            </w:r>
          </w:p>
          <w:p w14:paraId="351AEA67">
            <w:pPr>
              <w:pStyle w:val="189"/>
              <w:spacing w:line="360" w:lineRule="auto"/>
              <w:ind w:firstLine="480"/>
              <w:rPr>
                <w:color w:val="auto"/>
                <w:sz w:val="24"/>
              </w:rPr>
            </w:pPr>
            <w:r>
              <w:rPr>
                <w:color w:val="auto"/>
                <w:sz w:val="24"/>
              </w:rPr>
              <w:t>危险废物包装应能有效隔断危险废物迁移扩散途径，并达到防渗、防漏要求；在危险废物的收集和转运过程中，应采取相应的安全防护和污染防治措施，包括防爆、防火、防泄漏、防风、防雨或其他防止污染环境的措施；危险废物内部转运应综合考虑厂区的实际情况确定转运路线，尽量避开厂内办公区；危险废物内部转运结束后，应对转运路线进行检查和清理，确保无危险废物遗失在转运路线上。</w:t>
            </w:r>
          </w:p>
          <w:p w14:paraId="649F4AF5">
            <w:pPr>
              <w:pStyle w:val="189"/>
              <w:spacing w:line="360" w:lineRule="auto"/>
              <w:ind w:firstLine="482"/>
              <w:rPr>
                <w:b/>
                <w:bCs/>
                <w:color w:val="auto"/>
                <w:sz w:val="24"/>
              </w:rPr>
            </w:pPr>
            <w:r>
              <w:rPr>
                <w:b/>
                <w:bCs/>
                <w:color w:val="auto"/>
                <w:sz w:val="24"/>
              </w:rPr>
              <w:t>②贮存</w:t>
            </w:r>
          </w:p>
          <w:p w14:paraId="4E0B752A">
            <w:pPr>
              <w:pStyle w:val="189"/>
              <w:spacing w:line="360" w:lineRule="auto"/>
              <w:ind w:firstLine="480"/>
              <w:rPr>
                <w:color w:val="auto"/>
                <w:sz w:val="24"/>
              </w:rPr>
            </w:pPr>
            <w:r>
              <w:rPr>
                <w:color w:val="auto"/>
                <w:sz w:val="24"/>
              </w:rPr>
              <w:t>根据《危险废物贮存污染控制标准》（GB18597-2023），具体要求如下：</w:t>
            </w:r>
          </w:p>
          <w:p w14:paraId="289AB622">
            <w:pPr>
              <w:pStyle w:val="189"/>
              <w:spacing w:line="360" w:lineRule="auto"/>
              <w:ind w:firstLine="482"/>
              <w:rPr>
                <w:color w:val="auto"/>
                <w:sz w:val="24"/>
              </w:rPr>
            </w:pPr>
            <w:r>
              <w:rPr>
                <w:b/>
                <w:bCs/>
                <w:color w:val="auto"/>
                <w:sz w:val="24"/>
              </w:rPr>
              <w:t>贮存设施污染控制要求：</w:t>
            </w:r>
            <w:r>
              <w:rPr>
                <w:color w:val="auto"/>
                <w:sz w:val="24"/>
              </w:rPr>
              <w:t>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贮存设施或贮存分区内地面、墙面裙角、堵截泄漏的围堰、接触危险废物的隔板和墙体等应采用坚固的材料建造，表面无裂缝；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color w:val="auto"/>
                <w:sz w:val="24"/>
                <w:vertAlign w:val="superscript"/>
              </w:rPr>
              <w:t>-7</w:t>
            </w:r>
            <w:r>
              <w:rPr>
                <w:color w:val="auto"/>
                <w:sz w:val="24"/>
              </w:rPr>
              <w:t>cm/s），或至少2mm厚高密度聚乙烯膜等人工防渗材料（渗透系数不大于10</w:t>
            </w:r>
            <w:r>
              <w:rPr>
                <w:color w:val="auto"/>
                <w:sz w:val="24"/>
                <w:vertAlign w:val="superscript"/>
              </w:rPr>
              <w:t>-10</w:t>
            </w:r>
            <w:r>
              <w:rPr>
                <w:color w:val="auto"/>
                <w:sz w:val="24"/>
              </w:rPr>
              <w:t>cm/s），或其他防渗性能等效的材料；同一贮存设施宜采用相同的防渗、防腐工艺（包括防渗、防腐结构或材料），防渗、防腐材料应覆盖所有可能与废物及其渗滤液、渗漏液等接触的构筑物表面；采用不同防渗、防腐工艺应分别建设贮存分区；贮存设施应采取技术和管理措施防止无关人员进入。</w:t>
            </w:r>
          </w:p>
          <w:p w14:paraId="524A0314">
            <w:pPr>
              <w:pStyle w:val="189"/>
              <w:spacing w:line="360" w:lineRule="auto"/>
              <w:ind w:firstLine="482"/>
              <w:rPr>
                <w:color w:val="auto"/>
                <w:sz w:val="24"/>
              </w:rPr>
            </w:pPr>
            <w:r>
              <w:rPr>
                <w:b/>
                <w:bCs/>
                <w:color w:val="auto"/>
                <w:sz w:val="24"/>
              </w:rPr>
              <w:t>容器和包装物污染控制要求：</w:t>
            </w:r>
            <w:r>
              <w:rPr>
                <w:color w:val="auto"/>
                <w:sz w:val="24"/>
              </w:rPr>
              <w:t>容器和包装物材质、内衬应与盛装的危险废物相容；针对不同类别、形态、物理化学性质的危险废物，其容器和包装物应满足相应的防渗、防漏、防腐和强度等要求；硬质容器和包装物及其支护结构堆叠码放时不应有明显变形，无破损泄漏；柔性容器和包装物堆叠码放时应封口严密，无破损泄漏；使用容器盛装液态、半固态危险废物时，容器内部应留有适当的空间，以适应因温度变化等可能引发的收缩和膨胀，防止其导致容器渗漏或永久变形；容器和包装物外表面应保持清洁。</w:t>
            </w:r>
          </w:p>
          <w:p w14:paraId="7C64F01A">
            <w:pPr>
              <w:pStyle w:val="189"/>
              <w:spacing w:line="360" w:lineRule="auto"/>
              <w:ind w:firstLine="482"/>
              <w:rPr>
                <w:color w:val="auto"/>
                <w:sz w:val="24"/>
              </w:rPr>
            </w:pPr>
            <w:r>
              <w:rPr>
                <w:b/>
                <w:bCs/>
                <w:color w:val="auto"/>
                <w:sz w:val="24"/>
              </w:rPr>
              <w:t>贮存设施运行环境管理要求：</w:t>
            </w:r>
            <w:r>
              <w:rPr>
                <w:color w:val="auto"/>
                <w:sz w:val="24"/>
              </w:rPr>
              <w:t>危险废物存入贮存设施前应对危险废物类别和特性与危险废物标签等危险废物识别标志的一致性进行核验，不一致的或类别、特性不明的不应存入；应定期检查危险废物的贮存状况，及时清理贮存设施地面，更换破损泄漏的危险废物贮存容器和包装物，保证堆存危险废物的防雨、防风、防扬尘等设施功能完好；作业设备及车辆等结束作业离开贮存设施时，应对其残留的危险废物进行清理，清理的废物或水磨、清洗废水应收集处理；贮存设施运行期间，应按国家有关标准和规定建立危险废物管理台账并保存；贮存设施所有者或运营者应建立贮存设施环境管理制度、管理人员岗位职责制度、设施运行操作制度、人员岗位培训制度等；贮存设施所有者或运营者应依据国家土壤和地下水污染防治的有关规定，结合贮存设施特点建立土壤和地下水污染隐患排查制度，并定期开展隐患排查；发现隐患应及时采取措施消除隐患，并建立档案；贮存设施所有者或运营者应建立贮存设施全部档案，包括设计、施工、验收、运行、监测和环境应急等，应按国家有关档案管理的法律法规进行整理和归档。</w:t>
            </w:r>
          </w:p>
          <w:p w14:paraId="475C0D7B">
            <w:pPr>
              <w:pStyle w:val="189"/>
              <w:spacing w:line="360" w:lineRule="auto"/>
              <w:ind w:firstLine="480"/>
              <w:rPr>
                <w:color w:val="auto"/>
                <w:sz w:val="24"/>
              </w:rPr>
            </w:pPr>
            <w:r>
              <w:rPr>
                <w:rFonts w:hint="eastAsia"/>
                <w:color w:val="auto"/>
                <w:sz w:val="24"/>
                <w:lang w:val="en-US" w:eastAsia="zh-CN"/>
              </w:rPr>
              <w:t>本改建项目依托现有项目的危废暂存间，由于减少阳极氧化线产生的危废，因此现有项目的危废暂存间贮存能力可满足本改建项目的需求</w:t>
            </w:r>
            <w:r>
              <w:rPr>
                <w:rFonts w:hint="eastAsia"/>
                <w:color w:val="auto"/>
                <w:sz w:val="24"/>
                <w:lang w:val="en-US" w:eastAsia="zh-CN"/>
              </w:rPr>
              <w:t>，</w:t>
            </w:r>
            <w:r>
              <w:rPr>
                <w:color w:val="auto"/>
                <w:sz w:val="24"/>
              </w:rPr>
              <w:t>危险废物贮存场所（设施）基本情况见下表：</w:t>
            </w:r>
          </w:p>
          <w:p w14:paraId="317E0139">
            <w:pPr>
              <w:autoSpaceDE w:val="0"/>
              <w:autoSpaceDN w:val="0"/>
              <w:jc w:val="center"/>
              <w:textAlignment w:val="center"/>
              <w:rPr>
                <w:b/>
                <w:color w:val="auto"/>
                <w:kern w:val="0"/>
                <w:szCs w:val="21"/>
              </w:rPr>
            </w:pPr>
            <w:r>
              <w:rPr>
                <w:b/>
                <w:color w:val="auto"/>
                <w:kern w:val="0"/>
                <w:szCs w:val="21"/>
              </w:rPr>
              <w:t>表4-</w:t>
            </w:r>
            <w:r>
              <w:rPr>
                <w:rFonts w:hint="eastAsia"/>
                <w:b/>
                <w:color w:val="auto"/>
                <w:kern w:val="0"/>
                <w:szCs w:val="21"/>
              </w:rPr>
              <w:t>2</w:t>
            </w:r>
            <w:r>
              <w:rPr>
                <w:rFonts w:hint="eastAsia"/>
                <w:b/>
                <w:color w:val="auto"/>
                <w:kern w:val="0"/>
                <w:szCs w:val="21"/>
                <w:lang w:val="en-US" w:eastAsia="zh-CN"/>
              </w:rPr>
              <w:t>1</w:t>
            </w:r>
            <w:r>
              <w:rPr>
                <w:b/>
                <w:color w:val="auto"/>
                <w:kern w:val="0"/>
                <w:szCs w:val="21"/>
              </w:rPr>
              <w:t xml:space="preserve"> 项目危险废物贮存场所（设施）基本情况表</w:t>
            </w:r>
          </w:p>
          <w:tbl>
            <w:tblPr>
              <w:tblStyle w:val="42"/>
              <w:tblW w:w="9520"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539"/>
              <w:gridCol w:w="722"/>
              <w:gridCol w:w="1981"/>
              <w:gridCol w:w="936"/>
              <w:gridCol w:w="1220"/>
              <w:gridCol w:w="1106"/>
              <w:gridCol w:w="660"/>
              <w:gridCol w:w="691"/>
              <w:gridCol w:w="766"/>
              <w:gridCol w:w="899"/>
            </w:tblGrid>
            <w:tr w14:paraId="206B587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9" w:type="dxa"/>
                  <w:tcBorders>
                    <w:tl2br w:val="nil"/>
                    <w:tr2bl w:val="nil"/>
                  </w:tcBorders>
                  <w:vAlign w:val="center"/>
                </w:tcPr>
                <w:p w14:paraId="4A01C3DE">
                  <w:pPr>
                    <w:autoSpaceDE w:val="0"/>
                    <w:autoSpaceDN w:val="0"/>
                    <w:jc w:val="center"/>
                    <w:textAlignment w:val="center"/>
                    <w:rPr>
                      <w:b/>
                      <w:color w:val="auto"/>
                      <w:kern w:val="0"/>
                      <w:szCs w:val="21"/>
                    </w:rPr>
                  </w:pPr>
                  <w:r>
                    <w:rPr>
                      <w:b/>
                      <w:color w:val="auto"/>
                      <w:kern w:val="0"/>
                      <w:szCs w:val="21"/>
                    </w:rPr>
                    <w:t>序号</w:t>
                  </w:r>
                </w:p>
              </w:tc>
              <w:tc>
                <w:tcPr>
                  <w:tcW w:w="722" w:type="dxa"/>
                  <w:tcBorders>
                    <w:tl2br w:val="nil"/>
                    <w:tr2bl w:val="nil"/>
                  </w:tcBorders>
                  <w:vAlign w:val="center"/>
                </w:tcPr>
                <w:p w14:paraId="40C40586">
                  <w:pPr>
                    <w:autoSpaceDE w:val="0"/>
                    <w:autoSpaceDN w:val="0"/>
                    <w:jc w:val="center"/>
                    <w:textAlignment w:val="center"/>
                    <w:rPr>
                      <w:b/>
                      <w:color w:val="auto"/>
                      <w:kern w:val="0"/>
                      <w:szCs w:val="21"/>
                    </w:rPr>
                  </w:pPr>
                  <w:r>
                    <w:rPr>
                      <w:b/>
                      <w:color w:val="auto"/>
                      <w:kern w:val="0"/>
                      <w:szCs w:val="21"/>
                    </w:rPr>
                    <w:t>贮存场所</w:t>
                  </w:r>
                </w:p>
              </w:tc>
              <w:tc>
                <w:tcPr>
                  <w:tcW w:w="1981" w:type="dxa"/>
                  <w:tcBorders>
                    <w:tl2br w:val="nil"/>
                    <w:tr2bl w:val="nil"/>
                  </w:tcBorders>
                  <w:vAlign w:val="center"/>
                </w:tcPr>
                <w:p w14:paraId="3B14B268">
                  <w:pPr>
                    <w:autoSpaceDE w:val="0"/>
                    <w:autoSpaceDN w:val="0"/>
                    <w:jc w:val="center"/>
                    <w:textAlignment w:val="center"/>
                    <w:rPr>
                      <w:b/>
                      <w:color w:val="auto"/>
                      <w:kern w:val="0"/>
                      <w:szCs w:val="21"/>
                    </w:rPr>
                  </w:pPr>
                  <w:r>
                    <w:rPr>
                      <w:b/>
                      <w:color w:val="auto"/>
                      <w:kern w:val="0"/>
                      <w:szCs w:val="21"/>
                    </w:rPr>
                    <w:t>危险废物名称</w:t>
                  </w:r>
                </w:p>
              </w:tc>
              <w:tc>
                <w:tcPr>
                  <w:tcW w:w="936" w:type="dxa"/>
                  <w:tcBorders>
                    <w:tl2br w:val="nil"/>
                    <w:tr2bl w:val="nil"/>
                  </w:tcBorders>
                  <w:vAlign w:val="center"/>
                </w:tcPr>
                <w:p w14:paraId="240D199F">
                  <w:pPr>
                    <w:autoSpaceDE w:val="0"/>
                    <w:autoSpaceDN w:val="0"/>
                    <w:jc w:val="center"/>
                    <w:textAlignment w:val="center"/>
                    <w:rPr>
                      <w:b/>
                      <w:color w:val="auto"/>
                      <w:kern w:val="0"/>
                      <w:szCs w:val="21"/>
                    </w:rPr>
                  </w:pPr>
                  <w:r>
                    <w:rPr>
                      <w:b/>
                      <w:color w:val="auto"/>
                      <w:kern w:val="0"/>
                      <w:szCs w:val="21"/>
                    </w:rPr>
                    <w:t>危险废物类别</w:t>
                  </w:r>
                </w:p>
              </w:tc>
              <w:tc>
                <w:tcPr>
                  <w:tcW w:w="1220" w:type="dxa"/>
                  <w:tcBorders>
                    <w:tl2br w:val="nil"/>
                    <w:tr2bl w:val="nil"/>
                  </w:tcBorders>
                  <w:vAlign w:val="center"/>
                </w:tcPr>
                <w:p w14:paraId="259CBA6F">
                  <w:pPr>
                    <w:autoSpaceDE w:val="0"/>
                    <w:autoSpaceDN w:val="0"/>
                    <w:jc w:val="center"/>
                    <w:textAlignment w:val="center"/>
                    <w:rPr>
                      <w:b/>
                      <w:color w:val="auto"/>
                      <w:kern w:val="0"/>
                      <w:szCs w:val="21"/>
                    </w:rPr>
                  </w:pPr>
                  <w:r>
                    <w:rPr>
                      <w:b/>
                      <w:color w:val="auto"/>
                      <w:kern w:val="0"/>
                      <w:szCs w:val="21"/>
                    </w:rPr>
                    <w:t>危险废物代码</w:t>
                  </w:r>
                </w:p>
              </w:tc>
              <w:tc>
                <w:tcPr>
                  <w:tcW w:w="1106" w:type="dxa"/>
                  <w:tcBorders>
                    <w:tl2br w:val="nil"/>
                    <w:tr2bl w:val="nil"/>
                  </w:tcBorders>
                  <w:vAlign w:val="center"/>
                </w:tcPr>
                <w:p w14:paraId="08A90DB8">
                  <w:pPr>
                    <w:autoSpaceDE w:val="0"/>
                    <w:autoSpaceDN w:val="0"/>
                    <w:jc w:val="center"/>
                    <w:textAlignment w:val="center"/>
                    <w:rPr>
                      <w:b/>
                      <w:color w:val="auto"/>
                      <w:kern w:val="0"/>
                      <w:szCs w:val="21"/>
                    </w:rPr>
                  </w:pPr>
                  <w:r>
                    <w:rPr>
                      <w:b/>
                      <w:color w:val="auto"/>
                      <w:kern w:val="0"/>
                      <w:szCs w:val="21"/>
                    </w:rPr>
                    <w:t>贮存方式</w:t>
                  </w:r>
                </w:p>
              </w:tc>
              <w:tc>
                <w:tcPr>
                  <w:tcW w:w="660" w:type="dxa"/>
                  <w:tcBorders>
                    <w:tl2br w:val="nil"/>
                    <w:tr2bl w:val="nil"/>
                  </w:tcBorders>
                  <w:vAlign w:val="center"/>
                </w:tcPr>
                <w:p w14:paraId="587FF3B4">
                  <w:pPr>
                    <w:autoSpaceDE w:val="0"/>
                    <w:autoSpaceDN w:val="0"/>
                    <w:jc w:val="center"/>
                    <w:textAlignment w:val="center"/>
                    <w:rPr>
                      <w:b/>
                      <w:color w:val="auto"/>
                      <w:kern w:val="0"/>
                      <w:szCs w:val="21"/>
                    </w:rPr>
                  </w:pPr>
                  <w:r>
                    <w:rPr>
                      <w:b/>
                      <w:color w:val="auto"/>
                      <w:kern w:val="0"/>
                      <w:szCs w:val="21"/>
                    </w:rPr>
                    <w:t>占地面积</w:t>
                  </w:r>
                </w:p>
              </w:tc>
              <w:tc>
                <w:tcPr>
                  <w:tcW w:w="691" w:type="dxa"/>
                  <w:tcBorders>
                    <w:tl2br w:val="nil"/>
                    <w:tr2bl w:val="nil"/>
                  </w:tcBorders>
                  <w:vAlign w:val="center"/>
                </w:tcPr>
                <w:p w14:paraId="3FB53282">
                  <w:pPr>
                    <w:autoSpaceDE w:val="0"/>
                    <w:autoSpaceDN w:val="0"/>
                    <w:jc w:val="center"/>
                    <w:textAlignment w:val="center"/>
                    <w:rPr>
                      <w:b/>
                      <w:color w:val="auto"/>
                      <w:kern w:val="0"/>
                      <w:szCs w:val="21"/>
                    </w:rPr>
                  </w:pPr>
                  <w:r>
                    <w:rPr>
                      <w:b/>
                      <w:color w:val="auto"/>
                      <w:kern w:val="0"/>
                      <w:szCs w:val="21"/>
                    </w:rPr>
                    <w:t>位置</w:t>
                  </w:r>
                </w:p>
              </w:tc>
              <w:tc>
                <w:tcPr>
                  <w:tcW w:w="766" w:type="dxa"/>
                  <w:tcBorders>
                    <w:tl2br w:val="nil"/>
                    <w:tr2bl w:val="nil"/>
                  </w:tcBorders>
                  <w:vAlign w:val="center"/>
                </w:tcPr>
                <w:p w14:paraId="255F7135">
                  <w:pPr>
                    <w:autoSpaceDE w:val="0"/>
                    <w:autoSpaceDN w:val="0"/>
                    <w:jc w:val="center"/>
                    <w:textAlignment w:val="center"/>
                    <w:rPr>
                      <w:b/>
                      <w:color w:val="auto"/>
                      <w:kern w:val="0"/>
                      <w:szCs w:val="21"/>
                    </w:rPr>
                  </w:pPr>
                  <w:r>
                    <w:rPr>
                      <w:b/>
                      <w:color w:val="auto"/>
                      <w:kern w:val="0"/>
                      <w:szCs w:val="21"/>
                    </w:rPr>
                    <w:t>贮存能力</w:t>
                  </w:r>
                </w:p>
              </w:tc>
              <w:tc>
                <w:tcPr>
                  <w:tcW w:w="899" w:type="dxa"/>
                  <w:tcBorders>
                    <w:tl2br w:val="nil"/>
                    <w:tr2bl w:val="nil"/>
                  </w:tcBorders>
                  <w:vAlign w:val="center"/>
                </w:tcPr>
                <w:p w14:paraId="5986B8C6">
                  <w:pPr>
                    <w:autoSpaceDE w:val="0"/>
                    <w:autoSpaceDN w:val="0"/>
                    <w:jc w:val="center"/>
                    <w:textAlignment w:val="center"/>
                    <w:rPr>
                      <w:b/>
                      <w:color w:val="auto"/>
                      <w:kern w:val="0"/>
                      <w:szCs w:val="21"/>
                    </w:rPr>
                  </w:pPr>
                  <w:r>
                    <w:rPr>
                      <w:b/>
                      <w:color w:val="auto"/>
                      <w:kern w:val="0"/>
                      <w:szCs w:val="21"/>
                    </w:rPr>
                    <w:t>贮存周期</w:t>
                  </w:r>
                </w:p>
              </w:tc>
            </w:tr>
            <w:tr w14:paraId="3310819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9" w:type="dxa"/>
                  <w:tcBorders>
                    <w:tl2br w:val="nil"/>
                    <w:tr2bl w:val="nil"/>
                  </w:tcBorders>
                  <w:vAlign w:val="center"/>
                </w:tcPr>
                <w:p w14:paraId="512D096B">
                  <w:pPr>
                    <w:autoSpaceDE w:val="0"/>
                    <w:autoSpaceDN w:val="0"/>
                    <w:jc w:val="center"/>
                    <w:textAlignment w:val="center"/>
                    <w:rPr>
                      <w:color w:val="auto"/>
                      <w:kern w:val="0"/>
                      <w:szCs w:val="21"/>
                    </w:rPr>
                  </w:pPr>
                  <w:r>
                    <w:rPr>
                      <w:color w:val="auto"/>
                      <w:kern w:val="0"/>
                      <w:szCs w:val="21"/>
                    </w:rPr>
                    <w:t>1</w:t>
                  </w:r>
                </w:p>
              </w:tc>
              <w:tc>
                <w:tcPr>
                  <w:tcW w:w="722" w:type="dxa"/>
                  <w:vMerge w:val="restart"/>
                  <w:tcBorders>
                    <w:tl2br w:val="nil"/>
                    <w:tr2bl w:val="nil"/>
                  </w:tcBorders>
                  <w:vAlign w:val="center"/>
                </w:tcPr>
                <w:p w14:paraId="47CF3F50">
                  <w:pPr>
                    <w:autoSpaceDE w:val="0"/>
                    <w:autoSpaceDN w:val="0"/>
                    <w:jc w:val="center"/>
                    <w:textAlignment w:val="center"/>
                    <w:rPr>
                      <w:color w:val="auto"/>
                      <w:kern w:val="0"/>
                      <w:szCs w:val="21"/>
                    </w:rPr>
                  </w:pPr>
                  <w:r>
                    <w:rPr>
                      <w:color w:val="auto"/>
                      <w:kern w:val="0"/>
                      <w:szCs w:val="21"/>
                    </w:rPr>
                    <w:t>危废暂存</w:t>
                  </w:r>
                </w:p>
                <w:p w14:paraId="74BCBA0C">
                  <w:pPr>
                    <w:autoSpaceDE w:val="0"/>
                    <w:autoSpaceDN w:val="0"/>
                    <w:jc w:val="center"/>
                    <w:textAlignment w:val="center"/>
                    <w:rPr>
                      <w:color w:val="auto"/>
                      <w:kern w:val="0"/>
                      <w:szCs w:val="21"/>
                    </w:rPr>
                  </w:pPr>
                  <w:r>
                    <w:rPr>
                      <w:color w:val="auto"/>
                      <w:kern w:val="0"/>
                      <w:szCs w:val="21"/>
                    </w:rPr>
                    <w:t>间</w:t>
                  </w:r>
                </w:p>
              </w:tc>
              <w:tc>
                <w:tcPr>
                  <w:tcW w:w="1981" w:type="dxa"/>
                  <w:tcBorders>
                    <w:tl2br w:val="nil"/>
                    <w:tr2bl w:val="nil"/>
                  </w:tcBorders>
                  <w:vAlign w:val="center"/>
                </w:tcPr>
                <w:p w14:paraId="073A6456">
                  <w:pPr>
                    <w:jc w:val="center"/>
                    <w:textAlignment w:val="center"/>
                    <w:rPr>
                      <w:rFonts w:hint="eastAsia"/>
                      <w:color w:val="auto"/>
                      <w:kern w:val="0"/>
                      <w:szCs w:val="21"/>
                    </w:rPr>
                  </w:pPr>
                  <w:r>
                    <w:rPr>
                      <w:rFonts w:hint="eastAsia"/>
                      <w:color w:val="auto"/>
                      <w:kern w:val="0"/>
                      <w:szCs w:val="21"/>
                    </w:rPr>
                    <w:t>预脱脂槽液</w:t>
                  </w:r>
                </w:p>
              </w:tc>
              <w:tc>
                <w:tcPr>
                  <w:tcW w:w="936" w:type="dxa"/>
                  <w:tcBorders>
                    <w:tl2br w:val="nil"/>
                    <w:tr2bl w:val="nil"/>
                  </w:tcBorders>
                  <w:vAlign w:val="center"/>
                </w:tcPr>
                <w:p w14:paraId="6627E206">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HW17</w:t>
                  </w:r>
                </w:p>
              </w:tc>
              <w:tc>
                <w:tcPr>
                  <w:tcW w:w="1220" w:type="dxa"/>
                  <w:tcBorders>
                    <w:tl2br w:val="nil"/>
                    <w:tr2bl w:val="nil"/>
                  </w:tcBorders>
                  <w:vAlign w:val="center"/>
                </w:tcPr>
                <w:p w14:paraId="2316F585">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336-064-17</w:t>
                  </w:r>
                </w:p>
              </w:tc>
              <w:tc>
                <w:tcPr>
                  <w:tcW w:w="1106" w:type="dxa"/>
                  <w:tcBorders>
                    <w:tl2br w:val="nil"/>
                    <w:tr2bl w:val="nil"/>
                  </w:tcBorders>
                  <w:vAlign w:val="center"/>
                </w:tcPr>
                <w:p w14:paraId="42D5B407">
                  <w:pPr>
                    <w:autoSpaceDE w:val="0"/>
                    <w:autoSpaceDN w:val="0"/>
                    <w:jc w:val="center"/>
                    <w:textAlignment w:val="center"/>
                    <w:rPr>
                      <w:color w:val="auto"/>
                      <w:kern w:val="0"/>
                      <w:szCs w:val="21"/>
                    </w:rPr>
                  </w:pPr>
                  <w:r>
                    <w:rPr>
                      <w:rFonts w:hint="eastAsia"/>
                      <w:color w:val="auto"/>
                      <w:kern w:val="0"/>
                      <w:szCs w:val="21"/>
                    </w:rPr>
                    <w:t>密封</w:t>
                  </w:r>
                  <w:r>
                    <w:rPr>
                      <w:color w:val="auto"/>
                      <w:kern w:val="0"/>
                      <w:szCs w:val="21"/>
                    </w:rPr>
                    <w:t>桶装</w:t>
                  </w:r>
                </w:p>
              </w:tc>
              <w:tc>
                <w:tcPr>
                  <w:tcW w:w="660" w:type="dxa"/>
                  <w:vMerge w:val="restart"/>
                  <w:tcBorders>
                    <w:tl2br w:val="nil"/>
                    <w:tr2bl w:val="nil"/>
                  </w:tcBorders>
                  <w:vAlign w:val="center"/>
                </w:tcPr>
                <w:p w14:paraId="1B6839AD">
                  <w:pPr>
                    <w:autoSpaceDE w:val="0"/>
                    <w:autoSpaceDN w:val="0"/>
                    <w:jc w:val="center"/>
                    <w:textAlignment w:val="center"/>
                    <w:rPr>
                      <w:color w:val="auto"/>
                      <w:kern w:val="0"/>
                      <w:szCs w:val="21"/>
                    </w:rPr>
                  </w:pPr>
                  <w:r>
                    <w:rPr>
                      <w:rFonts w:hint="eastAsia"/>
                      <w:color w:val="auto"/>
                      <w:kern w:val="0"/>
                      <w:szCs w:val="21"/>
                    </w:rPr>
                    <w:t>150</w:t>
                  </w:r>
                  <w:r>
                    <w:rPr>
                      <w:color w:val="auto"/>
                      <w:kern w:val="0"/>
                      <w:szCs w:val="21"/>
                    </w:rPr>
                    <w:t>m</w:t>
                  </w:r>
                  <w:r>
                    <w:rPr>
                      <w:color w:val="auto"/>
                      <w:kern w:val="0"/>
                      <w:szCs w:val="21"/>
                      <w:vertAlign w:val="superscript"/>
                    </w:rPr>
                    <w:t>2</w:t>
                  </w:r>
                </w:p>
              </w:tc>
              <w:tc>
                <w:tcPr>
                  <w:tcW w:w="691" w:type="dxa"/>
                  <w:vMerge w:val="restart"/>
                  <w:tcBorders>
                    <w:tl2br w:val="nil"/>
                    <w:tr2bl w:val="nil"/>
                  </w:tcBorders>
                  <w:vAlign w:val="center"/>
                </w:tcPr>
                <w:p w14:paraId="0879601E">
                  <w:pPr>
                    <w:autoSpaceDE w:val="0"/>
                    <w:autoSpaceDN w:val="0"/>
                    <w:jc w:val="center"/>
                    <w:textAlignment w:val="center"/>
                    <w:rPr>
                      <w:color w:val="auto"/>
                      <w:kern w:val="0"/>
                      <w:szCs w:val="21"/>
                    </w:rPr>
                  </w:pPr>
                  <w:r>
                    <w:rPr>
                      <w:color w:val="auto"/>
                      <w:kern w:val="0"/>
                      <w:szCs w:val="21"/>
                    </w:rPr>
                    <w:t>厂房</w:t>
                  </w:r>
                </w:p>
                <w:p w14:paraId="33691034">
                  <w:pPr>
                    <w:autoSpaceDE w:val="0"/>
                    <w:autoSpaceDN w:val="0"/>
                    <w:jc w:val="center"/>
                    <w:textAlignment w:val="center"/>
                    <w:rPr>
                      <w:color w:val="auto"/>
                      <w:kern w:val="0"/>
                      <w:szCs w:val="21"/>
                    </w:rPr>
                  </w:pPr>
                  <w:r>
                    <w:rPr>
                      <w:rFonts w:hint="eastAsia"/>
                      <w:color w:val="auto"/>
                      <w:kern w:val="0"/>
                      <w:szCs w:val="21"/>
                    </w:rPr>
                    <w:t>北</w:t>
                  </w:r>
                  <w:r>
                    <w:rPr>
                      <w:color w:val="auto"/>
                      <w:kern w:val="0"/>
                      <w:szCs w:val="21"/>
                    </w:rPr>
                    <w:t>面</w:t>
                  </w:r>
                </w:p>
              </w:tc>
              <w:tc>
                <w:tcPr>
                  <w:tcW w:w="766" w:type="dxa"/>
                  <w:vMerge w:val="restart"/>
                  <w:tcBorders>
                    <w:tl2br w:val="nil"/>
                    <w:tr2bl w:val="nil"/>
                  </w:tcBorders>
                  <w:vAlign w:val="center"/>
                </w:tcPr>
                <w:p w14:paraId="609F624C">
                  <w:pPr>
                    <w:autoSpaceDE w:val="0"/>
                    <w:autoSpaceDN w:val="0"/>
                    <w:jc w:val="center"/>
                    <w:textAlignment w:val="center"/>
                    <w:rPr>
                      <w:color w:val="auto"/>
                      <w:kern w:val="0"/>
                      <w:szCs w:val="21"/>
                    </w:rPr>
                  </w:pPr>
                  <w:r>
                    <w:rPr>
                      <w:rFonts w:hint="eastAsia"/>
                      <w:color w:val="auto"/>
                      <w:kern w:val="0"/>
                      <w:szCs w:val="21"/>
                    </w:rPr>
                    <w:t>200</w:t>
                  </w:r>
                  <w:r>
                    <w:rPr>
                      <w:color w:val="auto"/>
                      <w:kern w:val="0"/>
                      <w:szCs w:val="21"/>
                    </w:rPr>
                    <w:t>t</w:t>
                  </w:r>
                </w:p>
              </w:tc>
              <w:tc>
                <w:tcPr>
                  <w:tcW w:w="899" w:type="dxa"/>
                  <w:tcBorders>
                    <w:tl2br w:val="nil"/>
                    <w:tr2bl w:val="nil"/>
                  </w:tcBorders>
                  <w:vAlign w:val="center"/>
                </w:tcPr>
                <w:p w14:paraId="5D8ADB6B">
                  <w:pPr>
                    <w:autoSpaceDE w:val="0"/>
                    <w:autoSpaceDN w:val="0"/>
                    <w:jc w:val="center"/>
                    <w:textAlignment w:val="center"/>
                    <w:rPr>
                      <w:rFonts w:hint="eastAsia"/>
                      <w:color w:val="auto"/>
                      <w:kern w:val="0"/>
                      <w:szCs w:val="21"/>
                    </w:rPr>
                  </w:pPr>
                  <w:r>
                    <w:rPr>
                      <w:color w:val="auto"/>
                      <w:kern w:val="0"/>
                      <w:szCs w:val="21"/>
                    </w:rPr>
                    <w:t>一年</w:t>
                  </w:r>
                </w:p>
              </w:tc>
            </w:tr>
            <w:tr w14:paraId="0E38BBE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9" w:type="dxa"/>
                  <w:tcBorders>
                    <w:tl2br w:val="nil"/>
                    <w:tr2bl w:val="nil"/>
                  </w:tcBorders>
                  <w:vAlign w:val="center"/>
                </w:tcPr>
                <w:p w14:paraId="1B488960">
                  <w:pPr>
                    <w:autoSpaceDE w:val="0"/>
                    <w:autoSpaceDN w:val="0"/>
                    <w:jc w:val="center"/>
                    <w:textAlignment w:val="center"/>
                    <w:rPr>
                      <w:color w:val="auto"/>
                      <w:kern w:val="0"/>
                      <w:szCs w:val="21"/>
                    </w:rPr>
                  </w:pPr>
                  <w:r>
                    <w:rPr>
                      <w:color w:val="auto"/>
                      <w:kern w:val="0"/>
                      <w:szCs w:val="21"/>
                    </w:rPr>
                    <w:t>2</w:t>
                  </w:r>
                </w:p>
              </w:tc>
              <w:tc>
                <w:tcPr>
                  <w:tcW w:w="722" w:type="dxa"/>
                  <w:vMerge w:val="continue"/>
                  <w:tcBorders>
                    <w:tl2br w:val="nil"/>
                    <w:tr2bl w:val="nil"/>
                  </w:tcBorders>
                  <w:vAlign w:val="center"/>
                </w:tcPr>
                <w:p w14:paraId="48CAE398">
                  <w:pPr>
                    <w:autoSpaceDE w:val="0"/>
                    <w:autoSpaceDN w:val="0"/>
                    <w:jc w:val="center"/>
                    <w:textAlignment w:val="center"/>
                    <w:rPr>
                      <w:color w:val="auto"/>
                      <w:kern w:val="0"/>
                      <w:szCs w:val="21"/>
                    </w:rPr>
                  </w:pPr>
                </w:p>
              </w:tc>
              <w:tc>
                <w:tcPr>
                  <w:tcW w:w="1981" w:type="dxa"/>
                  <w:tcBorders>
                    <w:tl2br w:val="nil"/>
                    <w:tr2bl w:val="nil"/>
                  </w:tcBorders>
                  <w:vAlign w:val="center"/>
                </w:tcPr>
                <w:p w14:paraId="2A8A0F25">
                  <w:pPr>
                    <w:jc w:val="center"/>
                    <w:textAlignment w:val="center"/>
                    <w:rPr>
                      <w:rFonts w:hint="eastAsia"/>
                      <w:color w:val="auto"/>
                      <w:kern w:val="0"/>
                      <w:szCs w:val="21"/>
                    </w:rPr>
                  </w:pPr>
                  <w:r>
                    <w:rPr>
                      <w:rFonts w:hint="eastAsia"/>
                      <w:color w:val="auto"/>
                      <w:kern w:val="0"/>
                      <w:szCs w:val="21"/>
                    </w:rPr>
                    <w:t>阴极电泳槽液</w:t>
                  </w:r>
                </w:p>
              </w:tc>
              <w:tc>
                <w:tcPr>
                  <w:tcW w:w="936" w:type="dxa"/>
                  <w:tcBorders>
                    <w:tl2br w:val="nil"/>
                    <w:tr2bl w:val="nil"/>
                  </w:tcBorders>
                  <w:vAlign w:val="center"/>
                </w:tcPr>
                <w:p w14:paraId="0D73B884">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HW17</w:t>
                  </w:r>
                </w:p>
              </w:tc>
              <w:tc>
                <w:tcPr>
                  <w:tcW w:w="1220" w:type="dxa"/>
                  <w:tcBorders>
                    <w:tl2br w:val="nil"/>
                    <w:tr2bl w:val="nil"/>
                  </w:tcBorders>
                  <w:vAlign w:val="center"/>
                </w:tcPr>
                <w:p w14:paraId="2B7A4AAA">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336-064-17</w:t>
                  </w:r>
                </w:p>
              </w:tc>
              <w:tc>
                <w:tcPr>
                  <w:tcW w:w="1106" w:type="dxa"/>
                  <w:tcBorders>
                    <w:tl2br w:val="nil"/>
                    <w:tr2bl w:val="nil"/>
                  </w:tcBorders>
                  <w:vAlign w:val="center"/>
                </w:tcPr>
                <w:p w14:paraId="0D8F23C4">
                  <w:pPr>
                    <w:autoSpaceDE w:val="0"/>
                    <w:autoSpaceDN w:val="0"/>
                    <w:jc w:val="center"/>
                    <w:textAlignment w:val="center"/>
                    <w:rPr>
                      <w:color w:val="auto"/>
                      <w:kern w:val="0"/>
                      <w:szCs w:val="21"/>
                    </w:rPr>
                  </w:pPr>
                  <w:r>
                    <w:rPr>
                      <w:rFonts w:hint="eastAsia"/>
                      <w:color w:val="auto"/>
                      <w:kern w:val="0"/>
                      <w:szCs w:val="21"/>
                    </w:rPr>
                    <w:t>密封袋</w:t>
                  </w:r>
                  <w:r>
                    <w:rPr>
                      <w:color w:val="auto"/>
                      <w:kern w:val="0"/>
                      <w:szCs w:val="21"/>
                    </w:rPr>
                    <w:t>装</w:t>
                  </w:r>
                </w:p>
              </w:tc>
              <w:tc>
                <w:tcPr>
                  <w:tcW w:w="660" w:type="dxa"/>
                  <w:vMerge w:val="continue"/>
                  <w:tcBorders>
                    <w:tl2br w:val="nil"/>
                    <w:tr2bl w:val="nil"/>
                  </w:tcBorders>
                  <w:vAlign w:val="center"/>
                </w:tcPr>
                <w:p w14:paraId="475BDF09">
                  <w:pPr>
                    <w:autoSpaceDE w:val="0"/>
                    <w:autoSpaceDN w:val="0"/>
                    <w:jc w:val="center"/>
                    <w:textAlignment w:val="center"/>
                    <w:rPr>
                      <w:color w:val="auto"/>
                      <w:kern w:val="0"/>
                      <w:szCs w:val="21"/>
                    </w:rPr>
                  </w:pPr>
                </w:p>
              </w:tc>
              <w:tc>
                <w:tcPr>
                  <w:tcW w:w="691" w:type="dxa"/>
                  <w:vMerge w:val="continue"/>
                  <w:tcBorders>
                    <w:tl2br w:val="nil"/>
                    <w:tr2bl w:val="nil"/>
                  </w:tcBorders>
                  <w:vAlign w:val="center"/>
                </w:tcPr>
                <w:p w14:paraId="2A882507">
                  <w:pPr>
                    <w:autoSpaceDE w:val="0"/>
                    <w:autoSpaceDN w:val="0"/>
                    <w:jc w:val="center"/>
                    <w:textAlignment w:val="center"/>
                    <w:rPr>
                      <w:color w:val="auto"/>
                      <w:kern w:val="0"/>
                      <w:szCs w:val="21"/>
                    </w:rPr>
                  </w:pPr>
                </w:p>
              </w:tc>
              <w:tc>
                <w:tcPr>
                  <w:tcW w:w="766" w:type="dxa"/>
                  <w:vMerge w:val="continue"/>
                  <w:tcBorders>
                    <w:tl2br w:val="nil"/>
                    <w:tr2bl w:val="nil"/>
                  </w:tcBorders>
                  <w:vAlign w:val="center"/>
                </w:tcPr>
                <w:p w14:paraId="44013F55">
                  <w:pPr>
                    <w:autoSpaceDE w:val="0"/>
                    <w:autoSpaceDN w:val="0"/>
                    <w:jc w:val="center"/>
                    <w:textAlignment w:val="center"/>
                    <w:rPr>
                      <w:color w:val="auto"/>
                      <w:kern w:val="0"/>
                      <w:szCs w:val="21"/>
                    </w:rPr>
                  </w:pPr>
                </w:p>
              </w:tc>
              <w:tc>
                <w:tcPr>
                  <w:tcW w:w="899" w:type="dxa"/>
                  <w:tcBorders>
                    <w:tl2br w:val="nil"/>
                    <w:tr2bl w:val="nil"/>
                  </w:tcBorders>
                  <w:vAlign w:val="center"/>
                </w:tcPr>
                <w:p w14:paraId="7EE765C9">
                  <w:pPr>
                    <w:autoSpaceDE w:val="0"/>
                    <w:autoSpaceDN w:val="0"/>
                    <w:jc w:val="center"/>
                    <w:textAlignment w:val="center"/>
                    <w:rPr>
                      <w:color w:val="auto"/>
                      <w:kern w:val="0"/>
                      <w:szCs w:val="21"/>
                    </w:rPr>
                  </w:pPr>
                  <w:r>
                    <w:rPr>
                      <w:color w:val="auto"/>
                      <w:kern w:val="0"/>
                      <w:szCs w:val="21"/>
                    </w:rPr>
                    <w:t>一年</w:t>
                  </w:r>
                </w:p>
              </w:tc>
            </w:tr>
            <w:tr w14:paraId="6736C19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9" w:type="dxa"/>
                  <w:tcBorders>
                    <w:tl2br w:val="nil"/>
                    <w:tr2bl w:val="nil"/>
                  </w:tcBorders>
                  <w:vAlign w:val="center"/>
                </w:tcPr>
                <w:p w14:paraId="318DEF6D">
                  <w:pPr>
                    <w:autoSpaceDE w:val="0"/>
                    <w:autoSpaceDN w:val="0"/>
                    <w:jc w:val="center"/>
                    <w:textAlignment w:val="center"/>
                    <w:rPr>
                      <w:color w:val="auto"/>
                      <w:kern w:val="0"/>
                      <w:szCs w:val="21"/>
                    </w:rPr>
                  </w:pPr>
                  <w:r>
                    <w:rPr>
                      <w:color w:val="auto"/>
                      <w:kern w:val="0"/>
                      <w:szCs w:val="21"/>
                    </w:rPr>
                    <w:t>3</w:t>
                  </w:r>
                </w:p>
              </w:tc>
              <w:tc>
                <w:tcPr>
                  <w:tcW w:w="722" w:type="dxa"/>
                  <w:vMerge w:val="continue"/>
                  <w:tcBorders>
                    <w:tl2br w:val="nil"/>
                    <w:tr2bl w:val="nil"/>
                  </w:tcBorders>
                  <w:vAlign w:val="center"/>
                </w:tcPr>
                <w:p w14:paraId="2D270642">
                  <w:pPr>
                    <w:autoSpaceDE w:val="0"/>
                    <w:autoSpaceDN w:val="0"/>
                    <w:jc w:val="center"/>
                    <w:textAlignment w:val="center"/>
                    <w:rPr>
                      <w:color w:val="auto"/>
                      <w:kern w:val="0"/>
                      <w:szCs w:val="21"/>
                    </w:rPr>
                  </w:pPr>
                </w:p>
              </w:tc>
              <w:tc>
                <w:tcPr>
                  <w:tcW w:w="1981" w:type="dxa"/>
                  <w:tcBorders>
                    <w:tl2br w:val="nil"/>
                    <w:tr2bl w:val="nil"/>
                  </w:tcBorders>
                  <w:vAlign w:val="center"/>
                </w:tcPr>
                <w:p w14:paraId="4D27EDC3">
                  <w:pPr>
                    <w:jc w:val="center"/>
                    <w:textAlignment w:val="center"/>
                    <w:rPr>
                      <w:rFonts w:hint="eastAsia"/>
                      <w:color w:val="auto"/>
                      <w:kern w:val="0"/>
                      <w:szCs w:val="21"/>
                    </w:rPr>
                  </w:pPr>
                  <w:r>
                    <w:rPr>
                      <w:color w:val="auto"/>
                      <w:kern w:val="0"/>
                      <w:szCs w:val="21"/>
                    </w:rPr>
                    <w:t>废化学品包装容器</w:t>
                  </w:r>
                </w:p>
              </w:tc>
              <w:tc>
                <w:tcPr>
                  <w:tcW w:w="936" w:type="dxa"/>
                  <w:tcBorders>
                    <w:tl2br w:val="nil"/>
                    <w:tr2bl w:val="nil"/>
                  </w:tcBorders>
                  <w:vAlign w:val="center"/>
                </w:tcPr>
                <w:p w14:paraId="0FD93F3D">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HW49</w:t>
                  </w:r>
                </w:p>
              </w:tc>
              <w:tc>
                <w:tcPr>
                  <w:tcW w:w="1220" w:type="dxa"/>
                  <w:tcBorders>
                    <w:tl2br w:val="nil"/>
                    <w:tr2bl w:val="nil"/>
                  </w:tcBorders>
                  <w:vAlign w:val="center"/>
                </w:tcPr>
                <w:p w14:paraId="1C5BC222">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900-041-49</w:t>
                  </w:r>
                </w:p>
              </w:tc>
              <w:tc>
                <w:tcPr>
                  <w:tcW w:w="1106" w:type="dxa"/>
                  <w:tcBorders>
                    <w:tl2br w:val="nil"/>
                    <w:tr2bl w:val="nil"/>
                  </w:tcBorders>
                  <w:vAlign w:val="center"/>
                </w:tcPr>
                <w:p w14:paraId="073343F5">
                  <w:pPr>
                    <w:autoSpaceDE w:val="0"/>
                    <w:autoSpaceDN w:val="0"/>
                    <w:jc w:val="center"/>
                    <w:textAlignment w:val="center"/>
                    <w:rPr>
                      <w:rFonts w:hint="eastAsia"/>
                      <w:color w:val="auto"/>
                      <w:kern w:val="0"/>
                      <w:szCs w:val="21"/>
                    </w:rPr>
                  </w:pPr>
                  <w:r>
                    <w:rPr>
                      <w:rFonts w:hint="eastAsia"/>
                      <w:color w:val="auto"/>
                      <w:kern w:val="0"/>
                      <w:szCs w:val="21"/>
                    </w:rPr>
                    <w:t>密封桶装</w:t>
                  </w:r>
                </w:p>
              </w:tc>
              <w:tc>
                <w:tcPr>
                  <w:tcW w:w="660" w:type="dxa"/>
                  <w:vMerge w:val="continue"/>
                  <w:tcBorders>
                    <w:tl2br w:val="nil"/>
                    <w:tr2bl w:val="nil"/>
                  </w:tcBorders>
                  <w:vAlign w:val="center"/>
                </w:tcPr>
                <w:p w14:paraId="54C2CAEB">
                  <w:pPr>
                    <w:autoSpaceDE w:val="0"/>
                    <w:autoSpaceDN w:val="0"/>
                    <w:jc w:val="center"/>
                    <w:textAlignment w:val="center"/>
                    <w:rPr>
                      <w:color w:val="auto"/>
                      <w:kern w:val="0"/>
                      <w:szCs w:val="21"/>
                    </w:rPr>
                  </w:pPr>
                </w:p>
              </w:tc>
              <w:tc>
                <w:tcPr>
                  <w:tcW w:w="691" w:type="dxa"/>
                  <w:vMerge w:val="continue"/>
                  <w:tcBorders>
                    <w:tl2br w:val="nil"/>
                    <w:tr2bl w:val="nil"/>
                  </w:tcBorders>
                  <w:vAlign w:val="center"/>
                </w:tcPr>
                <w:p w14:paraId="4FEF8D0F">
                  <w:pPr>
                    <w:autoSpaceDE w:val="0"/>
                    <w:autoSpaceDN w:val="0"/>
                    <w:jc w:val="center"/>
                    <w:textAlignment w:val="center"/>
                    <w:rPr>
                      <w:color w:val="auto"/>
                      <w:kern w:val="0"/>
                      <w:szCs w:val="21"/>
                    </w:rPr>
                  </w:pPr>
                </w:p>
              </w:tc>
              <w:tc>
                <w:tcPr>
                  <w:tcW w:w="766" w:type="dxa"/>
                  <w:vMerge w:val="continue"/>
                  <w:tcBorders>
                    <w:tl2br w:val="nil"/>
                    <w:tr2bl w:val="nil"/>
                  </w:tcBorders>
                  <w:vAlign w:val="center"/>
                </w:tcPr>
                <w:p w14:paraId="340363AC">
                  <w:pPr>
                    <w:autoSpaceDE w:val="0"/>
                    <w:autoSpaceDN w:val="0"/>
                    <w:jc w:val="center"/>
                    <w:textAlignment w:val="center"/>
                    <w:rPr>
                      <w:color w:val="auto"/>
                      <w:kern w:val="0"/>
                      <w:szCs w:val="21"/>
                    </w:rPr>
                  </w:pPr>
                </w:p>
              </w:tc>
              <w:tc>
                <w:tcPr>
                  <w:tcW w:w="899" w:type="dxa"/>
                  <w:tcBorders>
                    <w:tl2br w:val="nil"/>
                    <w:tr2bl w:val="nil"/>
                  </w:tcBorders>
                  <w:vAlign w:val="center"/>
                </w:tcPr>
                <w:p w14:paraId="0113948E">
                  <w:pPr>
                    <w:autoSpaceDE w:val="0"/>
                    <w:autoSpaceDN w:val="0"/>
                    <w:jc w:val="center"/>
                    <w:textAlignment w:val="center"/>
                    <w:rPr>
                      <w:color w:val="auto"/>
                      <w:kern w:val="0"/>
                      <w:szCs w:val="21"/>
                    </w:rPr>
                  </w:pPr>
                  <w:r>
                    <w:rPr>
                      <w:color w:val="auto"/>
                      <w:kern w:val="0"/>
                      <w:szCs w:val="21"/>
                    </w:rPr>
                    <w:t>一年</w:t>
                  </w:r>
                </w:p>
              </w:tc>
            </w:tr>
            <w:tr w14:paraId="794C719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9" w:type="dxa"/>
                  <w:tcBorders>
                    <w:tl2br w:val="nil"/>
                    <w:tr2bl w:val="nil"/>
                  </w:tcBorders>
                  <w:vAlign w:val="center"/>
                </w:tcPr>
                <w:p w14:paraId="1A086B33">
                  <w:pPr>
                    <w:autoSpaceDE w:val="0"/>
                    <w:autoSpaceDN w:val="0"/>
                    <w:jc w:val="center"/>
                    <w:textAlignment w:val="center"/>
                    <w:rPr>
                      <w:rFonts w:hint="eastAsia" w:eastAsia="宋体"/>
                      <w:color w:val="auto"/>
                      <w:kern w:val="0"/>
                      <w:szCs w:val="21"/>
                      <w:lang w:eastAsia="zh-CN"/>
                    </w:rPr>
                  </w:pPr>
                  <w:r>
                    <w:rPr>
                      <w:rFonts w:hint="eastAsia"/>
                      <w:color w:val="auto"/>
                      <w:kern w:val="0"/>
                      <w:szCs w:val="21"/>
                      <w:lang w:val="en-US" w:eastAsia="zh-CN"/>
                    </w:rPr>
                    <w:t>4</w:t>
                  </w:r>
                </w:p>
              </w:tc>
              <w:tc>
                <w:tcPr>
                  <w:tcW w:w="722" w:type="dxa"/>
                  <w:vMerge w:val="continue"/>
                  <w:tcBorders>
                    <w:tl2br w:val="nil"/>
                    <w:tr2bl w:val="nil"/>
                  </w:tcBorders>
                  <w:vAlign w:val="center"/>
                </w:tcPr>
                <w:p w14:paraId="50053C3F">
                  <w:pPr>
                    <w:autoSpaceDE w:val="0"/>
                    <w:autoSpaceDN w:val="0"/>
                    <w:jc w:val="center"/>
                    <w:textAlignment w:val="center"/>
                    <w:rPr>
                      <w:color w:val="auto"/>
                      <w:kern w:val="0"/>
                      <w:szCs w:val="21"/>
                    </w:rPr>
                  </w:pPr>
                </w:p>
              </w:tc>
              <w:tc>
                <w:tcPr>
                  <w:tcW w:w="1981" w:type="dxa"/>
                  <w:tcBorders>
                    <w:tl2br w:val="nil"/>
                    <w:tr2bl w:val="nil"/>
                  </w:tcBorders>
                  <w:vAlign w:val="center"/>
                </w:tcPr>
                <w:p w14:paraId="73E529FB">
                  <w:pPr>
                    <w:jc w:val="center"/>
                    <w:textAlignment w:val="center"/>
                    <w:rPr>
                      <w:color w:val="auto"/>
                      <w:kern w:val="0"/>
                      <w:szCs w:val="21"/>
                    </w:rPr>
                  </w:pPr>
                  <w:r>
                    <w:rPr>
                      <w:color w:val="auto"/>
                      <w:kern w:val="0"/>
                      <w:szCs w:val="21"/>
                    </w:rPr>
                    <w:t>废活性炭</w:t>
                  </w:r>
                </w:p>
              </w:tc>
              <w:tc>
                <w:tcPr>
                  <w:tcW w:w="936" w:type="dxa"/>
                  <w:tcBorders>
                    <w:tl2br w:val="nil"/>
                    <w:tr2bl w:val="nil"/>
                  </w:tcBorders>
                  <w:vAlign w:val="center"/>
                </w:tcPr>
                <w:p w14:paraId="39886E02">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HW49</w:t>
                  </w:r>
                </w:p>
              </w:tc>
              <w:tc>
                <w:tcPr>
                  <w:tcW w:w="1220" w:type="dxa"/>
                  <w:tcBorders>
                    <w:tl2br w:val="nil"/>
                    <w:tr2bl w:val="nil"/>
                  </w:tcBorders>
                  <w:vAlign w:val="center"/>
                </w:tcPr>
                <w:p w14:paraId="41F104E3">
                  <w:pPr>
                    <w:pStyle w:val="162"/>
                    <w:adjustRightInd/>
                    <w:ind w:left="-105" w:leftChars="-50" w:right="-105" w:rightChars="-50"/>
                    <w:textAlignment w:val="center"/>
                    <w:rPr>
                      <w:rFonts w:ascii="Times New Roman" w:hAnsi="Times New Roman" w:eastAsia="宋体"/>
                      <w:color w:val="auto"/>
                      <w:sz w:val="21"/>
                      <w:szCs w:val="21"/>
                    </w:rPr>
                  </w:pPr>
                  <w:r>
                    <w:rPr>
                      <w:rFonts w:ascii="Times New Roman" w:hAnsi="Times New Roman" w:eastAsia="宋体"/>
                      <w:color w:val="auto"/>
                      <w:sz w:val="21"/>
                      <w:szCs w:val="21"/>
                    </w:rPr>
                    <w:t>900-039-49</w:t>
                  </w:r>
                </w:p>
              </w:tc>
              <w:tc>
                <w:tcPr>
                  <w:tcW w:w="1106" w:type="dxa"/>
                  <w:tcBorders>
                    <w:tl2br w:val="nil"/>
                    <w:tr2bl w:val="nil"/>
                  </w:tcBorders>
                  <w:vAlign w:val="center"/>
                </w:tcPr>
                <w:p w14:paraId="56556137">
                  <w:pPr>
                    <w:autoSpaceDE w:val="0"/>
                    <w:autoSpaceDN w:val="0"/>
                    <w:jc w:val="center"/>
                    <w:textAlignment w:val="center"/>
                    <w:rPr>
                      <w:color w:val="auto"/>
                      <w:kern w:val="0"/>
                      <w:szCs w:val="21"/>
                    </w:rPr>
                  </w:pPr>
                  <w:r>
                    <w:rPr>
                      <w:rFonts w:hint="eastAsia"/>
                      <w:color w:val="auto"/>
                      <w:kern w:val="0"/>
                      <w:szCs w:val="21"/>
                    </w:rPr>
                    <w:t>密封</w:t>
                  </w:r>
                  <w:r>
                    <w:rPr>
                      <w:color w:val="auto"/>
                      <w:kern w:val="0"/>
                      <w:szCs w:val="21"/>
                    </w:rPr>
                    <w:t>桶装</w:t>
                  </w:r>
                </w:p>
              </w:tc>
              <w:tc>
                <w:tcPr>
                  <w:tcW w:w="660" w:type="dxa"/>
                  <w:vMerge w:val="continue"/>
                  <w:tcBorders>
                    <w:tl2br w:val="nil"/>
                    <w:tr2bl w:val="nil"/>
                  </w:tcBorders>
                  <w:vAlign w:val="center"/>
                </w:tcPr>
                <w:p w14:paraId="247F5246">
                  <w:pPr>
                    <w:autoSpaceDE w:val="0"/>
                    <w:autoSpaceDN w:val="0"/>
                    <w:jc w:val="center"/>
                    <w:textAlignment w:val="center"/>
                    <w:rPr>
                      <w:color w:val="auto"/>
                      <w:kern w:val="0"/>
                      <w:szCs w:val="21"/>
                    </w:rPr>
                  </w:pPr>
                </w:p>
              </w:tc>
              <w:tc>
                <w:tcPr>
                  <w:tcW w:w="691" w:type="dxa"/>
                  <w:vMerge w:val="continue"/>
                  <w:tcBorders>
                    <w:tl2br w:val="nil"/>
                    <w:tr2bl w:val="nil"/>
                  </w:tcBorders>
                  <w:vAlign w:val="center"/>
                </w:tcPr>
                <w:p w14:paraId="4384125C">
                  <w:pPr>
                    <w:autoSpaceDE w:val="0"/>
                    <w:autoSpaceDN w:val="0"/>
                    <w:jc w:val="center"/>
                    <w:textAlignment w:val="center"/>
                    <w:rPr>
                      <w:color w:val="auto"/>
                      <w:kern w:val="0"/>
                      <w:szCs w:val="21"/>
                    </w:rPr>
                  </w:pPr>
                </w:p>
              </w:tc>
              <w:tc>
                <w:tcPr>
                  <w:tcW w:w="766" w:type="dxa"/>
                  <w:vMerge w:val="continue"/>
                  <w:tcBorders>
                    <w:tl2br w:val="nil"/>
                    <w:tr2bl w:val="nil"/>
                  </w:tcBorders>
                  <w:vAlign w:val="center"/>
                </w:tcPr>
                <w:p w14:paraId="3CC11F7A">
                  <w:pPr>
                    <w:autoSpaceDE w:val="0"/>
                    <w:autoSpaceDN w:val="0"/>
                    <w:jc w:val="center"/>
                    <w:textAlignment w:val="center"/>
                    <w:rPr>
                      <w:color w:val="auto"/>
                      <w:kern w:val="0"/>
                      <w:szCs w:val="21"/>
                    </w:rPr>
                  </w:pPr>
                </w:p>
              </w:tc>
              <w:tc>
                <w:tcPr>
                  <w:tcW w:w="899" w:type="dxa"/>
                  <w:tcBorders>
                    <w:tl2br w:val="nil"/>
                    <w:tr2bl w:val="nil"/>
                  </w:tcBorders>
                  <w:vAlign w:val="center"/>
                </w:tcPr>
                <w:p w14:paraId="57E14CCE">
                  <w:pPr>
                    <w:autoSpaceDE w:val="0"/>
                    <w:autoSpaceDN w:val="0"/>
                    <w:jc w:val="center"/>
                    <w:textAlignment w:val="center"/>
                    <w:rPr>
                      <w:rFonts w:hint="eastAsia"/>
                      <w:color w:val="auto"/>
                      <w:kern w:val="0"/>
                      <w:szCs w:val="21"/>
                    </w:rPr>
                  </w:pPr>
                  <w:r>
                    <w:rPr>
                      <w:color w:val="auto"/>
                      <w:kern w:val="0"/>
                      <w:szCs w:val="21"/>
                    </w:rPr>
                    <w:t>一年</w:t>
                  </w:r>
                </w:p>
              </w:tc>
            </w:tr>
          </w:tbl>
          <w:p w14:paraId="04AED09B">
            <w:pPr>
              <w:pStyle w:val="189"/>
              <w:spacing w:line="360" w:lineRule="auto"/>
              <w:ind w:firstLine="480"/>
              <w:rPr>
                <w:color w:val="auto"/>
                <w:sz w:val="24"/>
              </w:rPr>
            </w:pPr>
            <w:r>
              <w:rPr>
                <w:color w:val="auto"/>
                <w:sz w:val="24"/>
              </w:rPr>
              <w:t>本项目落实好上述措施后，从产生到转移处置的全过程环境风险均可得到有效控制，不存在重大隐患，不会对外部环境造成重大影响。</w:t>
            </w:r>
          </w:p>
          <w:p w14:paraId="41856B81">
            <w:pPr>
              <w:pStyle w:val="189"/>
              <w:spacing w:line="360" w:lineRule="auto"/>
              <w:ind w:firstLine="482"/>
              <w:rPr>
                <w:b/>
                <w:bCs/>
                <w:color w:val="auto"/>
                <w:sz w:val="24"/>
              </w:rPr>
            </w:pPr>
            <w:r>
              <w:rPr>
                <w:b/>
                <w:bCs/>
                <w:color w:val="auto"/>
                <w:sz w:val="24"/>
              </w:rPr>
              <w:t>（五）地下水、土壤</w:t>
            </w:r>
          </w:p>
          <w:p w14:paraId="3679F93F">
            <w:pPr>
              <w:pStyle w:val="189"/>
              <w:spacing w:line="360" w:lineRule="auto"/>
              <w:ind w:firstLine="482"/>
              <w:rPr>
                <w:b/>
                <w:bCs/>
                <w:color w:val="auto"/>
                <w:sz w:val="24"/>
              </w:rPr>
            </w:pPr>
            <w:r>
              <w:rPr>
                <w:b/>
                <w:bCs/>
                <w:color w:val="auto"/>
                <w:sz w:val="24"/>
              </w:rPr>
              <w:t>1、地下水</w:t>
            </w:r>
          </w:p>
          <w:p w14:paraId="005BC75F">
            <w:pPr>
              <w:pStyle w:val="189"/>
              <w:spacing w:line="360" w:lineRule="auto"/>
              <w:ind w:firstLine="480"/>
              <w:rPr>
                <w:color w:val="auto"/>
                <w:sz w:val="24"/>
              </w:rPr>
            </w:pPr>
            <w:r>
              <w:rPr>
                <w:color w:val="auto"/>
                <w:sz w:val="24"/>
              </w:rPr>
              <w:t>根据《关于印发〈建设项目环境影响报告表〉内容、格式及编制技术指南的通知》（环办环评〔2020〕33号），本项目地下水环境不需要开展专项评价。</w:t>
            </w:r>
          </w:p>
          <w:p w14:paraId="5BFC470D">
            <w:pPr>
              <w:pStyle w:val="189"/>
              <w:spacing w:line="360" w:lineRule="auto"/>
              <w:ind w:firstLine="482"/>
              <w:rPr>
                <w:b/>
                <w:bCs/>
                <w:color w:val="auto"/>
                <w:sz w:val="24"/>
              </w:rPr>
            </w:pPr>
            <w:r>
              <w:rPr>
                <w:b/>
                <w:bCs/>
                <w:color w:val="auto"/>
                <w:sz w:val="24"/>
              </w:rPr>
              <w:t>（1）项目对地下水可能造成污染的途径</w:t>
            </w:r>
          </w:p>
          <w:p w14:paraId="783E98C2">
            <w:pPr>
              <w:pStyle w:val="189"/>
              <w:spacing w:line="360" w:lineRule="auto"/>
              <w:ind w:firstLine="480"/>
              <w:rPr>
                <w:color w:val="auto"/>
                <w:sz w:val="24"/>
              </w:rPr>
            </w:pPr>
            <w:r>
              <w:rPr>
                <w:color w:val="auto"/>
                <w:sz w:val="24"/>
              </w:rPr>
              <w:t>①危险废物仓库贮存的危险废物泄漏，致使该类物质下渗对地下水造成污染。</w:t>
            </w:r>
          </w:p>
          <w:p w14:paraId="14774D4E">
            <w:pPr>
              <w:pStyle w:val="189"/>
              <w:spacing w:line="360" w:lineRule="auto"/>
              <w:ind w:firstLine="480"/>
              <w:rPr>
                <w:color w:val="auto"/>
                <w:sz w:val="24"/>
              </w:rPr>
            </w:pPr>
            <w:r>
              <w:rPr>
                <w:color w:val="auto"/>
                <w:sz w:val="24"/>
              </w:rPr>
              <w:t>②生产车间、一般工业固废仓库存储管理不善，造成包装破裂或者随处倾倒，造成其下渗污染地下水。</w:t>
            </w:r>
          </w:p>
          <w:p w14:paraId="3FDD6282">
            <w:pPr>
              <w:pStyle w:val="189"/>
              <w:spacing w:line="360" w:lineRule="auto"/>
              <w:ind w:firstLine="482"/>
              <w:rPr>
                <w:b/>
                <w:bCs/>
                <w:color w:val="auto"/>
                <w:sz w:val="24"/>
              </w:rPr>
            </w:pPr>
            <w:r>
              <w:rPr>
                <w:b/>
                <w:bCs/>
                <w:color w:val="auto"/>
                <w:sz w:val="24"/>
              </w:rPr>
              <w:t>（2）地下水污染防治措施</w:t>
            </w:r>
          </w:p>
          <w:p w14:paraId="2B18DF68">
            <w:pPr>
              <w:pStyle w:val="189"/>
              <w:spacing w:line="360" w:lineRule="auto"/>
              <w:ind w:firstLine="482"/>
              <w:rPr>
                <w:b/>
                <w:bCs/>
                <w:color w:val="auto"/>
                <w:sz w:val="24"/>
              </w:rPr>
            </w:pPr>
            <w:r>
              <w:rPr>
                <w:b/>
                <w:bCs/>
                <w:color w:val="auto"/>
                <w:sz w:val="24"/>
              </w:rPr>
              <w:t>①源头控制</w:t>
            </w:r>
          </w:p>
          <w:p w14:paraId="743F6BE0">
            <w:pPr>
              <w:pStyle w:val="189"/>
              <w:spacing w:line="360" w:lineRule="auto"/>
              <w:ind w:firstLine="480"/>
              <w:rPr>
                <w:color w:val="auto"/>
                <w:sz w:val="24"/>
              </w:rPr>
            </w:pPr>
            <w:r>
              <w:rPr>
                <w:color w:val="auto"/>
                <w:sz w:val="24"/>
              </w:rPr>
              <w:t>实施清洁生产及各类废物循环利用的具体方案，减少污染物的排放量，对工艺、管道、设备、污水储存及处理构筑物做好控制措施，防止污染物的跑、冒、滴、漏，将污染物泄漏的环境风险降到最低限度。</w:t>
            </w:r>
          </w:p>
          <w:p w14:paraId="401A5B13">
            <w:pPr>
              <w:pStyle w:val="189"/>
              <w:spacing w:line="360" w:lineRule="auto"/>
              <w:ind w:firstLine="482"/>
              <w:rPr>
                <w:color w:val="auto"/>
                <w:sz w:val="24"/>
              </w:rPr>
            </w:pPr>
            <w:r>
              <w:rPr>
                <w:b/>
                <w:bCs/>
                <w:color w:val="auto"/>
                <w:sz w:val="24"/>
              </w:rPr>
              <w:t>②分区防治措施</w:t>
            </w:r>
          </w:p>
          <w:p w14:paraId="4E24B48E">
            <w:pPr>
              <w:pStyle w:val="189"/>
              <w:spacing w:line="360" w:lineRule="auto"/>
              <w:ind w:firstLine="480"/>
              <w:rPr>
                <w:color w:val="auto"/>
                <w:sz w:val="24"/>
              </w:rPr>
            </w:pPr>
            <w:r>
              <w:rPr>
                <w:color w:val="auto"/>
                <w:sz w:val="24"/>
              </w:rPr>
              <w:t>根据可能进入地下水环境的各种有毒有害物质的泄漏及其性质、产生量和排放量，划分污染防治区，提出不同区域的地面防渗方案。本项目污染防治区防渗设计如下表：</w:t>
            </w:r>
          </w:p>
          <w:p w14:paraId="712F7E74">
            <w:pPr>
              <w:pStyle w:val="189"/>
              <w:spacing w:line="240" w:lineRule="auto"/>
              <w:ind w:firstLine="0" w:firstLineChars="0"/>
              <w:jc w:val="center"/>
              <w:rPr>
                <w:b/>
                <w:bCs/>
                <w:color w:val="auto"/>
                <w:szCs w:val="21"/>
              </w:rPr>
            </w:pPr>
            <w:r>
              <w:rPr>
                <w:b/>
                <w:bCs/>
                <w:color w:val="auto"/>
                <w:szCs w:val="21"/>
              </w:rPr>
              <w:t>表4-2</w:t>
            </w:r>
            <w:r>
              <w:rPr>
                <w:rFonts w:hint="eastAsia"/>
                <w:b/>
                <w:bCs/>
                <w:color w:val="auto"/>
                <w:szCs w:val="21"/>
                <w:lang w:val="en-US" w:eastAsia="zh-CN"/>
              </w:rPr>
              <w:t>2</w:t>
            </w:r>
            <w:r>
              <w:rPr>
                <w:b/>
                <w:bCs/>
                <w:color w:val="auto"/>
                <w:szCs w:val="21"/>
              </w:rPr>
              <w:t>项目污染防治区防渗设计</w:t>
            </w:r>
          </w:p>
          <w:tbl>
            <w:tblPr>
              <w:tblStyle w:val="43"/>
              <w:tblW w:w="495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2"/>
              <w:gridCol w:w="2371"/>
              <w:gridCol w:w="5505"/>
            </w:tblGrid>
            <w:tr w14:paraId="48C74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54" w:type="dxa"/>
                  <w:tcBorders>
                    <w:tl2br w:val="nil"/>
                    <w:tr2bl w:val="nil"/>
                  </w:tcBorders>
                  <w:vAlign w:val="center"/>
                </w:tcPr>
                <w:p w14:paraId="4613244C">
                  <w:pPr>
                    <w:spacing w:line="240" w:lineRule="auto"/>
                    <w:jc w:val="center"/>
                    <w:rPr>
                      <w:color w:val="auto"/>
                      <w:kern w:val="0"/>
                      <w:szCs w:val="21"/>
                    </w:rPr>
                  </w:pPr>
                  <w:r>
                    <w:rPr>
                      <w:b/>
                      <w:snapToGrid w:val="0"/>
                      <w:color w:val="auto"/>
                      <w:kern w:val="0"/>
                      <w:szCs w:val="21"/>
                    </w:rPr>
                    <w:t>分区类别</w:t>
                  </w:r>
                </w:p>
              </w:tc>
              <w:tc>
                <w:tcPr>
                  <w:tcW w:w="2068" w:type="dxa"/>
                  <w:tcBorders>
                    <w:tl2br w:val="nil"/>
                    <w:tr2bl w:val="nil"/>
                  </w:tcBorders>
                  <w:vAlign w:val="center"/>
                </w:tcPr>
                <w:p w14:paraId="676450B2">
                  <w:pPr>
                    <w:spacing w:line="240" w:lineRule="auto"/>
                    <w:jc w:val="center"/>
                    <w:rPr>
                      <w:color w:val="auto"/>
                      <w:kern w:val="0"/>
                      <w:szCs w:val="21"/>
                    </w:rPr>
                  </w:pPr>
                  <w:r>
                    <w:rPr>
                      <w:b/>
                      <w:snapToGrid w:val="0"/>
                      <w:color w:val="auto"/>
                      <w:kern w:val="0"/>
                      <w:szCs w:val="21"/>
                    </w:rPr>
                    <w:t>工程内容</w:t>
                  </w:r>
                </w:p>
              </w:tc>
              <w:tc>
                <w:tcPr>
                  <w:tcW w:w="4802" w:type="dxa"/>
                  <w:tcBorders>
                    <w:tl2br w:val="nil"/>
                    <w:tr2bl w:val="nil"/>
                  </w:tcBorders>
                  <w:vAlign w:val="center"/>
                </w:tcPr>
                <w:p w14:paraId="0E78BBBF">
                  <w:pPr>
                    <w:pStyle w:val="36"/>
                    <w:adjustRightInd w:val="0"/>
                    <w:snapToGrid w:val="0"/>
                    <w:spacing w:before="0" w:beforeAutospacing="0" w:after="0" w:afterAutospacing="0" w:line="240" w:lineRule="auto"/>
                    <w:jc w:val="center"/>
                    <w:rPr>
                      <w:rFonts w:ascii="Times New Roman" w:hAnsi="Times New Roman"/>
                      <w:color w:val="auto"/>
                      <w:sz w:val="21"/>
                      <w:szCs w:val="21"/>
                    </w:rPr>
                  </w:pPr>
                  <w:r>
                    <w:rPr>
                      <w:rFonts w:ascii="Times New Roman" w:hAnsi="Times New Roman"/>
                      <w:b/>
                      <w:snapToGrid w:val="0"/>
                      <w:color w:val="auto"/>
                      <w:sz w:val="21"/>
                      <w:szCs w:val="21"/>
                    </w:rPr>
                    <w:t>防渗措施及要求</w:t>
                  </w:r>
                </w:p>
              </w:tc>
            </w:tr>
            <w:tr w14:paraId="6CBBE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54" w:type="dxa"/>
                  <w:tcBorders>
                    <w:tl2br w:val="nil"/>
                    <w:tr2bl w:val="nil"/>
                  </w:tcBorders>
                  <w:vAlign w:val="center"/>
                </w:tcPr>
                <w:p w14:paraId="1F9288D2">
                  <w:pPr>
                    <w:spacing w:line="240" w:lineRule="auto"/>
                    <w:jc w:val="center"/>
                    <w:rPr>
                      <w:color w:val="auto"/>
                      <w:kern w:val="0"/>
                      <w:sz w:val="20"/>
                      <w:szCs w:val="20"/>
                    </w:rPr>
                  </w:pPr>
                  <w:r>
                    <w:rPr>
                      <w:snapToGrid w:val="0"/>
                      <w:color w:val="auto"/>
                      <w:kern w:val="0"/>
                      <w:szCs w:val="21"/>
                    </w:rPr>
                    <w:t>一般防渗区</w:t>
                  </w:r>
                </w:p>
              </w:tc>
              <w:tc>
                <w:tcPr>
                  <w:tcW w:w="2068" w:type="dxa"/>
                  <w:tcBorders>
                    <w:tl2br w:val="nil"/>
                    <w:tr2bl w:val="nil"/>
                  </w:tcBorders>
                  <w:vAlign w:val="center"/>
                </w:tcPr>
                <w:p w14:paraId="5397A8E5">
                  <w:pPr>
                    <w:spacing w:line="240" w:lineRule="auto"/>
                    <w:ind w:right="40"/>
                    <w:jc w:val="center"/>
                    <w:rPr>
                      <w:color w:val="auto"/>
                      <w:kern w:val="0"/>
                      <w:szCs w:val="21"/>
                    </w:rPr>
                  </w:pPr>
                  <w:r>
                    <w:rPr>
                      <w:snapToGrid w:val="0"/>
                      <w:color w:val="auto"/>
                      <w:kern w:val="0"/>
                      <w:szCs w:val="21"/>
                    </w:rPr>
                    <w:t>一般工业固废仓库、生产车间</w:t>
                  </w:r>
                </w:p>
              </w:tc>
              <w:tc>
                <w:tcPr>
                  <w:tcW w:w="4802" w:type="dxa"/>
                  <w:tcBorders>
                    <w:tl2br w:val="nil"/>
                    <w:tr2bl w:val="nil"/>
                  </w:tcBorders>
                  <w:vAlign w:val="center"/>
                </w:tcPr>
                <w:p w14:paraId="7C373367">
                  <w:pPr>
                    <w:pStyle w:val="36"/>
                    <w:adjustRightInd w:val="0"/>
                    <w:snapToGrid w:val="0"/>
                    <w:spacing w:before="0" w:beforeAutospacing="0" w:after="0" w:afterAutospacing="0" w:line="240" w:lineRule="auto"/>
                    <w:jc w:val="center"/>
                    <w:rPr>
                      <w:rFonts w:ascii="Times New Roman" w:hAnsi="Times New Roman"/>
                      <w:color w:val="auto"/>
                      <w:sz w:val="21"/>
                      <w:szCs w:val="21"/>
                    </w:rPr>
                  </w:pPr>
                  <w:r>
                    <w:rPr>
                      <w:rFonts w:ascii="Times New Roman" w:hAnsi="Times New Roman"/>
                      <w:snapToGrid w:val="0"/>
                      <w:color w:val="auto"/>
                      <w:sz w:val="21"/>
                      <w:szCs w:val="21"/>
                    </w:rPr>
                    <w:t>防渗层采用抗渗混凝土，其防渗性能应至少相当于渗透系数为1.0×10</w:t>
                  </w:r>
                  <w:r>
                    <w:rPr>
                      <w:rFonts w:ascii="Times New Roman" w:hAnsi="Times New Roman"/>
                      <w:snapToGrid w:val="0"/>
                      <w:color w:val="auto"/>
                      <w:sz w:val="21"/>
                      <w:szCs w:val="21"/>
                      <w:vertAlign w:val="superscript"/>
                    </w:rPr>
                    <w:t>-5</w:t>
                  </w:r>
                  <w:r>
                    <w:rPr>
                      <w:rFonts w:ascii="Times New Roman" w:hAnsi="Times New Roman"/>
                      <w:snapToGrid w:val="0"/>
                      <w:color w:val="auto"/>
                      <w:sz w:val="21"/>
                      <w:szCs w:val="21"/>
                    </w:rPr>
                    <w:t>cm/s且厚度为0.75m的天然基础层</w:t>
                  </w:r>
                </w:p>
              </w:tc>
            </w:tr>
            <w:tr w14:paraId="7D525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54" w:type="dxa"/>
                  <w:tcBorders>
                    <w:tl2br w:val="nil"/>
                    <w:tr2bl w:val="nil"/>
                  </w:tcBorders>
                  <w:vAlign w:val="center"/>
                </w:tcPr>
                <w:p w14:paraId="003097B0">
                  <w:pPr>
                    <w:spacing w:line="240" w:lineRule="auto"/>
                    <w:jc w:val="center"/>
                    <w:rPr>
                      <w:color w:val="auto"/>
                      <w:kern w:val="0"/>
                      <w:sz w:val="20"/>
                      <w:szCs w:val="20"/>
                    </w:rPr>
                  </w:pPr>
                  <w:r>
                    <w:rPr>
                      <w:snapToGrid w:val="0"/>
                      <w:color w:val="auto"/>
                      <w:kern w:val="0"/>
                      <w:szCs w:val="21"/>
                    </w:rPr>
                    <w:t>重点防渗区</w:t>
                  </w:r>
                </w:p>
              </w:tc>
              <w:tc>
                <w:tcPr>
                  <w:tcW w:w="2068" w:type="dxa"/>
                  <w:tcBorders>
                    <w:tl2br w:val="nil"/>
                    <w:tr2bl w:val="nil"/>
                  </w:tcBorders>
                  <w:vAlign w:val="center"/>
                </w:tcPr>
                <w:p w14:paraId="6337EBB7">
                  <w:pPr>
                    <w:spacing w:line="240" w:lineRule="auto"/>
                    <w:ind w:right="40"/>
                    <w:jc w:val="center"/>
                    <w:rPr>
                      <w:color w:val="auto"/>
                      <w:kern w:val="0"/>
                      <w:szCs w:val="21"/>
                    </w:rPr>
                  </w:pPr>
                  <w:r>
                    <w:rPr>
                      <w:snapToGrid w:val="0"/>
                      <w:color w:val="auto"/>
                      <w:kern w:val="0"/>
                      <w:szCs w:val="21"/>
                    </w:rPr>
                    <w:t>危险废物</w:t>
                  </w:r>
                  <w:r>
                    <w:rPr>
                      <w:rFonts w:hint="eastAsia"/>
                      <w:snapToGrid w:val="0"/>
                      <w:color w:val="auto"/>
                      <w:kern w:val="0"/>
                      <w:szCs w:val="21"/>
                    </w:rPr>
                    <w:t>间、化学品储存仓库</w:t>
                  </w:r>
                </w:p>
              </w:tc>
              <w:tc>
                <w:tcPr>
                  <w:tcW w:w="4802" w:type="dxa"/>
                  <w:tcBorders>
                    <w:tl2br w:val="nil"/>
                    <w:tr2bl w:val="nil"/>
                  </w:tcBorders>
                  <w:vAlign w:val="center"/>
                </w:tcPr>
                <w:p w14:paraId="735AAED6">
                  <w:pPr>
                    <w:pStyle w:val="36"/>
                    <w:adjustRightInd w:val="0"/>
                    <w:snapToGrid w:val="0"/>
                    <w:spacing w:before="0" w:beforeAutospacing="0" w:after="0" w:afterAutospacing="0" w:line="240" w:lineRule="auto"/>
                    <w:jc w:val="center"/>
                    <w:rPr>
                      <w:rFonts w:ascii="Times New Roman" w:hAnsi="Times New Roman"/>
                      <w:snapToGrid w:val="0"/>
                      <w:color w:val="auto"/>
                      <w:sz w:val="21"/>
                      <w:szCs w:val="21"/>
                    </w:rPr>
                  </w:pPr>
                  <w:r>
                    <w:rPr>
                      <w:rFonts w:ascii="Times New Roman" w:hAnsi="Times New Roman"/>
                      <w:snapToGrid w:val="0"/>
                      <w:color w:val="auto"/>
                      <w:sz w:val="21"/>
                      <w:szCs w:val="21"/>
                    </w:rPr>
                    <w:t>地面做基础防渗处理，防渗层为至少1米厚粘土</w:t>
                  </w:r>
                </w:p>
                <w:p w14:paraId="78F22A6B">
                  <w:pPr>
                    <w:pStyle w:val="36"/>
                    <w:adjustRightInd w:val="0"/>
                    <w:snapToGrid w:val="0"/>
                    <w:spacing w:before="0" w:beforeAutospacing="0" w:after="0" w:afterAutospacing="0" w:line="240" w:lineRule="auto"/>
                    <w:jc w:val="center"/>
                    <w:rPr>
                      <w:rFonts w:ascii="Times New Roman" w:hAnsi="Times New Roman"/>
                      <w:color w:val="auto"/>
                      <w:sz w:val="21"/>
                      <w:szCs w:val="21"/>
                    </w:rPr>
                  </w:pPr>
                  <w:r>
                    <w:rPr>
                      <w:rFonts w:ascii="Times New Roman" w:hAnsi="Times New Roman"/>
                      <w:snapToGrid w:val="0"/>
                      <w:color w:val="auto"/>
                      <w:sz w:val="21"/>
                      <w:szCs w:val="21"/>
                    </w:rPr>
                    <w:t>层（渗透系数≤10</w:t>
                  </w:r>
                  <w:r>
                    <w:rPr>
                      <w:rFonts w:ascii="Times New Roman" w:hAnsi="Times New Roman"/>
                      <w:snapToGrid w:val="0"/>
                      <w:color w:val="auto"/>
                      <w:sz w:val="21"/>
                      <w:szCs w:val="21"/>
                      <w:vertAlign w:val="superscript"/>
                    </w:rPr>
                    <w:t>-7</w:t>
                  </w:r>
                  <w:r>
                    <w:rPr>
                      <w:rFonts w:ascii="Times New Roman" w:hAnsi="Times New Roman"/>
                      <w:snapToGrid w:val="0"/>
                      <w:color w:val="auto"/>
                      <w:sz w:val="21"/>
                      <w:szCs w:val="21"/>
                    </w:rPr>
                    <w:t>cm/s），或2mm厚高密度聚乙烯，或至少2mm厚道其他人工材料，渗透系数≤1.0</w:t>
                  </w:r>
                  <w:r>
                    <w:rPr>
                      <w:rFonts w:ascii="Times New Roman" w:hAnsi="Times New Roman"/>
                      <w:snapToGrid w:val="0"/>
                      <w:color w:val="auto"/>
                      <w:sz w:val="21"/>
                      <w:szCs w:val="21"/>
                      <w:vertAlign w:val="superscript"/>
                    </w:rPr>
                    <w:t>-10</w:t>
                  </w:r>
                  <w:r>
                    <w:rPr>
                      <w:rFonts w:ascii="Times New Roman" w:hAnsi="Times New Roman"/>
                      <w:snapToGrid w:val="0"/>
                      <w:color w:val="auto"/>
                      <w:sz w:val="21"/>
                      <w:szCs w:val="21"/>
                    </w:rPr>
                    <w:t>cm/s</w:t>
                  </w:r>
                </w:p>
              </w:tc>
            </w:tr>
          </w:tbl>
          <w:p w14:paraId="5A5E9AE8">
            <w:pPr>
              <w:pStyle w:val="189"/>
              <w:spacing w:line="360" w:lineRule="auto"/>
              <w:ind w:firstLine="480"/>
              <w:rPr>
                <w:color w:val="auto"/>
                <w:sz w:val="24"/>
              </w:rPr>
            </w:pPr>
            <w:r>
              <w:rPr>
                <w:color w:val="auto"/>
                <w:sz w:val="24"/>
              </w:rPr>
              <w:t>建设单位这些措施落实后，本项目建成后所使用的原料、产生的固体废物渗入地下水概率极小，对地下水</w:t>
            </w:r>
            <w:r>
              <w:rPr>
                <w:rFonts w:hint="eastAsia"/>
                <w:color w:val="auto"/>
                <w:sz w:val="24"/>
                <w:lang w:eastAsia="zh-CN"/>
              </w:rPr>
              <w:t>影响不大</w:t>
            </w:r>
            <w:r>
              <w:rPr>
                <w:color w:val="auto"/>
                <w:sz w:val="24"/>
              </w:rPr>
              <w:t>。</w:t>
            </w:r>
          </w:p>
          <w:p w14:paraId="7A698D45">
            <w:pPr>
              <w:pStyle w:val="189"/>
              <w:spacing w:line="360" w:lineRule="auto"/>
              <w:ind w:firstLine="480"/>
              <w:rPr>
                <w:color w:val="auto"/>
                <w:sz w:val="24"/>
              </w:rPr>
            </w:pPr>
            <w:r>
              <w:rPr>
                <w:color w:val="auto"/>
                <w:sz w:val="24"/>
              </w:rPr>
              <w:t>综上所述，本项目营运期基本不会对地下水水质造成影响。</w:t>
            </w:r>
          </w:p>
          <w:p w14:paraId="3E5D8BD9">
            <w:pPr>
              <w:pStyle w:val="189"/>
              <w:spacing w:line="360" w:lineRule="auto"/>
              <w:ind w:firstLine="482"/>
              <w:rPr>
                <w:b/>
                <w:bCs/>
                <w:color w:val="auto"/>
                <w:sz w:val="24"/>
              </w:rPr>
            </w:pPr>
            <w:r>
              <w:rPr>
                <w:b/>
                <w:bCs/>
                <w:color w:val="auto"/>
                <w:sz w:val="24"/>
              </w:rPr>
              <w:t>2、土壤</w:t>
            </w:r>
          </w:p>
          <w:p w14:paraId="25CAE05F">
            <w:pPr>
              <w:pStyle w:val="189"/>
              <w:spacing w:line="360" w:lineRule="auto"/>
              <w:ind w:firstLine="480"/>
              <w:rPr>
                <w:color w:val="auto"/>
                <w:sz w:val="24"/>
              </w:rPr>
            </w:pPr>
            <w:r>
              <w:rPr>
                <w:color w:val="auto"/>
                <w:sz w:val="24"/>
              </w:rPr>
              <w:t>根据《关于印发〈建设项目环境影响报告表〉内容、格式及编制技术指南的通知》（环办环评〔2020〕33号），本项目土壤环境不需要开展专项评价。</w:t>
            </w:r>
          </w:p>
          <w:p w14:paraId="730E5C7F">
            <w:pPr>
              <w:pStyle w:val="189"/>
              <w:spacing w:line="360" w:lineRule="auto"/>
              <w:ind w:firstLine="482"/>
              <w:rPr>
                <w:b/>
                <w:bCs/>
                <w:color w:val="auto"/>
                <w:sz w:val="24"/>
              </w:rPr>
            </w:pPr>
            <w:r>
              <w:rPr>
                <w:b/>
                <w:bCs/>
                <w:color w:val="auto"/>
                <w:sz w:val="24"/>
              </w:rPr>
              <w:t>（1）项目对土壤可能造成污染的途径</w:t>
            </w:r>
          </w:p>
          <w:p w14:paraId="08FF78FD">
            <w:pPr>
              <w:pStyle w:val="189"/>
              <w:spacing w:line="360" w:lineRule="auto"/>
              <w:ind w:firstLine="480"/>
              <w:rPr>
                <w:color w:val="auto"/>
                <w:sz w:val="24"/>
              </w:rPr>
            </w:pPr>
            <w:r>
              <w:rPr>
                <w:color w:val="auto"/>
                <w:sz w:val="24"/>
              </w:rPr>
              <w:t>本项目可能造成土壤污染的物质为废机油。项目生产车间地面拟采取全面硬底化处理，本项目不涉及储罐、危险化学品管线铺设，减少垂直入渗土壤污染风险。</w:t>
            </w:r>
          </w:p>
          <w:p w14:paraId="4BD13755">
            <w:pPr>
              <w:pStyle w:val="189"/>
              <w:spacing w:line="360" w:lineRule="auto"/>
              <w:ind w:firstLine="482"/>
              <w:rPr>
                <w:b/>
                <w:bCs/>
                <w:color w:val="auto"/>
                <w:sz w:val="24"/>
              </w:rPr>
            </w:pPr>
            <w:r>
              <w:rPr>
                <w:b/>
                <w:bCs/>
                <w:color w:val="auto"/>
                <w:sz w:val="24"/>
              </w:rPr>
              <w:t>（2）土壤污染防治措施</w:t>
            </w:r>
          </w:p>
          <w:p w14:paraId="3444A546">
            <w:pPr>
              <w:pStyle w:val="189"/>
              <w:spacing w:line="360" w:lineRule="auto"/>
              <w:ind w:firstLine="480"/>
              <w:rPr>
                <w:color w:val="auto"/>
                <w:sz w:val="24"/>
              </w:rPr>
            </w:pPr>
            <w:r>
              <w:rPr>
                <w:color w:val="auto"/>
                <w:sz w:val="24"/>
              </w:rPr>
              <w:t>本项目危险废物仓库严格按照《危险废物贮存污染控制标准》（GB18597-2023）、《环境保护图形标志、固体废物贮存（处置）场》（GB15562.2-1995及2023修改单）及《危险废物收集 贮存 运输技术规范》（HJ2025-2012）的有关规定建设，地面做基础防渗处理，防渗层为至少1米厚粘土层（渗透系数≤10</w:t>
            </w:r>
            <w:r>
              <w:rPr>
                <w:color w:val="auto"/>
                <w:sz w:val="24"/>
                <w:vertAlign w:val="superscript"/>
              </w:rPr>
              <w:t>-7</w:t>
            </w:r>
            <w:r>
              <w:rPr>
                <w:color w:val="auto"/>
                <w:sz w:val="24"/>
              </w:rPr>
              <w:t>cm/s），或2mm厚高密度聚乙烯，或至少2mm厚道其他人工材料，渗透系数≤1.0</w:t>
            </w:r>
            <w:r>
              <w:rPr>
                <w:color w:val="auto"/>
                <w:sz w:val="24"/>
                <w:vertAlign w:val="superscript"/>
              </w:rPr>
              <w:t>-10</w:t>
            </w:r>
            <w:r>
              <w:rPr>
                <w:color w:val="auto"/>
                <w:sz w:val="24"/>
              </w:rPr>
              <w:t>cm/s，正常情况下项目产生的污染物也不会入渗土壤环境。</w:t>
            </w:r>
          </w:p>
          <w:p w14:paraId="48854FC3">
            <w:pPr>
              <w:pStyle w:val="189"/>
              <w:spacing w:line="360" w:lineRule="auto"/>
              <w:ind w:firstLine="480"/>
              <w:rPr>
                <w:color w:val="auto"/>
                <w:sz w:val="24"/>
              </w:rPr>
            </w:pPr>
            <w:r>
              <w:rPr>
                <w:color w:val="auto"/>
                <w:sz w:val="24"/>
              </w:rPr>
              <w:t>本项目危险废物统一收集后交由有危废处理资质的单位处理；危险废物仓库须有耐腐蚀的地面防渗，且表面无裂痕，避免产生地面漫流土壤污染途径。</w:t>
            </w:r>
          </w:p>
          <w:p w14:paraId="3D51C3CE">
            <w:pPr>
              <w:pStyle w:val="189"/>
              <w:spacing w:line="360" w:lineRule="auto"/>
              <w:ind w:firstLine="480"/>
              <w:rPr>
                <w:color w:val="auto"/>
                <w:sz w:val="24"/>
              </w:rPr>
            </w:pPr>
            <w:r>
              <w:rPr>
                <w:color w:val="auto"/>
                <w:sz w:val="24"/>
              </w:rPr>
              <w:t>采取上述措施后，本项目营运期基本不会对土壤环境造成影响。</w:t>
            </w:r>
          </w:p>
          <w:p w14:paraId="04D1991F">
            <w:pPr>
              <w:pStyle w:val="189"/>
              <w:spacing w:line="360" w:lineRule="auto"/>
              <w:ind w:firstLine="482"/>
              <w:rPr>
                <w:b/>
                <w:bCs/>
                <w:color w:val="auto"/>
                <w:sz w:val="24"/>
              </w:rPr>
            </w:pPr>
            <w:r>
              <w:rPr>
                <w:b/>
                <w:bCs/>
                <w:color w:val="auto"/>
                <w:sz w:val="24"/>
              </w:rPr>
              <w:t>3、跟踪监测</w:t>
            </w:r>
          </w:p>
          <w:p w14:paraId="77EBE139">
            <w:pPr>
              <w:pStyle w:val="189"/>
              <w:spacing w:line="360" w:lineRule="auto"/>
              <w:ind w:firstLine="480"/>
              <w:rPr>
                <w:color w:val="auto"/>
                <w:sz w:val="24"/>
              </w:rPr>
            </w:pPr>
            <w:r>
              <w:rPr>
                <w:color w:val="auto"/>
                <w:sz w:val="24"/>
              </w:rPr>
              <w:t>本项目对一般工业固废仓库、生产车间的防渗层采用抗渗混凝土，对危险废物仓库地面做基础防渗处理。采取上述防渗措施后，本项目营运期基本不会对地下水水质、土壤环境造成影响，不再布设跟踪监测点。</w:t>
            </w:r>
          </w:p>
          <w:p w14:paraId="2F2C32EE">
            <w:pPr>
              <w:pStyle w:val="189"/>
              <w:spacing w:line="360" w:lineRule="auto"/>
              <w:ind w:firstLine="482"/>
              <w:rPr>
                <w:b/>
                <w:bCs/>
                <w:color w:val="auto"/>
                <w:sz w:val="24"/>
              </w:rPr>
            </w:pPr>
            <w:r>
              <w:rPr>
                <w:b/>
                <w:bCs/>
                <w:color w:val="auto"/>
                <w:sz w:val="24"/>
              </w:rPr>
              <w:t>（六）生态环境</w:t>
            </w:r>
          </w:p>
          <w:p w14:paraId="4DAAAB9A">
            <w:pPr>
              <w:pStyle w:val="189"/>
              <w:spacing w:line="360" w:lineRule="auto"/>
              <w:ind w:firstLine="480"/>
              <w:rPr>
                <w:color w:val="auto"/>
                <w:sz w:val="24"/>
              </w:rPr>
            </w:pPr>
            <w:r>
              <w:rPr>
                <w:color w:val="auto"/>
                <w:sz w:val="24"/>
              </w:rPr>
              <w:t>本项目位于阳江市阳东区东城镇那味工业区那金三路3号，位于工业聚集区，周边无生态环境保护目标，因此，不开展生态环境现状调查。</w:t>
            </w:r>
          </w:p>
          <w:p w14:paraId="2786164D">
            <w:pPr>
              <w:pStyle w:val="189"/>
              <w:spacing w:line="360" w:lineRule="auto"/>
              <w:ind w:firstLine="482"/>
              <w:rPr>
                <w:b/>
                <w:bCs/>
                <w:color w:val="auto"/>
                <w:sz w:val="24"/>
              </w:rPr>
            </w:pPr>
            <w:r>
              <w:rPr>
                <w:b/>
                <w:bCs/>
                <w:color w:val="auto"/>
                <w:sz w:val="24"/>
              </w:rPr>
              <w:t>（七）环境风险分析</w:t>
            </w:r>
          </w:p>
          <w:p w14:paraId="5E125C44">
            <w:pPr>
              <w:pStyle w:val="189"/>
              <w:spacing w:line="360" w:lineRule="auto"/>
              <w:ind w:firstLine="480"/>
              <w:rPr>
                <w:color w:val="auto"/>
                <w:sz w:val="24"/>
              </w:rPr>
            </w:pPr>
            <w:r>
              <w:rPr>
                <w:color w:val="auto"/>
                <w:sz w:val="24"/>
              </w:rPr>
              <w:t>根据《关于印发〈建设项目环境影响报告表〉内容、格式及编制技术指南的通知》（环办环评〔2020〕33号），项目需要明确有毒有害和易燃易爆等危险物质和风险源分布情况及可能影响途径，并提出相应环境风险防范措施。</w:t>
            </w:r>
          </w:p>
          <w:p w14:paraId="016A83CF">
            <w:pPr>
              <w:pStyle w:val="189"/>
              <w:spacing w:line="360" w:lineRule="auto"/>
              <w:ind w:firstLine="480"/>
              <w:rPr>
                <w:color w:val="auto"/>
                <w:sz w:val="24"/>
              </w:rPr>
            </w:pPr>
            <w:r>
              <w:rPr>
                <w:color w:val="auto"/>
                <w:sz w:val="24"/>
              </w:rPr>
              <w:t>《建设项目环境风险评价技术导则》（HJ169-2018）其适用范围为：本标准适用于涉及有毒有害和易燃易爆危险物质生产、使用、储存（包括使用管线运输）的建设项目可能发生的突发性事故（不包括人为破坏及自然灾害引发的事故）的环境风险评价；对于有特定行业环境风险评价技术规范要求的建设项目，本标准规定的一般性原则适用。</w:t>
            </w:r>
          </w:p>
          <w:p w14:paraId="6E4F4D46">
            <w:pPr>
              <w:pStyle w:val="189"/>
              <w:spacing w:line="360" w:lineRule="auto"/>
              <w:ind w:firstLine="482"/>
              <w:rPr>
                <w:b/>
                <w:bCs/>
                <w:color w:val="auto"/>
                <w:sz w:val="24"/>
              </w:rPr>
            </w:pPr>
            <w:r>
              <w:rPr>
                <w:b/>
                <w:bCs/>
                <w:color w:val="auto"/>
                <w:sz w:val="24"/>
              </w:rPr>
              <w:t>1、环境风险评价的目</w:t>
            </w:r>
          </w:p>
          <w:p w14:paraId="735475A8">
            <w:pPr>
              <w:pStyle w:val="189"/>
              <w:spacing w:line="360" w:lineRule="auto"/>
              <w:ind w:firstLine="480"/>
              <w:rPr>
                <w:color w:val="auto"/>
                <w:sz w:val="24"/>
              </w:rPr>
            </w:pPr>
            <w:r>
              <w:rPr>
                <w:color w:val="auto"/>
                <w:sz w:val="24"/>
              </w:rPr>
              <w:t>根据国家环保部《关于防范环境风险加强环境影响评价管理》（环发〔2012〕77号）中的要求和本项目的具体特点，本次评价通过对原材料贮存发生事故后果的风险分析，识别其潜在的环境风险，加强环境保护管理，将危险性事故对环境的影响减少到最低限度，以达到降低风险至可接受的级别、减轻危害程度和保护环境的目的。</w:t>
            </w:r>
          </w:p>
          <w:p w14:paraId="0A32A3BF">
            <w:pPr>
              <w:pStyle w:val="189"/>
              <w:spacing w:line="360" w:lineRule="auto"/>
              <w:ind w:firstLine="482"/>
              <w:rPr>
                <w:b/>
                <w:bCs/>
                <w:color w:val="auto"/>
                <w:sz w:val="24"/>
              </w:rPr>
            </w:pPr>
            <w:r>
              <w:rPr>
                <w:b/>
                <w:bCs/>
                <w:color w:val="auto"/>
                <w:sz w:val="24"/>
              </w:rPr>
              <w:t>2、环境风险评价等级的确定</w:t>
            </w:r>
          </w:p>
          <w:p w14:paraId="53C097A6">
            <w:pPr>
              <w:pStyle w:val="189"/>
              <w:spacing w:line="360" w:lineRule="auto"/>
              <w:ind w:firstLine="480"/>
              <w:rPr>
                <w:color w:val="auto"/>
                <w:sz w:val="24"/>
              </w:rPr>
            </w:pPr>
            <w:r>
              <w:rPr>
                <w:color w:val="auto"/>
                <w:sz w:val="24"/>
              </w:rPr>
              <w:t>根据《建设项目环境风险评价技术导则》（HJ169-2018）附录C危险物质及工艺系统危险性（P）的分级规定，危险物质数量与临界量比值（Q）计算公式如下：</w:t>
            </w:r>
          </w:p>
          <w:p w14:paraId="1E869D2A">
            <w:pPr>
              <w:pStyle w:val="189"/>
              <w:spacing w:line="360" w:lineRule="auto"/>
              <w:ind w:firstLine="480"/>
              <w:rPr>
                <w:color w:val="auto"/>
                <w:sz w:val="24"/>
              </w:rPr>
            </w:pPr>
            <w:r>
              <w:rPr>
                <w:color w:val="auto"/>
                <w:sz w:val="24"/>
              </w:rPr>
              <w:drawing>
                <wp:inline distT="0" distB="0" distL="0" distR="0">
                  <wp:extent cx="1333500" cy="450850"/>
                  <wp:effectExtent l="0" t="0" r="0" b="0"/>
                  <wp:docPr id="16" name="图片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7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333500" cy="450850"/>
                          </a:xfrm>
                          <a:prstGeom prst="rect">
                            <a:avLst/>
                          </a:prstGeom>
                          <a:noFill/>
                          <a:ln>
                            <a:noFill/>
                          </a:ln>
                        </pic:spPr>
                      </pic:pic>
                    </a:graphicData>
                  </a:graphic>
                </wp:inline>
              </w:drawing>
            </w:r>
          </w:p>
          <w:p w14:paraId="2D481047">
            <w:pPr>
              <w:pStyle w:val="189"/>
              <w:spacing w:line="360" w:lineRule="auto"/>
              <w:ind w:firstLine="480"/>
              <w:rPr>
                <w:color w:val="auto"/>
                <w:sz w:val="24"/>
              </w:rPr>
            </w:pPr>
            <w:r>
              <w:rPr>
                <w:color w:val="auto"/>
                <w:sz w:val="24"/>
              </w:rPr>
              <w:t>式中：q</w:t>
            </w:r>
            <w:r>
              <w:rPr>
                <w:color w:val="auto"/>
                <w:sz w:val="24"/>
                <w:vertAlign w:val="subscript"/>
              </w:rPr>
              <w:t>1</w:t>
            </w:r>
            <w:r>
              <w:rPr>
                <w:color w:val="auto"/>
                <w:sz w:val="24"/>
              </w:rPr>
              <w:t>，q</w:t>
            </w:r>
            <w:r>
              <w:rPr>
                <w:color w:val="auto"/>
                <w:sz w:val="24"/>
                <w:vertAlign w:val="subscript"/>
              </w:rPr>
              <w:t>2</w:t>
            </w:r>
            <w:r>
              <w:rPr>
                <w:color w:val="auto"/>
                <w:sz w:val="24"/>
              </w:rPr>
              <w:t>，…，q</w:t>
            </w:r>
            <w:r>
              <w:rPr>
                <w:color w:val="auto"/>
                <w:sz w:val="24"/>
                <w:vertAlign w:val="subscript"/>
              </w:rPr>
              <w:t>n</w:t>
            </w:r>
            <w:r>
              <w:rPr>
                <w:color w:val="auto"/>
                <w:sz w:val="24"/>
              </w:rPr>
              <w:t>—每种环境风险物质的最大存在总量，t。</w:t>
            </w:r>
          </w:p>
          <w:p w14:paraId="40A53A3A">
            <w:pPr>
              <w:pStyle w:val="189"/>
              <w:spacing w:line="360" w:lineRule="auto"/>
              <w:ind w:firstLine="480"/>
              <w:rPr>
                <w:color w:val="auto"/>
                <w:sz w:val="24"/>
              </w:rPr>
            </w:pPr>
            <w:r>
              <w:rPr>
                <w:color w:val="auto"/>
                <w:sz w:val="24"/>
              </w:rPr>
              <w:t>Q</w:t>
            </w:r>
            <w:r>
              <w:rPr>
                <w:color w:val="auto"/>
                <w:sz w:val="24"/>
                <w:vertAlign w:val="subscript"/>
              </w:rPr>
              <w:t>1</w:t>
            </w:r>
            <w:r>
              <w:rPr>
                <w:color w:val="auto"/>
                <w:sz w:val="24"/>
              </w:rPr>
              <w:t>，Q</w:t>
            </w:r>
            <w:r>
              <w:rPr>
                <w:color w:val="auto"/>
                <w:sz w:val="24"/>
                <w:vertAlign w:val="subscript"/>
              </w:rPr>
              <w:t>2</w:t>
            </w:r>
            <w:r>
              <w:rPr>
                <w:color w:val="auto"/>
                <w:sz w:val="24"/>
              </w:rPr>
              <w:t>，…，Q</w:t>
            </w:r>
            <w:r>
              <w:rPr>
                <w:color w:val="auto"/>
                <w:sz w:val="24"/>
                <w:vertAlign w:val="subscript"/>
              </w:rPr>
              <w:t>n</w:t>
            </w:r>
            <w:r>
              <w:rPr>
                <w:color w:val="auto"/>
                <w:sz w:val="24"/>
              </w:rPr>
              <w:t>—每种环境风险物质相对应的临界量，t。</w:t>
            </w:r>
          </w:p>
          <w:p w14:paraId="1DB79305">
            <w:pPr>
              <w:pStyle w:val="189"/>
              <w:spacing w:line="360" w:lineRule="auto"/>
              <w:ind w:firstLine="480"/>
              <w:rPr>
                <w:color w:val="auto"/>
                <w:sz w:val="24"/>
              </w:rPr>
            </w:pPr>
            <w:r>
              <w:rPr>
                <w:color w:val="auto"/>
                <w:sz w:val="24"/>
              </w:rPr>
              <w:t>当Q＜1时，该项目环境风险潜势为Ⅰ。</w:t>
            </w:r>
          </w:p>
          <w:p w14:paraId="268FF964">
            <w:pPr>
              <w:pStyle w:val="189"/>
              <w:spacing w:line="360" w:lineRule="auto"/>
              <w:ind w:firstLine="480"/>
              <w:rPr>
                <w:color w:val="auto"/>
                <w:sz w:val="24"/>
              </w:rPr>
            </w:pPr>
            <w:r>
              <w:rPr>
                <w:color w:val="auto"/>
                <w:sz w:val="24"/>
              </w:rPr>
              <w:t>当1≤Q时，将Q值划分为：（1）1≤Q＜10，（2）10≤Q＜100，（3）Q≥100。</w:t>
            </w:r>
          </w:p>
          <w:p w14:paraId="7C5F2B3F">
            <w:pPr>
              <w:pStyle w:val="189"/>
              <w:spacing w:line="360" w:lineRule="auto"/>
              <w:ind w:firstLine="480"/>
              <w:rPr>
                <w:color w:val="auto"/>
                <w:sz w:val="24"/>
              </w:rPr>
            </w:pPr>
            <w:r>
              <w:rPr>
                <w:color w:val="auto"/>
                <w:sz w:val="24"/>
              </w:rPr>
              <w:t>根据《建设项目环境风险评价技术导则》（HJ169-2018）附录B及《危险化学品重大危险源辨识》（GB18218-2018），企业涉及的环境风险物质如下：</w:t>
            </w:r>
          </w:p>
          <w:p w14:paraId="6A0AF962">
            <w:pPr>
              <w:pStyle w:val="189"/>
              <w:spacing w:line="240" w:lineRule="auto"/>
              <w:ind w:firstLine="0" w:firstLineChars="0"/>
              <w:jc w:val="center"/>
              <w:rPr>
                <w:b/>
                <w:bCs/>
                <w:color w:val="auto"/>
                <w:szCs w:val="21"/>
              </w:rPr>
            </w:pPr>
            <w:r>
              <w:rPr>
                <w:b/>
                <w:bCs/>
                <w:color w:val="auto"/>
                <w:szCs w:val="21"/>
              </w:rPr>
              <w:t>表4-2</w:t>
            </w:r>
            <w:r>
              <w:rPr>
                <w:rFonts w:hint="eastAsia"/>
                <w:b/>
                <w:bCs/>
                <w:color w:val="auto"/>
                <w:szCs w:val="21"/>
                <w:lang w:val="en-US" w:eastAsia="zh-CN"/>
              </w:rPr>
              <w:t>3</w:t>
            </w:r>
            <w:r>
              <w:rPr>
                <w:b/>
                <w:bCs/>
                <w:color w:val="auto"/>
                <w:szCs w:val="21"/>
              </w:rPr>
              <w:t xml:space="preserve"> </w:t>
            </w:r>
            <w:r>
              <w:rPr>
                <w:rFonts w:hint="eastAsia"/>
                <w:b/>
                <w:bCs/>
                <w:color w:val="auto"/>
                <w:szCs w:val="21"/>
                <w:lang w:val="en-US" w:eastAsia="zh-CN"/>
              </w:rPr>
              <w:t>本改建项目</w:t>
            </w:r>
            <w:r>
              <w:rPr>
                <w:b/>
                <w:bCs/>
                <w:color w:val="auto"/>
                <w:szCs w:val="21"/>
              </w:rPr>
              <w:t>各风险物质临界量、存储量情况</w:t>
            </w:r>
          </w:p>
          <w:tbl>
            <w:tblPr>
              <w:tblStyle w:val="42"/>
              <w:tblW w:w="494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3"/>
              <w:gridCol w:w="1536"/>
              <w:gridCol w:w="2069"/>
              <w:gridCol w:w="1873"/>
              <w:gridCol w:w="1662"/>
              <w:gridCol w:w="1393"/>
            </w:tblGrid>
            <w:tr w14:paraId="59C1E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674" w:type="dxa"/>
                  <w:tcBorders>
                    <w:tl2br w:val="nil"/>
                    <w:tr2bl w:val="nil"/>
                  </w:tcBorders>
                  <w:vAlign w:val="center"/>
                </w:tcPr>
                <w:p w14:paraId="420E1B37">
                  <w:pPr>
                    <w:pStyle w:val="54"/>
                    <w:spacing w:line="240" w:lineRule="auto"/>
                    <w:jc w:val="center"/>
                    <w:rPr>
                      <w:rFonts w:eastAsia="宋体"/>
                      <w:b/>
                      <w:color w:val="auto"/>
                      <w:szCs w:val="21"/>
                    </w:rPr>
                  </w:pPr>
                  <w:r>
                    <w:rPr>
                      <w:rFonts w:eastAsia="宋体"/>
                      <w:b/>
                      <w:color w:val="auto"/>
                      <w:szCs w:val="21"/>
                    </w:rPr>
                    <w:t>序号</w:t>
                  </w:r>
                </w:p>
              </w:tc>
              <w:tc>
                <w:tcPr>
                  <w:tcW w:w="1563" w:type="dxa"/>
                  <w:tcBorders>
                    <w:tl2br w:val="nil"/>
                    <w:tr2bl w:val="nil"/>
                  </w:tcBorders>
                  <w:vAlign w:val="center"/>
                </w:tcPr>
                <w:p w14:paraId="3236D510">
                  <w:pPr>
                    <w:pStyle w:val="54"/>
                    <w:spacing w:line="240" w:lineRule="auto"/>
                    <w:jc w:val="center"/>
                    <w:rPr>
                      <w:rFonts w:eastAsia="宋体"/>
                      <w:b/>
                      <w:color w:val="auto"/>
                      <w:szCs w:val="21"/>
                    </w:rPr>
                  </w:pPr>
                  <w:r>
                    <w:rPr>
                      <w:rFonts w:eastAsia="宋体"/>
                      <w:b/>
                      <w:color w:val="auto"/>
                      <w:szCs w:val="21"/>
                    </w:rPr>
                    <w:t>风险物质名称</w:t>
                  </w:r>
                </w:p>
              </w:tc>
              <w:tc>
                <w:tcPr>
                  <w:tcW w:w="2106" w:type="dxa"/>
                  <w:tcBorders>
                    <w:tl2br w:val="nil"/>
                    <w:tr2bl w:val="nil"/>
                  </w:tcBorders>
                  <w:vAlign w:val="center"/>
                </w:tcPr>
                <w:p w14:paraId="7C98969C">
                  <w:pPr>
                    <w:pStyle w:val="54"/>
                    <w:spacing w:line="240" w:lineRule="auto"/>
                    <w:jc w:val="center"/>
                    <w:rPr>
                      <w:rFonts w:eastAsia="宋体"/>
                      <w:b/>
                      <w:color w:val="auto"/>
                      <w:szCs w:val="21"/>
                    </w:rPr>
                  </w:pPr>
                  <w:r>
                    <w:rPr>
                      <w:rFonts w:eastAsia="宋体"/>
                      <w:b/>
                      <w:color w:val="auto"/>
                      <w:szCs w:val="21"/>
                    </w:rPr>
                    <w:t>CAS号</w:t>
                  </w:r>
                </w:p>
              </w:tc>
              <w:tc>
                <w:tcPr>
                  <w:tcW w:w="1907" w:type="dxa"/>
                  <w:tcBorders>
                    <w:tl2br w:val="nil"/>
                    <w:tr2bl w:val="nil"/>
                  </w:tcBorders>
                  <w:vAlign w:val="center"/>
                </w:tcPr>
                <w:p w14:paraId="04D6C9AC">
                  <w:pPr>
                    <w:pStyle w:val="54"/>
                    <w:spacing w:line="240" w:lineRule="auto"/>
                    <w:jc w:val="center"/>
                    <w:rPr>
                      <w:rFonts w:eastAsia="宋体"/>
                      <w:b/>
                      <w:color w:val="auto"/>
                      <w:szCs w:val="21"/>
                    </w:rPr>
                  </w:pPr>
                  <w:r>
                    <w:rPr>
                      <w:rFonts w:eastAsia="宋体"/>
                      <w:b/>
                      <w:color w:val="auto"/>
                      <w:szCs w:val="21"/>
                    </w:rPr>
                    <w:t>最大储存量（t）</w:t>
                  </w:r>
                </w:p>
              </w:tc>
              <w:tc>
                <w:tcPr>
                  <w:tcW w:w="1692" w:type="dxa"/>
                  <w:tcBorders>
                    <w:tl2br w:val="nil"/>
                    <w:tr2bl w:val="nil"/>
                  </w:tcBorders>
                  <w:vAlign w:val="center"/>
                </w:tcPr>
                <w:p w14:paraId="3F038DA5">
                  <w:pPr>
                    <w:pStyle w:val="54"/>
                    <w:spacing w:line="240" w:lineRule="auto"/>
                    <w:jc w:val="center"/>
                    <w:rPr>
                      <w:rFonts w:eastAsia="宋体"/>
                      <w:b/>
                      <w:color w:val="auto"/>
                      <w:szCs w:val="21"/>
                    </w:rPr>
                  </w:pPr>
                  <w:r>
                    <w:rPr>
                      <w:rFonts w:eastAsia="宋体"/>
                      <w:b/>
                      <w:color w:val="auto"/>
                      <w:szCs w:val="21"/>
                    </w:rPr>
                    <w:t>临界量（t）</w:t>
                  </w:r>
                </w:p>
              </w:tc>
              <w:tc>
                <w:tcPr>
                  <w:tcW w:w="1418" w:type="dxa"/>
                  <w:tcBorders>
                    <w:tl2br w:val="nil"/>
                    <w:tr2bl w:val="nil"/>
                  </w:tcBorders>
                  <w:vAlign w:val="center"/>
                </w:tcPr>
                <w:p w14:paraId="065DDBB2">
                  <w:pPr>
                    <w:pStyle w:val="54"/>
                    <w:spacing w:line="240" w:lineRule="auto"/>
                    <w:jc w:val="center"/>
                    <w:rPr>
                      <w:rFonts w:eastAsia="宋体"/>
                      <w:b/>
                      <w:color w:val="auto"/>
                      <w:szCs w:val="21"/>
                    </w:rPr>
                  </w:pPr>
                  <w:r>
                    <w:rPr>
                      <w:rFonts w:eastAsia="宋体"/>
                      <w:b/>
                      <w:color w:val="auto"/>
                      <w:szCs w:val="21"/>
                    </w:rPr>
                    <w:t>Q</w:t>
                  </w:r>
                </w:p>
              </w:tc>
            </w:tr>
            <w:tr w14:paraId="65C38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74" w:type="dxa"/>
                  <w:tcBorders>
                    <w:tl2br w:val="nil"/>
                    <w:tr2bl w:val="nil"/>
                  </w:tcBorders>
                  <w:vAlign w:val="center"/>
                </w:tcPr>
                <w:p w14:paraId="7F9E4E25">
                  <w:pPr>
                    <w:pStyle w:val="54"/>
                    <w:spacing w:line="240" w:lineRule="auto"/>
                    <w:jc w:val="center"/>
                    <w:rPr>
                      <w:rFonts w:eastAsia="宋体"/>
                      <w:bCs/>
                      <w:color w:val="auto"/>
                      <w:szCs w:val="21"/>
                    </w:rPr>
                  </w:pPr>
                  <w:r>
                    <w:rPr>
                      <w:rFonts w:eastAsia="宋体"/>
                      <w:bCs/>
                      <w:color w:val="auto"/>
                      <w:szCs w:val="21"/>
                    </w:rPr>
                    <w:t>1</w:t>
                  </w:r>
                </w:p>
              </w:tc>
              <w:tc>
                <w:tcPr>
                  <w:tcW w:w="1563" w:type="dxa"/>
                  <w:tcBorders>
                    <w:tl2br w:val="nil"/>
                    <w:tr2bl w:val="nil"/>
                  </w:tcBorders>
                  <w:vAlign w:val="center"/>
                </w:tcPr>
                <w:p w14:paraId="7728D3DB">
                  <w:pPr>
                    <w:pStyle w:val="54"/>
                    <w:spacing w:line="240" w:lineRule="auto"/>
                    <w:jc w:val="center"/>
                    <w:rPr>
                      <w:rFonts w:eastAsia="宋体"/>
                      <w:bCs/>
                      <w:color w:val="auto"/>
                      <w:szCs w:val="21"/>
                    </w:rPr>
                  </w:pPr>
                  <w:r>
                    <w:rPr>
                      <w:rFonts w:hint="eastAsia" w:eastAsia="宋体"/>
                      <w:bCs/>
                      <w:color w:val="auto"/>
                      <w:szCs w:val="21"/>
                    </w:rPr>
                    <w:t>稳定剂</w:t>
                  </w:r>
                </w:p>
              </w:tc>
              <w:tc>
                <w:tcPr>
                  <w:tcW w:w="2106" w:type="dxa"/>
                  <w:tcBorders>
                    <w:tl2br w:val="nil"/>
                    <w:tr2bl w:val="nil"/>
                  </w:tcBorders>
                  <w:vAlign w:val="center"/>
                </w:tcPr>
                <w:p w14:paraId="7454607B">
                  <w:pPr>
                    <w:pStyle w:val="54"/>
                    <w:spacing w:line="240" w:lineRule="auto"/>
                    <w:jc w:val="center"/>
                    <w:rPr>
                      <w:rFonts w:eastAsia="宋体"/>
                      <w:bCs/>
                      <w:color w:val="auto"/>
                      <w:szCs w:val="21"/>
                    </w:rPr>
                  </w:pPr>
                  <w:r>
                    <w:rPr>
                      <w:rFonts w:hint="eastAsia" w:eastAsia="宋体"/>
                      <w:bCs/>
                      <w:color w:val="auto"/>
                      <w:szCs w:val="21"/>
                    </w:rPr>
                    <w:t>111-76-2、80206-82-2</w:t>
                  </w:r>
                </w:p>
              </w:tc>
              <w:tc>
                <w:tcPr>
                  <w:tcW w:w="1907" w:type="dxa"/>
                  <w:tcBorders>
                    <w:tl2br w:val="nil"/>
                    <w:tr2bl w:val="nil"/>
                  </w:tcBorders>
                  <w:vAlign w:val="center"/>
                </w:tcPr>
                <w:p w14:paraId="64064C7C">
                  <w:pPr>
                    <w:pStyle w:val="54"/>
                    <w:spacing w:line="240" w:lineRule="auto"/>
                    <w:jc w:val="center"/>
                    <w:rPr>
                      <w:rFonts w:eastAsia="宋体"/>
                      <w:bCs/>
                      <w:color w:val="auto"/>
                      <w:szCs w:val="21"/>
                    </w:rPr>
                  </w:pPr>
                  <w:r>
                    <w:rPr>
                      <w:rFonts w:hint="eastAsia" w:eastAsia="宋体"/>
                      <w:bCs/>
                      <w:color w:val="auto"/>
                      <w:szCs w:val="21"/>
                    </w:rPr>
                    <w:t>0.06</w:t>
                  </w:r>
                </w:p>
              </w:tc>
              <w:tc>
                <w:tcPr>
                  <w:tcW w:w="1692" w:type="dxa"/>
                  <w:tcBorders>
                    <w:tl2br w:val="nil"/>
                    <w:tr2bl w:val="nil"/>
                  </w:tcBorders>
                  <w:vAlign w:val="center"/>
                </w:tcPr>
                <w:p w14:paraId="60B13059">
                  <w:pPr>
                    <w:pStyle w:val="54"/>
                    <w:spacing w:line="240" w:lineRule="auto"/>
                    <w:jc w:val="center"/>
                    <w:rPr>
                      <w:rFonts w:eastAsia="宋体"/>
                      <w:bCs/>
                      <w:color w:val="auto"/>
                      <w:szCs w:val="21"/>
                    </w:rPr>
                  </w:pPr>
                  <w:r>
                    <w:rPr>
                      <w:rFonts w:hint="eastAsia" w:eastAsia="宋体"/>
                      <w:bCs/>
                      <w:color w:val="auto"/>
                      <w:szCs w:val="21"/>
                    </w:rPr>
                    <w:t>10</w:t>
                  </w:r>
                </w:p>
              </w:tc>
              <w:tc>
                <w:tcPr>
                  <w:tcW w:w="1418" w:type="dxa"/>
                  <w:tcBorders>
                    <w:tl2br w:val="nil"/>
                    <w:tr2bl w:val="nil"/>
                  </w:tcBorders>
                  <w:vAlign w:val="center"/>
                </w:tcPr>
                <w:p w14:paraId="0898B77A">
                  <w:pPr>
                    <w:pStyle w:val="54"/>
                    <w:spacing w:line="240" w:lineRule="auto"/>
                    <w:jc w:val="center"/>
                    <w:rPr>
                      <w:rFonts w:eastAsia="宋体"/>
                      <w:bCs/>
                      <w:color w:val="auto"/>
                      <w:szCs w:val="21"/>
                    </w:rPr>
                  </w:pPr>
                  <w:r>
                    <w:rPr>
                      <w:rFonts w:hint="eastAsia" w:eastAsia="宋体"/>
                      <w:bCs/>
                      <w:color w:val="auto"/>
                      <w:szCs w:val="21"/>
                    </w:rPr>
                    <w:t>0.006</w:t>
                  </w:r>
                </w:p>
              </w:tc>
            </w:tr>
            <w:tr w14:paraId="56466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942" w:type="dxa"/>
                  <w:gridSpan w:val="5"/>
                  <w:tcBorders>
                    <w:tl2br w:val="nil"/>
                    <w:tr2bl w:val="nil"/>
                  </w:tcBorders>
                  <w:vAlign w:val="center"/>
                </w:tcPr>
                <w:p w14:paraId="18496F6B">
                  <w:pPr>
                    <w:pStyle w:val="54"/>
                    <w:spacing w:line="240" w:lineRule="auto"/>
                    <w:jc w:val="center"/>
                    <w:rPr>
                      <w:rFonts w:eastAsia="宋体"/>
                      <w:bCs/>
                      <w:color w:val="auto"/>
                      <w:szCs w:val="21"/>
                    </w:rPr>
                  </w:pPr>
                  <w:r>
                    <w:rPr>
                      <w:rFonts w:eastAsia="宋体"/>
                      <w:bCs/>
                      <w:color w:val="auto"/>
                      <w:szCs w:val="21"/>
                    </w:rPr>
                    <w:t>合计</w:t>
                  </w:r>
                </w:p>
              </w:tc>
              <w:tc>
                <w:tcPr>
                  <w:tcW w:w="1418" w:type="dxa"/>
                  <w:tcBorders>
                    <w:tl2br w:val="nil"/>
                    <w:tr2bl w:val="nil"/>
                  </w:tcBorders>
                  <w:vAlign w:val="center"/>
                </w:tcPr>
                <w:p w14:paraId="54442B85">
                  <w:pPr>
                    <w:pStyle w:val="54"/>
                    <w:spacing w:line="240" w:lineRule="auto"/>
                    <w:jc w:val="center"/>
                    <w:rPr>
                      <w:rFonts w:eastAsia="宋体"/>
                      <w:bCs/>
                      <w:color w:val="auto"/>
                      <w:szCs w:val="21"/>
                    </w:rPr>
                  </w:pPr>
                  <w:r>
                    <w:rPr>
                      <w:rFonts w:hint="eastAsia" w:eastAsia="宋体"/>
                      <w:bCs/>
                      <w:color w:val="auto"/>
                      <w:szCs w:val="21"/>
                    </w:rPr>
                    <w:t>0.006</w:t>
                  </w:r>
                </w:p>
              </w:tc>
            </w:tr>
          </w:tbl>
          <w:p w14:paraId="666BD5A4">
            <w:pPr>
              <w:pStyle w:val="189"/>
              <w:spacing w:line="360" w:lineRule="auto"/>
              <w:ind w:firstLine="480"/>
              <w:rPr>
                <w:color w:val="auto"/>
                <w:sz w:val="24"/>
              </w:rPr>
            </w:pPr>
            <w:r>
              <w:rPr>
                <w:color w:val="auto"/>
                <w:sz w:val="24"/>
              </w:rPr>
              <w:t>根据上表计算可知，本项目的风险物质数量与临界量比值Q＜1，因此判定环境风险潜势为Ⅰ，风险评价等级为简单分析。</w:t>
            </w:r>
          </w:p>
          <w:p w14:paraId="51EFDC94">
            <w:pPr>
              <w:pStyle w:val="189"/>
              <w:spacing w:line="360" w:lineRule="auto"/>
              <w:ind w:firstLine="482"/>
              <w:rPr>
                <w:b/>
                <w:bCs/>
                <w:color w:val="auto"/>
                <w:sz w:val="24"/>
              </w:rPr>
            </w:pPr>
            <w:r>
              <w:rPr>
                <w:b/>
                <w:bCs/>
                <w:color w:val="auto"/>
                <w:sz w:val="24"/>
              </w:rPr>
              <w:t>3、环境敏感目标情况</w:t>
            </w:r>
          </w:p>
          <w:p w14:paraId="79EDF819">
            <w:pPr>
              <w:pStyle w:val="189"/>
              <w:spacing w:line="360" w:lineRule="auto"/>
              <w:ind w:firstLine="480"/>
              <w:rPr>
                <w:b/>
                <w:bCs/>
                <w:color w:val="auto"/>
                <w:sz w:val="24"/>
              </w:rPr>
            </w:pPr>
            <w:r>
              <w:rPr>
                <w:color w:val="auto"/>
                <w:sz w:val="24"/>
              </w:rPr>
              <w:t>本项目500米范围内环境敏感点见表3-</w:t>
            </w:r>
            <w:r>
              <w:rPr>
                <w:rFonts w:hint="eastAsia"/>
                <w:color w:val="auto"/>
                <w:sz w:val="24"/>
              </w:rPr>
              <w:t>5</w:t>
            </w:r>
            <w:r>
              <w:rPr>
                <w:color w:val="auto"/>
                <w:sz w:val="24"/>
              </w:rPr>
              <w:t>所示。</w:t>
            </w:r>
          </w:p>
          <w:p w14:paraId="3953CB39">
            <w:pPr>
              <w:pStyle w:val="189"/>
              <w:spacing w:line="360" w:lineRule="auto"/>
              <w:ind w:firstLine="482"/>
              <w:rPr>
                <w:b/>
                <w:bCs/>
                <w:color w:val="auto"/>
                <w:sz w:val="24"/>
              </w:rPr>
            </w:pPr>
            <w:r>
              <w:rPr>
                <w:b/>
                <w:bCs/>
                <w:color w:val="auto"/>
                <w:sz w:val="24"/>
              </w:rPr>
              <w:t>4、环境风险识别</w:t>
            </w:r>
          </w:p>
          <w:p w14:paraId="5EA81229">
            <w:pPr>
              <w:pStyle w:val="189"/>
              <w:spacing w:line="360" w:lineRule="auto"/>
              <w:ind w:firstLine="480"/>
              <w:rPr>
                <w:color w:val="auto"/>
                <w:sz w:val="24"/>
              </w:rPr>
            </w:pPr>
            <w:r>
              <w:rPr>
                <w:color w:val="auto"/>
                <w:sz w:val="24"/>
              </w:rPr>
              <w:t>结合本项目建设内容，环境风险分析见下表：</w:t>
            </w:r>
          </w:p>
          <w:p w14:paraId="70CDA188">
            <w:pPr>
              <w:pStyle w:val="189"/>
              <w:spacing w:line="240" w:lineRule="auto"/>
              <w:ind w:firstLine="0" w:firstLineChars="0"/>
              <w:jc w:val="center"/>
              <w:rPr>
                <w:b/>
                <w:bCs/>
                <w:color w:val="auto"/>
                <w:szCs w:val="21"/>
              </w:rPr>
            </w:pPr>
            <w:r>
              <w:rPr>
                <w:b/>
                <w:bCs/>
                <w:color w:val="auto"/>
                <w:szCs w:val="21"/>
              </w:rPr>
              <w:t>表4-2</w:t>
            </w:r>
            <w:r>
              <w:rPr>
                <w:rFonts w:hint="eastAsia"/>
                <w:b/>
                <w:bCs/>
                <w:color w:val="auto"/>
                <w:szCs w:val="21"/>
                <w:lang w:val="en-US" w:eastAsia="zh-CN"/>
              </w:rPr>
              <w:t>4</w:t>
            </w:r>
            <w:r>
              <w:rPr>
                <w:b/>
                <w:bCs/>
                <w:color w:val="auto"/>
                <w:szCs w:val="21"/>
              </w:rPr>
              <w:t xml:space="preserve"> 环境风险识别结果一览表</w:t>
            </w:r>
          </w:p>
          <w:tbl>
            <w:tblPr>
              <w:tblStyle w:val="43"/>
              <w:tblW w:w="92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7"/>
              <w:gridCol w:w="1500"/>
              <w:gridCol w:w="960"/>
              <w:gridCol w:w="3716"/>
              <w:gridCol w:w="1969"/>
            </w:tblGrid>
            <w:tr w14:paraId="331F6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1127" w:type="dxa"/>
                  <w:tcBorders>
                    <w:tl2br w:val="nil"/>
                    <w:tr2bl w:val="nil"/>
                  </w:tcBorders>
                  <w:vAlign w:val="center"/>
                </w:tcPr>
                <w:p w14:paraId="1BBADB2A">
                  <w:pPr>
                    <w:jc w:val="center"/>
                    <w:rPr>
                      <w:b/>
                      <w:color w:val="auto"/>
                      <w:kern w:val="0"/>
                      <w:szCs w:val="21"/>
                    </w:rPr>
                  </w:pPr>
                  <w:r>
                    <w:rPr>
                      <w:b/>
                      <w:color w:val="auto"/>
                      <w:kern w:val="0"/>
                      <w:szCs w:val="21"/>
                    </w:rPr>
                    <w:t>危险单元</w:t>
                  </w:r>
                </w:p>
              </w:tc>
              <w:tc>
                <w:tcPr>
                  <w:tcW w:w="1500" w:type="dxa"/>
                  <w:tcBorders>
                    <w:tl2br w:val="nil"/>
                    <w:tr2bl w:val="nil"/>
                  </w:tcBorders>
                  <w:vAlign w:val="center"/>
                </w:tcPr>
                <w:p w14:paraId="6A769E5E">
                  <w:pPr>
                    <w:jc w:val="center"/>
                    <w:rPr>
                      <w:b/>
                      <w:color w:val="auto"/>
                      <w:kern w:val="0"/>
                      <w:szCs w:val="21"/>
                    </w:rPr>
                  </w:pPr>
                  <w:r>
                    <w:rPr>
                      <w:b/>
                      <w:color w:val="auto"/>
                      <w:kern w:val="0"/>
                      <w:szCs w:val="21"/>
                    </w:rPr>
                    <w:t>风险源</w:t>
                  </w:r>
                </w:p>
              </w:tc>
              <w:tc>
                <w:tcPr>
                  <w:tcW w:w="960" w:type="dxa"/>
                  <w:tcBorders>
                    <w:tl2br w:val="nil"/>
                    <w:tr2bl w:val="nil"/>
                  </w:tcBorders>
                  <w:vAlign w:val="center"/>
                </w:tcPr>
                <w:p w14:paraId="63A65A42">
                  <w:pPr>
                    <w:pStyle w:val="36"/>
                    <w:adjustRightInd w:val="0"/>
                    <w:snapToGrid w:val="0"/>
                    <w:spacing w:before="0" w:beforeAutospacing="0" w:after="0" w:afterAutospacing="0"/>
                    <w:jc w:val="center"/>
                    <w:rPr>
                      <w:rFonts w:ascii="Times New Roman" w:hAnsi="Times New Roman"/>
                      <w:b/>
                      <w:color w:val="auto"/>
                      <w:sz w:val="21"/>
                      <w:szCs w:val="21"/>
                    </w:rPr>
                  </w:pPr>
                  <w:r>
                    <w:rPr>
                      <w:rFonts w:ascii="Times New Roman" w:hAnsi="Times New Roman"/>
                      <w:b/>
                      <w:color w:val="auto"/>
                      <w:sz w:val="21"/>
                      <w:szCs w:val="21"/>
                    </w:rPr>
                    <w:t>分布</w:t>
                  </w:r>
                </w:p>
              </w:tc>
              <w:tc>
                <w:tcPr>
                  <w:tcW w:w="3716" w:type="dxa"/>
                  <w:tcBorders>
                    <w:tl2br w:val="nil"/>
                    <w:tr2bl w:val="nil"/>
                  </w:tcBorders>
                  <w:vAlign w:val="center"/>
                </w:tcPr>
                <w:p w14:paraId="7FE17535">
                  <w:pPr>
                    <w:pStyle w:val="36"/>
                    <w:adjustRightInd w:val="0"/>
                    <w:snapToGrid w:val="0"/>
                    <w:spacing w:before="0" w:beforeAutospacing="0" w:after="0" w:afterAutospacing="0"/>
                    <w:jc w:val="center"/>
                    <w:rPr>
                      <w:rFonts w:ascii="Times New Roman" w:hAnsi="Times New Roman"/>
                      <w:b/>
                      <w:color w:val="auto"/>
                      <w:sz w:val="21"/>
                      <w:szCs w:val="21"/>
                    </w:rPr>
                  </w:pPr>
                  <w:r>
                    <w:rPr>
                      <w:rFonts w:ascii="Times New Roman" w:hAnsi="Times New Roman"/>
                      <w:b/>
                      <w:color w:val="auto"/>
                      <w:sz w:val="21"/>
                      <w:szCs w:val="21"/>
                    </w:rPr>
                    <w:t>环境风险类型</w:t>
                  </w:r>
                </w:p>
              </w:tc>
              <w:tc>
                <w:tcPr>
                  <w:tcW w:w="1969" w:type="dxa"/>
                  <w:tcBorders>
                    <w:tl2br w:val="nil"/>
                    <w:tr2bl w:val="nil"/>
                  </w:tcBorders>
                  <w:vAlign w:val="center"/>
                </w:tcPr>
                <w:p w14:paraId="075A6D4A">
                  <w:pPr>
                    <w:pStyle w:val="36"/>
                    <w:adjustRightInd w:val="0"/>
                    <w:snapToGrid w:val="0"/>
                    <w:spacing w:before="0" w:beforeAutospacing="0" w:after="0" w:afterAutospacing="0"/>
                    <w:jc w:val="center"/>
                    <w:rPr>
                      <w:rFonts w:ascii="Times New Roman" w:hAnsi="Times New Roman"/>
                      <w:b/>
                      <w:color w:val="auto"/>
                      <w:sz w:val="21"/>
                      <w:szCs w:val="21"/>
                    </w:rPr>
                  </w:pPr>
                  <w:r>
                    <w:rPr>
                      <w:rFonts w:ascii="Times New Roman" w:hAnsi="Times New Roman"/>
                      <w:b/>
                      <w:color w:val="auto"/>
                      <w:sz w:val="21"/>
                      <w:szCs w:val="21"/>
                    </w:rPr>
                    <w:t>环境影响途径</w:t>
                  </w:r>
                </w:p>
              </w:tc>
            </w:tr>
            <w:tr w14:paraId="1C399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27" w:type="dxa"/>
                  <w:tcBorders>
                    <w:bottom w:val="single" w:color="000000" w:sz="6" w:space="0"/>
                    <w:tl2br w:val="nil"/>
                    <w:tr2bl w:val="nil"/>
                  </w:tcBorders>
                  <w:vAlign w:val="center"/>
                </w:tcPr>
                <w:p w14:paraId="57AF0106">
                  <w:pPr>
                    <w:ind w:right="40"/>
                    <w:jc w:val="center"/>
                    <w:rPr>
                      <w:color w:val="auto"/>
                      <w:kern w:val="0"/>
                      <w:szCs w:val="21"/>
                    </w:rPr>
                  </w:pPr>
                  <w:r>
                    <w:rPr>
                      <w:color w:val="auto"/>
                      <w:kern w:val="0"/>
                      <w:szCs w:val="21"/>
                    </w:rPr>
                    <w:t>危险废物</w:t>
                  </w:r>
                </w:p>
              </w:tc>
              <w:tc>
                <w:tcPr>
                  <w:tcW w:w="1500" w:type="dxa"/>
                  <w:tcBorders>
                    <w:bottom w:val="single" w:color="000000" w:sz="6" w:space="0"/>
                    <w:tl2br w:val="nil"/>
                    <w:tr2bl w:val="nil"/>
                  </w:tcBorders>
                  <w:vAlign w:val="center"/>
                </w:tcPr>
                <w:p w14:paraId="6FC715AC">
                  <w:pPr>
                    <w:ind w:right="40"/>
                    <w:jc w:val="center"/>
                    <w:rPr>
                      <w:color w:val="auto"/>
                      <w:kern w:val="0"/>
                      <w:szCs w:val="21"/>
                    </w:rPr>
                  </w:pPr>
                  <w:r>
                    <w:rPr>
                      <w:rFonts w:hint="eastAsia"/>
                      <w:bCs/>
                      <w:color w:val="auto"/>
                      <w:kern w:val="0"/>
                      <w:szCs w:val="21"/>
                    </w:rPr>
                    <w:t>废稳定剂包装桶</w:t>
                  </w:r>
                </w:p>
              </w:tc>
              <w:tc>
                <w:tcPr>
                  <w:tcW w:w="960" w:type="dxa"/>
                  <w:tcBorders>
                    <w:bottom w:val="single" w:color="000000" w:sz="6" w:space="0"/>
                    <w:tl2br w:val="nil"/>
                    <w:tr2bl w:val="nil"/>
                  </w:tcBorders>
                  <w:vAlign w:val="center"/>
                </w:tcPr>
                <w:p w14:paraId="4397672A">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危险废物仓库</w:t>
                  </w:r>
                </w:p>
              </w:tc>
              <w:tc>
                <w:tcPr>
                  <w:tcW w:w="3716" w:type="dxa"/>
                  <w:tcBorders>
                    <w:bottom w:val="single" w:color="000000" w:sz="6" w:space="0"/>
                    <w:tl2br w:val="nil"/>
                    <w:tr2bl w:val="nil"/>
                  </w:tcBorders>
                  <w:vAlign w:val="center"/>
                </w:tcPr>
                <w:p w14:paraId="225D7D84">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泄漏</w:t>
                  </w:r>
                  <w:r>
                    <w:rPr>
                      <w:rFonts w:ascii="Times New Roman" w:hAnsi="Times New Roman"/>
                      <w:color w:val="auto"/>
                      <w:sz w:val="21"/>
                      <w:szCs w:val="21"/>
                    </w:rPr>
                    <w:sym w:font="Wingdings 2" w:char="0052"/>
                  </w:r>
                </w:p>
                <w:p w14:paraId="77A500D3">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不达标污染物排放</w:t>
                  </w:r>
                  <w:r>
                    <w:rPr>
                      <w:rFonts w:ascii="Times New Roman" w:hAnsi="Times New Roman"/>
                      <w:color w:val="auto"/>
                      <w:sz w:val="21"/>
                      <w:szCs w:val="21"/>
                    </w:rPr>
                    <w:sym w:font="Wingdings 2" w:char="00A3"/>
                  </w:r>
                </w:p>
                <w:p w14:paraId="101D909F">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火灾、爆炸引发伴生/次生污染物排放</w:t>
                  </w:r>
                  <w:r>
                    <w:rPr>
                      <w:rFonts w:ascii="Times New Roman" w:hAnsi="Times New Roman"/>
                      <w:color w:val="auto"/>
                      <w:sz w:val="21"/>
                      <w:szCs w:val="21"/>
                    </w:rPr>
                    <w:sym w:font="Wingdings 2" w:char="00A3"/>
                  </w:r>
                </w:p>
              </w:tc>
              <w:tc>
                <w:tcPr>
                  <w:tcW w:w="1969" w:type="dxa"/>
                  <w:tcBorders>
                    <w:bottom w:val="single" w:color="000000" w:sz="6" w:space="0"/>
                    <w:tl2br w:val="nil"/>
                    <w:tr2bl w:val="nil"/>
                  </w:tcBorders>
                  <w:vAlign w:val="center"/>
                </w:tcPr>
                <w:p w14:paraId="5941E1E0">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大气</w:t>
                  </w:r>
                  <w:r>
                    <w:rPr>
                      <w:rFonts w:ascii="Times New Roman" w:hAnsi="Times New Roman"/>
                      <w:color w:val="auto"/>
                      <w:sz w:val="21"/>
                      <w:szCs w:val="21"/>
                    </w:rPr>
                    <w:sym w:font="Wingdings 2" w:char="0052"/>
                  </w:r>
                </w:p>
                <w:p w14:paraId="4F833E78">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地表水</w:t>
                  </w:r>
                  <w:r>
                    <w:rPr>
                      <w:rFonts w:ascii="Times New Roman" w:hAnsi="Times New Roman"/>
                      <w:color w:val="auto"/>
                      <w:sz w:val="21"/>
                      <w:szCs w:val="21"/>
                    </w:rPr>
                    <w:sym w:font="Wingdings 2" w:char="0052"/>
                  </w:r>
                </w:p>
                <w:p w14:paraId="7900513D">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地下水</w:t>
                  </w:r>
                  <w:r>
                    <w:rPr>
                      <w:rFonts w:ascii="Times New Roman" w:hAnsi="Times New Roman"/>
                      <w:color w:val="auto"/>
                      <w:sz w:val="21"/>
                      <w:szCs w:val="21"/>
                    </w:rPr>
                    <w:sym w:font="Wingdings 2" w:char="0052"/>
                  </w:r>
                </w:p>
              </w:tc>
            </w:tr>
            <w:tr w14:paraId="3CCAB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27" w:type="dxa"/>
                  <w:tcBorders>
                    <w:top w:val="single" w:color="000000" w:sz="6" w:space="0"/>
                    <w:tl2br w:val="nil"/>
                    <w:tr2bl w:val="nil"/>
                  </w:tcBorders>
                  <w:vAlign w:val="center"/>
                </w:tcPr>
                <w:p w14:paraId="6806090B">
                  <w:pPr>
                    <w:ind w:right="40"/>
                    <w:jc w:val="center"/>
                    <w:rPr>
                      <w:color w:val="auto"/>
                      <w:kern w:val="0"/>
                      <w:szCs w:val="21"/>
                    </w:rPr>
                  </w:pPr>
                  <w:r>
                    <w:rPr>
                      <w:rFonts w:hint="eastAsia"/>
                      <w:color w:val="auto"/>
                      <w:kern w:val="0"/>
                      <w:szCs w:val="21"/>
                    </w:rPr>
                    <w:t>原辅材料</w:t>
                  </w:r>
                </w:p>
              </w:tc>
              <w:tc>
                <w:tcPr>
                  <w:tcW w:w="1500" w:type="dxa"/>
                  <w:tcBorders>
                    <w:top w:val="single" w:color="000000" w:sz="6" w:space="0"/>
                    <w:tl2br w:val="nil"/>
                    <w:tr2bl w:val="nil"/>
                  </w:tcBorders>
                  <w:vAlign w:val="center"/>
                </w:tcPr>
                <w:p w14:paraId="4A95E0EF">
                  <w:pPr>
                    <w:ind w:right="40"/>
                    <w:jc w:val="center"/>
                    <w:rPr>
                      <w:rFonts w:hint="eastAsia"/>
                      <w:color w:val="auto"/>
                      <w:kern w:val="0"/>
                      <w:szCs w:val="21"/>
                    </w:rPr>
                  </w:pPr>
                  <w:r>
                    <w:rPr>
                      <w:rFonts w:hint="eastAsia"/>
                      <w:bCs/>
                      <w:color w:val="auto"/>
                      <w:kern w:val="0"/>
                      <w:szCs w:val="21"/>
                    </w:rPr>
                    <w:t>稳定剂</w:t>
                  </w:r>
                </w:p>
              </w:tc>
              <w:tc>
                <w:tcPr>
                  <w:tcW w:w="960" w:type="dxa"/>
                  <w:tcBorders>
                    <w:top w:val="single" w:color="000000" w:sz="6" w:space="0"/>
                    <w:tl2br w:val="nil"/>
                    <w:tr2bl w:val="nil"/>
                  </w:tcBorders>
                  <w:vAlign w:val="center"/>
                </w:tcPr>
                <w:p w14:paraId="72E306EA">
                  <w:pPr>
                    <w:pStyle w:val="36"/>
                    <w:adjustRightInd w:val="0"/>
                    <w:snapToGrid w:val="0"/>
                    <w:spacing w:before="0" w:beforeAutospacing="0" w:after="0" w:afterAutospacing="0"/>
                    <w:jc w:val="center"/>
                    <w:rPr>
                      <w:rFonts w:ascii="Times New Roman" w:hAnsi="Times New Roman"/>
                      <w:color w:val="auto"/>
                      <w:sz w:val="21"/>
                      <w:szCs w:val="21"/>
                    </w:rPr>
                  </w:pPr>
                  <w:r>
                    <w:rPr>
                      <w:rFonts w:hint="eastAsia" w:ascii="Times New Roman" w:hAnsi="Times New Roman"/>
                      <w:color w:val="auto"/>
                      <w:sz w:val="21"/>
                      <w:szCs w:val="21"/>
                    </w:rPr>
                    <w:t>化学品</w:t>
                  </w:r>
                  <w:r>
                    <w:rPr>
                      <w:rFonts w:ascii="Times New Roman" w:hAnsi="Times New Roman"/>
                      <w:color w:val="auto"/>
                      <w:sz w:val="21"/>
                      <w:szCs w:val="21"/>
                    </w:rPr>
                    <w:t>仓库</w:t>
                  </w:r>
                </w:p>
              </w:tc>
              <w:tc>
                <w:tcPr>
                  <w:tcW w:w="3716" w:type="dxa"/>
                  <w:tcBorders>
                    <w:top w:val="single" w:color="000000" w:sz="6" w:space="0"/>
                    <w:tl2br w:val="nil"/>
                    <w:tr2bl w:val="nil"/>
                  </w:tcBorders>
                  <w:vAlign w:val="center"/>
                </w:tcPr>
                <w:p w14:paraId="0A8D33E6">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泄漏</w:t>
                  </w:r>
                  <w:r>
                    <w:rPr>
                      <w:rFonts w:ascii="Times New Roman" w:hAnsi="Times New Roman"/>
                      <w:color w:val="auto"/>
                      <w:sz w:val="21"/>
                      <w:szCs w:val="21"/>
                    </w:rPr>
                    <w:sym w:font="Wingdings 2" w:char="0052"/>
                  </w:r>
                </w:p>
                <w:p w14:paraId="660CBFD1">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不达标污染物排放</w:t>
                  </w:r>
                  <w:r>
                    <w:rPr>
                      <w:rFonts w:ascii="Times New Roman" w:hAnsi="Times New Roman"/>
                      <w:color w:val="auto"/>
                      <w:sz w:val="21"/>
                      <w:szCs w:val="21"/>
                    </w:rPr>
                    <w:sym w:font="Wingdings 2" w:char="00A3"/>
                  </w:r>
                </w:p>
                <w:p w14:paraId="122796C9">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火灾、爆炸引发伴生/次生污染物排放</w:t>
                  </w:r>
                  <w:r>
                    <w:rPr>
                      <w:rFonts w:ascii="Times New Roman" w:hAnsi="Times New Roman"/>
                      <w:color w:val="auto"/>
                      <w:sz w:val="21"/>
                      <w:szCs w:val="21"/>
                    </w:rPr>
                    <w:sym w:font="Wingdings 2" w:char="00A3"/>
                  </w:r>
                </w:p>
              </w:tc>
              <w:tc>
                <w:tcPr>
                  <w:tcW w:w="1969" w:type="dxa"/>
                  <w:tcBorders>
                    <w:top w:val="single" w:color="000000" w:sz="6" w:space="0"/>
                    <w:tl2br w:val="nil"/>
                    <w:tr2bl w:val="nil"/>
                  </w:tcBorders>
                  <w:vAlign w:val="center"/>
                </w:tcPr>
                <w:p w14:paraId="13D0590A">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大气</w:t>
                  </w:r>
                  <w:r>
                    <w:rPr>
                      <w:rFonts w:ascii="Times New Roman" w:hAnsi="Times New Roman"/>
                      <w:color w:val="auto"/>
                      <w:sz w:val="21"/>
                      <w:szCs w:val="21"/>
                    </w:rPr>
                    <w:sym w:font="Wingdings 2" w:char="0052"/>
                  </w:r>
                </w:p>
                <w:p w14:paraId="3AF49B11">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地表水</w:t>
                  </w:r>
                  <w:r>
                    <w:rPr>
                      <w:rFonts w:ascii="Times New Roman" w:hAnsi="Times New Roman"/>
                      <w:color w:val="auto"/>
                      <w:sz w:val="21"/>
                      <w:szCs w:val="21"/>
                    </w:rPr>
                    <w:sym w:font="Wingdings 2" w:char="0052"/>
                  </w:r>
                </w:p>
                <w:p w14:paraId="54EDAB20">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地下水</w:t>
                  </w:r>
                  <w:r>
                    <w:rPr>
                      <w:rFonts w:ascii="Times New Roman" w:hAnsi="Times New Roman"/>
                      <w:color w:val="auto"/>
                      <w:sz w:val="21"/>
                      <w:szCs w:val="21"/>
                    </w:rPr>
                    <w:sym w:font="Wingdings 2" w:char="0052"/>
                  </w:r>
                </w:p>
              </w:tc>
            </w:tr>
            <w:tr w14:paraId="217E1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27" w:type="dxa"/>
                  <w:tcBorders>
                    <w:tl2br w:val="nil"/>
                    <w:tr2bl w:val="nil"/>
                  </w:tcBorders>
                  <w:vAlign w:val="center"/>
                </w:tcPr>
                <w:p w14:paraId="48C90772">
                  <w:pPr>
                    <w:jc w:val="center"/>
                    <w:rPr>
                      <w:color w:val="auto"/>
                      <w:kern w:val="0"/>
                      <w:szCs w:val="21"/>
                    </w:rPr>
                  </w:pPr>
                  <w:r>
                    <w:rPr>
                      <w:color w:val="auto"/>
                      <w:kern w:val="0"/>
                      <w:szCs w:val="21"/>
                    </w:rPr>
                    <w:t>火灾</w:t>
                  </w:r>
                </w:p>
              </w:tc>
              <w:tc>
                <w:tcPr>
                  <w:tcW w:w="1500" w:type="dxa"/>
                  <w:tcBorders>
                    <w:tl2br w:val="nil"/>
                    <w:tr2bl w:val="nil"/>
                  </w:tcBorders>
                  <w:vAlign w:val="center"/>
                </w:tcPr>
                <w:p w14:paraId="632F89E9">
                  <w:pPr>
                    <w:jc w:val="center"/>
                    <w:rPr>
                      <w:color w:val="auto"/>
                      <w:kern w:val="0"/>
                      <w:szCs w:val="21"/>
                    </w:rPr>
                  </w:pPr>
                  <w:r>
                    <w:rPr>
                      <w:color w:val="auto"/>
                      <w:kern w:val="0"/>
                      <w:szCs w:val="21"/>
                    </w:rPr>
                    <w:t>线路短路、遇火</w:t>
                  </w:r>
                </w:p>
              </w:tc>
              <w:tc>
                <w:tcPr>
                  <w:tcW w:w="960" w:type="dxa"/>
                  <w:tcBorders>
                    <w:tl2br w:val="nil"/>
                    <w:tr2bl w:val="nil"/>
                  </w:tcBorders>
                  <w:vAlign w:val="center"/>
                </w:tcPr>
                <w:p w14:paraId="31CAA642">
                  <w:pPr>
                    <w:jc w:val="center"/>
                    <w:rPr>
                      <w:color w:val="auto"/>
                      <w:kern w:val="0"/>
                      <w:szCs w:val="21"/>
                    </w:rPr>
                  </w:pPr>
                  <w:r>
                    <w:rPr>
                      <w:color w:val="auto"/>
                      <w:kern w:val="0"/>
                      <w:szCs w:val="21"/>
                    </w:rPr>
                    <w:t>生产车间</w:t>
                  </w:r>
                </w:p>
              </w:tc>
              <w:tc>
                <w:tcPr>
                  <w:tcW w:w="3716" w:type="dxa"/>
                  <w:tcBorders>
                    <w:tl2br w:val="nil"/>
                    <w:tr2bl w:val="nil"/>
                  </w:tcBorders>
                  <w:vAlign w:val="center"/>
                </w:tcPr>
                <w:p w14:paraId="4658FA0F">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泄漏</w:t>
                  </w:r>
                  <w:r>
                    <w:rPr>
                      <w:rFonts w:ascii="Times New Roman" w:hAnsi="Times New Roman"/>
                      <w:color w:val="auto"/>
                      <w:sz w:val="21"/>
                      <w:szCs w:val="21"/>
                    </w:rPr>
                    <w:sym w:font="Wingdings 2" w:char="00A3"/>
                  </w:r>
                </w:p>
                <w:p w14:paraId="5E7DE13F">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不达标污染物排放</w:t>
                  </w:r>
                  <w:r>
                    <w:rPr>
                      <w:rFonts w:ascii="Times New Roman" w:hAnsi="Times New Roman"/>
                      <w:color w:val="auto"/>
                      <w:sz w:val="21"/>
                      <w:szCs w:val="21"/>
                    </w:rPr>
                    <w:sym w:font="Wingdings 2" w:char="00A3"/>
                  </w:r>
                </w:p>
                <w:p w14:paraId="1E3718E3">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火灾、爆炸引发伴生/次生污染物排放</w:t>
                  </w:r>
                  <w:r>
                    <w:rPr>
                      <w:rFonts w:ascii="Times New Roman" w:hAnsi="Times New Roman"/>
                      <w:color w:val="auto"/>
                      <w:sz w:val="21"/>
                      <w:szCs w:val="21"/>
                    </w:rPr>
                    <w:sym w:font="Wingdings 2" w:char="0052"/>
                  </w:r>
                </w:p>
              </w:tc>
              <w:tc>
                <w:tcPr>
                  <w:tcW w:w="1969" w:type="dxa"/>
                  <w:tcBorders>
                    <w:tl2br w:val="nil"/>
                    <w:tr2bl w:val="nil"/>
                  </w:tcBorders>
                  <w:vAlign w:val="center"/>
                </w:tcPr>
                <w:p w14:paraId="42C27EA0">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大气</w:t>
                  </w:r>
                  <w:r>
                    <w:rPr>
                      <w:rFonts w:ascii="Times New Roman" w:hAnsi="Times New Roman"/>
                      <w:color w:val="auto"/>
                      <w:sz w:val="21"/>
                      <w:szCs w:val="21"/>
                    </w:rPr>
                    <w:sym w:font="Wingdings 2" w:char="0052"/>
                  </w:r>
                </w:p>
                <w:p w14:paraId="3A80A8E0">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地表水</w:t>
                  </w:r>
                  <w:r>
                    <w:rPr>
                      <w:rFonts w:ascii="Times New Roman" w:hAnsi="Times New Roman"/>
                      <w:color w:val="auto"/>
                      <w:sz w:val="21"/>
                      <w:szCs w:val="21"/>
                    </w:rPr>
                    <w:sym w:font="Wingdings 2" w:char="0052"/>
                  </w:r>
                </w:p>
                <w:p w14:paraId="74DB70AA">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地下水</w:t>
                  </w:r>
                  <w:r>
                    <w:rPr>
                      <w:rFonts w:ascii="Times New Roman" w:hAnsi="Times New Roman"/>
                      <w:color w:val="auto"/>
                      <w:sz w:val="21"/>
                      <w:szCs w:val="21"/>
                    </w:rPr>
                    <w:sym w:font="Wingdings 2" w:char="00A3"/>
                  </w:r>
                </w:p>
              </w:tc>
            </w:tr>
            <w:tr w14:paraId="3C7C2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127" w:type="dxa"/>
                  <w:tcBorders>
                    <w:tl2br w:val="nil"/>
                    <w:tr2bl w:val="nil"/>
                  </w:tcBorders>
                  <w:vAlign w:val="center"/>
                </w:tcPr>
                <w:p w14:paraId="7DE08DC5">
                  <w:pPr>
                    <w:jc w:val="center"/>
                    <w:rPr>
                      <w:color w:val="auto"/>
                      <w:kern w:val="0"/>
                      <w:szCs w:val="21"/>
                    </w:rPr>
                  </w:pPr>
                  <w:r>
                    <w:rPr>
                      <w:color w:val="auto"/>
                      <w:kern w:val="0"/>
                      <w:szCs w:val="21"/>
                    </w:rPr>
                    <w:t>非正常排放</w:t>
                  </w:r>
                </w:p>
              </w:tc>
              <w:tc>
                <w:tcPr>
                  <w:tcW w:w="1500" w:type="dxa"/>
                  <w:tcBorders>
                    <w:tl2br w:val="nil"/>
                    <w:tr2bl w:val="nil"/>
                  </w:tcBorders>
                  <w:vAlign w:val="center"/>
                </w:tcPr>
                <w:p w14:paraId="2AABCCC8">
                  <w:pPr>
                    <w:ind w:right="40"/>
                    <w:jc w:val="center"/>
                    <w:rPr>
                      <w:color w:val="auto"/>
                      <w:kern w:val="0"/>
                      <w:szCs w:val="21"/>
                    </w:rPr>
                  </w:pPr>
                  <w:r>
                    <w:rPr>
                      <w:color w:val="auto"/>
                      <w:kern w:val="0"/>
                      <w:szCs w:val="21"/>
                    </w:rPr>
                    <w:t>生产废气非正常排放</w:t>
                  </w:r>
                </w:p>
              </w:tc>
              <w:tc>
                <w:tcPr>
                  <w:tcW w:w="960" w:type="dxa"/>
                  <w:tcBorders>
                    <w:tl2br w:val="nil"/>
                    <w:tr2bl w:val="nil"/>
                  </w:tcBorders>
                  <w:vAlign w:val="center"/>
                </w:tcPr>
                <w:p w14:paraId="1BDBE535">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生产车间废气治理</w:t>
                  </w:r>
                </w:p>
              </w:tc>
              <w:tc>
                <w:tcPr>
                  <w:tcW w:w="3716" w:type="dxa"/>
                  <w:tcBorders>
                    <w:tl2br w:val="nil"/>
                    <w:tr2bl w:val="nil"/>
                  </w:tcBorders>
                  <w:vAlign w:val="center"/>
                </w:tcPr>
                <w:p w14:paraId="5DF4DFD8">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泄漏</w:t>
                  </w:r>
                  <w:r>
                    <w:rPr>
                      <w:rFonts w:ascii="Times New Roman" w:hAnsi="Times New Roman"/>
                      <w:color w:val="auto"/>
                      <w:sz w:val="21"/>
                      <w:szCs w:val="21"/>
                    </w:rPr>
                    <w:sym w:font="Wingdings 2" w:char="00A3"/>
                  </w:r>
                </w:p>
                <w:p w14:paraId="163C4726">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不达标污染物排放</w:t>
                  </w:r>
                  <w:r>
                    <w:rPr>
                      <w:rFonts w:ascii="Times New Roman" w:hAnsi="Times New Roman"/>
                      <w:color w:val="auto"/>
                      <w:sz w:val="21"/>
                      <w:szCs w:val="21"/>
                    </w:rPr>
                    <w:sym w:font="Wingdings 2" w:char="0052"/>
                  </w:r>
                </w:p>
                <w:p w14:paraId="218242F1">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火灾、爆炸引发伴生/次生污染物排放</w:t>
                  </w:r>
                  <w:r>
                    <w:rPr>
                      <w:rFonts w:ascii="Times New Roman" w:hAnsi="Times New Roman"/>
                      <w:color w:val="auto"/>
                      <w:sz w:val="21"/>
                      <w:szCs w:val="21"/>
                    </w:rPr>
                    <w:sym w:font="Wingdings 2" w:char="00A3"/>
                  </w:r>
                </w:p>
              </w:tc>
              <w:tc>
                <w:tcPr>
                  <w:tcW w:w="1969" w:type="dxa"/>
                  <w:tcBorders>
                    <w:tl2br w:val="nil"/>
                    <w:tr2bl w:val="nil"/>
                  </w:tcBorders>
                  <w:vAlign w:val="center"/>
                </w:tcPr>
                <w:p w14:paraId="1D4ECBA1">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大气</w:t>
                  </w:r>
                  <w:r>
                    <w:rPr>
                      <w:rFonts w:ascii="Times New Roman" w:hAnsi="Times New Roman"/>
                      <w:color w:val="auto"/>
                      <w:sz w:val="21"/>
                      <w:szCs w:val="21"/>
                    </w:rPr>
                    <w:sym w:font="Wingdings 2" w:char="0052"/>
                  </w:r>
                </w:p>
                <w:p w14:paraId="72E69C2D">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地表水</w:t>
                  </w:r>
                  <w:r>
                    <w:rPr>
                      <w:rFonts w:ascii="Times New Roman" w:hAnsi="Times New Roman"/>
                      <w:color w:val="auto"/>
                      <w:sz w:val="21"/>
                      <w:szCs w:val="21"/>
                    </w:rPr>
                    <w:sym w:font="Wingdings 2" w:char="00A3"/>
                  </w:r>
                </w:p>
                <w:p w14:paraId="14026F80">
                  <w:pPr>
                    <w:pStyle w:val="36"/>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 w:val="21"/>
                      <w:szCs w:val="21"/>
                    </w:rPr>
                    <w:t>地下水</w:t>
                  </w:r>
                  <w:r>
                    <w:rPr>
                      <w:rFonts w:ascii="Times New Roman" w:hAnsi="Times New Roman"/>
                      <w:color w:val="auto"/>
                      <w:sz w:val="21"/>
                      <w:szCs w:val="21"/>
                    </w:rPr>
                    <w:sym w:font="Wingdings 2" w:char="00A3"/>
                  </w:r>
                </w:p>
              </w:tc>
            </w:tr>
          </w:tbl>
          <w:p w14:paraId="02C17B3D">
            <w:pPr>
              <w:pStyle w:val="189"/>
              <w:spacing w:line="360" w:lineRule="auto"/>
              <w:ind w:firstLine="482"/>
              <w:rPr>
                <w:b/>
                <w:bCs/>
                <w:color w:val="auto"/>
                <w:sz w:val="24"/>
              </w:rPr>
            </w:pPr>
            <w:r>
              <w:rPr>
                <w:b/>
                <w:bCs/>
                <w:color w:val="auto"/>
                <w:sz w:val="24"/>
              </w:rPr>
              <w:t>5、环境风险防范措施及应急措施</w:t>
            </w:r>
          </w:p>
          <w:p w14:paraId="53A18FA0">
            <w:pPr>
              <w:pStyle w:val="189"/>
              <w:spacing w:line="360" w:lineRule="auto"/>
              <w:ind w:firstLine="482"/>
              <w:rPr>
                <w:b/>
                <w:bCs/>
                <w:color w:val="auto"/>
                <w:sz w:val="24"/>
              </w:rPr>
            </w:pPr>
            <w:r>
              <w:rPr>
                <w:b/>
                <w:bCs/>
                <w:color w:val="auto"/>
                <w:sz w:val="24"/>
              </w:rPr>
              <w:t>（1）危险废物泄漏环境风险防范措施</w:t>
            </w:r>
          </w:p>
          <w:p w14:paraId="780FDD5E">
            <w:pPr>
              <w:pStyle w:val="189"/>
              <w:spacing w:line="360" w:lineRule="auto"/>
              <w:ind w:firstLine="480"/>
              <w:rPr>
                <w:color w:val="auto"/>
                <w:sz w:val="24"/>
              </w:rPr>
            </w:pPr>
            <w:r>
              <w:rPr>
                <w:color w:val="auto"/>
                <w:sz w:val="24"/>
              </w:rPr>
              <w:t>①应按照相关要求规范对原辅材料的使用、贮存及管理过程，加强对员工的教育培训；</w:t>
            </w:r>
          </w:p>
          <w:p w14:paraId="13AC53BD">
            <w:pPr>
              <w:pStyle w:val="189"/>
              <w:spacing w:line="360" w:lineRule="auto"/>
              <w:ind w:firstLine="480"/>
              <w:rPr>
                <w:color w:val="auto"/>
                <w:sz w:val="24"/>
              </w:rPr>
            </w:pPr>
            <w:r>
              <w:rPr>
                <w:color w:val="auto"/>
                <w:sz w:val="24"/>
              </w:rPr>
              <w:t>②</w:t>
            </w:r>
            <w:r>
              <w:rPr>
                <w:rFonts w:hint="eastAsia"/>
                <w:color w:val="auto"/>
                <w:sz w:val="24"/>
                <w:lang w:val="en-US" w:eastAsia="zh-CN"/>
              </w:rPr>
              <w:t>本改建项目依托现有项目的危险废物仓库，现有</w:t>
            </w:r>
            <w:r>
              <w:rPr>
                <w:color w:val="auto"/>
                <w:sz w:val="24"/>
              </w:rPr>
              <w:t>危险废物仓库</w:t>
            </w:r>
            <w:r>
              <w:rPr>
                <w:rFonts w:hint="eastAsia"/>
                <w:color w:val="auto"/>
                <w:sz w:val="24"/>
                <w:lang w:val="en-US" w:eastAsia="zh-CN"/>
              </w:rPr>
              <w:t>已</w:t>
            </w:r>
            <w:r>
              <w:rPr>
                <w:color w:val="auto"/>
                <w:sz w:val="24"/>
              </w:rPr>
              <w:t>做好</w:t>
            </w:r>
            <w:r>
              <w:rPr>
                <w:rFonts w:hint="eastAsia"/>
                <w:color w:val="auto"/>
                <w:sz w:val="24"/>
                <w:lang w:val="en-US" w:eastAsia="zh-CN"/>
              </w:rPr>
              <w:t>相关</w:t>
            </w:r>
            <w:r>
              <w:rPr>
                <w:color w:val="auto"/>
                <w:sz w:val="24"/>
              </w:rPr>
              <w:t>防腐防渗措施，基础防渗层为2mm厚高密度聚乙烯，渗透系数≤10</w:t>
            </w:r>
            <w:r>
              <w:rPr>
                <w:color w:val="auto"/>
                <w:sz w:val="24"/>
                <w:vertAlign w:val="superscript"/>
              </w:rPr>
              <w:t>-10</w:t>
            </w:r>
            <w:r>
              <w:rPr>
                <w:color w:val="auto"/>
                <w:sz w:val="24"/>
              </w:rPr>
              <w:t>cm/s；</w:t>
            </w:r>
          </w:p>
          <w:p w14:paraId="55154569">
            <w:pPr>
              <w:pStyle w:val="189"/>
              <w:spacing w:line="360" w:lineRule="auto"/>
              <w:ind w:firstLine="480"/>
              <w:rPr>
                <w:color w:val="auto"/>
                <w:sz w:val="24"/>
              </w:rPr>
            </w:pPr>
            <w:r>
              <w:rPr>
                <w:color w:val="auto"/>
                <w:sz w:val="24"/>
              </w:rPr>
              <w:t>③危险废物仓库</w:t>
            </w:r>
            <w:r>
              <w:rPr>
                <w:rFonts w:hint="eastAsia"/>
                <w:color w:val="auto"/>
                <w:sz w:val="24"/>
                <w:lang w:val="en-US" w:eastAsia="zh-CN"/>
              </w:rPr>
              <w:t>已做好</w:t>
            </w:r>
            <w:r>
              <w:rPr>
                <w:color w:val="auto"/>
                <w:sz w:val="24"/>
              </w:rPr>
              <w:t>保持密闭，做到防风、防雨、防晒，同时设置防泄漏管沟，防止废液泄漏至危险废物仓库外。</w:t>
            </w:r>
          </w:p>
          <w:p w14:paraId="2C14BF7D">
            <w:pPr>
              <w:pStyle w:val="189"/>
              <w:spacing w:line="360" w:lineRule="auto"/>
              <w:ind w:firstLine="482"/>
              <w:rPr>
                <w:b/>
                <w:bCs/>
                <w:color w:val="auto"/>
                <w:sz w:val="24"/>
              </w:rPr>
            </w:pPr>
            <w:r>
              <w:rPr>
                <w:b/>
                <w:bCs/>
                <w:color w:val="auto"/>
                <w:sz w:val="24"/>
              </w:rPr>
              <w:t>（2）原辅材料泄漏环境风险防范措施</w:t>
            </w:r>
          </w:p>
          <w:p w14:paraId="3302D8EE">
            <w:pPr>
              <w:pStyle w:val="189"/>
              <w:spacing w:line="360" w:lineRule="auto"/>
              <w:ind w:firstLine="480"/>
              <w:rPr>
                <w:color w:val="auto"/>
                <w:sz w:val="24"/>
              </w:rPr>
            </w:pPr>
            <w:r>
              <w:rPr>
                <w:color w:val="auto"/>
                <w:sz w:val="24"/>
              </w:rPr>
              <w:t>①仓库地面按要求做好防渗、防腐、防泄漏措施。</w:t>
            </w:r>
          </w:p>
          <w:p w14:paraId="0F48F6FC">
            <w:pPr>
              <w:pStyle w:val="189"/>
              <w:spacing w:line="360" w:lineRule="auto"/>
              <w:ind w:firstLine="480"/>
              <w:rPr>
                <w:color w:val="auto"/>
                <w:sz w:val="24"/>
              </w:rPr>
            </w:pPr>
            <w:r>
              <w:rPr>
                <w:color w:val="auto"/>
                <w:sz w:val="24"/>
              </w:rPr>
              <w:t>②管理人员必须经过专业知识培训，熟悉贮存物品的特性、事故处理办法和防护知识，持证上岗，同时，必须配合有关的个人防护用品。</w:t>
            </w:r>
          </w:p>
          <w:p w14:paraId="7D37D0D3">
            <w:pPr>
              <w:pStyle w:val="189"/>
              <w:spacing w:line="360" w:lineRule="auto"/>
              <w:ind w:firstLine="480"/>
              <w:rPr>
                <w:color w:val="auto"/>
                <w:sz w:val="24"/>
              </w:rPr>
            </w:pPr>
            <w:r>
              <w:rPr>
                <w:color w:val="auto"/>
                <w:sz w:val="24"/>
              </w:rPr>
              <w:t>③生产车间的布置必须符合《建筑防火通用规范》（GB 55037-2022）中相应的消防、防火防爆要求。</w:t>
            </w:r>
          </w:p>
          <w:p w14:paraId="61532018">
            <w:pPr>
              <w:pStyle w:val="189"/>
              <w:spacing w:line="360" w:lineRule="auto"/>
              <w:ind w:firstLine="480"/>
              <w:rPr>
                <w:color w:val="auto"/>
                <w:sz w:val="24"/>
              </w:rPr>
            </w:pPr>
            <w:r>
              <w:rPr>
                <w:color w:val="auto"/>
                <w:sz w:val="24"/>
              </w:rPr>
              <w:t>④在生产车间配备足量的泡沫、干粉等灭火器，由于各种化学品等引起的火灾不能利用消防水进行灭火，只能用泡沫、干粉等来灭火，用水降温。</w:t>
            </w:r>
          </w:p>
          <w:p w14:paraId="4D0312DB">
            <w:pPr>
              <w:pStyle w:val="189"/>
              <w:spacing w:line="360" w:lineRule="auto"/>
              <w:ind w:firstLine="482"/>
              <w:rPr>
                <w:b/>
                <w:bCs/>
                <w:color w:val="auto"/>
                <w:sz w:val="24"/>
              </w:rPr>
            </w:pPr>
            <w:r>
              <w:rPr>
                <w:b/>
                <w:bCs/>
                <w:color w:val="auto"/>
                <w:sz w:val="24"/>
              </w:rPr>
              <w:t>（3）火灾引发的伴生/次生污染物排放环境风险防范措施</w:t>
            </w:r>
          </w:p>
          <w:p w14:paraId="09F7491B">
            <w:pPr>
              <w:pStyle w:val="189"/>
              <w:spacing w:line="360" w:lineRule="auto"/>
              <w:ind w:firstLine="480"/>
              <w:rPr>
                <w:color w:val="auto"/>
                <w:sz w:val="24"/>
              </w:rPr>
            </w:pPr>
            <w:r>
              <w:rPr>
                <w:color w:val="auto"/>
                <w:sz w:val="24"/>
              </w:rPr>
              <w:t>厂区内因火灾、爆炸引发伴生/次生污染物排放风险主要来源于厂区线路短路造成火灾，甚至爆炸。火灾爆炸过程中会引发的伴生/次生污染物排放，包括产生的消防废水携带有毒有害物质，若不妥善收集处理而直接排放至环境中，造成水环境污染，产生的CO、NOx等污染因子，会造成大气环境污染。本次评价针对火灾次生风险事故，提出以下事故防范措施：</w:t>
            </w:r>
          </w:p>
          <w:p w14:paraId="6EBC59B6">
            <w:pPr>
              <w:pStyle w:val="189"/>
              <w:spacing w:line="360" w:lineRule="auto"/>
              <w:ind w:firstLine="480"/>
              <w:rPr>
                <w:color w:val="auto"/>
                <w:sz w:val="24"/>
              </w:rPr>
            </w:pPr>
            <w:r>
              <w:rPr>
                <w:color w:val="auto"/>
                <w:sz w:val="24"/>
              </w:rPr>
              <w:t>①当火灾发生后，加强火灾区大气、水体环境的监测，收集污染水体和污染土壤并进行处理。</w:t>
            </w:r>
          </w:p>
          <w:p w14:paraId="4ACA9134">
            <w:pPr>
              <w:pStyle w:val="189"/>
              <w:spacing w:line="360" w:lineRule="auto"/>
              <w:ind w:firstLine="480"/>
              <w:rPr>
                <w:color w:val="auto"/>
                <w:sz w:val="24"/>
              </w:rPr>
            </w:pPr>
            <w:r>
              <w:rPr>
                <w:color w:val="auto"/>
                <w:sz w:val="24"/>
              </w:rPr>
              <w:t>②当发生风险事故时，利用厂内配备的沙包在厂区出入口进行封堵，并利用充气式堵水气囊封堵雨水排放口，将消防废水截留在厂内，避免消防废水外泄，同时由于项目外购原辅料直接入库储存，发生火灾事故现象可能性极低，且储存仓库、厂房密闭性高，并按要求做好地面防渗、防漏措施，因此不存在物料随雨水流入外环境现象。</w:t>
            </w:r>
          </w:p>
          <w:p w14:paraId="58315BEB">
            <w:pPr>
              <w:pStyle w:val="189"/>
              <w:spacing w:line="360" w:lineRule="auto"/>
              <w:ind w:firstLine="482"/>
              <w:rPr>
                <w:b/>
                <w:bCs/>
                <w:color w:val="auto"/>
                <w:sz w:val="24"/>
              </w:rPr>
            </w:pPr>
            <w:r>
              <w:rPr>
                <w:b/>
                <w:bCs/>
                <w:color w:val="auto"/>
                <w:sz w:val="24"/>
              </w:rPr>
              <w:t>（4）废气事故排放的环境风险防范措施</w:t>
            </w:r>
          </w:p>
          <w:p w14:paraId="78A03304">
            <w:pPr>
              <w:pStyle w:val="189"/>
              <w:spacing w:line="360" w:lineRule="auto"/>
              <w:ind w:firstLine="480"/>
              <w:rPr>
                <w:color w:val="auto"/>
                <w:sz w:val="24"/>
              </w:rPr>
            </w:pPr>
            <w:r>
              <w:rPr>
                <w:color w:val="auto"/>
                <w:sz w:val="24"/>
              </w:rPr>
              <w:t>①生产过程风险防范与管理。项目严格落实应急管理、消防部门对生产过程风险防范与管理的相关要求，同时自觉接受安监、消防部门的监督管理；</w:t>
            </w:r>
          </w:p>
          <w:p w14:paraId="34D208D4">
            <w:pPr>
              <w:pStyle w:val="189"/>
              <w:spacing w:line="360" w:lineRule="auto"/>
              <w:ind w:firstLine="480"/>
              <w:rPr>
                <w:color w:val="auto"/>
                <w:sz w:val="24"/>
              </w:rPr>
            </w:pPr>
            <w:r>
              <w:rPr>
                <w:color w:val="auto"/>
                <w:sz w:val="24"/>
              </w:rPr>
              <w:t>②为了减少污染治理措施事故性排放的概率，建设单位应设立管理专员维护各项环保措施的运行，特别关注废气处理措施的运行情况；</w:t>
            </w:r>
          </w:p>
          <w:p w14:paraId="78A987E7">
            <w:pPr>
              <w:pStyle w:val="189"/>
              <w:spacing w:line="360" w:lineRule="auto"/>
              <w:ind w:firstLine="480"/>
              <w:rPr>
                <w:color w:val="auto"/>
                <w:sz w:val="24"/>
              </w:rPr>
            </w:pPr>
            <w:r>
              <w:rPr>
                <w:color w:val="auto"/>
                <w:sz w:val="24"/>
              </w:rPr>
              <w:t>③对于废气处理设施发生故障的情况，在收到警报时，立即停止相关生产环节，避免废气不经处理直接排到大气中，并立即请有关技术人员进行维修。</w:t>
            </w:r>
          </w:p>
          <w:p w14:paraId="1ACF8F6C">
            <w:pPr>
              <w:pStyle w:val="189"/>
              <w:spacing w:line="360" w:lineRule="auto"/>
              <w:ind w:firstLine="482"/>
              <w:rPr>
                <w:b/>
                <w:bCs/>
                <w:color w:val="auto"/>
                <w:sz w:val="24"/>
              </w:rPr>
            </w:pPr>
            <w:r>
              <w:rPr>
                <w:b/>
                <w:bCs/>
                <w:color w:val="auto"/>
                <w:sz w:val="24"/>
              </w:rPr>
              <w:t>6、环境风险分析结论</w:t>
            </w:r>
          </w:p>
          <w:p w14:paraId="27BDE84B">
            <w:pPr>
              <w:pStyle w:val="189"/>
              <w:spacing w:line="360" w:lineRule="auto"/>
              <w:ind w:firstLine="480"/>
              <w:rPr>
                <w:color w:val="auto"/>
                <w:sz w:val="24"/>
              </w:rPr>
            </w:pPr>
            <w:r>
              <w:rPr>
                <w:color w:val="auto"/>
                <w:sz w:val="24"/>
              </w:rPr>
              <w:t>本项目可能发生的环境风险为泄漏、火灾爆炸事故。本次评价采用定性分析的方法对上述风险进行评估，并提出了相应的环境风险防范措施。建设单位在严格落实本评价提出的风险防范措施及应急措施，加强管理的前提下，可最大限度地减少可能发生的环境风险。若发生事故，也可将影响范围控制在较小程度内，减少损失，建设单位应制定突发环境事件应急预案，严格执行风险防范措施，定期进行应急演练，防止事故的发生。本评价认为，在采取本评价提出的风险防范措施，并采取有效的综合管理措施的前提下，所产生的环境风险可以控制在可接受的风险水平之内。</w:t>
            </w:r>
          </w:p>
          <w:p w14:paraId="3B8558B8">
            <w:pPr>
              <w:pStyle w:val="189"/>
              <w:spacing w:line="360" w:lineRule="auto"/>
              <w:ind w:firstLine="482"/>
              <w:rPr>
                <w:b/>
                <w:bCs/>
                <w:color w:val="auto"/>
                <w:sz w:val="24"/>
              </w:rPr>
            </w:pPr>
            <w:r>
              <w:rPr>
                <w:b/>
                <w:bCs/>
                <w:color w:val="auto"/>
                <w:sz w:val="24"/>
              </w:rPr>
              <w:t>（八）电磁辐射</w:t>
            </w:r>
          </w:p>
          <w:p w14:paraId="05A94BA9">
            <w:pPr>
              <w:pStyle w:val="189"/>
              <w:spacing w:line="360" w:lineRule="auto"/>
              <w:ind w:firstLine="480"/>
              <w:rPr>
                <w:color w:val="auto"/>
                <w:sz w:val="24"/>
              </w:rPr>
            </w:pPr>
            <w:r>
              <w:rPr>
                <w:color w:val="auto"/>
                <w:sz w:val="24"/>
              </w:rPr>
              <w:t>本</w:t>
            </w:r>
            <w:r>
              <w:rPr>
                <w:rFonts w:hint="eastAsia"/>
                <w:color w:val="auto"/>
                <w:sz w:val="24"/>
                <w:lang w:eastAsia="zh-CN"/>
              </w:rPr>
              <w:t>改建</w:t>
            </w:r>
            <w:r>
              <w:rPr>
                <w:color w:val="auto"/>
                <w:sz w:val="24"/>
              </w:rPr>
              <w:t>项目不属于新建或改建、扩建广播电台、差转台、电视塔台、卫星地球上行站、雷达等电磁辐射类项目，无需开展电磁辐射影响评价。</w:t>
            </w:r>
          </w:p>
          <w:p w14:paraId="406CAE89">
            <w:pPr>
              <w:pStyle w:val="189"/>
              <w:spacing w:line="360" w:lineRule="auto"/>
              <w:ind w:firstLine="480"/>
              <w:rPr>
                <w:color w:val="auto"/>
                <w:sz w:val="24"/>
              </w:rPr>
            </w:pPr>
          </w:p>
          <w:p w14:paraId="109A25A7">
            <w:pPr>
              <w:pStyle w:val="189"/>
              <w:spacing w:line="360" w:lineRule="auto"/>
              <w:ind w:firstLine="480"/>
              <w:rPr>
                <w:color w:val="auto"/>
                <w:sz w:val="24"/>
              </w:rPr>
            </w:pPr>
          </w:p>
          <w:p w14:paraId="50BB62B1">
            <w:pPr>
              <w:pStyle w:val="189"/>
              <w:spacing w:line="360" w:lineRule="auto"/>
              <w:ind w:firstLine="480"/>
              <w:rPr>
                <w:color w:val="auto"/>
                <w:sz w:val="24"/>
              </w:rPr>
            </w:pPr>
          </w:p>
          <w:p w14:paraId="6B8A8140">
            <w:pPr>
              <w:pStyle w:val="189"/>
              <w:spacing w:line="360" w:lineRule="auto"/>
              <w:ind w:firstLine="480"/>
              <w:rPr>
                <w:color w:val="auto"/>
                <w:sz w:val="24"/>
              </w:rPr>
            </w:pPr>
          </w:p>
          <w:p w14:paraId="6066AB0B">
            <w:pPr>
              <w:pStyle w:val="189"/>
              <w:spacing w:line="360" w:lineRule="auto"/>
              <w:ind w:firstLine="480"/>
              <w:rPr>
                <w:color w:val="auto"/>
                <w:sz w:val="24"/>
              </w:rPr>
            </w:pPr>
          </w:p>
          <w:p w14:paraId="3AE75646">
            <w:pPr>
              <w:pStyle w:val="189"/>
              <w:spacing w:line="360" w:lineRule="auto"/>
              <w:ind w:firstLine="480"/>
              <w:rPr>
                <w:color w:val="auto"/>
                <w:sz w:val="24"/>
              </w:rPr>
            </w:pPr>
          </w:p>
          <w:p w14:paraId="1E862E5B">
            <w:pPr>
              <w:pStyle w:val="189"/>
              <w:spacing w:line="360" w:lineRule="auto"/>
              <w:ind w:firstLine="480"/>
              <w:rPr>
                <w:color w:val="auto"/>
                <w:sz w:val="24"/>
              </w:rPr>
            </w:pPr>
          </w:p>
          <w:p w14:paraId="0B469AB1">
            <w:pPr>
              <w:pStyle w:val="189"/>
              <w:spacing w:line="360" w:lineRule="auto"/>
              <w:ind w:firstLine="480"/>
              <w:rPr>
                <w:color w:val="auto"/>
                <w:sz w:val="24"/>
              </w:rPr>
            </w:pPr>
          </w:p>
          <w:p w14:paraId="2AFA995A">
            <w:pPr>
              <w:pStyle w:val="189"/>
              <w:spacing w:line="360" w:lineRule="auto"/>
              <w:ind w:firstLine="480"/>
              <w:rPr>
                <w:color w:val="auto"/>
                <w:sz w:val="24"/>
              </w:rPr>
            </w:pPr>
          </w:p>
          <w:p w14:paraId="3A54140C">
            <w:pPr>
              <w:pStyle w:val="189"/>
              <w:spacing w:line="360" w:lineRule="auto"/>
              <w:ind w:firstLine="480"/>
              <w:rPr>
                <w:color w:val="auto"/>
                <w:sz w:val="24"/>
              </w:rPr>
            </w:pPr>
          </w:p>
          <w:p w14:paraId="473141B8">
            <w:pPr>
              <w:pStyle w:val="189"/>
              <w:spacing w:line="360" w:lineRule="auto"/>
              <w:ind w:firstLine="480"/>
              <w:rPr>
                <w:color w:val="auto"/>
                <w:sz w:val="24"/>
              </w:rPr>
            </w:pPr>
          </w:p>
          <w:p w14:paraId="75975F7C">
            <w:pPr>
              <w:pStyle w:val="189"/>
              <w:spacing w:line="360" w:lineRule="auto"/>
              <w:ind w:firstLine="480"/>
              <w:rPr>
                <w:color w:val="auto"/>
                <w:sz w:val="24"/>
              </w:rPr>
            </w:pPr>
          </w:p>
          <w:p w14:paraId="0D4BB925">
            <w:pPr>
              <w:pStyle w:val="189"/>
              <w:spacing w:line="360" w:lineRule="auto"/>
              <w:ind w:firstLine="480"/>
              <w:rPr>
                <w:color w:val="auto"/>
                <w:sz w:val="24"/>
              </w:rPr>
            </w:pPr>
          </w:p>
          <w:p w14:paraId="5A22D253">
            <w:pPr>
              <w:pStyle w:val="189"/>
              <w:spacing w:line="360" w:lineRule="auto"/>
              <w:ind w:firstLine="480"/>
              <w:rPr>
                <w:color w:val="auto"/>
                <w:sz w:val="24"/>
              </w:rPr>
            </w:pPr>
          </w:p>
          <w:p w14:paraId="23701AB3">
            <w:pPr>
              <w:pStyle w:val="189"/>
              <w:spacing w:line="360" w:lineRule="auto"/>
              <w:ind w:firstLine="480"/>
              <w:rPr>
                <w:color w:val="auto"/>
                <w:sz w:val="24"/>
              </w:rPr>
            </w:pPr>
          </w:p>
          <w:p w14:paraId="12D27C22">
            <w:pPr>
              <w:pStyle w:val="189"/>
              <w:spacing w:line="360" w:lineRule="auto"/>
              <w:ind w:firstLine="480"/>
              <w:rPr>
                <w:color w:val="auto"/>
                <w:sz w:val="24"/>
              </w:rPr>
            </w:pPr>
          </w:p>
          <w:p w14:paraId="519EDE47">
            <w:pPr>
              <w:pStyle w:val="189"/>
              <w:spacing w:line="360" w:lineRule="auto"/>
              <w:ind w:firstLine="480"/>
              <w:rPr>
                <w:color w:val="auto"/>
                <w:sz w:val="24"/>
              </w:rPr>
            </w:pPr>
          </w:p>
          <w:p w14:paraId="031595C4">
            <w:pPr>
              <w:pStyle w:val="189"/>
              <w:spacing w:line="360" w:lineRule="auto"/>
              <w:ind w:firstLine="480"/>
              <w:rPr>
                <w:color w:val="auto"/>
                <w:sz w:val="24"/>
              </w:rPr>
            </w:pPr>
          </w:p>
          <w:p w14:paraId="458F61FD">
            <w:pPr>
              <w:pStyle w:val="189"/>
              <w:spacing w:line="360" w:lineRule="auto"/>
              <w:ind w:firstLine="480"/>
              <w:rPr>
                <w:color w:val="auto"/>
                <w:sz w:val="24"/>
              </w:rPr>
            </w:pPr>
          </w:p>
          <w:p w14:paraId="5178AEB3">
            <w:pPr>
              <w:pStyle w:val="189"/>
              <w:spacing w:line="360" w:lineRule="auto"/>
              <w:ind w:firstLine="480"/>
              <w:rPr>
                <w:color w:val="auto"/>
                <w:sz w:val="24"/>
              </w:rPr>
            </w:pPr>
          </w:p>
          <w:p w14:paraId="33E23A47">
            <w:pPr>
              <w:pStyle w:val="189"/>
              <w:spacing w:line="360" w:lineRule="auto"/>
              <w:ind w:firstLine="480"/>
              <w:rPr>
                <w:color w:val="auto"/>
                <w:sz w:val="24"/>
              </w:rPr>
            </w:pPr>
          </w:p>
          <w:p w14:paraId="6A33B681">
            <w:pPr>
              <w:pStyle w:val="189"/>
              <w:spacing w:line="360" w:lineRule="auto"/>
              <w:ind w:firstLine="480"/>
              <w:rPr>
                <w:color w:val="auto"/>
                <w:sz w:val="24"/>
              </w:rPr>
            </w:pPr>
          </w:p>
          <w:p w14:paraId="3CD45278">
            <w:pPr>
              <w:pStyle w:val="189"/>
              <w:spacing w:line="360" w:lineRule="auto"/>
              <w:ind w:firstLine="480"/>
              <w:rPr>
                <w:color w:val="auto"/>
                <w:sz w:val="24"/>
              </w:rPr>
            </w:pPr>
          </w:p>
          <w:p w14:paraId="2B5D2591">
            <w:pPr>
              <w:pStyle w:val="189"/>
              <w:spacing w:line="360" w:lineRule="auto"/>
              <w:ind w:firstLine="480"/>
              <w:rPr>
                <w:color w:val="auto"/>
                <w:sz w:val="24"/>
              </w:rPr>
            </w:pPr>
          </w:p>
          <w:p w14:paraId="3797B529">
            <w:pPr>
              <w:rPr>
                <w:color w:val="auto"/>
              </w:rPr>
            </w:pPr>
          </w:p>
        </w:tc>
      </w:tr>
    </w:tbl>
    <w:p w14:paraId="71AA21AF">
      <w:pPr>
        <w:pStyle w:val="36"/>
        <w:jc w:val="center"/>
        <w:rPr>
          <w:rFonts w:ascii="Times New Roman" w:hAnsi="Times New Roman" w:eastAsia="黑体"/>
          <w:snapToGrid w:val="0"/>
          <w:color w:val="auto"/>
          <w:sz w:val="36"/>
          <w:szCs w:val="36"/>
        </w:rPr>
      </w:pPr>
    </w:p>
    <w:p w14:paraId="26DB3D26">
      <w:pPr>
        <w:pStyle w:val="36"/>
        <w:adjustRightInd w:val="0"/>
        <w:snapToGrid w:val="0"/>
        <w:jc w:val="center"/>
        <w:rPr>
          <w:rFonts w:ascii="Times New Roman" w:hAnsi="Times New Roman"/>
          <w:color w:val="auto"/>
          <w:kern w:val="2"/>
          <w:sz w:val="21"/>
          <w:szCs w:val="21"/>
        </w:rPr>
        <w:sectPr>
          <w:pgSz w:w="11907" w:h="16840"/>
          <w:pgMar w:top="1418" w:right="1417" w:bottom="1418" w:left="1417" w:header="851" w:footer="851" w:gutter="0"/>
          <w:pgBorders>
            <w:top w:val="none" w:sz="0" w:space="0"/>
            <w:left w:val="none" w:sz="0" w:space="0"/>
            <w:bottom w:val="none" w:sz="0" w:space="0"/>
            <w:right w:val="none" w:sz="0" w:space="0"/>
          </w:pgBorders>
          <w:cols w:space="720" w:num="1"/>
          <w:docGrid w:linePitch="312" w:charSpace="0"/>
        </w:sectPr>
      </w:pPr>
    </w:p>
    <w:p w14:paraId="43C596F9">
      <w:pPr>
        <w:pStyle w:val="36"/>
        <w:jc w:val="center"/>
        <w:outlineLvl w:val="0"/>
        <w:rPr>
          <w:rFonts w:ascii="Times New Roman" w:hAnsi="Times New Roman" w:eastAsia="黑体"/>
          <w:snapToGrid w:val="0"/>
          <w:color w:val="auto"/>
          <w:sz w:val="30"/>
          <w:szCs w:val="30"/>
        </w:rPr>
      </w:pPr>
      <w:bookmarkStart w:id="275" w:name="_Toc12398"/>
      <w:bookmarkStart w:id="276" w:name="_Toc20831"/>
      <w:r>
        <w:rPr>
          <w:rFonts w:ascii="Times New Roman" w:hAnsi="Times New Roman" w:eastAsia="黑体"/>
          <w:snapToGrid w:val="0"/>
          <w:color w:val="auto"/>
          <w:sz w:val="30"/>
          <w:szCs w:val="30"/>
        </w:rPr>
        <w:t>五、</w:t>
      </w:r>
      <w:bookmarkStart w:id="277" w:name="_Hlk54167917"/>
      <w:r>
        <w:rPr>
          <w:rFonts w:ascii="Times New Roman" w:hAnsi="Times New Roman" w:eastAsia="黑体"/>
          <w:snapToGrid w:val="0"/>
          <w:color w:val="auto"/>
          <w:sz w:val="30"/>
          <w:szCs w:val="30"/>
        </w:rPr>
        <w:t>环境保护措施监督检查清单</w:t>
      </w:r>
      <w:bookmarkEnd w:id="275"/>
      <w:bookmarkEnd w:id="276"/>
      <w:bookmarkEnd w:id="277"/>
    </w:p>
    <w:tbl>
      <w:tblPr>
        <w:tblStyle w:val="42"/>
        <w:tblW w:w="101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3"/>
        <w:gridCol w:w="750"/>
        <w:gridCol w:w="1207"/>
        <w:gridCol w:w="1398"/>
        <w:gridCol w:w="2293"/>
        <w:gridCol w:w="3310"/>
      </w:tblGrid>
      <w:tr w14:paraId="0F276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tcBorders>
              <w:tl2br w:val="single" w:color="auto" w:sz="4" w:space="0"/>
            </w:tcBorders>
          </w:tcPr>
          <w:p w14:paraId="0E3DA2D4">
            <w:pPr>
              <w:adjustRightInd w:val="0"/>
              <w:snapToGrid w:val="0"/>
              <w:jc w:val="right"/>
              <w:rPr>
                <w:bCs/>
                <w:color w:val="auto"/>
                <w:sz w:val="24"/>
              </w:rPr>
            </w:pPr>
            <w:r>
              <w:rPr>
                <w:bCs/>
                <w:color w:val="auto"/>
                <w:sz w:val="24"/>
              </w:rPr>
              <w:t>内容</w:t>
            </w:r>
          </w:p>
          <w:p w14:paraId="6D9C66B8">
            <w:pPr>
              <w:adjustRightInd w:val="0"/>
              <w:snapToGrid w:val="0"/>
              <w:rPr>
                <w:bCs/>
                <w:color w:val="auto"/>
                <w:sz w:val="24"/>
              </w:rPr>
            </w:pPr>
            <w:r>
              <w:rPr>
                <w:bCs/>
                <w:color w:val="auto"/>
                <w:sz w:val="24"/>
              </w:rPr>
              <w:t>要素</w:t>
            </w:r>
          </w:p>
        </w:tc>
        <w:tc>
          <w:tcPr>
            <w:tcW w:w="1957" w:type="dxa"/>
            <w:gridSpan w:val="2"/>
            <w:tcBorders>
              <w:tl2br w:val="nil"/>
              <w:tr2bl w:val="nil"/>
            </w:tcBorders>
            <w:vAlign w:val="center"/>
          </w:tcPr>
          <w:p w14:paraId="241D9A88">
            <w:pPr>
              <w:adjustRightInd w:val="0"/>
              <w:snapToGrid w:val="0"/>
              <w:jc w:val="center"/>
              <w:rPr>
                <w:bCs/>
                <w:color w:val="auto"/>
                <w:sz w:val="24"/>
              </w:rPr>
            </w:pPr>
            <w:r>
              <w:rPr>
                <w:bCs/>
                <w:color w:val="auto"/>
                <w:sz w:val="24"/>
              </w:rPr>
              <w:t>排放口（编号、名称）/污染源</w:t>
            </w:r>
          </w:p>
        </w:tc>
        <w:tc>
          <w:tcPr>
            <w:tcW w:w="1398" w:type="dxa"/>
            <w:tcBorders>
              <w:tl2br w:val="nil"/>
              <w:tr2bl w:val="nil"/>
            </w:tcBorders>
            <w:vAlign w:val="center"/>
          </w:tcPr>
          <w:p w14:paraId="1EBE0649">
            <w:pPr>
              <w:adjustRightInd w:val="0"/>
              <w:snapToGrid w:val="0"/>
              <w:jc w:val="center"/>
              <w:rPr>
                <w:bCs/>
                <w:color w:val="auto"/>
                <w:sz w:val="24"/>
              </w:rPr>
            </w:pPr>
            <w:r>
              <w:rPr>
                <w:bCs/>
                <w:color w:val="auto"/>
                <w:sz w:val="24"/>
              </w:rPr>
              <w:t>污染物项目</w:t>
            </w:r>
          </w:p>
        </w:tc>
        <w:tc>
          <w:tcPr>
            <w:tcW w:w="2293" w:type="dxa"/>
            <w:tcBorders>
              <w:tl2br w:val="nil"/>
              <w:tr2bl w:val="nil"/>
            </w:tcBorders>
            <w:vAlign w:val="center"/>
          </w:tcPr>
          <w:p w14:paraId="7B03DECE">
            <w:pPr>
              <w:adjustRightInd w:val="0"/>
              <w:snapToGrid w:val="0"/>
              <w:jc w:val="center"/>
              <w:rPr>
                <w:bCs/>
                <w:color w:val="auto"/>
                <w:sz w:val="24"/>
              </w:rPr>
            </w:pPr>
            <w:r>
              <w:rPr>
                <w:bCs/>
                <w:color w:val="auto"/>
                <w:sz w:val="24"/>
              </w:rPr>
              <w:t>环境保护措施</w:t>
            </w:r>
          </w:p>
        </w:tc>
        <w:tc>
          <w:tcPr>
            <w:tcW w:w="3310" w:type="dxa"/>
            <w:tcBorders>
              <w:tl2br w:val="nil"/>
              <w:tr2bl w:val="nil"/>
            </w:tcBorders>
            <w:vAlign w:val="center"/>
          </w:tcPr>
          <w:p w14:paraId="5E877F31">
            <w:pPr>
              <w:adjustRightInd w:val="0"/>
              <w:snapToGrid w:val="0"/>
              <w:jc w:val="center"/>
              <w:rPr>
                <w:bCs/>
                <w:color w:val="auto"/>
                <w:sz w:val="24"/>
              </w:rPr>
            </w:pPr>
            <w:r>
              <w:rPr>
                <w:bCs/>
                <w:color w:val="auto"/>
                <w:sz w:val="24"/>
              </w:rPr>
              <w:t>执行标准</w:t>
            </w:r>
          </w:p>
        </w:tc>
      </w:tr>
      <w:tr w14:paraId="2BB6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173" w:type="dxa"/>
            <w:vMerge w:val="restart"/>
            <w:tcBorders>
              <w:tl2br w:val="nil"/>
              <w:tr2bl w:val="nil"/>
            </w:tcBorders>
            <w:vAlign w:val="center"/>
          </w:tcPr>
          <w:p w14:paraId="7679001F">
            <w:pPr>
              <w:adjustRightInd w:val="0"/>
              <w:snapToGrid w:val="0"/>
              <w:jc w:val="center"/>
              <w:rPr>
                <w:color w:val="auto"/>
                <w:sz w:val="24"/>
              </w:rPr>
            </w:pPr>
            <w:r>
              <w:rPr>
                <w:color w:val="auto"/>
                <w:sz w:val="24"/>
              </w:rPr>
              <w:t>大气环境</w:t>
            </w:r>
          </w:p>
        </w:tc>
        <w:tc>
          <w:tcPr>
            <w:tcW w:w="1957" w:type="dxa"/>
            <w:gridSpan w:val="2"/>
            <w:vMerge w:val="restart"/>
            <w:tcBorders>
              <w:tl2br w:val="nil"/>
              <w:tr2bl w:val="nil"/>
            </w:tcBorders>
            <w:vAlign w:val="center"/>
          </w:tcPr>
          <w:p w14:paraId="1B069EDF">
            <w:pPr>
              <w:pStyle w:val="24"/>
              <w:autoSpaceDE w:val="0"/>
              <w:spacing w:line="240" w:lineRule="auto"/>
              <w:jc w:val="center"/>
              <w:rPr>
                <w:rFonts w:ascii="Times New Roman" w:hAnsi="Times New Roman" w:cs="Times New Roman"/>
                <w:color w:val="auto"/>
                <w:sz w:val="24"/>
                <w:szCs w:val="24"/>
              </w:rPr>
            </w:pPr>
            <w:r>
              <w:rPr>
                <w:rFonts w:hint="eastAsia" w:ascii="Times New Roman" w:hAnsi="Times New Roman" w:cs="Times New Roman"/>
                <w:color w:val="auto"/>
                <w:sz w:val="24"/>
                <w:szCs w:val="24"/>
              </w:rPr>
              <w:t>电泳漆涂装和烘干固化</w:t>
            </w:r>
            <w:r>
              <w:rPr>
                <w:rFonts w:ascii="Times New Roman" w:hAnsi="Times New Roman" w:cs="Times New Roman"/>
                <w:color w:val="auto"/>
                <w:sz w:val="24"/>
                <w:szCs w:val="24"/>
              </w:rPr>
              <w:t>废气排放口（DA00</w:t>
            </w:r>
            <w:r>
              <w:rPr>
                <w:rFonts w:hint="eastAsia" w:ascii="Times New Roman" w:hAnsi="Times New Roman" w:cs="Times New Roman"/>
                <w:color w:val="auto"/>
                <w:sz w:val="24"/>
                <w:szCs w:val="24"/>
                <w:lang w:val="en-US" w:eastAsia="zh-CN"/>
              </w:rPr>
              <w:t>5</w:t>
            </w:r>
            <w:r>
              <w:rPr>
                <w:rFonts w:ascii="Times New Roman" w:hAnsi="Times New Roman" w:cs="Times New Roman"/>
                <w:color w:val="auto"/>
                <w:sz w:val="24"/>
                <w:szCs w:val="24"/>
              </w:rPr>
              <w:t>）</w:t>
            </w:r>
          </w:p>
        </w:tc>
        <w:tc>
          <w:tcPr>
            <w:tcW w:w="1398" w:type="dxa"/>
            <w:tcBorders>
              <w:tl2br w:val="nil"/>
              <w:tr2bl w:val="nil"/>
            </w:tcBorders>
            <w:vAlign w:val="center"/>
          </w:tcPr>
          <w:p w14:paraId="6809A35B">
            <w:pPr>
              <w:pStyle w:val="185"/>
              <w:snapToGrid w:val="0"/>
              <w:rPr>
                <w:rFonts w:hint="default" w:ascii="Times New Roman" w:hAnsi="Times New Roman" w:eastAsia="宋体" w:cs="Times New Roman"/>
                <w:color w:val="auto"/>
                <w:kern w:val="2"/>
                <w:szCs w:val="24"/>
                <w:lang w:val="en-US" w:eastAsia="zh-CN"/>
              </w:rPr>
            </w:pPr>
            <w:r>
              <w:rPr>
                <w:rFonts w:hint="eastAsia" w:ascii="Times New Roman" w:hAnsi="Times New Roman" w:eastAsia="宋体" w:cs="Times New Roman"/>
                <w:color w:val="auto"/>
                <w:kern w:val="2"/>
                <w:szCs w:val="24"/>
                <w:lang w:val="en-US" w:eastAsia="zh-CN"/>
              </w:rPr>
              <w:t>TVOC</w:t>
            </w:r>
          </w:p>
        </w:tc>
        <w:tc>
          <w:tcPr>
            <w:tcW w:w="2293" w:type="dxa"/>
            <w:vMerge w:val="restart"/>
            <w:tcBorders>
              <w:tl2br w:val="nil"/>
              <w:tr2bl w:val="nil"/>
            </w:tcBorders>
            <w:vAlign w:val="center"/>
          </w:tcPr>
          <w:p w14:paraId="54CCCBCC">
            <w:pPr>
              <w:adjustRightInd w:val="0"/>
              <w:snapToGrid w:val="0"/>
              <w:jc w:val="center"/>
              <w:rPr>
                <w:color w:val="auto"/>
                <w:sz w:val="24"/>
              </w:rPr>
            </w:pPr>
            <w:r>
              <w:rPr>
                <w:rFonts w:hint="eastAsia"/>
                <w:color w:val="auto"/>
                <w:sz w:val="24"/>
              </w:rPr>
              <w:t>经密闭收集后通过“水喷淋塔+除雾器+</w:t>
            </w:r>
            <w:r>
              <w:rPr>
                <w:color w:val="auto"/>
                <w:sz w:val="24"/>
              </w:rPr>
              <w:t>两级活性炭吸附装置</w:t>
            </w:r>
            <w:r>
              <w:rPr>
                <w:rFonts w:hint="eastAsia"/>
                <w:color w:val="auto"/>
                <w:sz w:val="24"/>
              </w:rPr>
              <w:t>”处理后由</w:t>
            </w:r>
            <w:r>
              <w:rPr>
                <w:color w:val="auto"/>
                <w:sz w:val="24"/>
              </w:rPr>
              <w:t>20</w:t>
            </w:r>
            <w:r>
              <w:rPr>
                <w:rFonts w:hint="eastAsia"/>
                <w:color w:val="auto"/>
                <w:sz w:val="24"/>
              </w:rPr>
              <w:t>m高的排气筒排放</w:t>
            </w:r>
          </w:p>
        </w:tc>
        <w:tc>
          <w:tcPr>
            <w:tcW w:w="3310" w:type="dxa"/>
            <w:tcBorders>
              <w:tl2br w:val="nil"/>
              <w:tr2bl w:val="nil"/>
            </w:tcBorders>
            <w:vAlign w:val="center"/>
          </w:tcPr>
          <w:p w14:paraId="4FB346F9">
            <w:pPr>
              <w:spacing w:line="240" w:lineRule="auto"/>
              <w:jc w:val="center"/>
              <w:rPr>
                <w:color w:val="auto"/>
                <w:sz w:val="24"/>
                <w:highlight w:val="yellow"/>
              </w:rPr>
            </w:pPr>
            <w:r>
              <w:rPr>
                <w:rFonts w:hint="eastAsia"/>
                <w:color w:val="auto"/>
                <w:sz w:val="24"/>
              </w:rPr>
              <w:t>广东省《固定污染源挥发性有机物综合排放标准》（DB44/2367-2022）表1挥发性有机物排放限值</w:t>
            </w:r>
          </w:p>
        </w:tc>
      </w:tr>
      <w:tr w14:paraId="76F6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73" w:type="dxa"/>
            <w:vMerge w:val="continue"/>
            <w:tcBorders>
              <w:tl2br w:val="nil"/>
              <w:tr2bl w:val="nil"/>
            </w:tcBorders>
            <w:vAlign w:val="center"/>
          </w:tcPr>
          <w:p w14:paraId="23A30F5D">
            <w:pPr>
              <w:adjustRightInd w:val="0"/>
              <w:snapToGrid w:val="0"/>
              <w:jc w:val="center"/>
              <w:rPr>
                <w:color w:val="auto"/>
                <w:sz w:val="24"/>
              </w:rPr>
            </w:pPr>
          </w:p>
        </w:tc>
        <w:tc>
          <w:tcPr>
            <w:tcW w:w="1957" w:type="dxa"/>
            <w:gridSpan w:val="2"/>
            <w:vMerge w:val="continue"/>
            <w:tcBorders>
              <w:tl2br w:val="nil"/>
              <w:tr2bl w:val="nil"/>
            </w:tcBorders>
            <w:vAlign w:val="center"/>
          </w:tcPr>
          <w:p w14:paraId="572D4D67">
            <w:pPr>
              <w:pStyle w:val="24"/>
              <w:autoSpaceDE w:val="0"/>
              <w:spacing w:line="240" w:lineRule="auto"/>
              <w:jc w:val="center"/>
              <w:rPr>
                <w:rFonts w:hint="eastAsia" w:ascii="Times New Roman" w:hAnsi="Times New Roman" w:cs="Times New Roman"/>
                <w:color w:val="auto"/>
                <w:sz w:val="24"/>
                <w:szCs w:val="24"/>
              </w:rPr>
            </w:pPr>
          </w:p>
        </w:tc>
        <w:tc>
          <w:tcPr>
            <w:tcW w:w="1398" w:type="dxa"/>
            <w:tcBorders>
              <w:tl2br w:val="nil"/>
              <w:tr2bl w:val="nil"/>
            </w:tcBorders>
            <w:vAlign w:val="center"/>
          </w:tcPr>
          <w:p w14:paraId="0533D278">
            <w:pPr>
              <w:pStyle w:val="185"/>
              <w:snapToGrid w:val="0"/>
              <w:rPr>
                <w:rFonts w:hint="default" w:ascii="Times New Roman" w:hAnsi="Times New Roman" w:eastAsia="宋体" w:cs="Times New Roman"/>
                <w:color w:val="auto"/>
                <w:szCs w:val="24"/>
                <w:lang w:val="en-US" w:eastAsia="zh-CN"/>
              </w:rPr>
            </w:pPr>
            <w:r>
              <w:rPr>
                <w:rFonts w:hint="eastAsia" w:ascii="Times New Roman" w:hAnsi="Times New Roman" w:eastAsia="宋体" w:cs="Times New Roman"/>
                <w:color w:val="auto"/>
                <w:szCs w:val="24"/>
                <w:lang w:val="en-US" w:eastAsia="zh-CN"/>
              </w:rPr>
              <w:t>非甲烷总烃</w:t>
            </w:r>
          </w:p>
        </w:tc>
        <w:tc>
          <w:tcPr>
            <w:tcW w:w="2293" w:type="dxa"/>
            <w:vMerge w:val="continue"/>
            <w:tcBorders>
              <w:tl2br w:val="nil"/>
              <w:tr2bl w:val="nil"/>
            </w:tcBorders>
            <w:vAlign w:val="center"/>
          </w:tcPr>
          <w:p w14:paraId="0C0E880D">
            <w:pPr>
              <w:adjustRightInd w:val="0"/>
              <w:snapToGrid w:val="0"/>
              <w:jc w:val="center"/>
              <w:rPr>
                <w:rFonts w:hint="eastAsia"/>
                <w:color w:val="auto"/>
                <w:sz w:val="24"/>
              </w:rPr>
            </w:pPr>
          </w:p>
        </w:tc>
        <w:tc>
          <w:tcPr>
            <w:tcW w:w="3310" w:type="dxa"/>
            <w:tcBorders>
              <w:tl2br w:val="nil"/>
              <w:tr2bl w:val="nil"/>
            </w:tcBorders>
            <w:vAlign w:val="center"/>
          </w:tcPr>
          <w:p w14:paraId="4707F200">
            <w:pPr>
              <w:spacing w:line="240" w:lineRule="auto"/>
              <w:jc w:val="center"/>
              <w:rPr>
                <w:rFonts w:hint="default" w:eastAsia="宋体"/>
                <w:color w:val="auto"/>
                <w:sz w:val="24"/>
                <w:lang w:val="en-US" w:eastAsia="zh-CN"/>
              </w:rPr>
            </w:pPr>
            <w:r>
              <w:rPr>
                <w:rFonts w:hint="eastAsia"/>
                <w:color w:val="auto"/>
                <w:sz w:val="24"/>
              </w:rPr>
              <w:t>广东省《固定污染源挥发性有机物综合排放标准》（DB44/2367-2022）表1挥发性有机物排放限值</w:t>
            </w:r>
            <w:r>
              <w:rPr>
                <w:rFonts w:hint="eastAsia"/>
                <w:color w:val="auto"/>
                <w:sz w:val="24"/>
                <w:lang w:val="en-US" w:eastAsia="zh-CN"/>
              </w:rPr>
              <w:t>和</w:t>
            </w:r>
            <w:r>
              <w:rPr>
                <w:rFonts w:hint="default" w:ascii="Times New Roman" w:hAnsi="Times New Roman" w:eastAsia="宋体" w:cs="Times New Roman"/>
                <w:color w:val="auto"/>
                <w:sz w:val="24"/>
                <w:highlight w:val="none"/>
                <w:lang w:eastAsia="zh-CN"/>
              </w:rPr>
              <w:t>《合成树脂工业污染物排放标准》（GB31572-2015，含2024年修改单）</w:t>
            </w:r>
            <w:r>
              <w:rPr>
                <w:rFonts w:hint="default" w:ascii="Times New Roman" w:hAnsi="Times New Roman" w:cs="Times New Roman"/>
                <w:color w:val="auto"/>
                <w:sz w:val="24"/>
                <w:szCs w:val="24"/>
                <w:lang w:val="en-US" w:eastAsia="zh-CN"/>
              </w:rPr>
              <w:t>表4</w:t>
            </w:r>
            <w:r>
              <w:rPr>
                <w:rFonts w:hint="default" w:ascii="Times New Roman" w:hAnsi="Times New Roman" w:cs="Times New Roman"/>
                <w:color w:val="auto"/>
                <w:sz w:val="24"/>
                <w:szCs w:val="24"/>
                <w:lang w:val="en-US"/>
              </w:rPr>
              <w:t>大气污染物排放限值</w:t>
            </w:r>
            <w:r>
              <w:rPr>
                <w:rFonts w:hint="eastAsia" w:ascii="Times New Roman" w:hAnsi="Times New Roman" w:cs="Times New Roman"/>
                <w:color w:val="auto"/>
                <w:sz w:val="24"/>
                <w:szCs w:val="24"/>
                <w:lang w:val="en-US" w:eastAsia="zh-CN"/>
              </w:rPr>
              <w:t>较严值</w:t>
            </w:r>
          </w:p>
        </w:tc>
      </w:tr>
      <w:tr w14:paraId="2990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vMerge w:val="continue"/>
            <w:tcBorders>
              <w:tl2br w:val="nil"/>
              <w:tr2bl w:val="nil"/>
            </w:tcBorders>
            <w:vAlign w:val="center"/>
          </w:tcPr>
          <w:p w14:paraId="38B803FF">
            <w:pPr>
              <w:adjustRightInd w:val="0"/>
              <w:snapToGrid w:val="0"/>
              <w:jc w:val="center"/>
              <w:rPr>
                <w:color w:val="auto"/>
                <w:sz w:val="24"/>
              </w:rPr>
            </w:pPr>
          </w:p>
        </w:tc>
        <w:tc>
          <w:tcPr>
            <w:tcW w:w="1957" w:type="dxa"/>
            <w:gridSpan w:val="2"/>
            <w:vMerge w:val="continue"/>
            <w:tcBorders>
              <w:tl2br w:val="nil"/>
              <w:tr2bl w:val="nil"/>
            </w:tcBorders>
            <w:vAlign w:val="center"/>
          </w:tcPr>
          <w:p w14:paraId="7A01162D">
            <w:pPr>
              <w:adjustRightInd w:val="0"/>
              <w:snapToGrid w:val="0"/>
              <w:jc w:val="center"/>
              <w:rPr>
                <w:color w:val="auto"/>
                <w:sz w:val="24"/>
              </w:rPr>
            </w:pPr>
          </w:p>
        </w:tc>
        <w:tc>
          <w:tcPr>
            <w:tcW w:w="1398" w:type="dxa"/>
            <w:tcBorders>
              <w:tl2br w:val="nil"/>
              <w:tr2bl w:val="nil"/>
            </w:tcBorders>
            <w:vAlign w:val="center"/>
          </w:tcPr>
          <w:p w14:paraId="16BCC817">
            <w:pPr>
              <w:pStyle w:val="185"/>
              <w:snapToGrid w:val="0"/>
              <w:rPr>
                <w:rFonts w:ascii="Times New Roman" w:hAnsi="Times New Roman" w:eastAsia="宋体" w:cs="Times New Roman"/>
                <w:color w:val="auto"/>
                <w:szCs w:val="24"/>
              </w:rPr>
            </w:pPr>
            <w:r>
              <w:rPr>
                <w:rFonts w:ascii="Times New Roman" w:hAnsi="Times New Roman" w:eastAsia="宋体" w:cs="Times New Roman"/>
                <w:color w:val="auto"/>
                <w:szCs w:val="24"/>
              </w:rPr>
              <w:t>臭气浓度</w:t>
            </w:r>
          </w:p>
        </w:tc>
        <w:tc>
          <w:tcPr>
            <w:tcW w:w="2293" w:type="dxa"/>
            <w:vMerge w:val="continue"/>
            <w:tcBorders>
              <w:tl2br w:val="nil"/>
              <w:tr2bl w:val="nil"/>
            </w:tcBorders>
            <w:vAlign w:val="center"/>
          </w:tcPr>
          <w:p w14:paraId="6354EB0D">
            <w:pPr>
              <w:adjustRightInd w:val="0"/>
              <w:snapToGrid w:val="0"/>
              <w:jc w:val="center"/>
              <w:rPr>
                <w:color w:val="auto"/>
                <w:sz w:val="24"/>
              </w:rPr>
            </w:pPr>
          </w:p>
        </w:tc>
        <w:tc>
          <w:tcPr>
            <w:tcW w:w="3310" w:type="dxa"/>
            <w:tcBorders>
              <w:tl2br w:val="nil"/>
              <w:tr2bl w:val="nil"/>
            </w:tcBorders>
            <w:vAlign w:val="center"/>
          </w:tcPr>
          <w:p w14:paraId="4BCA439D">
            <w:pPr>
              <w:spacing w:line="240" w:lineRule="auto"/>
              <w:jc w:val="center"/>
              <w:rPr>
                <w:color w:val="auto"/>
                <w:sz w:val="24"/>
                <w:highlight w:val="yellow"/>
              </w:rPr>
            </w:pPr>
            <w:r>
              <w:rPr>
                <w:color w:val="auto"/>
                <w:sz w:val="24"/>
              </w:rPr>
              <w:t>《恶臭污染物排放标准》（GB14554-93）中表2恶臭污染物排放标准值</w:t>
            </w:r>
          </w:p>
        </w:tc>
      </w:tr>
      <w:tr w14:paraId="4E83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vMerge w:val="continue"/>
            <w:tcBorders>
              <w:tl2br w:val="nil"/>
              <w:tr2bl w:val="nil"/>
            </w:tcBorders>
            <w:vAlign w:val="center"/>
          </w:tcPr>
          <w:p w14:paraId="3074D7D7">
            <w:pPr>
              <w:adjustRightInd w:val="0"/>
              <w:snapToGrid w:val="0"/>
              <w:jc w:val="center"/>
              <w:rPr>
                <w:color w:val="auto"/>
                <w:sz w:val="24"/>
              </w:rPr>
            </w:pPr>
          </w:p>
        </w:tc>
        <w:tc>
          <w:tcPr>
            <w:tcW w:w="750" w:type="dxa"/>
            <w:tcBorders>
              <w:tl2br w:val="nil"/>
              <w:tr2bl w:val="nil"/>
            </w:tcBorders>
            <w:vAlign w:val="center"/>
          </w:tcPr>
          <w:p w14:paraId="0D892681">
            <w:pPr>
              <w:adjustRightInd w:val="0"/>
              <w:snapToGrid w:val="0"/>
              <w:jc w:val="center"/>
              <w:rPr>
                <w:color w:val="auto"/>
                <w:sz w:val="24"/>
              </w:rPr>
            </w:pPr>
            <w:r>
              <w:rPr>
                <w:color w:val="auto"/>
                <w:sz w:val="24"/>
              </w:rPr>
              <w:t>厂界</w:t>
            </w:r>
          </w:p>
        </w:tc>
        <w:tc>
          <w:tcPr>
            <w:tcW w:w="1207" w:type="dxa"/>
            <w:tcBorders>
              <w:tl2br w:val="nil"/>
              <w:tr2bl w:val="nil"/>
            </w:tcBorders>
            <w:vAlign w:val="center"/>
          </w:tcPr>
          <w:p w14:paraId="6196DCB5">
            <w:pPr>
              <w:adjustRightInd w:val="0"/>
              <w:snapToGrid w:val="0"/>
              <w:jc w:val="center"/>
              <w:rPr>
                <w:color w:val="auto"/>
                <w:sz w:val="24"/>
              </w:rPr>
            </w:pPr>
            <w:r>
              <w:rPr>
                <w:rFonts w:hint="eastAsia"/>
                <w:color w:val="auto"/>
                <w:sz w:val="24"/>
              </w:rPr>
              <w:t>电泳漆涂装和烘干固化工序未能收集的废气</w:t>
            </w:r>
          </w:p>
        </w:tc>
        <w:tc>
          <w:tcPr>
            <w:tcW w:w="1398" w:type="dxa"/>
            <w:tcBorders>
              <w:tl2br w:val="nil"/>
              <w:tr2bl w:val="nil"/>
            </w:tcBorders>
            <w:vAlign w:val="center"/>
          </w:tcPr>
          <w:p w14:paraId="739DEE48">
            <w:pPr>
              <w:pStyle w:val="185"/>
              <w:snapToGrid w:val="0"/>
              <w:rPr>
                <w:rFonts w:ascii="Times New Roman" w:hAnsi="Times New Roman" w:eastAsia="宋体" w:cs="Times New Roman"/>
                <w:color w:val="auto"/>
                <w:kern w:val="2"/>
                <w:szCs w:val="24"/>
              </w:rPr>
            </w:pPr>
            <w:r>
              <w:rPr>
                <w:rFonts w:ascii="Times New Roman" w:hAnsi="Times New Roman" w:eastAsia="宋体" w:cs="Times New Roman"/>
                <w:color w:val="auto"/>
                <w:szCs w:val="24"/>
              </w:rPr>
              <w:t>臭气浓度</w:t>
            </w:r>
          </w:p>
        </w:tc>
        <w:tc>
          <w:tcPr>
            <w:tcW w:w="2293" w:type="dxa"/>
            <w:vMerge w:val="restart"/>
            <w:tcBorders>
              <w:tl2br w:val="nil"/>
              <w:tr2bl w:val="nil"/>
            </w:tcBorders>
            <w:vAlign w:val="center"/>
          </w:tcPr>
          <w:p w14:paraId="0CCB3AE4">
            <w:pPr>
              <w:adjustRightInd w:val="0"/>
              <w:snapToGrid w:val="0"/>
              <w:jc w:val="center"/>
              <w:rPr>
                <w:color w:val="auto"/>
                <w:sz w:val="24"/>
              </w:rPr>
            </w:pPr>
            <w:r>
              <w:rPr>
                <w:color w:val="auto"/>
                <w:sz w:val="24"/>
              </w:rPr>
              <w:t>加强</w:t>
            </w:r>
            <w:r>
              <w:rPr>
                <w:rFonts w:hint="eastAsia"/>
                <w:color w:val="auto"/>
                <w:sz w:val="24"/>
              </w:rPr>
              <w:t>车间通风</w:t>
            </w:r>
          </w:p>
        </w:tc>
        <w:tc>
          <w:tcPr>
            <w:tcW w:w="3310" w:type="dxa"/>
            <w:tcBorders>
              <w:tl2br w:val="nil"/>
              <w:tr2bl w:val="nil"/>
            </w:tcBorders>
            <w:vAlign w:val="center"/>
          </w:tcPr>
          <w:p w14:paraId="6B9F04AF">
            <w:pPr>
              <w:spacing w:line="240" w:lineRule="auto"/>
              <w:jc w:val="center"/>
              <w:rPr>
                <w:color w:val="auto"/>
                <w:sz w:val="24"/>
                <w:highlight w:val="yellow"/>
              </w:rPr>
            </w:pPr>
            <w:r>
              <w:rPr>
                <w:color w:val="auto"/>
                <w:sz w:val="24"/>
              </w:rPr>
              <w:t>《恶臭污染物排放标准》（GB14554-93）中表1二级新改扩建排放限值</w:t>
            </w:r>
          </w:p>
        </w:tc>
      </w:tr>
      <w:tr w14:paraId="0DBD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vMerge w:val="continue"/>
            <w:tcBorders>
              <w:tl2br w:val="nil"/>
              <w:tr2bl w:val="nil"/>
            </w:tcBorders>
            <w:vAlign w:val="center"/>
          </w:tcPr>
          <w:p w14:paraId="280B5287">
            <w:pPr>
              <w:adjustRightInd w:val="0"/>
              <w:snapToGrid w:val="0"/>
              <w:jc w:val="center"/>
              <w:rPr>
                <w:color w:val="auto"/>
                <w:sz w:val="24"/>
              </w:rPr>
            </w:pPr>
          </w:p>
        </w:tc>
        <w:tc>
          <w:tcPr>
            <w:tcW w:w="750" w:type="dxa"/>
            <w:tcBorders>
              <w:tl2br w:val="nil"/>
              <w:tr2bl w:val="nil"/>
            </w:tcBorders>
            <w:vAlign w:val="center"/>
          </w:tcPr>
          <w:p w14:paraId="5569D404">
            <w:pPr>
              <w:adjustRightInd w:val="0"/>
              <w:snapToGrid w:val="0"/>
              <w:jc w:val="center"/>
              <w:rPr>
                <w:color w:val="auto"/>
                <w:sz w:val="24"/>
              </w:rPr>
            </w:pPr>
            <w:r>
              <w:rPr>
                <w:color w:val="auto"/>
                <w:sz w:val="24"/>
              </w:rPr>
              <w:t>厂区内</w:t>
            </w:r>
          </w:p>
        </w:tc>
        <w:tc>
          <w:tcPr>
            <w:tcW w:w="1207" w:type="dxa"/>
            <w:tcBorders>
              <w:tl2br w:val="nil"/>
              <w:tr2bl w:val="nil"/>
            </w:tcBorders>
            <w:vAlign w:val="center"/>
          </w:tcPr>
          <w:p w14:paraId="57F78886">
            <w:pPr>
              <w:adjustRightInd w:val="0"/>
              <w:snapToGrid w:val="0"/>
              <w:jc w:val="center"/>
              <w:rPr>
                <w:color w:val="auto"/>
                <w:sz w:val="24"/>
              </w:rPr>
            </w:pPr>
            <w:r>
              <w:rPr>
                <w:rFonts w:hint="eastAsia"/>
                <w:color w:val="auto"/>
                <w:sz w:val="24"/>
              </w:rPr>
              <w:t>电泳漆涂装和烘干固化工序未能收集的废气</w:t>
            </w:r>
          </w:p>
        </w:tc>
        <w:tc>
          <w:tcPr>
            <w:tcW w:w="1398" w:type="dxa"/>
            <w:tcBorders>
              <w:tl2br w:val="nil"/>
              <w:tr2bl w:val="nil"/>
            </w:tcBorders>
            <w:vAlign w:val="center"/>
          </w:tcPr>
          <w:p w14:paraId="4E3D6C2C">
            <w:pPr>
              <w:adjustRightInd w:val="0"/>
              <w:snapToGrid w:val="0"/>
              <w:jc w:val="center"/>
              <w:rPr>
                <w:rFonts w:hint="default" w:eastAsia="宋体"/>
                <w:color w:val="auto"/>
                <w:sz w:val="24"/>
                <w:lang w:val="en-US" w:eastAsia="zh-CN"/>
              </w:rPr>
            </w:pPr>
            <w:r>
              <w:rPr>
                <w:rFonts w:hint="eastAsia"/>
                <w:color w:val="auto"/>
                <w:sz w:val="24"/>
                <w:lang w:val="en-US" w:eastAsia="zh-CN"/>
              </w:rPr>
              <w:t>非甲烷总烃</w:t>
            </w:r>
          </w:p>
        </w:tc>
        <w:tc>
          <w:tcPr>
            <w:tcW w:w="2293" w:type="dxa"/>
            <w:vMerge w:val="continue"/>
            <w:tcBorders>
              <w:tl2br w:val="nil"/>
              <w:tr2bl w:val="nil"/>
            </w:tcBorders>
            <w:vAlign w:val="center"/>
          </w:tcPr>
          <w:p w14:paraId="256BB89D">
            <w:pPr>
              <w:adjustRightInd w:val="0"/>
              <w:snapToGrid w:val="0"/>
              <w:jc w:val="center"/>
              <w:rPr>
                <w:color w:val="auto"/>
                <w:sz w:val="24"/>
              </w:rPr>
            </w:pPr>
          </w:p>
        </w:tc>
        <w:tc>
          <w:tcPr>
            <w:tcW w:w="3310" w:type="dxa"/>
            <w:tcBorders>
              <w:tl2br w:val="nil"/>
              <w:tr2bl w:val="nil"/>
            </w:tcBorders>
            <w:vAlign w:val="center"/>
          </w:tcPr>
          <w:p w14:paraId="309636B4">
            <w:pPr>
              <w:adjustRightInd w:val="0"/>
              <w:snapToGrid w:val="0"/>
              <w:jc w:val="center"/>
              <w:rPr>
                <w:color w:val="auto"/>
                <w:sz w:val="24"/>
              </w:rPr>
            </w:pPr>
            <w:r>
              <w:rPr>
                <w:color w:val="auto"/>
                <w:sz w:val="24"/>
              </w:rPr>
              <w:t>广东省地方标准《固定污染源挥发性有机物综合排放标准》（DB44/2367-2022）中的表3厂区内VOCs无组织排放限值</w:t>
            </w:r>
          </w:p>
        </w:tc>
      </w:tr>
      <w:tr w14:paraId="0109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tcBorders>
              <w:tl2br w:val="nil"/>
              <w:tr2bl w:val="nil"/>
            </w:tcBorders>
            <w:vAlign w:val="center"/>
          </w:tcPr>
          <w:p w14:paraId="34EA95EC">
            <w:pPr>
              <w:adjustRightInd w:val="0"/>
              <w:snapToGrid w:val="0"/>
              <w:jc w:val="center"/>
              <w:rPr>
                <w:color w:val="auto"/>
                <w:sz w:val="24"/>
              </w:rPr>
            </w:pPr>
            <w:r>
              <w:rPr>
                <w:color w:val="auto"/>
                <w:sz w:val="24"/>
              </w:rPr>
              <w:t>地表水环境</w:t>
            </w:r>
          </w:p>
        </w:tc>
        <w:tc>
          <w:tcPr>
            <w:tcW w:w="1957" w:type="dxa"/>
            <w:gridSpan w:val="2"/>
            <w:tcBorders>
              <w:tl2br w:val="nil"/>
              <w:tr2bl w:val="nil"/>
            </w:tcBorders>
            <w:vAlign w:val="center"/>
          </w:tcPr>
          <w:p w14:paraId="26864219">
            <w:pPr>
              <w:jc w:val="center"/>
              <w:rPr>
                <w:color w:val="auto"/>
                <w:kern w:val="1"/>
                <w:sz w:val="24"/>
              </w:rPr>
            </w:pPr>
            <w:r>
              <w:rPr>
                <w:rFonts w:hint="eastAsia"/>
                <w:color w:val="auto"/>
                <w:kern w:val="1"/>
                <w:sz w:val="24"/>
              </w:rPr>
              <w:t>电泳漆涂装前后</w:t>
            </w:r>
            <w:r>
              <w:rPr>
                <w:color w:val="auto"/>
                <w:kern w:val="1"/>
                <w:sz w:val="24"/>
              </w:rPr>
              <w:t>清洗废水</w:t>
            </w:r>
          </w:p>
        </w:tc>
        <w:tc>
          <w:tcPr>
            <w:tcW w:w="1398" w:type="dxa"/>
            <w:tcBorders>
              <w:tl2br w:val="nil"/>
              <w:tr2bl w:val="nil"/>
            </w:tcBorders>
            <w:vAlign w:val="center"/>
          </w:tcPr>
          <w:p w14:paraId="07A277E0">
            <w:pPr>
              <w:adjustRightInd w:val="0"/>
              <w:snapToGrid w:val="0"/>
              <w:jc w:val="center"/>
              <w:rPr>
                <w:color w:val="auto"/>
                <w:sz w:val="24"/>
              </w:rPr>
            </w:pPr>
            <w:r>
              <w:rPr>
                <w:rFonts w:hint="eastAsia"/>
                <w:color w:val="auto"/>
                <w:sz w:val="24"/>
              </w:rPr>
              <w:t>COD</w:t>
            </w:r>
            <w:r>
              <w:rPr>
                <w:rFonts w:hint="eastAsia"/>
                <w:color w:val="auto"/>
                <w:sz w:val="24"/>
                <w:vertAlign w:val="subscript"/>
              </w:rPr>
              <w:t>Cr</w:t>
            </w:r>
            <w:r>
              <w:rPr>
                <w:rFonts w:hint="eastAsia"/>
                <w:color w:val="auto"/>
                <w:sz w:val="24"/>
              </w:rPr>
              <w:t>、SS等</w:t>
            </w:r>
          </w:p>
        </w:tc>
        <w:tc>
          <w:tcPr>
            <w:tcW w:w="2293" w:type="dxa"/>
            <w:tcBorders>
              <w:tl2br w:val="nil"/>
              <w:tr2bl w:val="nil"/>
            </w:tcBorders>
            <w:vAlign w:val="center"/>
          </w:tcPr>
          <w:p w14:paraId="7EDD8817">
            <w:pPr>
              <w:jc w:val="center"/>
              <w:rPr>
                <w:color w:val="auto"/>
                <w:sz w:val="24"/>
              </w:rPr>
            </w:pPr>
            <w:r>
              <w:rPr>
                <w:rFonts w:hint="eastAsia"/>
                <w:color w:val="auto"/>
                <w:kern w:val="1"/>
                <w:sz w:val="24"/>
              </w:rPr>
              <w:t>进入依托现有项目的自建综合废水处理站处理后回用于阳极氧化线清洗</w:t>
            </w:r>
          </w:p>
        </w:tc>
        <w:tc>
          <w:tcPr>
            <w:tcW w:w="3310" w:type="dxa"/>
            <w:tcBorders>
              <w:tl2br w:val="nil"/>
              <w:tr2bl w:val="nil"/>
            </w:tcBorders>
            <w:vAlign w:val="center"/>
          </w:tcPr>
          <w:p w14:paraId="13BAD1A5">
            <w:pPr>
              <w:jc w:val="center"/>
              <w:rPr>
                <w:color w:val="auto"/>
                <w:sz w:val="24"/>
              </w:rPr>
            </w:pPr>
            <w:r>
              <w:rPr>
                <w:color w:val="auto"/>
                <w:sz w:val="24"/>
              </w:rPr>
              <w:t>不外排</w:t>
            </w:r>
          </w:p>
        </w:tc>
      </w:tr>
      <w:tr w14:paraId="67FB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tcBorders>
              <w:tl2br w:val="nil"/>
              <w:tr2bl w:val="nil"/>
            </w:tcBorders>
            <w:vAlign w:val="center"/>
          </w:tcPr>
          <w:p w14:paraId="5FDB8129">
            <w:pPr>
              <w:adjustRightInd w:val="0"/>
              <w:snapToGrid w:val="0"/>
              <w:jc w:val="center"/>
              <w:rPr>
                <w:color w:val="auto"/>
                <w:sz w:val="24"/>
              </w:rPr>
            </w:pPr>
            <w:r>
              <w:rPr>
                <w:color w:val="auto"/>
                <w:sz w:val="24"/>
              </w:rPr>
              <w:t>声环境</w:t>
            </w:r>
          </w:p>
        </w:tc>
        <w:tc>
          <w:tcPr>
            <w:tcW w:w="1957" w:type="dxa"/>
            <w:gridSpan w:val="2"/>
            <w:tcBorders>
              <w:tl2br w:val="nil"/>
              <w:tr2bl w:val="nil"/>
            </w:tcBorders>
            <w:vAlign w:val="center"/>
          </w:tcPr>
          <w:p w14:paraId="02F6F045">
            <w:pPr>
              <w:adjustRightInd w:val="0"/>
              <w:snapToGrid w:val="0"/>
              <w:jc w:val="center"/>
              <w:rPr>
                <w:color w:val="auto"/>
                <w:sz w:val="24"/>
              </w:rPr>
            </w:pPr>
            <w:r>
              <w:rPr>
                <w:color w:val="auto"/>
                <w:sz w:val="24"/>
              </w:rPr>
              <w:t>厂界</w:t>
            </w:r>
          </w:p>
        </w:tc>
        <w:tc>
          <w:tcPr>
            <w:tcW w:w="1398" w:type="dxa"/>
            <w:tcBorders>
              <w:tl2br w:val="nil"/>
              <w:tr2bl w:val="nil"/>
            </w:tcBorders>
            <w:vAlign w:val="center"/>
          </w:tcPr>
          <w:p w14:paraId="566C34FF">
            <w:pPr>
              <w:adjustRightInd w:val="0"/>
              <w:snapToGrid w:val="0"/>
              <w:jc w:val="center"/>
              <w:rPr>
                <w:color w:val="auto"/>
                <w:sz w:val="24"/>
              </w:rPr>
            </w:pPr>
            <w:r>
              <w:rPr>
                <w:color w:val="auto"/>
                <w:sz w:val="24"/>
              </w:rPr>
              <w:t>噪声</w:t>
            </w:r>
          </w:p>
        </w:tc>
        <w:tc>
          <w:tcPr>
            <w:tcW w:w="2293" w:type="dxa"/>
            <w:tcBorders>
              <w:tl2br w:val="nil"/>
              <w:tr2bl w:val="nil"/>
            </w:tcBorders>
            <w:vAlign w:val="center"/>
          </w:tcPr>
          <w:p w14:paraId="103A01BE">
            <w:pPr>
              <w:adjustRightInd w:val="0"/>
              <w:snapToGrid w:val="0"/>
              <w:jc w:val="center"/>
              <w:rPr>
                <w:color w:val="auto"/>
                <w:sz w:val="24"/>
              </w:rPr>
            </w:pPr>
            <w:r>
              <w:rPr>
                <w:color w:val="auto"/>
                <w:sz w:val="24"/>
              </w:rPr>
              <w:t>选用低噪声设备，定期维修保养设备，并采取隔声、吸声、减震等措施</w:t>
            </w:r>
          </w:p>
        </w:tc>
        <w:tc>
          <w:tcPr>
            <w:tcW w:w="3310" w:type="dxa"/>
            <w:tcBorders>
              <w:tl2br w:val="nil"/>
              <w:tr2bl w:val="nil"/>
            </w:tcBorders>
            <w:vAlign w:val="center"/>
          </w:tcPr>
          <w:p w14:paraId="1C619E1B">
            <w:pPr>
              <w:adjustRightInd w:val="0"/>
              <w:snapToGrid w:val="0"/>
              <w:jc w:val="center"/>
              <w:rPr>
                <w:color w:val="auto"/>
                <w:sz w:val="24"/>
              </w:rPr>
            </w:pPr>
            <w:r>
              <w:rPr>
                <w:color w:val="auto"/>
                <w:sz w:val="24"/>
              </w:rPr>
              <w:t>厂界噪声满足《工业企业厂界环境噪声排放标准》（GB12348-2008）3类标准</w:t>
            </w:r>
          </w:p>
        </w:tc>
      </w:tr>
      <w:tr w14:paraId="7F7C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tcBorders>
              <w:tl2br w:val="nil"/>
              <w:tr2bl w:val="nil"/>
            </w:tcBorders>
            <w:vAlign w:val="center"/>
          </w:tcPr>
          <w:p w14:paraId="2D10C24F">
            <w:pPr>
              <w:adjustRightInd w:val="0"/>
              <w:snapToGrid w:val="0"/>
              <w:jc w:val="center"/>
              <w:rPr>
                <w:color w:val="auto"/>
                <w:sz w:val="24"/>
              </w:rPr>
            </w:pPr>
            <w:r>
              <w:rPr>
                <w:color w:val="auto"/>
                <w:sz w:val="24"/>
              </w:rPr>
              <w:t>固体废物</w:t>
            </w:r>
          </w:p>
        </w:tc>
        <w:tc>
          <w:tcPr>
            <w:tcW w:w="8958" w:type="dxa"/>
            <w:gridSpan w:val="5"/>
            <w:tcBorders>
              <w:tl2br w:val="nil"/>
              <w:tr2bl w:val="nil"/>
            </w:tcBorders>
            <w:vAlign w:val="center"/>
          </w:tcPr>
          <w:p w14:paraId="76FB12DC">
            <w:pPr>
              <w:adjustRightInd w:val="0"/>
              <w:snapToGrid w:val="0"/>
              <w:spacing w:line="360" w:lineRule="auto"/>
              <w:ind w:firstLine="480" w:firstLineChars="200"/>
              <w:rPr>
                <w:color w:val="auto"/>
                <w:sz w:val="24"/>
              </w:rPr>
            </w:pPr>
            <w:r>
              <w:rPr>
                <w:rFonts w:hint="eastAsia"/>
                <w:color w:val="auto"/>
                <w:sz w:val="24"/>
              </w:rPr>
              <w:t>危险废物预脱脂槽液、阴极电泳槽、化学品包装桶、水喷淋塔更换的废液、</w:t>
            </w:r>
            <w:r>
              <w:rPr>
                <w:color w:val="auto"/>
                <w:sz w:val="24"/>
              </w:rPr>
              <w:t>废活性炭定期交由具有危险废物处理资质的单位进行</w:t>
            </w:r>
            <w:r>
              <w:rPr>
                <w:rFonts w:hint="eastAsia"/>
                <w:color w:val="auto"/>
                <w:sz w:val="24"/>
              </w:rPr>
              <w:t>收集处置</w:t>
            </w:r>
            <w:r>
              <w:rPr>
                <w:color w:val="auto"/>
                <w:sz w:val="24"/>
              </w:rPr>
              <w:t>。</w:t>
            </w:r>
          </w:p>
          <w:p w14:paraId="190F6AAD">
            <w:pPr>
              <w:adjustRightInd w:val="0"/>
              <w:snapToGrid w:val="0"/>
              <w:spacing w:line="360" w:lineRule="auto"/>
              <w:ind w:firstLine="480" w:firstLineChars="200"/>
              <w:rPr>
                <w:color w:val="auto"/>
                <w:sz w:val="24"/>
              </w:rPr>
            </w:pPr>
            <w:r>
              <w:rPr>
                <w:color w:val="auto"/>
                <w:sz w:val="24"/>
              </w:rPr>
              <w:t>厂内</w:t>
            </w:r>
            <w:r>
              <w:rPr>
                <w:rFonts w:hint="eastAsia"/>
                <w:color w:val="auto"/>
                <w:sz w:val="24"/>
              </w:rPr>
              <w:t>已</w:t>
            </w:r>
            <w:r>
              <w:rPr>
                <w:color w:val="auto"/>
                <w:sz w:val="24"/>
              </w:rPr>
              <w:t>设置1个危险废物仓库（TS001），危险废物经收集后分类暂存于危险废物仓库，定期交由有危废处理资质的单位处理</w:t>
            </w:r>
            <w:r>
              <w:rPr>
                <w:rFonts w:hint="eastAsia"/>
                <w:color w:val="auto"/>
                <w:sz w:val="24"/>
              </w:rPr>
              <w:t>；</w:t>
            </w:r>
            <w:r>
              <w:rPr>
                <w:color w:val="auto"/>
                <w:sz w:val="24"/>
              </w:rPr>
              <w:t>设置1个一般工业固废仓库（TS002），一般工业固体废物经收集后交由专业公司处理</w:t>
            </w:r>
            <w:r>
              <w:rPr>
                <w:rFonts w:hint="eastAsia"/>
                <w:color w:val="auto"/>
                <w:sz w:val="24"/>
              </w:rPr>
              <w:t>。</w:t>
            </w:r>
            <w:r>
              <w:rPr>
                <w:color w:val="auto"/>
                <w:sz w:val="24"/>
              </w:rPr>
              <w:t>固废管理执行</w:t>
            </w:r>
            <w:r>
              <w:rPr>
                <w:rFonts w:hint="eastAsia"/>
                <w:color w:val="auto"/>
                <w:sz w:val="24"/>
                <w:lang w:eastAsia="zh-CN"/>
              </w:rPr>
              <w:t>《中华人民共和国生态环境法典》（2026年3月12日）</w:t>
            </w:r>
            <w:r>
              <w:rPr>
                <w:color w:val="auto"/>
                <w:sz w:val="24"/>
              </w:rPr>
              <w:t>、</w:t>
            </w:r>
            <w:r>
              <w:rPr>
                <w:rFonts w:hint="eastAsia"/>
                <w:color w:val="auto"/>
                <w:sz w:val="24"/>
                <w:lang w:eastAsia="zh-CN"/>
              </w:rPr>
              <w:t>《广东省固体废物污染防治条例》（2026年7月31日修订）</w:t>
            </w:r>
            <w:r>
              <w:rPr>
                <w:color w:val="auto"/>
                <w:sz w:val="24"/>
              </w:rPr>
              <w:t>。项目一般固废在厂区内采用一般固废房及包装工具（罐、桶、包装袋等）贮存不适合《一般工业固体废物贮存和填埋污染控制标准》（GB18599-2020）标准，但贮存过程应满足相应防渗漏、防雨淋、防扬尘等环境保护要求。危险废物管理应执行《危险废物贮存污染控制标准》（GB18597-2023）、《环境保护图形标志、固体废物贮存（处置）场》（GB15562.2-1995及2023修改单）及《危险废物收集、贮存、运输技术规范》（HJ2025-2012）的有关规定。</w:t>
            </w:r>
          </w:p>
        </w:tc>
      </w:tr>
      <w:tr w14:paraId="134F7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tcBorders>
              <w:tl2br w:val="nil"/>
              <w:tr2bl w:val="nil"/>
            </w:tcBorders>
            <w:vAlign w:val="center"/>
          </w:tcPr>
          <w:p w14:paraId="57E19FF6">
            <w:pPr>
              <w:adjustRightInd w:val="0"/>
              <w:snapToGrid w:val="0"/>
              <w:jc w:val="center"/>
              <w:rPr>
                <w:color w:val="auto"/>
                <w:sz w:val="24"/>
              </w:rPr>
            </w:pPr>
            <w:r>
              <w:rPr>
                <w:color w:val="auto"/>
                <w:sz w:val="24"/>
              </w:rPr>
              <w:t>电磁辐射</w:t>
            </w:r>
          </w:p>
        </w:tc>
        <w:tc>
          <w:tcPr>
            <w:tcW w:w="8958" w:type="dxa"/>
            <w:gridSpan w:val="5"/>
            <w:tcBorders>
              <w:tl2br w:val="nil"/>
              <w:tr2bl w:val="nil"/>
            </w:tcBorders>
            <w:vAlign w:val="center"/>
          </w:tcPr>
          <w:p w14:paraId="05C28AB2">
            <w:pPr>
              <w:adjustRightInd w:val="0"/>
              <w:snapToGrid w:val="0"/>
              <w:spacing w:line="360" w:lineRule="auto"/>
              <w:jc w:val="center"/>
              <w:rPr>
                <w:color w:val="auto"/>
                <w:sz w:val="24"/>
              </w:rPr>
            </w:pPr>
            <w:r>
              <w:rPr>
                <w:color w:val="auto"/>
                <w:sz w:val="24"/>
              </w:rPr>
              <w:t>/</w:t>
            </w:r>
          </w:p>
        </w:tc>
      </w:tr>
      <w:tr w14:paraId="1E9E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tcBorders>
              <w:tl2br w:val="nil"/>
              <w:tr2bl w:val="nil"/>
            </w:tcBorders>
            <w:vAlign w:val="center"/>
          </w:tcPr>
          <w:p w14:paraId="6ACDA16E">
            <w:pPr>
              <w:adjustRightInd w:val="0"/>
              <w:snapToGrid w:val="0"/>
              <w:jc w:val="center"/>
              <w:rPr>
                <w:color w:val="auto"/>
                <w:sz w:val="24"/>
              </w:rPr>
            </w:pPr>
            <w:r>
              <w:rPr>
                <w:color w:val="auto"/>
                <w:sz w:val="24"/>
              </w:rPr>
              <w:t>土壤及地下水污染防治措施</w:t>
            </w:r>
          </w:p>
        </w:tc>
        <w:tc>
          <w:tcPr>
            <w:tcW w:w="8958" w:type="dxa"/>
            <w:gridSpan w:val="5"/>
            <w:tcBorders>
              <w:tl2br w:val="nil"/>
              <w:tr2bl w:val="nil"/>
            </w:tcBorders>
            <w:vAlign w:val="center"/>
          </w:tcPr>
          <w:p w14:paraId="6DB6F33E">
            <w:pPr>
              <w:pStyle w:val="50"/>
              <w:spacing w:line="360" w:lineRule="auto"/>
              <w:ind w:firstLine="480" w:firstLineChars="200"/>
              <w:rPr>
                <w:rFonts w:ascii="Times New Roman" w:hAnsi="Times New Roman" w:cs="Times New Roman"/>
                <w:color w:val="auto"/>
              </w:rPr>
            </w:pPr>
            <w:r>
              <w:rPr>
                <w:rFonts w:ascii="Times New Roman" w:hAnsi="Times New Roman" w:cs="Times New Roman"/>
                <w:color w:val="auto"/>
              </w:rPr>
              <w:t>危险废物仓库：地面做基础防渗，防渗层为2mm厚高密度聚乙烯，渗透系数≤10</w:t>
            </w:r>
            <w:r>
              <w:rPr>
                <w:rFonts w:ascii="Times New Roman" w:hAnsi="Times New Roman" w:cs="Times New Roman"/>
                <w:color w:val="auto"/>
                <w:vertAlign w:val="superscript"/>
              </w:rPr>
              <w:t>-10</w:t>
            </w:r>
            <w:r>
              <w:rPr>
                <w:rFonts w:ascii="Times New Roman" w:hAnsi="Times New Roman" w:cs="Times New Roman"/>
                <w:color w:val="auto"/>
              </w:rPr>
              <w:t>cm/s；其他区域均进行水泥地面硬底化。一般工业固废</w:t>
            </w:r>
            <w:r>
              <w:rPr>
                <w:rFonts w:hint="eastAsia" w:ascii="Times New Roman" w:hAnsi="Times New Roman" w:cs="Times New Roman"/>
                <w:color w:val="auto"/>
              </w:rPr>
              <w:t>间</w:t>
            </w:r>
            <w:r>
              <w:rPr>
                <w:rFonts w:ascii="Times New Roman" w:hAnsi="Times New Roman" w:cs="Times New Roman"/>
                <w:color w:val="auto"/>
              </w:rPr>
              <w:t>、生产车间：防渗层采用抗渗混凝土，其防渗性能应至少相当于渗透系数为1.0×10</w:t>
            </w:r>
            <w:r>
              <w:rPr>
                <w:rFonts w:ascii="Times New Roman" w:hAnsi="Times New Roman" w:cs="Times New Roman"/>
                <w:color w:val="auto"/>
                <w:vertAlign w:val="superscript"/>
              </w:rPr>
              <w:t>-5</w:t>
            </w:r>
            <w:r>
              <w:rPr>
                <w:rFonts w:ascii="Times New Roman" w:hAnsi="Times New Roman" w:cs="Times New Roman"/>
                <w:color w:val="auto"/>
              </w:rPr>
              <w:t>cm/s且厚度为0.75m的天然基础层。</w:t>
            </w:r>
          </w:p>
        </w:tc>
      </w:tr>
      <w:tr w14:paraId="7F05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tcBorders>
              <w:tl2br w:val="nil"/>
              <w:tr2bl w:val="nil"/>
            </w:tcBorders>
            <w:vAlign w:val="center"/>
          </w:tcPr>
          <w:p w14:paraId="410D8390">
            <w:pPr>
              <w:adjustRightInd w:val="0"/>
              <w:snapToGrid w:val="0"/>
              <w:spacing w:line="240" w:lineRule="auto"/>
              <w:jc w:val="center"/>
              <w:rPr>
                <w:color w:val="auto"/>
                <w:sz w:val="24"/>
              </w:rPr>
            </w:pPr>
            <w:r>
              <w:rPr>
                <w:color w:val="auto"/>
                <w:sz w:val="24"/>
              </w:rPr>
              <w:t>生态保护措施</w:t>
            </w:r>
          </w:p>
        </w:tc>
        <w:tc>
          <w:tcPr>
            <w:tcW w:w="8958" w:type="dxa"/>
            <w:gridSpan w:val="5"/>
            <w:tcBorders>
              <w:tl2br w:val="nil"/>
              <w:tr2bl w:val="nil"/>
            </w:tcBorders>
            <w:vAlign w:val="center"/>
          </w:tcPr>
          <w:p w14:paraId="5DD993BA">
            <w:pPr>
              <w:pStyle w:val="50"/>
              <w:spacing w:line="360" w:lineRule="auto"/>
              <w:ind w:firstLine="480" w:firstLineChars="200"/>
              <w:rPr>
                <w:color w:val="auto"/>
              </w:rPr>
            </w:pPr>
            <w:r>
              <w:rPr>
                <w:rFonts w:ascii="Times New Roman" w:hAnsi="Times New Roman" w:cs="Times New Roman"/>
                <w:color w:val="auto"/>
              </w:rPr>
              <w:t>在加强污染源控制、全面积极采取污染防治措施条件下，保证各污染物能够稳定达标排放，加强厂区周边绿化。</w:t>
            </w:r>
          </w:p>
        </w:tc>
      </w:tr>
      <w:tr w14:paraId="7B37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tcBorders>
              <w:tl2br w:val="nil"/>
              <w:tr2bl w:val="nil"/>
            </w:tcBorders>
            <w:vAlign w:val="center"/>
          </w:tcPr>
          <w:p w14:paraId="032F0885">
            <w:pPr>
              <w:adjustRightInd w:val="0"/>
              <w:snapToGrid w:val="0"/>
              <w:spacing w:line="240" w:lineRule="auto"/>
              <w:jc w:val="center"/>
              <w:rPr>
                <w:color w:val="auto"/>
                <w:spacing w:val="-8"/>
                <w:sz w:val="24"/>
              </w:rPr>
            </w:pPr>
            <w:r>
              <w:rPr>
                <w:color w:val="auto"/>
                <w:spacing w:val="-8"/>
                <w:sz w:val="24"/>
              </w:rPr>
              <w:t>环境风险防范措施</w:t>
            </w:r>
          </w:p>
        </w:tc>
        <w:tc>
          <w:tcPr>
            <w:tcW w:w="8958" w:type="dxa"/>
            <w:gridSpan w:val="5"/>
            <w:tcBorders>
              <w:tl2br w:val="nil"/>
              <w:tr2bl w:val="nil"/>
            </w:tcBorders>
            <w:vAlign w:val="center"/>
          </w:tcPr>
          <w:p w14:paraId="7C5F9DD6">
            <w:pPr>
              <w:pStyle w:val="50"/>
              <w:spacing w:line="360" w:lineRule="auto"/>
              <w:ind w:firstLine="480" w:firstLineChars="200"/>
              <w:rPr>
                <w:color w:val="auto"/>
              </w:rPr>
            </w:pPr>
            <w:r>
              <w:rPr>
                <w:rFonts w:ascii="Times New Roman" w:hAnsi="Times New Roman" w:cs="Times New Roman"/>
                <w:color w:val="auto"/>
              </w:rPr>
              <w:t>危险废物泄漏环境风险防范措施、原辅材料泄漏环境风险防范措施、火灾引发的伴生/次生污染物排放环境风险防范措施、废气事故排放的环境风险防范措施等。</w:t>
            </w:r>
          </w:p>
        </w:tc>
      </w:tr>
      <w:tr w14:paraId="4D39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73" w:type="dxa"/>
            <w:tcBorders>
              <w:tl2br w:val="nil"/>
              <w:tr2bl w:val="nil"/>
            </w:tcBorders>
            <w:vAlign w:val="center"/>
          </w:tcPr>
          <w:p w14:paraId="086591E1">
            <w:pPr>
              <w:adjustRightInd w:val="0"/>
              <w:snapToGrid w:val="0"/>
              <w:spacing w:line="240" w:lineRule="auto"/>
              <w:jc w:val="center"/>
              <w:rPr>
                <w:color w:val="auto"/>
                <w:spacing w:val="-8"/>
                <w:sz w:val="24"/>
              </w:rPr>
            </w:pPr>
            <w:r>
              <w:rPr>
                <w:color w:val="auto"/>
                <w:spacing w:val="-8"/>
                <w:sz w:val="24"/>
              </w:rPr>
              <w:t>其他环境管理要求</w:t>
            </w:r>
          </w:p>
        </w:tc>
        <w:tc>
          <w:tcPr>
            <w:tcW w:w="8958" w:type="dxa"/>
            <w:gridSpan w:val="5"/>
            <w:tcBorders>
              <w:tl2br w:val="nil"/>
              <w:tr2bl w:val="nil"/>
            </w:tcBorders>
            <w:vAlign w:val="center"/>
          </w:tcPr>
          <w:p w14:paraId="3B9A1CB6">
            <w:pPr>
              <w:pStyle w:val="50"/>
              <w:spacing w:line="360" w:lineRule="auto"/>
              <w:ind w:firstLine="480" w:firstLineChars="200"/>
              <w:rPr>
                <w:rFonts w:ascii="Times New Roman" w:hAnsi="Times New Roman" w:cs="Times New Roman"/>
                <w:color w:val="auto"/>
              </w:rPr>
            </w:pPr>
            <w:r>
              <w:rPr>
                <w:rFonts w:hint="eastAsia" w:ascii="Times New Roman" w:hAnsi="Times New Roman" w:cs="Times New Roman"/>
                <w:color w:val="auto"/>
              </w:rPr>
              <w:t>（1）</w:t>
            </w:r>
            <w:r>
              <w:rPr>
                <w:rFonts w:ascii="Times New Roman" w:hAnsi="Times New Roman" w:cs="Times New Roman"/>
                <w:color w:val="auto"/>
              </w:rPr>
              <w:t>按“三同时”原则，各项环境治理设施须与主体工程同时设计，同时施工、同时投入使用；</w:t>
            </w:r>
          </w:p>
          <w:p w14:paraId="224C3FE5">
            <w:pPr>
              <w:pStyle w:val="50"/>
              <w:spacing w:line="360" w:lineRule="auto"/>
              <w:ind w:firstLine="480" w:firstLineChars="200"/>
              <w:rPr>
                <w:rFonts w:ascii="Times New Roman" w:hAnsi="Times New Roman" w:cs="Times New Roman"/>
                <w:color w:val="auto"/>
              </w:rPr>
            </w:pPr>
            <w:r>
              <w:rPr>
                <w:rFonts w:ascii="Times New Roman" w:hAnsi="Times New Roman" w:cs="Times New Roman"/>
                <w:color w:val="auto"/>
              </w:rPr>
              <w:t>（2）配备相应运营管理人员进行环保设施运营，保证各环保设施稳定运行，污染物达标排放；</w:t>
            </w:r>
          </w:p>
          <w:p w14:paraId="623BFC7F">
            <w:pPr>
              <w:pStyle w:val="50"/>
              <w:spacing w:line="360" w:lineRule="auto"/>
              <w:ind w:firstLine="480" w:firstLineChars="200"/>
              <w:rPr>
                <w:rFonts w:ascii="Times New Roman" w:hAnsi="Times New Roman" w:cs="Times New Roman"/>
                <w:color w:val="auto"/>
              </w:rPr>
            </w:pPr>
            <w:r>
              <w:rPr>
                <w:rFonts w:ascii="Times New Roman" w:hAnsi="Times New Roman" w:cs="Times New Roman"/>
                <w:color w:val="auto"/>
              </w:rPr>
              <w:t>（3）应建立环境管理台账制度，包括台账记录、整理、维护和管理等；</w:t>
            </w:r>
          </w:p>
          <w:p w14:paraId="325278D7">
            <w:pPr>
              <w:pStyle w:val="50"/>
              <w:spacing w:line="360" w:lineRule="auto"/>
              <w:ind w:firstLine="480" w:firstLineChars="200"/>
              <w:rPr>
                <w:rFonts w:ascii="Times New Roman" w:hAnsi="Times New Roman" w:cs="Times New Roman"/>
                <w:color w:val="auto"/>
              </w:rPr>
            </w:pPr>
            <w:r>
              <w:rPr>
                <w:rFonts w:ascii="Times New Roman" w:hAnsi="Times New Roman" w:cs="Times New Roman"/>
                <w:color w:val="auto"/>
              </w:rPr>
              <w:t>（4）建设单位应加强自行申报排污许可信息的主动性，并对申报内容的真实性、准确性和规范性负责；</w:t>
            </w:r>
          </w:p>
          <w:p w14:paraId="20F2AEBE">
            <w:pPr>
              <w:pStyle w:val="50"/>
              <w:spacing w:line="360" w:lineRule="auto"/>
              <w:ind w:firstLine="480" w:firstLineChars="200"/>
              <w:rPr>
                <w:rFonts w:ascii="Times New Roman" w:hAnsi="Times New Roman" w:cs="Times New Roman"/>
                <w:color w:val="auto"/>
              </w:rPr>
            </w:pPr>
            <w:r>
              <w:rPr>
                <w:rFonts w:ascii="Times New Roman" w:hAnsi="Times New Roman" w:cs="Times New Roman"/>
                <w:color w:val="auto"/>
              </w:rPr>
              <w:t>（5）企业应进一步健全环保组织机构，完善各项环境保护规章制度和环境保护基础台账、档案，规范排口，明确各岗位环保责任，加强管理，强化日常运行监管；</w:t>
            </w:r>
          </w:p>
          <w:p w14:paraId="72FC1EE2">
            <w:pPr>
              <w:pStyle w:val="50"/>
              <w:spacing w:line="360" w:lineRule="auto"/>
              <w:ind w:firstLine="480" w:firstLineChars="200"/>
              <w:rPr>
                <w:rFonts w:ascii="Times New Roman" w:hAnsi="Times New Roman" w:cs="Times New Roman"/>
                <w:color w:val="auto"/>
              </w:rPr>
            </w:pPr>
            <w:r>
              <w:rPr>
                <w:rFonts w:ascii="Times New Roman" w:hAnsi="Times New Roman" w:cs="Times New Roman"/>
                <w:color w:val="auto"/>
              </w:rPr>
              <w:t>（6）落实自行监测等要求。</w:t>
            </w:r>
          </w:p>
        </w:tc>
      </w:tr>
    </w:tbl>
    <w:p w14:paraId="384742E2">
      <w:pPr>
        <w:pStyle w:val="36"/>
        <w:jc w:val="center"/>
        <w:outlineLvl w:val="0"/>
        <w:rPr>
          <w:rFonts w:ascii="Times New Roman" w:hAnsi="Times New Roman" w:eastAsia="黑体"/>
          <w:snapToGrid w:val="0"/>
          <w:color w:val="auto"/>
          <w:sz w:val="30"/>
          <w:szCs w:val="30"/>
        </w:rPr>
      </w:pPr>
      <w:r>
        <w:rPr>
          <w:rFonts w:ascii="Times New Roman" w:hAnsi="Times New Roman"/>
          <w:snapToGrid w:val="0"/>
          <w:color w:val="auto"/>
        </w:rPr>
        <w:br w:type="page"/>
      </w:r>
      <w:bookmarkStart w:id="278" w:name="_Toc4923"/>
      <w:bookmarkStart w:id="279" w:name="_Toc32130"/>
      <w:r>
        <w:rPr>
          <w:rFonts w:ascii="Times New Roman" w:hAnsi="Times New Roman" w:eastAsia="黑体"/>
          <w:snapToGrid w:val="0"/>
          <w:color w:val="auto"/>
          <w:sz w:val="30"/>
          <w:szCs w:val="30"/>
        </w:rPr>
        <w:t>六、结论</w:t>
      </w:r>
      <w:bookmarkEnd w:id="278"/>
      <w:bookmarkEnd w:id="279"/>
    </w:p>
    <w:tbl>
      <w:tblPr>
        <w:tblStyle w:val="42"/>
        <w:tblW w:w="98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808"/>
      </w:tblGrid>
      <w:tr w14:paraId="6F3507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71" w:hRule="atLeast"/>
          <w:jc w:val="center"/>
        </w:trPr>
        <w:tc>
          <w:tcPr>
            <w:tcW w:w="9808" w:type="dxa"/>
            <w:vAlign w:val="center"/>
          </w:tcPr>
          <w:p w14:paraId="20DDBC0F">
            <w:pPr>
              <w:pStyle w:val="177"/>
              <w:spacing w:line="360" w:lineRule="auto"/>
              <w:ind w:firstLine="480" w:firstLineChars="200"/>
              <w:rPr>
                <w:rFonts w:ascii="Times New Roman" w:hAnsi="Times New Roman" w:eastAsia="宋体"/>
                <w:color w:val="auto"/>
              </w:rPr>
            </w:pPr>
            <w:r>
              <w:rPr>
                <w:rFonts w:ascii="Times New Roman" w:hAnsi="Times New Roman" w:eastAsia="宋体"/>
                <w:color w:val="auto"/>
              </w:rPr>
              <w:t>本</w:t>
            </w:r>
            <w:r>
              <w:rPr>
                <w:rFonts w:hint="eastAsia" w:ascii="Times New Roman" w:hAnsi="Times New Roman" w:eastAsia="宋体"/>
                <w:color w:val="auto"/>
                <w:lang w:eastAsia="zh-CN"/>
              </w:rPr>
              <w:t>改建</w:t>
            </w:r>
            <w:r>
              <w:rPr>
                <w:rFonts w:ascii="Times New Roman" w:hAnsi="Times New Roman" w:eastAsia="宋体"/>
                <w:color w:val="auto"/>
              </w:rPr>
              <w:t>项目符合国家和地方产业政策，选址布局合理，项目拟采用各项环境保护措施具有经济和技术可行性，可确保达标排放。本项目的建设有利于当地的经济发展，具有一定的经济效益和社会效益。只要建设单位在本项目建设过程中认真执行环保“三同时”</w:t>
            </w:r>
            <w:r>
              <w:rPr>
                <w:rFonts w:hint="eastAsia" w:ascii="Times New Roman" w:hAnsi="Times New Roman" w:eastAsia="宋体"/>
                <w:color w:val="auto"/>
              </w:rPr>
              <w:t>制度</w:t>
            </w:r>
            <w:r>
              <w:rPr>
                <w:rFonts w:ascii="Times New Roman" w:hAnsi="Times New Roman" w:eastAsia="宋体"/>
                <w:color w:val="auto"/>
              </w:rPr>
              <w:t>，落实本环评中提出的各污染防治措施，所</w:t>
            </w:r>
            <w:r>
              <w:rPr>
                <w:rFonts w:hint="eastAsia" w:ascii="Times New Roman" w:hAnsi="Times New Roman" w:eastAsia="宋体"/>
                <w:color w:val="auto"/>
              </w:rPr>
              <w:t>排放</w:t>
            </w:r>
            <w:r>
              <w:rPr>
                <w:rFonts w:ascii="Times New Roman" w:hAnsi="Times New Roman" w:eastAsia="宋体"/>
                <w:color w:val="auto"/>
              </w:rPr>
              <w:t>的污染物能达标排放，则本项目建成及投入运行后对周围环境影响不大，从环境保护角度分析本项目</w:t>
            </w:r>
            <w:r>
              <w:rPr>
                <w:rFonts w:hint="eastAsia" w:ascii="Times New Roman" w:hAnsi="Times New Roman" w:eastAsia="宋体"/>
                <w:color w:val="auto"/>
              </w:rPr>
              <w:t>的建设</w:t>
            </w:r>
            <w:r>
              <w:rPr>
                <w:rFonts w:ascii="Times New Roman" w:hAnsi="Times New Roman" w:eastAsia="宋体"/>
                <w:color w:val="auto"/>
              </w:rPr>
              <w:t>是可行的。</w:t>
            </w:r>
          </w:p>
          <w:p w14:paraId="75844AC3">
            <w:pPr>
              <w:pStyle w:val="177"/>
              <w:spacing w:line="360" w:lineRule="auto"/>
              <w:ind w:firstLine="480" w:firstLineChars="200"/>
              <w:rPr>
                <w:rFonts w:ascii="Times New Roman" w:hAnsi="Times New Roman" w:eastAsia="宋体"/>
                <w:color w:val="auto"/>
              </w:rPr>
            </w:pPr>
            <w:r>
              <w:rPr>
                <w:rFonts w:hint="eastAsia" w:ascii="Times New Roman" w:hAnsi="Times New Roman" w:eastAsia="宋体"/>
                <w:color w:val="auto"/>
              </w:rPr>
              <w:t>本环境影响报告表通过审批后，建设内容和需要配套的污染防治设施如发生重大变动，建设单位需要重新组织编制和报批环境影响评价文件。建设单位应当严格执行配套建设的环境保护设施与主体工程同时设计、同时施工、同时投产使用的环境保护</w:t>
            </w:r>
            <w:r>
              <w:rPr>
                <w:rFonts w:ascii="Times New Roman" w:hAnsi="Times New Roman" w:eastAsia="宋体"/>
                <w:color w:val="auto"/>
              </w:rPr>
              <w:t>“</w:t>
            </w:r>
            <w:r>
              <w:rPr>
                <w:rFonts w:hint="eastAsia" w:ascii="Times New Roman" w:hAnsi="Times New Roman" w:eastAsia="宋体"/>
                <w:color w:val="auto"/>
              </w:rPr>
              <w:t>三同时</w:t>
            </w:r>
            <w:r>
              <w:rPr>
                <w:rFonts w:ascii="Times New Roman" w:hAnsi="Times New Roman" w:eastAsia="宋体"/>
                <w:color w:val="auto"/>
              </w:rPr>
              <w:t>”</w:t>
            </w:r>
            <w:r>
              <w:rPr>
                <w:rFonts w:hint="eastAsia" w:ascii="Times New Roman" w:hAnsi="Times New Roman" w:eastAsia="宋体"/>
                <w:color w:val="auto"/>
              </w:rPr>
              <w:t>制度。本项目竣工后，建设单位应当按照国家和地方规定的标准和程序，对配套建设的环境保护设施进行验收，编制验收报告，提出验收意见，并依法向社会公开。本</w:t>
            </w:r>
            <w:r>
              <w:rPr>
                <w:rFonts w:hint="eastAsia" w:ascii="Times New Roman" w:hAnsi="Times New Roman" w:eastAsia="宋体"/>
                <w:color w:val="auto"/>
                <w:lang w:eastAsia="zh-CN"/>
              </w:rPr>
              <w:t>改建</w:t>
            </w:r>
            <w:r>
              <w:rPr>
                <w:rFonts w:hint="eastAsia" w:ascii="Times New Roman" w:hAnsi="Times New Roman" w:eastAsia="宋体"/>
                <w:color w:val="auto"/>
              </w:rPr>
              <w:t>项目配套建设的环境保护设施经验收合格后，主体工程方可正式投入生产</w:t>
            </w:r>
            <w:r>
              <w:rPr>
                <w:rFonts w:ascii="Times New Roman" w:hAnsi="Times New Roman" w:eastAsia="宋体"/>
                <w:color w:val="auto"/>
              </w:rPr>
              <w:t>。</w:t>
            </w:r>
          </w:p>
        </w:tc>
      </w:tr>
    </w:tbl>
    <w:p w14:paraId="606748AE">
      <w:pPr>
        <w:rPr>
          <w:color w:val="auto"/>
        </w:rPr>
        <w:sectPr>
          <w:pgSz w:w="11906" w:h="16838"/>
          <w:pgMar w:top="1418" w:right="1417" w:bottom="1418" w:left="1417" w:header="851" w:footer="851" w:gutter="0"/>
          <w:pgBorders>
            <w:top w:val="none" w:sz="0" w:space="0"/>
            <w:left w:val="none" w:sz="0" w:space="0"/>
            <w:bottom w:val="none" w:sz="0" w:space="0"/>
            <w:right w:val="none" w:sz="0" w:space="0"/>
          </w:pgBorders>
          <w:cols w:space="720" w:num="1"/>
          <w:docGrid w:linePitch="312" w:charSpace="0"/>
        </w:sectPr>
      </w:pPr>
    </w:p>
    <w:p w14:paraId="755C1E57">
      <w:pPr>
        <w:pStyle w:val="36"/>
        <w:adjustRightInd w:val="0"/>
        <w:snapToGrid w:val="0"/>
        <w:spacing w:before="0" w:beforeAutospacing="0" w:after="0" w:afterAutospacing="0" w:line="240" w:lineRule="auto"/>
        <w:outlineLvl w:val="0"/>
        <w:rPr>
          <w:rFonts w:ascii="Times New Roman" w:hAnsi="Times New Roman" w:eastAsia="黑体"/>
          <w:snapToGrid w:val="0"/>
          <w:color w:val="auto"/>
          <w:sz w:val="32"/>
          <w:szCs w:val="32"/>
        </w:rPr>
      </w:pPr>
      <w:bookmarkStart w:id="280" w:name="_Toc1323"/>
      <w:bookmarkStart w:id="281" w:name="_Toc17359"/>
      <w:r>
        <w:rPr>
          <w:rFonts w:ascii="Times New Roman" w:hAnsi="Times New Roman" w:eastAsia="黑体"/>
          <w:snapToGrid w:val="0"/>
          <w:color w:val="auto"/>
          <w:sz w:val="32"/>
          <w:szCs w:val="32"/>
        </w:rPr>
        <w:t>附表</w:t>
      </w:r>
      <w:bookmarkEnd w:id="280"/>
      <w:bookmarkEnd w:id="281"/>
    </w:p>
    <w:p w14:paraId="6A04D55B">
      <w:pPr>
        <w:pStyle w:val="36"/>
        <w:adjustRightInd w:val="0"/>
        <w:snapToGrid w:val="0"/>
        <w:spacing w:before="0" w:beforeAutospacing="0" w:after="0" w:afterAutospacing="0" w:line="240" w:lineRule="auto"/>
        <w:jc w:val="center"/>
        <w:outlineLvl w:val="0"/>
        <w:rPr>
          <w:rFonts w:ascii="Times New Roman" w:hAnsi="Times New Roman" w:eastAsia="方正小标宋_GBK"/>
          <w:snapToGrid w:val="0"/>
          <w:color w:val="auto"/>
          <w:sz w:val="38"/>
          <w:szCs w:val="38"/>
        </w:rPr>
      </w:pPr>
      <w:bookmarkStart w:id="282" w:name="_Toc7037"/>
      <w:bookmarkStart w:id="283" w:name="_Toc27577"/>
      <w:r>
        <w:rPr>
          <w:rFonts w:ascii="Times New Roman" w:hAnsi="Times New Roman" w:eastAsia="方正小标宋_GBK"/>
          <w:snapToGrid w:val="0"/>
          <w:color w:val="auto"/>
          <w:sz w:val="38"/>
          <w:szCs w:val="38"/>
        </w:rPr>
        <w:t>建设项目污染物排放量汇总表</w:t>
      </w:r>
      <w:bookmarkEnd w:id="282"/>
      <w:bookmarkEnd w:id="283"/>
    </w:p>
    <w:tbl>
      <w:tblPr>
        <w:tblStyle w:val="42"/>
        <w:tblW w:w="14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4246"/>
        <w:gridCol w:w="1350"/>
        <w:gridCol w:w="975"/>
        <w:gridCol w:w="1395"/>
        <w:gridCol w:w="1410"/>
        <w:gridCol w:w="1239"/>
        <w:gridCol w:w="1500"/>
        <w:gridCol w:w="1370"/>
      </w:tblGrid>
      <w:tr w14:paraId="5D1C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tcBorders>
              <w:tl2br w:val="single" w:color="auto" w:sz="4" w:space="0"/>
            </w:tcBorders>
            <w:tcMar>
              <w:left w:w="28" w:type="dxa"/>
              <w:right w:w="28" w:type="dxa"/>
            </w:tcMar>
            <w:vAlign w:val="center"/>
          </w:tcPr>
          <w:p w14:paraId="5679F7AC">
            <w:pPr>
              <w:pStyle w:val="115"/>
              <w:spacing w:beforeLines="0" w:afterLines="0" w:line="240" w:lineRule="auto"/>
              <w:ind w:firstLine="0"/>
              <w:jc w:val="center"/>
              <w:rPr>
                <w:rFonts w:ascii="Times New Roman"/>
                <w:b/>
                <w:bCs/>
                <w:snapToGrid w:val="0"/>
                <w:color w:val="auto"/>
                <w:spacing w:val="-6"/>
                <w:kern w:val="21"/>
                <w:szCs w:val="21"/>
                <w:highlight w:val="none"/>
              </w:rPr>
            </w:pPr>
            <w:r>
              <w:rPr>
                <w:rFonts w:ascii="Times New Roman"/>
                <w:b/>
                <w:bCs/>
                <w:snapToGrid w:val="0"/>
                <w:color w:val="auto"/>
                <w:spacing w:val="-6"/>
                <w:kern w:val="21"/>
                <w:szCs w:val="21"/>
                <w:highlight w:val="none"/>
              </w:rPr>
              <w:t>项目</w:t>
            </w:r>
          </w:p>
          <w:p w14:paraId="201F65BE">
            <w:pPr>
              <w:pStyle w:val="115"/>
              <w:spacing w:beforeLines="0" w:afterLines="0" w:line="240" w:lineRule="auto"/>
              <w:ind w:firstLine="0"/>
              <w:jc w:val="center"/>
              <w:rPr>
                <w:rFonts w:ascii="Times New Roman"/>
                <w:b/>
                <w:bCs/>
                <w:snapToGrid w:val="0"/>
                <w:color w:val="auto"/>
                <w:spacing w:val="-6"/>
                <w:kern w:val="21"/>
                <w:szCs w:val="21"/>
                <w:highlight w:val="none"/>
              </w:rPr>
            </w:pPr>
            <w:r>
              <w:rPr>
                <w:rFonts w:ascii="Times New Roman"/>
                <w:b/>
                <w:bCs/>
                <w:snapToGrid w:val="0"/>
                <w:color w:val="auto"/>
                <w:spacing w:val="-6"/>
                <w:kern w:val="21"/>
                <w:szCs w:val="21"/>
                <w:highlight w:val="none"/>
              </w:rPr>
              <w:t>分类</w:t>
            </w:r>
          </w:p>
        </w:tc>
        <w:tc>
          <w:tcPr>
            <w:tcW w:w="4246" w:type="dxa"/>
            <w:tcBorders>
              <w:tl2br w:val="nil"/>
              <w:tr2bl w:val="nil"/>
            </w:tcBorders>
            <w:tcMar>
              <w:left w:w="28" w:type="dxa"/>
              <w:right w:w="28" w:type="dxa"/>
            </w:tcMar>
            <w:vAlign w:val="center"/>
          </w:tcPr>
          <w:p w14:paraId="6F8EDED8">
            <w:pPr>
              <w:pStyle w:val="115"/>
              <w:spacing w:beforeLines="0" w:afterLines="0" w:line="240" w:lineRule="auto"/>
              <w:ind w:firstLine="0"/>
              <w:jc w:val="center"/>
              <w:rPr>
                <w:rFonts w:ascii="Times New Roman"/>
                <w:b/>
                <w:bCs/>
                <w:snapToGrid w:val="0"/>
                <w:color w:val="auto"/>
                <w:spacing w:val="-6"/>
                <w:kern w:val="21"/>
                <w:szCs w:val="21"/>
                <w:highlight w:val="none"/>
              </w:rPr>
            </w:pPr>
            <w:r>
              <w:rPr>
                <w:rFonts w:ascii="Times New Roman"/>
                <w:b/>
                <w:bCs/>
                <w:snapToGrid w:val="0"/>
                <w:color w:val="auto"/>
                <w:spacing w:val="-6"/>
                <w:kern w:val="21"/>
                <w:szCs w:val="21"/>
                <w:highlight w:val="none"/>
              </w:rPr>
              <w:t>污染物名称</w:t>
            </w:r>
          </w:p>
        </w:tc>
        <w:tc>
          <w:tcPr>
            <w:tcW w:w="1350" w:type="dxa"/>
            <w:tcBorders>
              <w:tl2br w:val="nil"/>
              <w:tr2bl w:val="nil"/>
            </w:tcBorders>
            <w:tcMar>
              <w:left w:w="28" w:type="dxa"/>
              <w:right w:w="28" w:type="dxa"/>
            </w:tcMar>
            <w:vAlign w:val="center"/>
          </w:tcPr>
          <w:p w14:paraId="570806D8">
            <w:pPr>
              <w:pStyle w:val="115"/>
              <w:spacing w:beforeLines="0" w:afterLines="0" w:line="240" w:lineRule="auto"/>
              <w:ind w:firstLine="0"/>
              <w:jc w:val="center"/>
              <w:rPr>
                <w:rFonts w:ascii="Times New Roman"/>
                <w:b/>
                <w:bCs/>
                <w:snapToGrid w:val="0"/>
                <w:color w:val="auto"/>
                <w:spacing w:val="-6"/>
                <w:kern w:val="21"/>
                <w:szCs w:val="21"/>
                <w:highlight w:val="none"/>
              </w:rPr>
            </w:pPr>
            <w:r>
              <w:rPr>
                <w:rFonts w:ascii="Times New Roman"/>
                <w:b/>
                <w:bCs/>
                <w:snapToGrid w:val="0"/>
                <w:color w:val="auto"/>
                <w:spacing w:val="-6"/>
                <w:kern w:val="21"/>
                <w:szCs w:val="21"/>
                <w:highlight w:val="none"/>
              </w:rPr>
              <w:t>原有工程排放量（固体废物产生量）</w:t>
            </w:r>
            <w:r>
              <w:rPr>
                <w:rFonts w:ascii="Times New Roman"/>
                <w:b/>
                <w:bCs/>
                <w:snapToGrid w:val="0"/>
                <w:color w:val="auto"/>
                <w:spacing w:val="-6"/>
                <w:kern w:val="21"/>
                <w:szCs w:val="21"/>
                <w:highlight w:val="none"/>
              </w:rPr>
              <w:fldChar w:fldCharType="begin"/>
            </w:r>
            <w:r>
              <w:rPr>
                <w:rFonts w:ascii="Times New Roman"/>
                <w:b/>
                <w:bCs/>
                <w:snapToGrid w:val="0"/>
                <w:color w:val="auto"/>
                <w:spacing w:val="-6"/>
                <w:kern w:val="21"/>
                <w:szCs w:val="21"/>
                <w:highlight w:val="none"/>
              </w:rPr>
              <w:instrText xml:space="preserve"> = 1 \* GB3 \* MERGEFORMAT </w:instrText>
            </w:r>
            <w:r>
              <w:rPr>
                <w:rFonts w:ascii="Times New Roman"/>
                <w:b/>
                <w:bCs/>
                <w:snapToGrid w:val="0"/>
                <w:color w:val="auto"/>
                <w:spacing w:val="-6"/>
                <w:kern w:val="21"/>
                <w:szCs w:val="21"/>
                <w:highlight w:val="none"/>
              </w:rPr>
              <w:fldChar w:fldCharType="separate"/>
            </w:r>
            <w:r>
              <w:rPr>
                <w:rFonts w:ascii="Times New Roman"/>
                <w:b/>
                <w:bCs/>
                <w:color w:val="auto"/>
                <w:szCs w:val="21"/>
                <w:highlight w:val="none"/>
              </w:rPr>
              <w:t>①</w:t>
            </w:r>
            <w:r>
              <w:rPr>
                <w:rFonts w:ascii="Times New Roman"/>
                <w:b/>
                <w:bCs/>
                <w:snapToGrid w:val="0"/>
                <w:color w:val="auto"/>
                <w:spacing w:val="-6"/>
                <w:kern w:val="21"/>
                <w:szCs w:val="21"/>
                <w:highlight w:val="none"/>
              </w:rPr>
              <w:fldChar w:fldCharType="end"/>
            </w:r>
          </w:p>
        </w:tc>
        <w:tc>
          <w:tcPr>
            <w:tcW w:w="975" w:type="dxa"/>
            <w:tcBorders>
              <w:tl2br w:val="nil"/>
              <w:tr2bl w:val="nil"/>
            </w:tcBorders>
            <w:tcMar>
              <w:left w:w="28" w:type="dxa"/>
              <w:right w:w="28" w:type="dxa"/>
            </w:tcMar>
            <w:vAlign w:val="center"/>
          </w:tcPr>
          <w:p w14:paraId="69FB6867">
            <w:pPr>
              <w:pStyle w:val="115"/>
              <w:spacing w:beforeLines="0" w:afterLines="0" w:line="240" w:lineRule="auto"/>
              <w:ind w:firstLine="0"/>
              <w:jc w:val="center"/>
              <w:rPr>
                <w:rFonts w:ascii="Times New Roman"/>
                <w:b/>
                <w:bCs/>
                <w:snapToGrid w:val="0"/>
                <w:color w:val="auto"/>
                <w:spacing w:val="-6"/>
                <w:kern w:val="21"/>
                <w:szCs w:val="21"/>
                <w:highlight w:val="none"/>
              </w:rPr>
            </w:pPr>
            <w:r>
              <w:rPr>
                <w:rFonts w:ascii="Times New Roman"/>
                <w:b/>
                <w:bCs/>
                <w:snapToGrid w:val="0"/>
                <w:color w:val="auto"/>
                <w:spacing w:val="-6"/>
                <w:kern w:val="21"/>
                <w:szCs w:val="21"/>
                <w:highlight w:val="none"/>
              </w:rPr>
              <w:t>原有工程许可排放量</w:t>
            </w:r>
            <w:r>
              <w:rPr>
                <w:rFonts w:ascii="Times New Roman"/>
                <w:b/>
                <w:bCs/>
                <w:snapToGrid w:val="0"/>
                <w:color w:val="auto"/>
                <w:spacing w:val="-6"/>
                <w:kern w:val="21"/>
                <w:szCs w:val="21"/>
                <w:highlight w:val="none"/>
              </w:rPr>
              <w:fldChar w:fldCharType="begin"/>
            </w:r>
            <w:r>
              <w:rPr>
                <w:rFonts w:ascii="Times New Roman"/>
                <w:b/>
                <w:bCs/>
                <w:snapToGrid w:val="0"/>
                <w:color w:val="auto"/>
                <w:spacing w:val="-6"/>
                <w:kern w:val="21"/>
                <w:szCs w:val="21"/>
                <w:highlight w:val="none"/>
              </w:rPr>
              <w:instrText xml:space="preserve"> = 2 \* GB3 \* MERGEFORMAT </w:instrText>
            </w:r>
            <w:r>
              <w:rPr>
                <w:rFonts w:ascii="Times New Roman"/>
                <w:b/>
                <w:bCs/>
                <w:snapToGrid w:val="0"/>
                <w:color w:val="auto"/>
                <w:spacing w:val="-6"/>
                <w:kern w:val="21"/>
                <w:szCs w:val="21"/>
                <w:highlight w:val="none"/>
              </w:rPr>
              <w:fldChar w:fldCharType="separate"/>
            </w:r>
            <w:r>
              <w:rPr>
                <w:rFonts w:ascii="Times New Roman"/>
                <w:b/>
                <w:bCs/>
                <w:snapToGrid w:val="0"/>
                <w:color w:val="auto"/>
                <w:spacing w:val="-6"/>
                <w:kern w:val="21"/>
                <w:szCs w:val="21"/>
                <w:highlight w:val="none"/>
              </w:rPr>
              <w:t>②</w:t>
            </w:r>
            <w:r>
              <w:rPr>
                <w:rFonts w:ascii="Times New Roman"/>
                <w:b/>
                <w:bCs/>
                <w:snapToGrid w:val="0"/>
                <w:color w:val="auto"/>
                <w:spacing w:val="-6"/>
                <w:kern w:val="21"/>
                <w:szCs w:val="21"/>
                <w:highlight w:val="none"/>
              </w:rPr>
              <w:fldChar w:fldCharType="end"/>
            </w:r>
          </w:p>
        </w:tc>
        <w:tc>
          <w:tcPr>
            <w:tcW w:w="1395" w:type="dxa"/>
            <w:tcBorders>
              <w:tl2br w:val="nil"/>
              <w:tr2bl w:val="nil"/>
            </w:tcBorders>
            <w:tcMar>
              <w:left w:w="28" w:type="dxa"/>
              <w:right w:w="28" w:type="dxa"/>
            </w:tcMar>
            <w:vAlign w:val="center"/>
          </w:tcPr>
          <w:p w14:paraId="6CE132BF">
            <w:pPr>
              <w:pStyle w:val="115"/>
              <w:spacing w:beforeLines="0" w:afterLines="0" w:line="240" w:lineRule="auto"/>
              <w:ind w:firstLine="0"/>
              <w:jc w:val="center"/>
              <w:rPr>
                <w:rFonts w:ascii="Times New Roman"/>
                <w:b/>
                <w:bCs/>
                <w:snapToGrid w:val="0"/>
                <w:color w:val="auto"/>
                <w:spacing w:val="-6"/>
                <w:kern w:val="21"/>
                <w:szCs w:val="21"/>
                <w:highlight w:val="none"/>
              </w:rPr>
            </w:pPr>
            <w:r>
              <w:rPr>
                <w:rFonts w:ascii="Times New Roman"/>
                <w:b/>
                <w:bCs/>
                <w:snapToGrid w:val="0"/>
                <w:color w:val="auto"/>
                <w:spacing w:val="-6"/>
                <w:kern w:val="21"/>
                <w:szCs w:val="21"/>
                <w:highlight w:val="none"/>
              </w:rPr>
              <w:t>在建工程排放量（固体废物产生量）</w:t>
            </w:r>
            <w:r>
              <w:rPr>
                <w:rFonts w:ascii="Times New Roman"/>
                <w:b/>
                <w:bCs/>
                <w:snapToGrid w:val="0"/>
                <w:color w:val="auto"/>
                <w:spacing w:val="-6"/>
                <w:kern w:val="21"/>
                <w:szCs w:val="21"/>
                <w:highlight w:val="none"/>
              </w:rPr>
              <w:fldChar w:fldCharType="begin"/>
            </w:r>
            <w:r>
              <w:rPr>
                <w:rFonts w:ascii="Times New Roman"/>
                <w:b/>
                <w:bCs/>
                <w:snapToGrid w:val="0"/>
                <w:color w:val="auto"/>
                <w:spacing w:val="-6"/>
                <w:kern w:val="21"/>
                <w:szCs w:val="21"/>
                <w:highlight w:val="none"/>
              </w:rPr>
              <w:instrText xml:space="preserve"> = 3 \* GB3 \* MERGEFORMAT </w:instrText>
            </w:r>
            <w:r>
              <w:rPr>
                <w:rFonts w:ascii="Times New Roman"/>
                <w:b/>
                <w:bCs/>
                <w:snapToGrid w:val="0"/>
                <w:color w:val="auto"/>
                <w:spacing w:val="-6"/>
                <w:kern w:val="21"/>
                <w:szCs w:val="21"/>
                <w:highlight w:val="none"/>
              </w:rPr>
              <w:fldChar w:fldCharType="separate"/>
            </w:r>
            <w:r>
              <w:rPr>
                <w:rFonts w:ascii="Times New Roman"/>
                <w:b/>
                <w:bCs/>
                <w:color w:val="auto"/>
                <w:szCs w:val="21"/>
                <w:highlight w:val="none"/>
              </w:rPr>
              <w:t>③</w:t>
            </w:r>
            <w:r>
              <w:rPr>
                <w:rFonts w:ascii="Times New Roman"/>
                <w:b/>
                <w:bCs/>
                <w:snapToGrid w:val="0"/>
                <w:color w:val="auto"/>
                <w:spacing w:val="-6"/>
                <w:kern w:val="21"/>
                <w:szCs w:val="21"/>
                <w:highlight w:val="none"/>
              </w:rPr>
              <w:fldChar w:fldCharType="end"/>
            </w:r>
          </w:p>
        </w:tc>
        <w:tc>
          <w:tcPr>
            <w:tcW w:w="1410" w:type="dxa"/>
            <w:tcBorders>
              <w:tl2br w:val="nil"/>
              <w:tr2bl w:val="nil"/>
            </w:tcBorders>
            <w:tcMar>
              <w:left w:w="28" w:type="dxa"/>
              <w:right w:w="28" w:type="dxa"/>
            </w:tcMar>
            <w:vAlign w:val="center"/>
          </w:tcPr>
          <w:p w14:paraId="1664C8D8">
            <w:pPr>
              <w:pStyle w:val="115"/>
              <w:spacing w:beforeLines="0" w:afterLines="0" w:line="240" w:lineRule="auto"/>
              <w:ind w:firstLine="0"/>
              <w:jc w:val="center"/>
              <w:rPr>
                <w:rFonts w:ascii="Times New Roman"/>
                <w:b/>
                <w:bCs/>
                <w:snapToGrid w:val="0"/>
                <w:color w:val="auto"/>
                <w:spacing w:val="-6"/>
                <w:kern w:val="21"/>
                <w:szCs w:val="21"/>
                <w:highlight w:val="none"/>
              </w:rPr>
            </w:pPr>
            <w:r>
              <w:rPr>
                <w:rFonts w:ascii="Times New Roman"/>
                <w:b/>
                <w:bCs/>
                <w:snapToGrid w:val="0"/>
                <w:color w:val="auto"/>
                <w:spacing w:val="-6"/>
                <w:kern w:val="21"/>
                <w:szCs w:val="21"/>
                <w:highlight w:val="none"/>
              </w:rPr>
              <w:t>本项目排放量（固体废物产生量）</w:t>
            </w:r>
            <w:r>
              <w:rPr>
                <w:rFonts w:ascii="Times New Roman"/>
                <w:b/>
                <w:bCs/>
                <w:snapToGrid w:val="0"/>
                <w:color w:val="auto"/>
                <w:spacing w:val="-6"/>
                <w:kern w:val="21"/>
                <w:szCs w:val="21"/>
                <w:highlight w:val="none"/>
              </w:rPr>
              <w:fldChar w:fldCharType="begin"/>
            </w:r>
            <w:r>
              <w:rPr>
                <w:rFonts w:ascii="Times New Roman"/>
                <w:b/>
                <w:bCs/>
                <w:snapToGrid w:val="0"/>
                <w:color w:val="auto"/>
                <w:spacing w:val="-6"/>
                <w:kern w:val="21"/>
                <w:szCs w:val="21"/>
                <w:highlight w:val="none"/>
              </w:rPr>
              <w:instrText xml:space="preserve"> = 4 \* GB3 \* MERGEFORMAT </w:instrText>
            </w:r>
            <w:r>
              <w:rPr>
                <w:rFonts w:ascii="Times New Roman"/>
                <w:b/>
                <w:bCs/>
                <w:snapToGrid w:val="0"/>
                <w:color w:val="auto"/>
                <w:spacing w:val="-6"/>
                <w:kern w:val="21"/>
                <w:szCs w:val="21"/>
                <w:highlight w:val="none"/>
              </w:rPr>
              <w:fldChar w:fldCharType="separate"/>
            </w:r>
            <w:r>
              <w:rPr>
                <w:rFonts w:ascii="Times New Roman"/>
                <w:b/>
                <w:bCs/>
                <w:color w:val="auto"/>
                <w:szCs w:val="21"/>
                <w:highlight w:val="none"/>
              </w:rPr>
              <w:t>④</w:t>
            </w:r>
            <w:r>
              <w:rPr>
                <w:rFonts w:ascii="Times New Roman"/>
                <w:b/>
                <w:bCs/>
                <w:snapToGrid w:val="0"/>
                <w:color w:val="auto"/>
                <w:spacing w:val="-6"/>
                <w:kern w:val="21"/>
                <w:szCs w:val="21"/>
                <w:highlight w:val="none"/>
              </w:rPr>
              <w:fldChar w:fldCharType="end"/>
            </w:r>
          </w:p>
        </w:tc>
        <w:tc>
          <w:tcPr>
            <w:tcW w:w="1239" w:type="dxa"/>
            <w:tcBorders>
              <w:tl2br w:val="nil"/>
              <w:tr2bl w:val="nil"/>
            </w:tcBorders>
            <w:tcMar>
              <w:left w:w="28" w:type="dxa"/>
              <w:right w:w="28" w:type="dxa"/>
            </w:tcMar>
            <w:vAlign w:val="center"/>
          </w:tcPr>
          <w:p w14:paraId="3379B8E6">
            <w:pPr>
              <w:pStyle w:val="115"/>
              <w:spacing w:beforeLines="0" w:afterLines="0" w:line="240" w:lineRule="auto"/>
              <w:ind w:firstLine="0"/>
              <w:jc w:val="center"/>
              <w:rPr>
                <w:rFonts w:ascii="Times New Roman"/>
                <w:b/>
                <w:bCs/>
                <w:snapToGrid w:val="0"/>
                <w:color w:val="auto"/>
                <w:spacing w:val="-16"/>
                <w:kern w:val="21"/>
                <w:szCs w:val="21"/>
                <w:highlight w:val="none"/>
              </w:rPr>
            </w:pPr>
            <w:r>
              <w:rPr>
                <w:rFonts w:ascii="Times New Roman"/>
                <w:b/>
                <w:bCs/>
                <w:snapToGrid w:val="0"/>
                <w:color w:val="auto"/>
                <w:spacing w:val="-16"/>
                <w:kern w:val="21"/>
                <w:szCs w:val="21"/>
                <w:highlight w:val="none"/>
              </w:rPr>
              <w:t>以新带老削减量（新建项目不填）</w:t>
            </w:r>
            <w:r>
              <w:rPr>
                <w:rFonts w:ascii="Times New Roman"/>
                <w:b/>
                <w:bCs/>
                <w:snapToGrid w:val="0"/>
                <w:color w:val="auto"/>
                <w:spacing w:val="-16"/>
                <w:kern w:val="21"/>
                <w:szCs w:val="21"/>
                <w:highlight w:val="none"/>
              </w:rPr>
              <w:fldChar w:fldCharType="begin"/>
            </w:r>
            <w:r>
              <w:rPr>
                <w:rFonts w:ascii="Times New Roman"/>
                <w:b/>
                <w:bCs/>
                <w:snapToGrid w:val="0"/>
                <w:color w:val="auto"/>
                <w:spacing w:val="-16"/>
                <w:kern w:val="21"/>
                <w:szCs w:val="21"/>
                <w:highlight w:val="none"/>
              </w:rPr>
              <w:instrText xml:space="preserve"> = 5 \* GB3 \* MERGEFORMAT </w:instrText>
            </w:r>
            <w:r>
              <w:rPr>
                <w:rFonts w:ascii="Times New Roman"/>
                <w:b/>
                <w:bCs/>
                <w:snapToGrid w:val="0"/>
                <w:color w:val="auto"/>
                <w:spacing w:val="-16"/>
                <w:kern w:val="21"/>
                <w:szCs w:val="21"/>
                <w:highlight w:val="none"/>
              </w:rPr>
              <w:fldChar w:fldCharType="separate"/>
            </w:r>
            <w:r>
              <w:rPr>
                <w:rFonts w:ascii="Times New Roman"/>
                <w:b/>
                <w:bCs/>
                <w:color w:val="auto"/>
                <w:szCs w:val="21"/>
                <w:highlight w:val="none"/>
              </w:rPr>
              <w:t>⑤</w:t>
            </w:r>
            <w:r>
              <w:rPr>
                <w:rFonts w:ascii="Times New Roman"/>
                <w:b/>
                <w:bCs/>
                <w:snapToGrid w:val="0"/>
                <w:color w:val="auto"/>
                <w:spacing w:val="-16"/>
                <w:kern w:val="21"/>
                <w:szCs w:val="21"/>
                <w:highlight w:val="none"/>
              </w:rPr>
              <w:fldChar w:fldCharType="end"/>
            </w:r>
          </w:p>
        </w:tc>
        <w:tc>
          <w:tcPr>
            <w:tcW w:w="1500" w:type="dxa"/>
            <w:tcBorders>
              <w:tl2br w:val="nil"/>
              <w:tr2bl w:val="nil"/>
            </w:tcBorders>
            <w:tcMar>
              <w:left w:w="28" w:type="dxa"/>
              <w:right w:w="28" w:type="dxa"/>
            </w:tcMar>
            <w:vAlign w:val="center"/>
          </w:tcPr>
          <w:p w14:paraId="5FB70C65">
            <w:pPr>
              <w:pStyle w:val="115"/>
              <w:spacing w:beforeLines="0" w:afterLines="0" w:line="240" w:lineRule="auto"/>
              <w:ind w:firstLine="0"/>
              <w:jc w:val="center"/>
              <w:rPr>
                <w:rFonts w:ascii="Times New Roman"/>
                <w:b/>
                <w:bCs/>
                <w:snapToGrid w:val="0"/>
                <w:color w:val="auto"/>
                <w:spacing w:val="-16"/>
                <w:kern w:val="21"/>
                <w:szCs w:val="21"/>
                <w:highlight w:val="none"/>
              </w:rPr>
            </w:pPr>
            <w:r>
              <w:rPr>
                <w:rFonts w:ascii="Times New Roman"/>
                <w:b/>
                <w:bCs/>
                <w:snapToGrid w:val="0"/>
                <w:color w:val="auto"/>
                <w:spacing w:val="-16"/>
                <w:kern w:val="21"/>
                <w:szCs w:val="21"/>
                <w:highlight w:val="none"/>
              </w:rPr>
              <w:t>本项目建成后全厂排放量（固体废物产生量）</w:t>
            </w:r>
            <w:r>
              <w:rPr>
                <w:rFonts w:ascii="Times New Roman"/>
                <w:b/>
                <w:bCs/>
                <w:snapToGrid w:val="0"/>
                <w:color w:val="auto"/>
                <w:spacing w:val="-16"/>
                <w:kern w:val="21"/>
                <w:szCs w:val="21"/>
                <w:highlight w:val="none"/>
              </w:rPr>
              <w:fldChar w:fldCharType="begin"/>
            </w:r>
            <w:r>
              <w:rPr>
                <w:rFonts w:ascii="Times New Roman"/>
                <w:b/>
                <w:bCs/>
                <w:snapToGrid w:val="0"/>
                <w:color w:val="auto"/>
                <w:spacing w:val="-16"/>
                <w:kern w:val="21"/>
                <w:szCs w:val="21"/>
                <w:highlight w:val="none"/>
              </w:rPr>
              <w:instrText xml:space="preserve"> = 6 \* GB3 \* MERGEFORMAT </w:instrText>
            </w:r>
            <w:r>
              <w:rPr>
                <w:rFonts w:ascii="Times New Roman"/>
                <w:b/>
                <w:bCs/>
                <w:snapToGrid w:val="0"/>
                <w:color w:val="auto"/>
                <w:spacing w:val="-16"/>
                <w:kern w:val="21"/>
                <w:szCs w:val="21"/>
                <w:highlight w:val="none"/>
              </w:rPr>
              <w:fldChar w:fldCharType="separate"/>
            </w:r>
            <w:r>
              <w:rPr>
                <w:rFonts w:ascii="Times New Roman"/>
                <w:b/>
                <w:bCs/>
                <w:color w:val="auto"/>
                <w:szCs w:val="21"/>
                <w:highlight w:val="none"/>
              </w:rPr>
              <w:t>⑥</w:t>
            </w:r>
            <w:r>
              <w:rPr>
                <w:rFonts w:ascii="Times New Roman"/>
                <w:b/>
                <w:bCs/>
                <w:snapToGrid w:val="0"/>
                <w:color w:val="auto"/>
                <w:spacing w:val="-16"/>
                <w:kern w:val="21"/>
                <w:szCs w:val="21"/>
                <w:highlight w:val="none"/>
              </w:rPr>
              <w:fldChar w:fldCharType="end"/>
            </w:r>
          </w:p>
        </w:tc>
        <w:tc>
          <w:tcPr>
            <w:tcW w:w="1370" w:type="dxa"/>
            <w:tcBorders>
              <w:tl2br w:val="nil"/>
              <w:tr2bl w:val="nil"/>
            </w:tcBorders>
            <w:tcMar>
              <w:left w:w="28" w:type="dxa"/>
              <w:right w:w="28" w:type="dxa"/>
            </w:tcMar>
            <w:vAlign w:val="center"/>
          </w:tcPr>
          <w:p w14:paraId="0C636B6A">
            <w:pPr>
              <w:pStyle w:val="115"/>
              <w:spacing w:beforeLines="0" w:afterLines="0" w:line="240" w:lineRule="auto"/>
              <w:ind w:firstLine="0"/>
              <w:jc w:val="center"/>
              <w:rPr>
                <w:rFonts w:ascii="Times New Roman"/>
                <w:b/>
                <w:bCs/>
                <w:snapToGrid w:val="0"/>
                <w:color w:val="auto"/>
                <w:spacing w:val="-6"/>
                <w:kern w:val="21"/>
                <w:szCs w:val="21"/>
                <w:highlight w:val="none"/>
              </w:rPr>
            </w:pPr>
            <w:r>
              <w:rPr>
                <w:rFonts w:ascii="Times New Roman"/>
                <w:b/>
                <w:bCs/>
                <w:snapToGrid w:val="0"/>
                <w:color w:val="auto"/>
                <w:spacing w:val="-6"/>
                <w:kern w:val="21"/>
                <w:szCs w:val="21"/>
                <w:highlight w:val="none"/>
              </w:rPr>
              <w:t>变化量</w:t>
            </w:r>
            <w:r>
              <w:rPr>
                <w:rFonts w:ascii="Times New Roman"/>
                <w:b/>
                <w:bCs/>
                <w:snapToGrid w:val="0"/>
                <w:color w:val="auto"/>
                <w:spacing w:val="-6"/>
                <w:kern w:val="21"/>
                <w:szCs w:val="21"/>
                <w:highlight w:val="none"/>
              </w:rPr>
              <w:fldChar w:fldCharType="begin"/>
            </w:r>
            <w:r>
              <w:rPr>
                <w:rFonts w:ascii="Times New Roman"/>
                <w:b/>
                <w:bCs/>
                <w:snapToGrid w:val="0"/>
                <w:color w:val="auto"/>
                <w:spacing w:val="-6"/>
                <w:kern w:val="21"/>
                <w:szCs w:val="21"/>
                <w:highlight w:val="none"/>
              </w:rPr>
              <w:instrText xml:space="preserve"> = 7 \* GB3 \* MERGEFORMAT </w:instrText>
            </w:r>
            <w:r>
              <w:rPr>
                <w:rFonts w:ascii="Times New Roman"/>
                <w:b/>
                <w:bCs/>
                <w:snapToGrid w:val="0"/>
                <w:color w:val="auto"/>
                <w:spacing w:val="-6"/>
                <w:kern w:val="21"/>
                <w:szCs w:val="21"/>
                <w:highlight w:val="none"/>
              </w:rPr>
              <w:fldChar w:fldCharType="separate"/>
            </w:r>
            <w:r>
              <w:rPr>
                <w:rFonts w:ascii="Times New Roman"/>
                <w:b/>
                <w:bCs/>
                <w:color w:val="auto"/>
                <w:szCs w:val="21"/>
                <w:highlight w:val="none"/>
              </w:rPr>
              <w:t>⑦</w:t>
            </w:r>
            <w:r>
              <w:rPr>
                <w:rFonts w:ascii="Times New Roman"/>
                <w:b/>
                <w:bCs/>
                <w:snapToGrid w:val="0"/>
                <w:color w:val="auto"/>
                <w:spacing w:val="-6"/>
                <w:kern w:val="21"/>
                <w:szCs w:val="21"/>
                <w:highlight w:val="none"/>
              </w:rPr>
              <w:fldChar w:fldCharType="end"/>
            </w:r>
          </w:p>
        </w:tc>
      </w:tr>
      <w:tr w14:paraId="0AD1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restart"/>
            <w:tcBorders>
              <w:tl2br w:val="nil"/>
              <w:tr2bl w:val="nil"/>
            </w:tcBorders>
            <w:vAlign w:val="center"/>
          </w:tcPr>
          <w:p w14:paraId="2AF9B41B">
            <w:pPr>
              <w:pStyle w:val="115"/>
              <w:spacing w:beforeLines="0" w:afterLines="0" w:line="240" w:lineRule="auto"/>
              <w:ind w:firstLine="0"/>
              <w:jc w:val="center"/>
              <w:rPr>
                <w:rFonts w:ascii="Times New Roman"/>
                <w:snapToGrid w:val="0"/>
                <w:color w:val="auto"/>
                <w:kern w:val="21"/>
                <w:szCs w:val="21"/>
                <w:highlight w:val="none"/>
              </w:rPr>
            </w:pPr>
            <w:r>
              <w:rPr>
                <w:rFonts w:ascii="Times New Roman"/>
                <w:snapToGrid w:val="0"/>
                <w:color w:val="auto"/>
                <w:kern w:val="21"/>
                <w:szCs w:val="21"/>
                <w:highlight w:val="none"/>
              </w:rPr>
              <w:t>废气</w:t>
            </w:r>
          </w:p>
        </w:tc>
        <w:tc>
          <w:tcPr>
            <w:tcW w:w="4246" w:type="dxa"/>
            <w:tcBorders>
              <w:tl2br w:val="nil"/>
              <w:tr2bl w:val="nil"/>
            </w:tcBorders>
            <w:vAlign w:val="center"/>
          </w:tcPr>
          <w:p w14:paraId="487F295A">
            <w:pPr>
              <w:jc w:val="center"/>
              <w:rPr>
                <w:snapToGrid w:val="0"/>
                <w:color w:val="auto"/>
                <w:kern w:val="21"/>
                <w:szCs w:val="21"/>
                <w:highlight w:val="none"/>
              </w:rPr>
            </w:pPr>
            <w:r>
              <w:rPr>
                <w:rFonts w:hint="eastAsia"/>
                <w:snapToGrid w:val="0"/>
                <w:color w:val="auto"/>
                <w:kern w:val="21"/>
                <w:szCs w:val="21"/>
                <w:highlight w:val="none"/>
              </w:rPr>
              <w:t>废气量（万m</w:t>
            </w:r>
            <w:r>
              <w:rPr>
                <w:rFonts w:hint="eastAsia"/>
                <w:snapToGrid w:val="0"/>
                <w:color w:val="auto"/>
                <w:kern w:val="21"/>
                <w:szCs w:val="21"/>
                <w:highlight w:val="none"/>
                <w:vertAlign w:val="superscript"/>
              </w:rPr>
              <w:t>3</w:t>
            </w:r>
            <w:r>
              <w:rPr>
                <w:rFonts w:hint="eastAsia"/>
                <w:snapToGrid w:val="0"/>
                <w:color w:val="auto"/>
                <w:kern w:val="21"/>
                <w:szCs w:val="21"/>
                <w:highlight w:val="none"/>
              </w:rPr>
              <w:t>/a）</w:t>
            </w:r>
          </w:p>
        </w:tc>
        <w:tc>
          <w:tcPr>
            <w:tcW w:w="1350" w:type="dxa"/>
            <w:tcBorders>
              <w:tl2br w:val="nil"/>
              <w:tr2bl w:val="nil"/>
            </w:tcBorders>
            <w:vAlign w:val="center"/>
          </w:tcPr>
          <w:p w14:paraId="51624EB7">
            <w:pPr>
              <w:spacing w:line="240" w:lineRule="auto"/>
              <w:jc w:val="center"/>
              <w:rPr>
                <w:rFonts w:hint="default"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30000</w:t>
            </w:r>
          </w:p>
        </w:tc>
        <w:tc>
          <w:tcPr>
            <w:tcW w:w="975" w:type="dxa"/>
            <w:tcBorders>
              <w:tl2br w:val="nil"/>
              <w:tr2bl w:val="nil"/>
            </w:tcBorders>
            <w:vAlign w:val="center"/>
          </w:tcPr>
          <w:p w14:paraId="4372A756">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208A5474">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75D6A12E">
            <w:pPr>
              <w:spacing w:line="240" w:lineRule="auto"/>
              <w:jc w:val="center"/>
              <w:rPr>
                <w:rFonts w:hint="default" w:eastAsia="宋体"/>
                <w:color w:val="auto"/>
                <w:szCs w:val="21"/>
                <w:highlight w:val="none"/>
                <w:lang w:val="en-US" w:eastAsia="zh-CN"/>
              </w:rPr>
            </w:pPr>
            <w:r>
              <w:rPr>
                <w:rFonts w:hint="eastAsia"/>
                <w:color w:val="auto"/>
                <w:szCs w:val="21"/>
                <w:highlight w:val="none"/>
                <w:lang w:val="en-US" w:eastAsia="zh-CN"/>
              </w:rPr>
              <w:t>2880</w:t>
            </w:r>
          </w:p>
        </w:tc>
        <w:tc>
          <w:tcPr>
            <w:tcW w:w="1239" w:type="dxa"/>
            <w:tcBorders>
              <w:tl2br w:val="nil"/>
              <w:tr2bl w:val="nil"/>
            </w:tcBorders>
            <w:vAlign w:val="center"/>
          </w:tcPr>
          <w:p w14:paraId="45F26702">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vAlign w:val="center"/>
          </w:tcPr>
          <w:p w14:paraId="7F6696F5">
            <w:pPr>
              <w:spacing w:line="240" w:lineRule="auto"/>
              <w:jc w:val="center"/>
              <w:rPr>
                <w:rFonts w:hint="default" w:eastAsia="宋体"/>
                <w:color w:val="auto"/>
                <w:szCs w:val="21"/>
                <w:highlight w:val="none"/>
                <w:lang w:val="en-US" w:eastAsia="zh-CN"/>
              </w:rPr>
            </w:pPr>
            <w:r>
              <w:rPr>
                <w:rFonts w:hint="eastAsia"/>
                <w:color w:val="auto"/>
                <w:szCs w:val="21"/>
                <w:highlight w:val="none"/>
                <w:lang w:val="en-US" w:eastAsia="zh-CN"/>
              </w:rPr>
              <w:t>32880</w:t>
            </w:r>
          </w:p>
        </w:tc>
        <w:tc>
          <w:tcPr>
            <w:tcW w:w="1370" w:type="dxa"/>
            <w:tcBorders>
              <w:tl2br w:val="nil"/>
              <w:tr2bl w:val="nil"/>
            </w:tcBorders>
            <w:shd w:val="clear" w:color="auto" w:fill="auto"/>
            <w:vAlign w:val="center"/>
          </w:tcPr>
          <w:p w14:paraId="1DBA300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+2880</w:t>
            </w:r>
          </w:p>
        </w:tc>
      </w:tr>
      <w:tr w14:paraId="5D8C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28E6A9C6">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340BE36D">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颗粒物</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4720A5E9">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0.1144 </w:t>
            </w:r>
          </w:p>
        </w:tc>
        <w:tc>
          <w:tcPr>
            <w:tcW w:w="975" w:type="dxa"/>
            <w:tcBorders>
              <w:tl2br w:val="nil"/>
              <w:tr2bl w:val="nil"/>
            </w:tcBorders>
            <w:vAlign w:val="center"/>
          </w:tcPr>
          <w:p w14:paraId="4A89C944">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22FB0594">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1311CA5F">
            <w:pPr>
              <w:spacing w:line="240" w:lineRule="auto"/>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1239" w:type="dxa"/>
            <w:tcBorders>
              <w:tl2br w:val="nil"/>
              <w:tr2bl w:val="nil"/>
            </w:tcBorders>
            <w:vAlign w:val="center"/>
          </w:tcPr>
          <w:p w14:paraId="2C8D5C8E">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46247659">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0.1144 </w:t>
            </w:r>
          </w:p>
        </w:tc>
        <w:tc>
          <w:tcPr>
            <w:tcW w:w="1370" w:type="dxa"/>
            <w:tcBorders>
              <w:tl2br w:val="nil"/>
              <w:tr2bl w:val="nil"/>
            </w:tcBorders>
            <w:shd w:val="clear" w:color="auto" w:fill="auto"/>
            <w:vAlign w:val="center"/>
          </w:tcPr>
          <w:p w14:paraId="7FDD0819">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w:t>
            </w:r>
          </w:p>
        </w:tc>
      </w:tr>
      <w:tr w14:paraId="3C920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7867A859">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bottom w:val="single" w:color="000000" w:sz="6" w:space="0"/>
              <w:tl2br w:val="nil"/>
              <w:tr2bl w:val="nil"/>
            </w:tcBorders>
            <w:shd w:val="clear" w:color="auto" w:fill="auto"/>
            <w:vAlign w:val="center"/>
          </w:tcPr>
          <w:p w14:paraId="3BB261E8">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碱雾</w:t>
            </w:r>
            <w:r>
              <w:rPr>
                <w:rFonts w:hint="eastAsia"/>
                <w:snapToGrid w:val="0"/>
                <w:color w:val="auto"/>
                <w:kern w:val="21"/>
                <w:szCs w:val="21"/>
                <w:highlight w:val="none"/>
              </w:rPr>
              <w:t>（t/a）</w:t>
            </w:r>
          </w:p>
        </w:tc>
        <w:tc>
          <w:tcPr>
            <w:tcW w:w="1350" w:type="dxa"/>
            <w:tcBorders>
              <w:bottom w:val="single" w:color="000000" w:sz="6" w:space="0"/>
              <w:tl2br w:val="nil"/>
              <w:tr2bl w:val="nil"/>
            </w:tcBorders>
            <w:shd w:val="clear" w:color="auto" w:fill="auto"/>
            <w:vAlign w:val="center"/>
          </w:tcPr>
          <w:p w14:paraId="4562D99F">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0.1028 </w:t>
            </w:r>
          </w:p>
        </w:tc>
        <w:tc>
          <w:tcPr>
            <w:tcW w:w="975" w:type="dxa"/>
            <w:tcBorders>
              <w:bottom w:val="single" w:color="000000" w:sz="6" w:space="0"/>
              <w:tl2br w:val="nil"/>
              <w:tr2bl w:val="nil"/>
            </w:tcBorders>
            <w:vAlign w:val="center"/>
          </w:tcPr>
          <w:p w14:paraId="7C438884">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bottom w:val="single" w:color="000000" w:sz="6" w:space="0"/>
              <w:tl2br w:val="nil"/>
              <w:tr2bl w:val="nil"/>
            </w:tcBorders>
            <w:vAlign w:val="center"/>
          </w:tcPr>
          <w:p w14:paraId="45D93566">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bottom w:val="single" w:color="000000" w:sz="6" w:space="0"/>
              <w:tl2br w:val="nil"/>
              <w:tr2bl w:val="nil"/>
            </w:tcBorders>
            <w:vAlign w:val="center"/>
          </w:tcPr>
          <w:p w14:paraId="38E2773A">
            <w:pPr>
              <w:spacing w:line="240" w:lineRule="auto"/>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1239" w:type="dxa"/>
            <w:tcBorders>
              <w:bottom w:val="single" w:color="000000" w:sz="6" w:space="0"/>
              <w:tl2br w:val="nil"/>
              <w:tr2bl w:val="nil"/>
            </w:tcBorders>
            <w:vAlign w:val="center"/>
          </w:tcPr>
          <w:p w14:paraId="6304B87F">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bottom w:val="single" w:color="000000" w:sz="6" w:space="0"/>
              <w:tl2br w:val="nil"/>
              <w:tr2bl w:val="nil"/>
            </w:tcBorders>
            <w:shd w:val="clear" w:color="auto" w:fill="auto"/>
            <w:vAlign w:val="center"/>
          </w:tcPr>
          <w:p w14:paraId="4726C477">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0.1028 </w:t>
            </w:r>
          </w:p>
        </w:tc>
        <w:tc>
          <w:tcPr>
            <w:tcW w:w="1370" w:type="dxa"/>
            <w:tcBorders>
              <w:bottom w:val="single" w:color="000000" w:sz="6" w:space="0"/>
              <w:tl2br w:val="nil"/>
              <w:tr2bl w:val="nil"/>
            </w:tcBorders>
            <w:shd w:val="clear" w:color="auto" w:fill="auto"/>
            <w:vAlign w:val="center"/>
          </w:tcPr>
          <w:p w14:paraId="354BEB63">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w:t>
            </w:r>
          </w:p>
        </w:tc>
      </w:tr>
      <w:tr w14:paraId="69B1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4A0409DF">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op w:val="single" w:color="000000" w:sz="6" w:space="0"/>
              <w:tl2br w:val="nil"/>
              <w:tr2bl w:val="nil"/>
            </w:tcBorders>
            <w:shd w:val="clear" w:color="auto" w:fill="auto"/>
            <w:vAlign w:val="center"/>
          </w:tcPr>
          <w:p w14:paraId="17FB8176">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硫酸雾</w:t>
            </w:r>
            <w:r>
              <w:rPr>
                <w:rFonts w:hint="eastAsia"/>
                <w:snapToGrid w:val="0"/>
                <w:color w:val="auto"/>
                <w:kern w:val="21"/>
                <w:szCs w:val="21"/>
                <w:highlight w:val="none"/>
              </w:rPr>
              <w:t>（t/a）</w:t>
            </w:r>
          </w:p>
        </w:tc>
        <w:tc>
          <w:tcPr>
            <w:tcW w:w="1350" w:type="dxa"/>
            <w:tcBorders>
              <w:top w:val="single" w:color="000000" w:sz="6" w:space="0"/>
              <w:tl2br w:val="nil"/>
              <w:tr2bl w:val="nil"/>
            </w:tcBorders>
            <w:shd w:val="clear" w:color="auto" w:fill="auto"/>
            <w:vAlign w:val="center"/>
          </w:tcPr>
          <w:p w14:paraId="26A2505B">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0.0067 </w:t>
            </w:r>
          </w:p>
        </w:tc>
        <w:tc>
          <w:tcPr>
            <w:tcW w:w="975" w:type="dxa"/>
            <w:tcBorders>
              <w:top w:val="single" w:color="000000" w:sz="6" w:space="0"/>
              <w:tl2br w:val="nil"/>
              <w:tr2bl w:val="nil"/>
            </w:tcBorders>
            <w:vAlign w:val="center"/>
          </w:tcPr>
          <w:p w14:paraId="3BF16749">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op w:val="single" w:color="000000" w:sz="6" w:space="0"/>
              <w:tl2br w:val="nil"/>
              <w:tr2bl w:val="nil"/>
            </w:tcBorders>
            <w:vAlign w:val="center"/>
          </w:tcPr>
          <w:p w14:paraId="37142626">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op w:val="single" w:color="000000" w:sz="6" w:space="0"/>
              <w:tl2br w:val="nil"/>
              <w:tr2bl w:val="nil"/>
            </w:tcBorders>
            <w:vAlign w:val="center"/>
          </w:tcPr>
          <w:p w14:paraId="1B085659">
            <w:pPr>
              <w:spacing w:line="240" w:lineRule="auto"/>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1239" w:type="dxa"/>
            <w:tcBorders>
              <w:top w:val="single" w:color="000000" w:sz="6" w:space="0"/>
              <w:tl2br w:val="nil"/>
              <w:tr2bl w:val="nil"/>
            </w:tcBorders>
            <w:vAlign w:val="center"/>
          </w:tcPr>
          <w:p w14:paraId="29E5664E">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op w:val="single" w:color="000000" w:sz="6" w:space="0"/>
              <w:tl2br w:val="nil"/>
              <w:tr2bl w:val="nil"/>
            </w:tcBorders>
            <w:shd w:val="clear" w:color="auto" w:fill="auto"/>
            <w:vAlign w:val="center"/>
          </w:tcPr>
          <w:p w14:paraId="60928D3C">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0.0067 </w:t>
            </w:r>
          </w:p>
        </w:tc>
        <w:tc>
          <w:tcPr>
            <w:tcW w:w="1370" w:type="dxa"/>
            <w:tcBorders>
              <w:top w:val="single" w:color="000000" w:sz="6" w:space="0"/>
              <w:tl2br w:val="nil"/>
              <w:tr2bl w:val="nil"/>
            </w:tcBorders>
            <w:shd w:val="clear" w:color="auto" w:fill="auto"/>
            <w:vAlign w:val="center"/>
          </w:tcPr>
          <w:p w14:paraId="71411AE6">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w:t>
            </w:r>
          </w:p>
        </w:tc>
      </w:tr>
      <w:tr w14:paraId="44F4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677E9EF3">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7FA4B26E">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硝酸雾</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6C5E2436">
            <w:pPr>
              <w:keepNext w:val="0"/>
              <w:keepLines w:val="0"/>
              <w:widowControl/>
              <w:suppressLineNumbers w:val="0"/>
              <w:jc w:val="center"/>
              <w:textAlignment w:val="center"/>
              <w:rPr>
                <w:rFonts w:hint="default"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0.0017 </w:t>
            </w:r>
          </w:p>
        </w:tc>
        <w:tc>
          <w:tcPr>
            <w:tcW w:w="975" w:type="dxa"/>
            <w:tcBorders>
              <w:tl2br w:val="nil"/>
              <w:tr2bl w:val="nil"/>
            </w:tcBorders>
            <w:vAlign w:val="center"/>
          </w:tcPr>
          <w:p w14:paraId="72A02E5D">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061FA4A5">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06FBEEFD">
            <w:pPr>
              <w:spacing w:line="240" w:lineRule="auto"/>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1239" w:type="dxa"/>
            <w:tcBorders>
              <w:tl2br w:val="nil"/>
              <w:tr2bl w:val="nil"/>
            </w:tcBorders>
            <w:vAlign w:val="center"/>
          </w:tcPr>
          <w:p w14:paraId="0A0C175C">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0CE8E7C9">
            <w:pPr>
              <w:keepNext w:val="0"/>
              <w:keepLines w:val="0"/>
              <w:widowControl/>
              <w:suppressLineNumbers w:val="0"/>
              <w:jc w:val="center"/>
              <w:textAlignment w:val="center"/>
              <w:rPr>
                <w:rFonts w:hint="eastAsia"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0.0017 </w:t>
            </w:r>
          </w:p>
        </w:tc>
        <w:tc>
          <w:tcPr>
            <w:tcW w:w="1370" w:type="dxa"/>
            <w:tcBorders>
              <w:tl2br w:val="nil"/>
              <w:tr2bl w:val="nil"/>
            </w:tcBorders>
            <w:shd w:val="clear" w:color="auto" w:fill="auto"/>
            <w:vAlign w:val="center"/>
          </w:tcPr>
          <w:p w14:paraId="5E10C8CF">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w:t>
            </w:r>
          </w:p>
        </w:tc>
      </w:tr>
      <w:tr w14:paraId="6C2C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6FF363C2">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351CCDB7">
            <w:pPr>
              <w:jc w:val="center"/>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非甲烷总烃</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0C830BC9">
            <w:pPr>
              <w:keepNext w:val="0"/>
              <w:keepLines w:val="0"/>
              <w:widowControl/>
              <w:suppressLineNumbers w:val="0"/>
              <w:jc w:val="center"/>
              <w:textAlignment w:val="center"/>
              <w:rPr>
                <w:rFonts w:hint="eastAsia" w:ascii="Times New Roman" w:hAnsi="Times New Roman" w:eastAsia="宋体" w:cs="Times New Roman"/>
                <w:bCs/>
                <w:color w:val="auto"/>
                <w:kern w:val="36"/>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0.0727 </w:t>
            </w:r>
          </w:p>
        </w:tc>
        <w:tc>
          <w:tcPr>
            <w:tcW w:w="975" w:type="dxa"/>
            <w:tcBorders>
              <w:tl2br w:val="nil"/>
              <w:tr2bl w:val="nil"/>
            </w:tcBorders>
            <w:vAlign w:val="center"/>
          </w:tcPr>
          <w:p w14:paraId="18FF395E">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395" w:type="dxa"/>
            <w:tcBorders>
              <w:tl2br w:val="nil"/>
              <w:tr2bl w:val="nil"/>
            </w:tcBorders>
            <w:vAlign w:val="center"/>
          </w:tcPr>
          <w:p w14:paraId="4132425D">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410" w:type="dxa"/>
            <w:tcBorders>
              <w:tl2br w:val="nil"/>
              <w:tr2bl w:val="nil"/>
            </w:tcBorders>
            <w:vAlign w:val="center"/>
          </w:tcPr>
          <w:p w14:paraId="52F493E5">
            <w:pPr>
              <w:spacing w:line="240" w:lineRule="auto"/>
              <w:jc w:val="center"/>
              <w:rPr>
                <w:rFonts w:hint="default" w:eastAsia="宋体"/>
                <w:bCs/>
                <w:color w:val="auto"/>
                <w:szCs w:val="21"/>
                <w:highlight w:val="none"/>
                <w:lang w:val="en-US" w:eastAsia="zh-CN"/>
              </w:rPr>
            </w:pPr>
            <w:r>
              <w:rPr>
                <w:rFonts w:hint="eastAsia"/>
                <w:bCs/>
                <w:color w:val="auto"/>
                <w:szCs w:val="21"/>
                <w:highlight w:val="none"/>
                <w:lang w:val="en-US" w:eastAsia="zh-CN"/>
              </w:rPr>
              <w:t>0.1892</w:t>
            </w:r>
          </w:p>
        </w:tc>
        <w:tc>
          <w:tcPr>
            <w:tcW w:w="1239" w:type="dxa"/>
            <w:tcBorders>
              <w:tl2br w:val="nil"/>
              <w:tr2bl w:val="nil"/>
            </w:tcBorders>
            <w:vAlign w:val="center"/>
          </w:tcPr>
          <w:p w14:paraId="2DEC47D8">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500" w:type="dxa"/>
            <w:tcBorders>
              <w:tl2br w:val="nil"/>
              <w:tr2bl w:val="nil"/>
            </w:tcBorders>
            <w:vAlign w:val="center"/>
          </w:tcPr>
          <w:p w14:paraId="2CB72722">
            <w:pPr>
              <w:keepNext w:val="0"/>
              <w:keepLines w:val="0"/>
              <w:widowControl/>
              <w:suppressLineNumbers w:val="0"/>
              <w:jc w:val="center"/>
              <w:textAlignment w:val="center"/>
              <w:rPr>
                <w:rFonts w:hint="default"/>
                <w:bCs/>
                <w:color w:val="auto"/>
                <w:szCs w:val="21"/>
                <w:highlight w:val="none"/>
                <w:lang w:val="en-US"/>
              </w:rPr>
            </w:pPr>
            <w:r>
              <w:rPr>
                <w:rFonts w:hint="eastAsia" w:cs="Times New Roman"/>
                <w:i w:val="0"/>
                <w:iCs w:val="0"/>
                <w:color w:val="auto"/>
                <w:kern w:val="0"/>
                <w:sz w:val="21"/>
                <w:szCs w:val="21"/>
                <w:u w:val="none"/>
                <w:lang w:val="en-US" w:eastAsia="zh-CN" w:bidi="ar"/>
              </w:rPr>
              <w:t>0.2619</w:t>
            </w:r>
          </w:p>
        </w:tc>
        <w:tc>
          <w:tcPr>
            <w:tcW w:w="1370" w:type="dxa"/>
            <w:tcBorders>
              <w:tl2br w:val="nil"/>
              <w:tr2bl w:val="nil"/>
            </w:tcBorders>
            <w:shd w:val="clear" w:color="auto" w:fill="auto"/>
            <w:vAlign w:val="center"/>
          </w:tcPr>
          <w:p w14:paraId="06CDF538">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+0.1892</w:t>
            </w:r>
          </w:p>
        </w:tc>
      </w:tr>
      <w:tr w14:paraId="3ECD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restart"/>
            <w:tcBorders>
              <w:tl2br w:val="nil"/>
              <w:tr2bl w:val="nil"/>
            </w:tcBorders>
            <w:vAlign w:val="center"/>
          </w:tcPr>
          <w:p w14:paraId="75298E13">
            <w:pPr>
              <w:pStyle w:val="115"/>
              <w:spacing w:beforeLines="0" w:afterLines="0" w:line="240" w:lineRule="auto"/>
              <w:ind w:firstLine="0"/>
              <w:jc w:val="center"/>
              <w:rPr>
                <w:rFonts w:ascii="Times New Roman"/>
                <w:snapToGrid w:val="0"/>
                <w:color w:val="auto"/>
                <w:kern w:val="21"/>
                <w:szCs w:val="21"/>
                <w:highlight w:val="none"/>
              </w:rPr>
            </w:pPr>
            <w:r>
              <w:rPr>
                <w:rFonts w:ascii="Times New Roman"/>
                <w:snapToGrid w:val="0"/>
                <w:color w:val="auto"/>
                <w:kern w:val="21"/>
                <w:szCs w:val="21"/>
                <w:highlight w:val="none"/>
              </w:rPr>
              <w:t>废水</w:t>
            </w:r>
          </w:p>
        </w:tc>
        <w:tc>
          <w:tcPr>
            <w:tcW w:w="4246" w:type="dxa"/>
            <w:tcBorders>
              <w:tl2br w:val="nil"/>
              <w:tr2bl w:val="nil"/>
            </w:tcBorders>
            <w:vAlign w:val="center"/>
          </w:tcPr>
          <w:p w14:paraId="563C75B3">
            <w:pPr>
              <w:jc w:val="center"/>
              <w:rPr>
                <w:snapToGrid w:val="0"/>
                <w:color w:val="auto"/>
                <w:kern w:val="21"/>
                <w:szCs w:val="21"/>
                <w:highlight w:val="none"/>
              </w:rPr>
            </w:pPr>
            <w:r>
              <w:rPr>
                <w:rFonts w:hint="eastAsia"/>
                <w:snapToGrid w:val="0"/>
                <w:color w:val="auto"/>
                <w:kern w:val="21"/>
                <w:szCs w:val="21"/>
                <w:highlight w:val="none"/>
              </w:rPr>
              <w:t>废水量（万t/a）</w:t>
            </w:r>
          </w:p>
        </w:tc>
        <w:tc>
          <w:tcPr>
            <w:tcW w:w="1350" w:type="dxa"/>
            <w:tcBorders>
              <w:tl2br w:val="nil"/>
              <w:tr2bl w:val="nil"/>
            </w:tcBorders>
            <w:vAlign w:val="center"/>
          </w:tcPr>
          <w:p w14:paraId="687C252C">
            <w:pPr>
              <w:spacing w:line="240" w:lineRule="auto"/>
              <w:jc w:val="center"/>
              <w:rPr>
                <w:rFonts w:hint="default"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3.771</w:t>
            </w:r>
          </w:p>
        </w:tc>
        <w:tc>
          <w:tcPr>
            <w:tcW w:w="975" w:type="dxa"/>
            <w:tcBorders>
              <w:tl2br w:val="nil"/>
              <w:tr2bl w:val="nil"/>
            </w:tcBorders>
            <w:vAlign w:val="center"/>
          </w:tcPr>
          <w:p w14:paraId="7DAAFE52">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23EB7ADD">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1BD5397E">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239" w:type="dxa"/>
            <w:tcBorders>
              <w:tl2br w:val="nil"/>
              <w:tr2bl w:val="nil"/>
            </w:tcBorders>
            <w:vAlign w:val="center"/>
          </w:tcPr>
          <w:p w14:paraId="5E0B5C01">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74D58C45">
            <w:pPr>
              <w:spacing w:line="240" w:lineRule="auto"/>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snapToGrid w:val="0"/>
                <w:color w:val="auto"/>
                <w:kern w:val="21"/>
                <w:szCs w:val="21"/>
                <w:highlight w:val="none"/>
                <w:lang w:val="en-US" w:eastAsia="zh-CN"/>
              </w:rPr>
              <w:t>3.771</w:t>
            </w:r>
          </w:p>
        </w:tc>
        <w:tc>
          <w:tcPr>
            <w:tcW w:w="1370" w:type="dxa"/>
            <w:tcBorders>
              <w:tl2br w:val="nil"/>
              <w:tr2bl w:val="nil"/>
            </w:tcBorders>
            <w:vAlign w:val="center"/>
          </w:tcPr>
          <w:p w14:paraId="3F732136">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r>
      <w:tr w14:paraId="5C36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7D58CF23">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vAlign w:val="center"/>
          </w:tcPr>
          <w:p w14:paraId="530F76DD">
            <w:pPr>
              <w:jc w:val="center"/>
              <w:rPr>
                <w:color w:val="auto"/>
                <w:szCs w:val="21"/>
                <w:highlight w:val="none"/>
              </w:rPr>
            </w:pPr>
            <w:r>
              <w:rPr>
                <w:color w:val="auto"/>
                <w:szCs w:val="21"/>
                <w:highlight w:val="none"/>
              </w:rPr>
              <w:t>COD</w:t>
            </w:r>
            <w:r>
              <w:rPr>
                <w:color w:val="auto"/>
                <w:szCs w:val="21"/>
                <w:highlight w:val="none"/>
                <w:vertAlign w:val="subscript"/>
              </w:rPr>
              <w:t>Cr</w:t>
            </w:r>
            <w:r>
              <w:rPr>
                <w:rFonts w:hint="eastAsia"/>
                <w:snapToGrid w:val="0"/>
                <w:color w:val="auto"/>
                <w:kern w:val="21"/>
                <w:szCs w:val="21"/>
                <w:highlight w:val="none"/>
              </w:rPr>
              <w:t>（t/a）</w:t>
            </w:r>
          </w:p>
        </w:tc>
        <w:tc>
          <w:tcPr>
            <w:tcW w:w="1350" w:type="dxa"/>
            <w:tcBorders>
              <w:tl2br w:val="nil"/>
              <w:tr2bl w:val="nil"/>
            </w:tcBorders>
            <w:vAlign w:val="center"/>
          </w:tcPr>
          <w:p w14:paraId="134FCD96">
            <w:pPr>
              <w:spacing w:line="240" w:lineRule="auto"/>
              <w:jc w:val="center"/>
              <w:rPr>
                <w:rFonts w:hint="default"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2.8751</w:t>
            </w:r>
          </w:p>
        </w:tc>
        <w:tc>
          <w:tcPr>
            <w:tcW w:w="975" w:type="dxa"/>
            <w:tcBorders>
              <w:tl2br w:val="nil"/>
              <w:tr2bl w:val="nil"/>
            </w:tcBorders>
            <w:vAlign w:val="center"/>
          </w:tcPr>
          <w:p w14:paraId="778EAA09">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371E2477">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1A69B330">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239" w:type="dxa"/>
            <w:tcBorders>
              <w:tl2br w:val="nil"/>
              <w:tr2bl w:val="nil"/>
            </w:tcBorders>
            <w:vAlign w:val="center"/>
          </w:tcPr>
          <w:p w14:paraId="640BF6A0">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3A014F30">
            <w:pPr>
              <w:spacing w:line="240" w:lineRule="auto"/>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snapToGrid w:val="0"/>
                <w:color w:val="auto"/>
                <w:kern w:val="21"/>
                <w:szCs w:val="21"/>
                <w:highlight w:val="none"/>
                <w:lang w:val="en-US" w:eastAsia="zh-CN"/>
              </w:rPr>
              <w:t>2.8751</w:t>
            </w:r>
          </w:p>
        </w:tc>
        <w:tc>
          <w:tcPr>
            <w:tcW w:w="1370" w:type="dxa"/>
            <w:tcBorders>
              <w:tl2br w:val="nil"/>
              <w:tr2bl w:val="nil"/>
            </w:tcBorders>
            <w:vAlign w:val="center"/>
          </w:tcPr>
          <w:p w14:paraId="5F47AFF7">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r>
      <w:tr w14:paraId="6A25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30135C81">
            <w:pPr>
              <w:pStyle w:val="115"/>
              <w:spacing w:beforeLines="0" w:afterLines="0" w:line="240" w:lineRule="auto"/>
              <w:jc w:val="center"/>
              <w:rPr>
                <w:rFonts w:ascii="Times New Roman"/>
                <w:snapToGrid w:val="0"/>
                <w:color w:val="auto"/>
                <w:kern w:val="21"/>
                <w:szCs w:val="21"/>
                <w:highlight w:val="none"/>
              </w:rPr>
            </w:pPr>
          </w:p>
        </w:tc>
        <w:tc>
          <w:tcPr>
            <w:tcW w:w="4246" w:type="dxa"/>
            <w:tcBorders>
              <w:tl2br w:val="nil"/>
              <w:tr2bl w:val="nil"/>
            </w:tcBorders>
            <w:vAlign w:val="center"/>
          </w:tcPr>
          <w:p w14:paraId="71D09441">
            <w:pPr>
              <w:jc w:val="center"/>
              <w:rPr>
                <w:snapToGrid w:val="0"/>
                <w:color w:val="auto"/>
                <w:kern w:val="21"/>
                <w:szCs w:val="21"/>
                <w:highlight w:val="none"/>
              </w:rPr>
            </w:pPr>
            <w:r>
              <w:rPr>
                <w:color w:val="auto"/>
                <w:szCs w:val="21"/>
                <w:highlight w:val="none"/>
              </w:rPr>
              <w:t>氨氮</w:t>
            </w:r>
            <w:r>
              <w:rPr>
                <w:rFonts w:hint="eastAsia"/>
                <w:snapToGrid w:val="0"/>
                <w:color w:val="auto"/>
                <w:kern w:val="21"/>
                <w:szCs w:val="21"/>
                <w:highlight w:val="none"/>
              </w:rPr>
              <w:t>（t/a）</w:t>
            </w:r>
          </w:p>
        </w:tc>
        <w:tc>
          <w:tcPr>
            <w:tcW w:w="1350" w:type="dxa"/>
            <w:tcBorders>
              <w:tl2br w:val="nil"/>
              <w:tr2bl w:val="nil"/>
            </w:tcBorders>
            <w:vAlign w:val="center"/>
          </w:tcPr>
          <w:p w14:paraId="69D4882F">
            <w:pPr>
              <w:spacing w:line="240" w:lineRule="auto"/>
              <w:jc w:val="center"/>
              <w:rPr>
                <w:rFonts w:hint="default"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0.0466</w:t>
            </w:r>
          </w:p>
        </w:tc>
        <w:tc>
          <w:tcPr>
            <w:tcW w:w="975" w:type="dxa"/>
            <w:tcBorders>
              <w:tl2br w:val="nil"/>
              <w:tr2bl w:val="nil"/>
            </w:tcBorders>
            <w:vAlign w:val="center"/>
          </w:tcPr>
          <w:p w14:paraId="1979559C">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5ED5EFAD">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5058ADEB">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239" w:type="dxa"/>
            <w:tcBorders>
              <w:tl2br w:val="nil"/>
              <w:tr2bl w:val="nil"/>
            </w:tcBorders>
            <w:vAlign w:val="center"/>
          </w:tcPr>
          <w:p w14:paraId="7514E3B0">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3D6FD68A">
            <w:pPr>
              <w:spacing w:line="240" w:lineRule="auto"/>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snapToGrid w:val="0"/>
                <w:color w:val="auto"/>
                <w:kern w:val="21"/>
                <w:szCs w:val="21"/>
                <w:highlight w:val="none"/>
                <w:lang w:val="en-US" w:eastAsia="zh-CN"/>
              </w:rPr>
              <w:t>0.0466</w:t>
            </w:r>
          </w:p>
        </w:tc>
        <w:tc>
          <w:tcPr>
            <w:tcW w:w="1370" w:type="dxa"/>
            <w:tcBorders>
              <w:tl2br w:val="nil"/>
              <w:tr2bl w:val="nil"/>
            </w:tcBorders>
            <w:vAlign w:val="center"/>
          </w:tcPr>
          <w:p w14:paraId="068652DD">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r>
      <w:tr w14:paraId="3A4C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40007792">
            <w:pPr>
              <w:pStyle w:val="115"/>
              <w:spacing w:beforeLines="0" w:afterLines="0" w:line="240" w:lineRule="auto"/>
              <w:jc w:val="center"/>
              <w:rPr>
                <w:rFonts w:ascii="Times New Roman"/>
                <w:snapToGrid w:val="0"/>
                <w:color w:val="auto"/>
                <w:kern w:val="21"/>
                <w:szCs w:val="21"/>
                <w:highlight w:val="none"/>
              </w:rPr>
            </w:pPr>
          </w:p>
        </w:tc>
        <w:tc>
          <w:tcPr>
            <w:tcW w:w="4246" w:type="dxa"/>
            <w:tcBorders>
              <w:tl2br w:val="nil"/>
              <w:tr2bl w:val="nil"/>
            </w:tcBorders>
            <w:vAlign w:val="center"/>
          </w:tcPr>
          <w:p w14:paraId="6CF80456">
            <w:pPr>
              <w:jc w:val="center"/>
              <w:rPr>
                <w:rFonts w:hint="eastAsia"/>
                <w:color w:val="auto"/>
                <w:szCs w:val="21"/>
                <w:highlight w:val="none"/>
              </w:rPr>
            </w:pPr>
            <w:r>
              <w:rPr>
                <w:rFonts w:hint="eastAsia"/>
                <w:color w:val="auto"/>
                <w:szCs w:val="21"/>
                <w:highlight w:val="none"/>
              </w:rPr>
              <w:t>总磷（t/a）</w:t>
            </w:r>
          </w:p>
        </w:tc>
        <w:tc>
          <w:tcPr>
            <w:tcW w:w="1350" w:type="dxa"/>
            <w:tcBorders>
              <w:tl2br w:val="nil"/>
              <w:tr2bl w:val="nil"/>
            </w:tcBorders>
            <w:vAlign w:val="center"/>
          </w:tcPr>
          <w:p w14:paraId="01CB5174">
            <w:pPr>
              <w:spacing w:line="240" w:lineRule="auto"/>
              <w:jc w:val="center"/>
              <w:rPr>
                <w:rFonts w:hint="default"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0.0326</w:t>
            </w:r>
          </w:p>
        </w:tc>
        <w:tc>
          <w:tcPr>
            <w:tcW w:w="975" w:type="dxa"/>
            <w:tcBorders>
              <w:tl2br w:val="nil"/>
              <w:tr2bl w:val="nil"/>
            </w:tcBorders>
            <w:vAlign w:val="center"/>
          </w:tcPr>
          <w:p w14:paraId="70008C81">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601B2800">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0CDA7194">
            <w:pPr>
              <w:spacing w:line="240" w:lineRule="auto"/>
              <w:jc w:val="center"/>
              <w:rPr>
                <w:color w:val="auto"/>
                <w:kern w:val="0"/>
                <w:szCs w:val="21"/>
                <w:highlight w:val="none"/>
                <w:lang w:bidi="ar"/>
              </w:rPr>
            </w:pPr>
            <w:r>
              <w:rPr>
                <w:rFonts w:hint="eastAsia"/>
                <w:snapToGrid w:val="0"/>
                <w:color w:val="auto"/>
                <w:kern w:val="21"/>
                <w:szCs w:val="21"/>
                <w:highlight w:val="none"/>
              </w:rPr>
              <w:t>/</w:t>
            </w:r>
          </w:p>
        </w:tc>
        <w:tc>
          <w:tcPr>
            <w:tcW w:w="1239" w:type="dxa"/>
            <w:tcBorders>
              <w:tl2br w:val="nil"/>
              <w:tr2bl w:val="nil"/>
            </w:tcBorders>
            <w:vAlign w:val="center"/>
          </w:tcPr>
          <w:p w14:paraId="3343EB9F">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4FB2F6B9">
            <w:pPr>
              <w:spacing w:line="240" w:lineRule="auto"/>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snapToGrid w:val="0"/>
                <w:color w:val="auto"/>
                <w:kern w:val="21"/>
                <w:szCs w:val="21"/>
                <w:highlight w:val="none"/>
                <w:lang w:val="en-US" w:eastAsia="zh-CN"/>
              </w:rPr>
              <w:t>0.0326</w:t>
            </w:r>
          </w:p>
        </w:tc>
        <w:tc>
          <w:tcPr>
            <w:tcW w:w="1370" w:type="dxa"/>
            <w:tcBorders>
              <w:tl2br w:val="nil"/>
              <w:tr2bl w:val="nil"/>
            </w:tcBorders>
            <w:vAlign w:val="center"/>
          </w:tcPr>
          <w:p w14:paraId="1FAFE762">
            <w:pPr>
              <w:spacing w:line="240" w:lineRule="auto"/>
              <w:jc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w:t>
            </w:r>
          </w:p>
        </w:tc>
      </w:tr>
      <w:tr w14:paraId="2634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34C944DA">
            <w:pPr>
              <w:pStyle w:val="115"/>
              <w:spacing w:beforeLines="0" w:afterLines="0" w:line="240" w:lineRule="auto"/>
              <w:jc w:val="center"/>
              <w:rPr>
                <w:rFonts w:ascii="Times New Roman"/>
                <w:snapToGrid w:val="0"/>
                <w:color w:val="auto"/>
                <w:kern w:val="21"/>
                <w:szCs w:val="21"/>
                <w:highlight w:val="none"/>
              </w:rPr>
            </w:pPr>
          </w:p>
        </w:tc>
        <w:tc>
          <w:tcPr>
            <w:tcW w:w="4246" w:type="dxa"/>
            <w:tcBorders>
              <w:tl2br w:val="nil"/>
              <w:tr2bl w:val="nil"/>
            </w:tcBorders>
            <w:vAlign w:val="center"/>
          </w:tcPr>
          <w:p w14:paraId="523D7468">
            <w:pPr>
              <w:jc w:val="center"/>
              <w:rPr>
                <w:rFonts w:hint="default" w:eastAsia="宋体"/>
                <w:color w:val="auto"/>
                <w:szCs w:val="21"/>
                <w:highlight w:val="none"/>
                <w:lang w:val="en-US" w:eastAsia="zh-CN"/>
              </w:rPr>
            </w:pPr>
            <w:r>
              <w:rPr>
                <w:rFonts w:hint="eastAsia"/>
                <w:color w:val="auto"/>
                <w:szCs w:val="21"/>
                <w:highlight w:val="none"/>
                <w:lang w:val="en-US" w:eastAsia="zh-CN"/>
              </w:rPr>
              <w:t>总铝（t/a）</w:t>
            </w:r>
          </w:p>
        </w:tc>
        <w:tc>
          <w:tcPr>
            <w:tcW w:w="1350" w:type="dxa"/>
            <w:tcBorders>
              <w:tl2br w:val="nil"/>
              <w:tr2bl w:val="nil"/>
            </w:tcBorders>
            <w:vAlign w:val="center"/>
          </w:tcPr>
          <w:p w14:paraId="2EB7833C">
            <w:pPr>
              <w:spacing w:line="240" w:lineRule="auto"/>
              <w:jc w:val="center"/>
              <w:rPr>
                <w:rFonts w:hint="default"/>
                <w:snapToGrid w:val="0"/>
                <w:color w:val="auto"/>
                <w:kern w:val="21"/>
                <w:szCs w:val="21"/>
                <w:highlight w:val="none"/>
                <w:lang w:val="en-US" w:eastAsia="zh-CN"/>
              </w:rPr>
            </w:pPr>
            <w:r>
              <w:rPr>
                <w:rFonts w:hint="eastAsia"/>
                <w:snapToGrid w:val="0"/>
                <w:color w:val="auto"/>
                <w:kern w:val="21"/>
                <w:szCs w:val="21"/>
                <w:highlight w:val="none"/>
                <w:lang w:val="en-US" w:eastAsia="zh-CN"/>
              </w:rPr>
              <w:t>0.000028</w:t>
            </w:r>
          </w:p>
        </w:tc>
        <w:tc>
          <w:tcPr>
            <w:tcW w:w="975" w:type="dxa"/>
            <w:tcBorders>
              <w:tl2br w:val="nil"/>
              <w:tr2bl w:val="nil"/>
            </w:tcBorders>
            <w:shd w:val="clear" w:color="auto" w:fill="auto"/>
            <w:vAlign w:val="center"/>
          </w:tcPr>
          <w:p w14:paraId="29484CCD">
            <w:pPr>
              <w:spacing w:line="240" w:lineRule="auto"/>
              <w:jc w:val="center"/>
              <w:rPr>
                <w:rFonts w:hint="eastAsia" w:ascii="Times New Roman" w:hAnsi="Times New Roman" w:eastAsia="宋体" w:cs="Times New Roman"/>
                <w:snapToGrid w:val="0"/>
                <w:color w:val="auto"/>
                <w:kern w:val="21"/>
                <w:sz w:val="21"/>
                <w:szCs w:val="21"/>
                <w:highlight w:val="none"/>
                <w:lang w:val="en-US" w:eastAsia="zh-CN" w:bidi="ar-SA"/>
              </w:rPr>
            </w:pPr>
            <w:r>
              <w:rPr>
                <w:rFonts w:hint="eastAsia"/>
                <w:snapToGrid w:val="0"/>
                <w:color w:val="auto"/>
                <w:kern w:val="21"/>
                <w:szCs w:val="21"/>
                <w:highlight w:val="none"/>
              </w:rPr>
              <w:t>/</w:t>
            </w:r>
          </w:p>
        </w:tc>
        <w:tc>
          <w:tcPr>
            <w:tcW w:w="1395" w:type="dxa"/>
            <w:tcBorders>
              <w:tl2br w:val="nil"/>
              <w:tr2bl w:val="nil"/>
            </w:tcBorders>
            <w:shd w:val="clear" w:color="auto" w:fill="auto"/>
            <w:vAlign w:val="center"/>
          </w:tcPr>
          <w:p w14:paraId="5EE8DC5E">
            <w:pPr>
              <w:spacing w:line="240" w:lineRule="auto"/>
              <w:jc w:val="center"/>
              <w:rPr>
                <w:rFonts w:hint="eastAsia" w:ascii="Times New Roman" w:hAnsi="Times New Roman" w:eastAsia="宋体" w:cs="Times New Roman"/>
                <w:snapToGrid w:val="0"/>
                <w:color w:val="auto"/>
                <w:kern w:val="21"/>
                <w:sz w:val="21"/>
                <w:szCs w:val="21"/>
                <w:highlight w:val="none"/>
                <w:lang w:val="en-US" w:eastAsia="zh-CN" w:bidi="ar-SA"/>
              </w:rPr>
            </w:pPr>
            <w:r>
              <w:rPr>
                <w:rFonts w:hint="eastAsia"/>
                <w:snapToGrid w:val="0"/>
                <w:color w:val="auto"/>
                <w:kern w:val="21"/>
                <w:szCs w:val="21"/>
                <w:highlight w:val="none"/>
              </w:rPr>
              <w:t>/</w:t>
            </w:r>
          </w:p>
        </w:tc>
        <w:tc>
          <w:tcPr>
            <w:tcW w:w="1410" w:type="dxa"/>
            <w:tcBorders>
              <w:tl2br w:val="nil"/>
              <w:tr2bl w:val="nil"/>
            </w:tcBorders>
            <w:shd w:val="clear" w:color="auto" w:fill="auto"/>
            <w:vAlign w:val="center"/>
          </w:tcPr>
          <w:p w14:paraId="2B66EFD0">
            <w:pPr>
              <w:spacing w:line="240" w:lineRule="auto"/>
              <w:jc w:val="center"/>
              <w:rPr>
                <w:rFonts w:hint="eastAsia" w:ascii="Times New Roman" w:hAnsi="Times New Roman" w:eastAsia="宋体" w:cs="Times New Roman"/>
                <w:color w:val="auto"/>
                <w:kern w:val="0"/>
                <w:sz w:val="21"/>
                <w:szCs w:val="21"/>
                <w:highlight w:val="none"/>
                <w:lang w:val="en-US" w:eastAsia="zh-CN" w:bidi="ar"/>
              </w:rPr>
            </w:pPr>
            <w:r>
              <w:rPr>
                <w:rFonts w:hint="eastAsia"/>
                <w:snapToGrid w:val="0"/>
                <w:color w:val="auto"/>
                <w:kern w:val="21"/>
                <w:szCs w:val="21"/>
                <w:highlight w:val="none"/>
              </w:rPr>
              <w:t>/</w:t>
            </w:r>
          </w:p>
        </w:tc>
        <w:tc>
          <w:tcPr>
            <w:tcW w:w="1239" w:type="dxa"/>
            <w:tcBorders>
              <w:tl2br w:val="nil"/>
              <w:tr2bl w:val="nil"/>
            </w:tcBorders>
            <w:shd w:val="clear" w:color="auto" w:fill="auto"/>
            <w:vAlign w:val="center"/>
          </w:tcPr>
          <w:p w14:paraId="63A03AD6">
            <w:pPr>
              <w:spacing w:line="240" w:lineRule="auto"/>
              <w:jc w:val="center"/>
              <w:rPr>
                <w:rFonts w:hint="eastAsia" w:ascii="Times New Roman" w:hAnsi="Times New Roman" w:eastAsia="宋体" w:cs="Times New Roman"/>
                <w:snapToGrid w:val="0"/>
                <w:color w:val="auto"/>
                <w:kern w:val="21"/>
                <w:sz w:val="21"/>
                <w:szCs w:val="21"/>
                <w:highlight w:val="none"/>
                <w:lang w:val="en-US" w:eastAsia="zh-CN" w:bidi="ar-SA"/>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37662EE2">
            <w:pPr>
              <w:spacing w:line="240" w:lineRule="auto"/>
              <w:jc w:val="center"/>
              <w:rPr>
                <w:rFonts w:hint="default"/>
                <w:snapToGrid w:val="0"/>
                <w:color w:val="auto"/>
                <w:kern w:val="21"/>
                <w:szCs w:val="21"/>
                <w:highlight w:val="none"/>
                <w:lang w:val="en-US" w:eastAsia="zh-CN"/>
              </w:rPr>
            </w:pPr>
            <w:r>
              <w:rPr>
                <w:rFonts w:hint="eastAsia"/>
                <w:snapToGrid w:val="0"/>
                <w:color w:val="auto"/>
                <w:kern w:val="21"/>
                <w:szCs w:val="21"/>
                <w:highlight w:val="none"/>
                <w:lang w:val="en-US" w:eastAsia="zh-CN"/>
              </w:rPr>
              <w:t>0.000028</w:t>
            </w:r>
          </w:p>
        </w:tc>
        <w:tc>
          <w:tcPr>
            <w:tcW w:w="1370" w:type="dxa"/>
            <w:tcBorders>
              <w:tl2br w:val="nil"/>
              <w:tr2bl w:val="nil"/>
            </w:tcBorders>
            <w:vAlign w:val="center"/>
          </w:tcPr>
          <w:p w14:paraId="5E8084C3">
            <w:pPr>
              <w:spacing w:line="240" w:lineRule="auto"/>
              <w:jc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w:t>
            </w:r>
          </w:p>
        </w:tc>
      </w:tr>
      <w:tr w14:paraId="33E3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restart"/>
            <w:tcBorders>
              <w:tl2br w:val="nil"/>
              <w:tr2bl w:val="nil"/>
            </w:tcBorders>
            <w:vAlign w:val="center"/>
          </w:tcPr>
          <w:p w14:paraId="1E674F67">
            <w:pPr>
              <w:pStyle w:val="115"/>
              <w:spacing w:beforeLines="0" w:afterLines="0" w:line="240" w:lineRule="auto"/>
              <w:ind w:firstLine="0"/>
              <w:jc w:val="center"/>
              <w:rPr>
                <w:rFonts w:ascii="Times New Roman"/>
                <w:snapToGrid w:val="0"/>
                <w:color w:val="auto"/>
                <w:kern w:val="21"/>
                <w:szCs w:val="21"/>
                <w:highlight w:val="none"/>
              </w:rPr>
            </w:pPr>
            <w:r>
              <w:rPr>
                <w:rFonts w:ascii="Times New Roman"/>
                <w:snapToGrid w:val="0"/>
                <w:color w:val="auto"/>
                <w:kern w:val="21"/>
                <w:szCs w:val="21"/>
                <w:highlight w:val="none"/>
              </w:rPr>
              <w:t>一般工业固体废物</w:t>
            </w:r>
          </w:p>
        </w:tc>
        <w:tc>
          <w:tcPr>
            <w:tcW w:w="4246" w:type="dxa"/>
            <w:tcBorders>
              <w:tl2br w:val="nil"/>
              <w:tr2bl w:val="nil"/>
            </w:tcBorders>
            <w:shd w:val="clear" w:color="auto" w:fill="auto"/>
            <w:vAlign w:val="center"/>
          </w:tcPr>
          <w:p w14:paraId="7C5DE6AD">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金属粉尘废渣</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396766E5">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3.213</w:t>
            </w:r>
          </w:p>
        </w:tc>
        <w:tc>
          <w:tcPr>
            <w:tcW w:w="975" w:type="dxa"/>
            <w:tcBorders>
              <w:tl2br w:val="nil"/>
              <w:tr2bl w:val="nil"/>
            </w:tcBorders>
            <w:vAlign w:val="center"/>
          </w:tcPr>
          <w:p w14:paraId="4EE33655">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7DA83E3B">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3A685818">
            <w:pPr>
              <w:spacing w:line="240" w:lineRule="auto"/>
              <w:jc w:val="center"/>
              <w:rPr>
                <w:snapToGrid w:val="0"/>
                <w:color w:val="auto"/>
                <w:szCs w:val="21"/>
                <w:highlight w:val="none"/>
              </w:rPr>
            </w:pPr>
            <w:r>
              <w:rPr>
                <w:rFonts w:hint="eastAsia"/>
                <w:snapToGrid w:val="0"/>
                <w:color w:val="auto"/>
                <w:kern w:val="21"/>
                <w:szCs w:val="21"/>
                <w:highlight w:val="none"/>
              </w:rPr>
              <w:t>/</w:t>
            </w:r>
          </w:p>
        </w:tc>
        <w:tc>
          <w:tcPr>
            <w:tcW w:w="1239" w:type="dxa"/>
            <w:tcBorders>
              <w:tl2br w:val="nil"/>
              <w:tr2bl w:val="nil"/>
            </w:tcBorders>
            <w:vAlign w:val="center"/>
          </w:tcPr>
          <w:p w14:paraId="50085188">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6A2CACD0">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3.213</w:t>
            </w:r>
          </w:p>
        </w:tc>
        <w:tc>
          <w:tcPr>
            <w:tcW w:w="1370" w:type="dxa"/>
            <w:tcBorders>
              <w:tl2br w:val="nil"/>
              <w:tr2bl w:val="nil"/>
            </w:tcBorders>
            <w:vAlign w:val="center"/>
          </w:tcPr>
          <w:p w14:paraId="4EEEA2AB">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475D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3599D933">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6A2E54A3">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金属加工边角料</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0E71ECA0">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2.64</w:t>
            </w:r>
          </w:p>
        </w:tc>
        <w:tc>
          <w:tcPr>
            <w:tcW w:w="975" w:type="dxa"/>
            <w:tcBorders>
              <w:tl2br w:val="nil"/>
              <w:tr2bl w:val="nil"/>
            </w:tcBorders>
            <w:vAlign w:val="center"/>
          </w:tcPr>
          <w:p w14:paraId="438F6FD2">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70C19FE1">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4F1F7DB6">
            <w:pPr>
              <w:spacing w:line="240" w:lineRule="auto"/>
              <w:jc w:val="center"/>
              <w:rPr>
                <w:snapToGrid w:val="0"/>
                <w:color w:val="auto"/>
                <w:szCs w:val="21"/>
                <w:highlight w:val="none"/>
              </w:rPr>
            </w:pPr>
            <w:r>
              <w:rPr>
                <w:rFonts w:hint="eastAsia"/>
                <w:snapToGrid w:val="0"/>
                <w:color w:val="auto"/>
                <w:kern w:val="21"/>
                <w:szCs w:val="21"/>
                <w:highlight w:val="none"/>
              </w:rPr>
              <w:t>/</w:t>
            </w:r>
          </w:p>
        </w:tc>
        <w:tc>
          <w:tcPr>
            <w:tcW w:w="1239" w:type="dxa"/>
            <w:tcBorders>
              <w:tl2br w:val="nil"/>
              <w:tr2bl w:val="nil"/>
            </w:tcBorders>
            <w:vAlign w:val="center"/>
          </w:tcPr>
          <w:p w14:paraId="06269C71">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124C4F0E">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2.64</w:t>
            </w:r>
          </w:p>
        </w:tc>
        <w:tc>
          <w:tcPr>
            <w:tcW w:w="1370" w:type="dxa"/>
            <w:tcBorders>
              <w:tl2br w:val="nil"/>
              <w:tr2bl w:val="nil"/>
            </w:tcBorders>
            <w:vAlign w:val="center"/>
          </w:tcPr>
          <w:p w14:paraId="148181D0">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15B3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735F6DA7">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2EFE9F7F">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塑料制品边角料</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7939A07A">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0.6</w:t>
            </w:r>
          </w:p>
        </w:tc>
        <w:tc>
          <w:tcPr>
            <w:tcW w:w="975" w:type="dxa"/>
            <w:tcBorders>
              <w:tl2br w:val="nil"/>
              <w:tr2bl w:val="nil"/>
            </w:tcBorders>
            <w:vAlign w:val="center"/>
          </w:tcPr>
          <w:p w14:paraId="32CE6441">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32E8D5E0">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2961B80F">
            <w:pPr>
              <w:spacing w:line="240" w:lineRule="auto"/>
              <w:jc w:val="center"/>
              <w:rPr>
                <w:color w:val="auto"/>
                <w:szCs w:val="21"/>
                <w:highlight w:val="none"/>
              </w:rPr>
            </w:pPr>
            <w:r>
              <w:rPr>
                <w:rFonts w:hint="eastAsia"/>
                <w:snapToGrid w:val="0"/>
                <w:color w:val="auto"/>
                <w:kern w:val="21"/>
                <w:szCs w:val="21"/>
                <w:highlight w:val="none"/>
              </w:rPr>
              <w:t>/</w:t>
            </w:r>
          </w:p>
        </w:tc>
        <w:tc>
          <w:tcPr>
            <w:tcW w:w="1239" w:type="dxa"/>
            <w:tcBorders>
              <w:tl2br w:val="nil"/>
              <w:tr2bl w:val="nil"/>
            </w:tcBorders>
            <w:vAlign w:val="center"/>
          </w:tcPr>
          <w:p w14:paraId="24DEEE71">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176E3A79">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0.6</w:t>
            </w:r>
          </w:p>
        </w:tc>
        <w:tc>
          <w:tcPr>
            <w:tcW w:w="1370" w:type="dxa"/>
            <w:tcBorders>
              <w:tl2br w:val="nil"/>
              <w:tr2bl w:val="nil"/>
            </w:tcBorders>
            <w:vAlign w:val="center"/>
          </w:tcPr>
          <w:p w14:paraId="7AC5EA20">
            <w:pPr>
              <w:spacing w:line="240" w:lineRule="auto"/>
              <w:jc w:val="center"/>
              <w:rPr>
                <w:rFonts w:hint="eastAsia" w:eastAsia="宋体"/>
                <w:color w:val="auto"/>
                <w:szCs w:val="21"/>
                <w:highlight w:val="none"/>
                <w:lang w:val="en-US" w:eastAsia="zh-CN"/>
              </w:rPr>
            </w:pPr>
            <w:r>
              <w:rPr>
                <w:rFonts w:hint="eastAsia"/>
                <w:color w:val="auto"/>
                <w:szCs w:val="21"/>
                <w:highlight w:val="none"/>
                <w:lang w:val="en-US" w:eastAsia="zh-CN"/>
              </w:rPr>
              <w:t>/</w:t>
            </w:r>
          </w:p>
        </w:tc>
      </w:tr>
      <w:tr w14:paraId="0E992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restart"/>
            <w:tcBorders>
              <w:tl2br w:val="nil"/>
              <w:tr2bl w:val="nil"/>
            </w:tcBorders>
            <w:vAlign w:val="center"/>
          </w:tcPr>
          <w:p w14:paraId="2AC37AFB">
            <w:pPr>
              <w:pStyle w:val="115"/>
              <w:spacing w:beforeLines="0" w:afterLines="0" w:line="240" w:lineRule="auto"/>
              <w:ind w:firstLine="0"/>
              <w:jc w:val="center"/>
              <w:rPr>
                <w:rFonts w:ascii="Times New Roman"/>
                <w:snapToGrid w:val="0"/>
                <w:color w:val="auto"/>
                <w:kern w:val="21"/>
                <w:szCs w:val="21"/>
                <w:highlight w:val="none"/>
              </w:rPr>
            </w:pPr>
            <w:r>
              <w:rPr>
                <w:rFonts w:ascii="Times New Roman"/>
                <w:snapToGrid w:val="0"/>
                <w:color w:val="auto"/>
                <w:kern w:val="21"/>
                <w:szCs w:val="21"/>
                <w:highlight w:val="none"/>
              </w:rPr>
              <w:t>危险废物</w:t>
            </w:r>
          </w:p>
        </w:tc>
        <w:tc>
          <w:tcPr>
            <w:tcW w:w="4246" w:type="dxa"/>
            <w:tcBorders>
              <w:tl2br w:val="nil"/>
              <w:tr2bl w:val="nil"/>
            </w:tcBorders>
            <w:shd w:val="clear" w:color="auto" w:fill="auto"/>
            <w:vAlign w:val="center"/>
          </w:tcPr>
          <w:p w14:paraId="2851B132">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综合废水处理站处理污水产生的污泥</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6107A5FA">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121</w:t>
            </w:r>
          </w:p>
        </w:tc>
        <w:tc>
          <w:tcPr>
            <w:tcW w:w="975" w:type="dxa"/>
            <w:tcBorders>
              <w:tl2br w:val="nil"/>
              <w:tr2bl w:val="nil"/>
            </w:tcBorders>
            <w:vAlign w:val="center"/>
          </w:tcPr>
          <w:p w14:paraId="7D77475A">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63F9383C">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6AEF4F67">
            <w:pPr>
              <w:spacing w:line="240" w:lineRule="auto"/>
              <w:jc w:val="center"/>
              <w:rPr>
                <w:snapToGrid w:val="0"/>
                <w:color w:val="auto"/>
                <w:szCs w:val="21"/>
                <w:highlight w:val="none"/>
              </w:rPr>
            </w:pPr>
            <w:r>
              <w:rPr>
                <w:rFonts w:hint="eastAsia"/>
                <w:snapToGrid w:val="0"/>
                <w:color w:val="auto"/>
                <w:kern w:val="21"/>
                <w:szCs w:val="21"/>
                <w:highlight w:val="none"/>
              </w:rPr>
              <w:t>/</w:t>
            </w:r>
          </w:p>
        </w:tc>
        <w:tc>
          <w:tcPr>
            <w:tcW w:w="1239" w:type="dxa"/>
            <w:tcBorders>
              <w:tl2br w:val="nil"/>
              <w:tr2bl w:val="nil"/>
            </w:tcBorders>
            <w:vAlign w:val="center"/>
          </w:tcPr>
          <w:p w14:paraId="79C61B0D">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4008ACA5">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121</w:t>
            </w:r>
          </w:p>
        </w:tc>
        <w:tc>
          <w:tcPr>
            <w:tcW w:w="1370" w:type="dxa"/>
            <w:tcBorders>
              <w:tl2br w:val="nil"/>
              <w:tr2bl w:val="nil"/>
            </w:tcBorders>
            <w:vAlign w:val="center"/>
          </w:tcPr>
          <w:p w14:paraId="27D41793">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53AA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32AAC9D5">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3DFC869D">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碱蚀铝制品处理槽含铝废渣</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5FC9F625">
            <w:pPr>
              <w:jc w:val="center"/>
              <w:rPr>
                <w:rFonts w:hint="eastAsia"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lang w:val="en-US" w:eastAsia="zh-CN"/>
              </w:rPr>
              <w:t>1</w:t>
            </w:r>
          </w:p>
        </w:tc>
        <w:tc>
          <w:tcPr>
            <w:tcW w:w="975" w:type="dxa"/>
            <w:tcBorders>
              <w:tl2br w:val="nil"/>
              <w:tr2bl w:val="nil"/>
            </w:tcBorders>
            <w:vAlign w:val="center"/>
          </w:tcPr>
          <w:p w14:paraId="7EEE9E2F">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39D5CF8C">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34863C71">
            <w:pPr>
              <w:spacing w:line="240" w:lineRule="auto"/>
              <w:jc w:val="center"/>
              <w:rPr>
                <w:snapToGrid w:val="0"/>
                <w:color w:val="auto"/>
                <w:szCs w:val="21"/>
                <w:highlight w:val="none"/>
              </w:rPr>
            </w:pPr>
            <w:r>
              <w:rPr>
                <w:rFonts w:hint="eastAsia"/>
                <w:snapToGrid w:val="0"/>
                <w:color w:val="auto"/>
                <w:kern w:val="21"/>
                <w:szCs w:val="21"/>
                <w:highlight w:val="none"/>
              </w:rPr>
              <w:t>/</w:t>
            </w:r>
          </w:p>
        </w:tc>
        <w:tc>
          <w:tcPr>
            <w:tcW w:w="1239" w:type="dxa"/>
            <w:tcBorders>
              <w:tl2br w:val="nil"/>
              <w:tr2bl w:val="nil"/>
            </w:tcBorders>
            <w:vAlign w:val="center"/>
          </w:tcPr>
          <w:p w14:paraId="2EF1505C">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0B943D85">
            <w:pPr>
              <w:jc w:val="center"/>
              <w:rPr>
                <w:rFonts w:hint="eastAsia"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lang w:val="en-US" w:eastAsia="zh-CN"/>
              </w:rPr>
              <w:t>1</w:t>
            </w:r>
          </w:p>
        </w:tc>
        <w:tc>
          <w:tcPr>
            <w:tcW w:w="1370" w:type="dxa"/>
            <w:tcBorders>
              <w:tl2br w:val="nil"/>
              <w:tr2bl w:val="nil"/>
            </w:tcBorders>
            <w:vAlign w:val="center"/>
          </w:tcPr>
          <w:p w14:paraId="3F1CDB1B">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732D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6547EA31">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26F009FF">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除油、酸蚀、碱蚀、阳极氧化、着色、封孔更换的废槽液</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6F59BC43">
            <w:pPr>
              <w:jc w:val="center"/>
              <w:rPr>
                <w:rFonts w:hint="eastAsia"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138.68</w:t>
            </w:r>
          </w:p>
        </w:tc>
        <w:tc>
          <w:tcPr>
            <w:tcW w:w="975" w:type="dxa"/>
            <w:tcBorders>
              <w:tl2br w:val="nil"/>
              <w:tr2bl w:val="nil"/>
            </w:tcBorders>
            <w:vAlign w:val="center"/>
          </w:tcPr>
          <w:p w14:paraId="0F7BDD8B">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792F6276">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18D6D133">
            <w:pPr>
              <w:spacing w:line="240" w:lineRule="auto"/>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3.1936</w:t>
            </w:r>
          </w:p>
        </w:tc>
        <w:tc>
          <w:tcPr>
            <w:tcW w:w="1239" w:type="dxa"/>
            <w:tcBorders>
              <w:tl2br w:val="nil"/>
              <w:tr2bl w:val="nil"/>
            </w:tcBorders>
            <w:vAlign w:val="center"/>
          </w:tcPr>
          <w:p w14:paraId="388E66AB">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vAlign w:val="center"/>
          </w:tcPr>
          <w:p w14:paraId="7C14C0E5">
            <w:pPr>
              <w:spacing w:line="240" w:lineRule="auto"/>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141.8736</w:t>
            </w:r>
          </w:p>
        </w:tc>
        <w:tc>
          <w:tcPr>
            <w:tcW w:w="1370" w:type="dxa"/>
            <w:tcBorders>
              <w:tl2br w:val="nil"/>
              <w:tr2bl w:val="nil"/>
            </w:tcBorders>
            <w:vAlign w:val="center"/>
          </w:tcPr>
          <w:p w14:paraId="2F544317">
            <w:pPr>
              <w:spacing w:line="240" w:lineRule="auto"/>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+3.1936</w:t>
            </w:r>
          </w:p>
        </w:tc>
      </w:tr>
      <w:tr w14:paraId="616D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0A062755">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70EE3C89">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lang w:val="en-US" w:eastAsia="zh-CN"/>
              </w:rPr>
              <w:t>浓缩含镍废水</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08DEAC85">
            <w:pPr>
              <w:jc w:val="center"/>
              <w:rPr>
                <w:rFonts w:hint="eastAsia"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lang w:val="en-US" w:eastAsia="zh-CN"/>
              </w:rPr>
              <w:t>50</w:t>
            </w:r>
          </w:p>
        </w:tc>
        <w:tc>
          <w:tcPr>
            <w:tcW w:w="975" w:type="dxa"/>
            <w:tcBorders>
              <w:tl2br w:val="nil"/>
              <w:tr2bl w:val="nil"/>
            </w:tcBorders>
            <w:vAlign w:val="center"/>
          </w:tcPr>
          <w:p w14:paraId="52F08FAE">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47C7CA9C">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701B727F">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c>
          <w:tcPr>
            <w:tcW w:w="1239" w:type="dxa"/>
            <w:tcBorders>
              <w:tl2br w:val="nil"/>
              <w:tr2bl w:val="nil"/>
            </w:tcBorders>
            <w:vAlign w:val="center"/>
          </w:tcPr>
          <w:p w14:paraId="29BBA887">
            <w:pPr>
              <w:spacing w:line="240" w:lineRule="auto"/>
              <w:jc w:val="center"/>
              <w:rPr>
                <w:rFonts w:hint="eastAsia"/>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vAlign w:val="center"/>
          </w:tcPr>
          <w:p w14:paraId="5509AC7F">
            <w:pPr>
              <w:spacing w:line="240" w:lineRule="auto"/>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50</w:t>
            </w:r>
          </w:p>
        </w:tc>
        <w:tc>
          <w:tcPr>
            <w:tcW w:w="1370" w:type="dxa"/>
            <w:tcBorders>
              <w:tl2br w:val="nil"/>
              <w:tr2bl w:val="nil"/>
            </w:tcBorders>
            <w:vAlign w:val="center"/>
          </w:tcPr>
          <w:p w14:paraId="654F5816">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7802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49936A04">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65443719">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染料的包装废料</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6CDE0FD2">
            <w:pPr>
              <w:jc w:val="center"/>
              <w:rPr>
                <w:rFonts w:hint="eastAsia"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0.022</w:t>
            </w:r>
          </w:p>
        </w:tc>
        <w:tc>
          <w:tcPr>
            <w:tcW w:w="975" w:type="dxa"/>
            <w:tcBorders>
              <w:tl2br w:val="nil"/>
              <w:tr2bl w:val="nil"/>
            </w:tcBorders>
            <w:vAlign w:val="center"/>
          </w:tcPr>
          <w:p w14:paraId="18C25B80">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395" w:type="dxa"/>
            <w:tcBorders>
              <w:tl2br w:val="nil"/>
              <w:tr2bl w:val="nil"/>
            </w:tcBorders>
            <w:vAlign w:val="center"/>
          </w:tcPr>
          <w:p w14:paraId="69CD35DB">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410" w:type="dxa"/>
            <w:tcBorders>
              <w:tl2br w:val="nil"/>
              <w:tr2bl w:val="nil"/>
            </w:tcBorders>
            <w:vAlign w:val="center"/>
          </w:tcPr>
          <w:p w14:paraId="647B33CE">
            <w:pPr>
              <w:spacing w:line="240" w:lineRule="auto"/>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0.201</w:t>
            </w:r>
          </w:p>
        </w:tc>
        <w:tc>
          <w:tcPr>
            <w:tcW w:w="1239" w:type="dxa"/>
            <w:tcBorders>
              <w:tl2br w:val="nil"/>
              <w:tr2bl w:val="nil"/>
            </w:tcBorders>
            <w:vAlign w:val="center"/>
          </w:tcPr>
          <w:p w14:paraId="47C9CC80">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500" w:type="dxa"/>
            <w:tcBorders>
              <w:tl2br w:val="nil"/>
              <w:tr2bl w:val="nil"/>
            </w:tcBorders>
            <w:vAlign w:val="center"/>
          </w:tcPr>
          <w:p w14:paraId="06CBFFCD">
            <w:pPr>
              <w:spacing w:line="240" w:lineRule="auto"/>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0.223</w:t>
            </w:r>
          </w:p>
        </w:tc>
        <w:tc>
          <w:tcPr>
            <w:tcW w:w="1370" w:type="dxa"/>
            <w:tcBorders>
              <w:tl2br w:val="nil"/>
              <w:tr2bl w:val="nil"/>
            </w:tcBorders>
            <w:vAlign w:val="center"/>
          </w:tcPr>
          <w:p w14:paraId="673B2B40">
            <w:pPr>
              <w:spacing w:line="240" w:lineRule="auto"/>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+0.201</w:t>
            </w:r>
          </w:p>
        </w:tc>
      </w:tr>
      <w:tr w14:paraId="2D777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30095CDE">
            <w:pPr>
              <w:pStyle w:val="115"/>
              <w:spacing w:beforeLines="0" w:afterLines="0" w:line="240" w:lineRule="auto"/>
              <w:ind w:firstLine="0"/>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43184B74">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烧碱的包装废料</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30BA5031">
            <w:pPr>
              <w:jc w:val="center"/>
              <w:rPr>
                <w:rFonts w:hint="eastAsia"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0.066</w:t>
            </w:r>
          </w:p>
        </w:tc>
        <w:tc>
          <w:tcPr>
            <w:tcW w:w="975" w:type="dxa"/>
            <w:tcBorders>
              <w:tl2br w:val="nil"/>
              <w:tr2bl w:val="nil"/>
            </w:tcBorders>
            <w:vAlign w:val="center"/>
          </w:tcPr>
          <w:p w14:paraId="2018F1C3">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395" w:type="dxa"/>
            <w:tcBorders>
              <w:tl2br w:val="nil"/>
              <w:tr2bl w:val="nil"/>
            </w:tcBorders>
            <w:vAlign w:val="center"/>
          </w:tcPr>
          <w:p w14:paraId="13BA561E">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410" w:type="dxa"/>
            <w:tcBorders>
              <w:tl2br w:val="nil"/>
              <w:tr2bl w:val="nil"/>
            </w:tcBorders>
            <w:shd w:val="clear" w:color="auto" w:fill="auto"/>
            <w:vAlign w:val="center"/>
          </w:tcPr>
          <w:p w14:paraId="429C23F3">
            <w:pPr>
              <w:jc w:val="center"/>
              <w:rPr>
                <w:rFonts w:hint="eastAsia" w:ascii="Times New Roman" w:hAnsi="Times New Roman" w:eastAsia="宋体" w:cs="Times New Roman"/>
                <w:color w:val="auto"/>
                <w:spacing w:val="15"/>
                <w:kern w:val="0"/>
                <w:sz w:val="21"/>
                <w:szCs w:val="21"/>
                <w:highlight w:val="none"/>
                <w:lang w:val="en-US" w:eastAsia="zh-CN" w:bidi="ar-SA"/>
              </w:rPr>
            </w:pPr>
            <w:r>
              <w:rPr>
                <w:rFonts w:hint="eastAsia" w:ascii="Times New Roman" w:hAnsi="Times New Roman" w:eastAsia="宋体" w:cs="Times New Roman"/>
                <w:color w:val="auto"/>
                <w:spacing w:val="15"/>
                <w:kern w:val="0"/>
                <w:sz w:val="21"/>
                <w:szCs w:val="21"/>
                <w:highlight w:val="none"/>
                <w:lang w:val="en-US" w:eastAsia="zh-CN"/>
              </w:rPr>
              <w:t>/</w:t>
            </w:r>
          </w:p>
        </w:tc>
        <w:tc>
          <w:tcPr>
            <w:tcW w:w="1239" w:type="dxa"/>
            <w:tcBorders>
              <w:tl2br w:val="nil"/>
              <w:tr2bl w:val="nil"/>
            </w:tcBorders>
            <w:vAlign w:val="center"/>
          </w:tcPr>
          <w:p w14:paraId="23B6FABB">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500" w:type="dxa"/>
            <w:tcBorders>
              <w:tl2br w:val="nil"/>
              <w:tr2bl w:val="nil"/>
            </w:tcBorders>
            <w:shd w:val="clear" w:color="auto" w:fill="auto"/>
            <w:vAlign w:val="center"/>
          </w:tcPr>
          <w:p w14:paraId="3978E2AC">
            <w:pPr>
              <w:jc w:val="center"/>
              <w:rPr>
                <w:rFonts w:hint="eastAsia"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0.066</w:t>
            </w:r>
          </w:p>
        </w:tc>
        <w:tc>
          <w:tcPr>
            <w:tcW w:w="1370" w:type="dxa"/>
            <w:tcBorders>
              <w:tl2br w:val="nil"/>
              <w:tr2bl w:val="nil"/>
            </w:tcBorders>
            <w:vAlign w:val="center"/>
          </w:tcPr>
          <w:p w14:paraId="6F61F784">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6498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12C58511">
            <w:pPr>
              <w:pStyle w:val="115"/>
              <w:spacing w:beforeLines="0" w:afterLines="0" w:line="240" w:lineRule="auto"/>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027E5F99">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各类酸液的包装废料</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4526275B">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1.1</w:t>
            </w:r>
          </w:p>
        </w:tc>
        <w:tc>
          <w:tcPr>
            <w:tcW w:w="975" w:type="dxa"/>
            <w:tcBorders>
              <w:tl2br w:val="nil"/>
              <w:tr2bl w:val="nil"/>
            </w:tcBorders>
            <w:vAlign w:val="center"/>
          </w:tcPr>
          <w:p w14:paraId="63C09F6E">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6FB139D7">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shd w:val="clear" w:color="auto" w:fill="auto"/>
            <w:vAlign w:val="center"/>
          </w:tcPr>
          <w:p w14:paraId="7D04E91C">
            <w:pPr>
              <w:jc w:val="center"/>
              <w:rPr>
                <w:rFonts w:hint="eastAsia" w:ascii="Times New Roman" w:hAnsi="Times New Roman" w:eastAsia="宋体" w:cs="Times New Roman"/>
                <w:color w:val="auto"/>
                <w:spacing w:val="15"/>
                <w:kern w:val="0"/>
                <w:sz w:val="21"/>
                <w:szCs w:val="21"/>
                <w:highlight w:val="none"/>
                <w:lang w:val="en-US" w:eastAsia="zh-CN" w:bidi="ar-SA"/>
              </w:rPr>
            </w:pPr>
            <w:r>
              <w:rPr>
                <w:rFonts w:hint="eastAsia" w:ascii="Times New Roman" w:hAnsi="Times New Roman" w:eastAsia="宋体" w:cs="Times New Roman"/>
                <w:color w:val="auto"/>
                <w:spacing w:val="15"/>
                <w:kern w:val="0"/>
                <w:sz w:val="21"/>
                <w:szCs w:val="21"/>
                <w:highlight w:val="none"/>
                <w:lang w:val="en-US" w:eastAsia="zh-CN"/>
              </w:rPr>
              <w:t>/</w:t>
            </w:r>
          </w:p>
        </w:tc>
        <w:tc>
          <w:tcPr>
            <w:tcW w:w="1239" w:type="dxa"/>
            <w:tcBorders>
              <w:tl2br w:val="nil"/>
              <w:tr2bl w:val="nil"/>
            </w:tcBorders>
            <w:vAlign w:val="center"/>
          </w:tcPr>
          <w:p w14:paraId="406FC8B0">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1B72E8F9">
            <w:pPr>
              <w:jc w:val="center"/>
              <w:rPr>
                <w:rFonts w:hint="default" w:ascii="Times New Roman" w:hAnsi="Times New Roman" w:eastAsia="宋体" w:cs="Times New Roman"/>
                <w:color w:val="auto"/>
                <w:spacing w:val="15"/>
                <w:kern w:val="0"/>
                <w:sz w:val="21"/>
                <w:szCs w:val="21"/>
                <w:highlight w:val="none"/>
                <w:lang w:val="en-US" w:eastAsia="zh-CN" w:bidi="ar-SA"/>
              </w:rPr>
            </w:pPr>
            <w:r>
              <w:rPr>
                <w:rFonts w:hint="default" w:ascii="Times New Roman" w:hAnsi="Times New Roman" w:eastAsia="宋体" w:cs="Times New Roman"/>
                <w:color w:val="auto"/>
                <w:spacing w:val="15"/>
                <w:kern w:val="0"/>
                <w:sz w:val="21"/>
                <w:szCs w:val="21"/>
                <w:highlight w:val="none"/>
              </w:rPr>
              <w:t>1.1</w:t>
            </w:r>
          </w:p>
        </w:tc>
        <w:tc>
          <w:tcPr>
            <w:tcW w:w="1370" w:type="dxa"/>
            <w:tcBorders>
              <w:tl2br w:val="nil"/>
              <w:tr2bl w:val="nil"/>
            </w:tcBorders>
            <w:vAlign w:val="center"/>
          </w:tcPr>
          <w:p w14:paraId="2260548D">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2F3A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47722FF4">
            <w:pPr>
              <w:pStyle w:val="115"/>
              <w:spacing w:beforeLines="0" w:afterLines="0" w:line="240" w:lineRule="auto"/>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02A6769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废乳化液</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4720354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975" w:type="dxa"/>
            <w:tcBorders>
              <w:tl2br w:val="nil"/>
              <w:tr2bl w:val="nil"/>
            </w:tcBorders>
            <w:vAlign w:val="center"/>
          </w:tcPr>
          <w:p w14:paraId="39A7D383">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766A0B59">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shd w:val="clear" w:color="auto" w:fill="auto"/>
            <w:vAlign w:val="center"/>
          </w:tcPr>
          <w:p w14:paraId="5D424F7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239" w:type="dxa"/>
            <w:tcBorders>
              <w:tl2br w:val="nil"/>
              <w:tr2bl w:val="nil"/>
            </w:tcBorders>
            <w:vAlign w:val="center"/>
          </w:tcPr>
          <w:p w14:paraId="53EF6511">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shd w:val="clear" w:color="auto" w:fill="auto"/>
            <w:vAlign w:val="center"/>
          </w:tcPr>
          <w:p w14:paraId="2205190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370" w:type="dxa"/>
            <w:tcBorders>
              <w:tl2br w:val="nil"/>
              <w:tr2bl w:val="nil"/>
            </w:tcBorders>
            <w:vAlign w:val="center"/>
          </w:tcPr>
          <w:p w14:paraId="389E62A2">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552D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tcBorders>
              <w:tl2br w:val="nil"/>
              <w:tr2bl w:val="nil"/>
            </w:tcBorders>
            <w:vAlign w:val="center"/>
          </w:tcPr>
          <w:p w14:paraId="7B9A4426">
            <w:pPr>
              <w:pStyle w:val="115"/>
              <w:spacing w:beforeLines="0" w:afterLines="0" w:line="240" w:lineRule="auto"/>
              <w:jc w:val="center"/>
              <w:rPr>
                <w:rFonts w:ascii="Times New Roman"/>
                <w:snapToGrid w:val="0"/>
                <w:color w:val="auto"/>
                <w:kern w:val="21"/>
                <w:szCs w:val="21"/>
                <w:highlight w:val="none"/>
              </w:rPr>
            </w:pPr>
          </w:p>
        </w:tc>
        <w:tc>
          <w:tcPr>
            <w:tcW w:w="4246" w:type="dxa"/>
            <w:tcBorders>
              <w:tl2br w:val="nil"/>
              <w:tr2bl w:val="nil"/>
            </w:tcBorders>
            <w:shd w:val="clear" w:color="auto" w:fill="auto"/>
            <w:vAlign w:val="center"/>
          </w:tcPr>
          <w:p w14:paraId="68356BE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废活性炭</w:t>
            </w:r>
            <w:r>
              <w:rPr>
                <w:rFonts w:hint="eastAsia"/>
                <w:snapToGrid w:val="0"/>
                <w:color w:val="auto"/>
                <w:kern w:val="21"/>
                <w:szCs w:val="21"/>
                <w:highlight w:val="none"/>
              </w:rPr>
              <w:t>（t/a）</w:t>
            </w:r>
          </w:p>
        </w:tc>
        <w:tc>
          <w:tcPr>
            <w:tcW w:w="1350" w:type="dxa"/>
            <w:tcBorders>
              <w:tl2br w:val="nil"/>
              <w:tr2bl w:val="nil"/>
            </w:tcBorders>
            <w:shd w:val="clear" w:color="auto" w:fill="auto"/>
            <w:vAlign w:val="center"/>
          </w:tcPr>
          <w:p w14:paraId="647A425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p>
        </w:tc>
        <w:tc>
          <w:tcPr>
            <w:tcW w:w="975" w:type="dxa"/>
            <w:tcBorders>
              <w:tl2br w:val="nil"/>
              <w:tr2bl w:val="nil"/>
            </w:tcBorders>
            <w:vAlign w:val="center"/>
          </w:tcPr>
          <w:p w14:paraId="414F8B8C">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395" w:type="dxa"/>
            <w:tcBorders>
              <w:tl2br w:val="nil"/>
              <w:tr2bl w:val="nil"/>
            </w:tcBorders>
            <w:vAlign w:val="center"/>
          </w:tcPr>
          <w:p w14:paraId="23A95D71">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410" w:type="dxa"/>
            <w:tcBorders>
              <w:tl2br w:val="nil"/>
              <w:tr2bl w:val="nil"/>
            </w:tcBorders>
            <w:vAlign w:val="center"/>
          </w:tcPr>
          <w:p w14:paraId="33727AE3">
            <w:pPr>
              <w:spacing w:line="240" w:lineRule="auto"/>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3.9424</w:t>
            </w:r>
          </w:p>
        </w:tc>
        <w:tc>
          <w:tcPr>
            <w:tcW w:w="1239" w:type="dxa"/>
            <w:tcBorders>
              <w:tl2br w:val="nil"/>
              <w:tr2bl w:val="nil"/>
            </w:tcBorders>
            <w:vAlign w:val="center"/>
          </w:tcPr>
          <w:p w14:paraId="49E13134">
            <w:pPr>
              <w:spacing w:line="240" w:lineRule="auto"/>
              <w:jc w:val="center"/>
              <w:rPr>
                <w:snapToGrid w:val="0"/>
                <w:color w:val="auto"/>
                <w:kern w:val="21"/>
                <w:szCs w:val="21"/>
                <w:highlight w:val="none"/>
              </w:rPr>
            </w:pPr>
            <w:r>
              <w:rPr>
                <w:rFonts w:hint="eastAsia"/>
                <w:snapToGrid w:val="0"/>
                <w:color w:val="auto"/>
                <w:kern w:val="21"/>
                <w:szCs w:val="21"/>
                <w:highlight w:val="none"/>
              </w:rPr>
              <w:t>/</w:t>
            </w:r>
          </w:p>
        </w:tc>
        <w:tc>
          <w:tcPr>
            <w:tcW w:w="1500" w:type="dxa"/>
            <w:tcBorders>
              <w:tl2br w:val="nil"/>
              <w:tr2bl w:val="nil"/>
            </w:tcBorders>
            <w:vAlign w:val="center"/>
          </w:tcPr>
          <w:p w14:paraId="5F297074">
            <w:pPr>
              <w:spacing w:line="240" w:lineRule="auto"/>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6.9424</w:t>
            </w:r>
          </w:p>
        </w:tc>
        <w:tc>
          <w:tcPr>
            <w:tcW w:w="1370" w:type="dxa"/>
            <w:tcBorders>
              <w:tl2br w:val="nil"/>
              <w:tr2bl w:val="nil"/>
            </w:tcBorders>
            <w:vAlign w:val="center"/>
          </w:tcPr>
          <w:p w14:paraId="53CC06CE">
            <w:pPr>
              <w:spacing w:line="240" w:lineRule="auto"/>
              <w:jc w:val="center"/>
              <w:rPr>
                <w:rFonts w:hint="default" w:eastAsia="宋体"/>
                <w:snapToGrid w:val="0"/>
                <w:color w:val="auto"/>
                <w:szCs w:val="21"/>
                <w:highlight w:val="none"/>
                <w:lang w:val="en-US" w:eastAsia="zh-CN"/>
              </w:rPr>
            </w:pPr>
            <w:r>
              <w:rPr>
                <w:rFonts w:hint="eastAsia"/>
                <w:snapToGrid w:val="0"/>
                <w:color w:val="auto"/>
                <w:szCs w:val="21"/>
                <w:highlight w:val="none"/>
                <w:lang w:val="en-US" w:eastAsia="zh-CN"/>
              </w:rPr>
              <w:t>+3.9424</w:t>
            </w:r>
          </w:p>
        </w:tc>
      </w:tr>
      <w:tr w14:paraId="000F1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vAlign w:val="center"/>
          </w:tcPr>
          <w:p w14:paraId="5C8E08A9">
            <w:pPr>
              <w:pStyle w:val="115"/>
              <w:spacing w:beforeLines="0" w:afterLines="0" w:line="240" w:lineRule="auto"/>
              <w:jc w:val="center"/>
              <w:rPr>
                <w:rFonts w:ascii="Times New Roman"/>
                <w:snapToGrid w:val="0"/>
                <w:color w:val="auto"/>
                <w:kern w:val="21"/>
                <w:szCs w:val="21"/>
                <w:highlight w:val="none"/>
              </w:rPr>
            </w:pPr>
          </w:p>
        </w:tc>
        <w:tc>
          <w:tcPr>
            <w:tcW w:w="4246" w:type="dxa"/>
            <w:shd w:val="clear" w:color="auto" w:fill="auto"/>
            <w:vAlign w:val="center"/>
          </w:tcPr>
          <w:p w14:paraId="2B6FBDA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碱液喷淋塔沉渣</w:t>
            </w:r>
            <w:r>
              <w:rPr>
                <w:rFonts w:hint="eastAsia"/>
                <w:snapToGrid w:val="0"/>
                <w:color w:val="auto"/>
                <w:kern w:val="21"/>
                <w:szCs w:val="21"/>
                <w:highlight w:val="none"/>
              </w:rPr>
              <w:t>（t/a）</w:t>
            </w:r>
          </w:p>
        </w:tc>
        <w:tc>
          <w:tcPr>
            <w:tcW w:w="1350" w:type="dxa"/>
            <w:shd w:val="clear" w:color="auto" w:fill="auto"/>
            <w:vAlign w:val="center"/>
          </w:tcPr>
          <w:p w14:paraId="5D6A051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0.5</w:t>
            </w:r>
          </w:p>
        </w:tc>
        <w:tc>
          <w:tcPr>
            <w:tcW w:w="975" w:type="dxa"/>
            <w:vAlign w:val="center"/>
          </w:tcPr>
          <w:p w14:paraId="1CC8CC6D">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395" w:type="dxa"/>
            <w:vAlign w:val="center"/>
          </w:tcPr>
          <w:p w14:paraId="5784A148">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410" w:type="dxa"/>
            <w:shd w:val="clear" w:color="auto" w:fill="auto"/>
            <w:vAlign w:val="center"/>
          </w:tcPr>
          <w:p w14:paraId="0975CC7C">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239" w:type="dxa"/>
            <w:vAlign w:val="center"/>
          </w:tcPr>
          <w:p w14:paraId="34276223">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500" w:type="dxa"/>
            <w:shd w:val="clear" w:color="auto" w:fill="auto"/>
            <w:vAlign w:val="center"/>
          </w:tcPr>
          <w:p w14:paraId="0CEFD72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0.5</w:t>
            </w:r>
          </w:p>
        </w:tc>
        <w:tc>
          <w:tcPr>
            <w:tcW w:w="1370" w:type="dxa"/>
            <w:vAlign w:val="center"/>
          </w:tcPr>
          <w:p w14:paraId="7BB487F5">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2676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vAlign w:val="center"/>
          </w:tcPr>
          <w:p w14:paraId="6BB71C72">
            <w:pPr>
              <w:pStyle w:val="115"/>
              <w:spacing w:beforeLines="0" w:afterLines="0" w:line="240" w:lineRule="auto"/>
              <w:jc w:val="center"/>
              <w:rPr>
                <w:rFonts w:ascii="Times New Roman"/>
                <w:snapToGrid w:val="0"/>
                <w:color w:val="auto"/>
                <w:kern w:val="21"/>
                <w:szCs w:val="21"/>
                <w:highlight w:val="none"/>
              </w:rPr>
            </w:pPr>
          </w:p>
        </w:tc>
        <w:tc>
          <w:tcPr>
            <w:tcW w:w="4246" w:type="dxa"/>
            <w:shd w:val="clear" w:color="auto" w:fill="auto"/>
            <w:vAlign w:val="center"/>
          </w:tcPr>
          <w:p w14:paraId="2263AC7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废染料</w:t>
            </w:r>
            <w:r>
              <w:rPr>
                <w:rFonts w:hint="eastAsia"/>
                <w:snapToGrid w:val="0"/>
                <w:color w:val="auto"/>
                <w:kern w:val="21"/>
                <w:szCs w:val="21"/>
                <w:highlight w:val="none"/>
              </w:rPr>
              <w:t>（t/a）</w:t>
            </w:r>
          </w:p>
        </w:tc>
        <w:tc>
          <w:tcPr>
            <w:tcW w:w="1350" w:type="dxa"/>
            <w:shd w:val="clear" w:color="auto" w:fill="auto"/>
            <w:vAlign w:val="center"/>
          </w:tcPr>
          <w:p w14:paraId="140D512E">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80</w:t>
            </w:r>
          </w:p>
        </w:tc>
        <w:tc>
          <w:tcPr>
            <w:tcW w:w="975" w:type="dxa"/>
            <w:vAlign w:val="center"/>
          </w:tcPr>
          <w:p w14:paraId="34D11DDC">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395" w:type="dxa"/>
            <w:vAlign w:val="center"/>
          </w:tcPr>
          <w:p w14:paraId="1F958428">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410" w:type="dxa"/>
            <w:shd w:val="clear" w:color="auto" w:fill="auto"/>
            <w:vAlign w:val="center"/>
          </w:tcPr>
          <w:p w14:paraId="663C9CA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239" w:type="dxa"/>
            <w:vAlign w:val="center"/>
          </w:tcPr>
          <w:p w14:paraId="00EAB4A1">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500" w:type="dxa"/>
            <w:shd w:val="clear" w:color="auto" w:fill="auto"/>
            <w:vAlign w:val="center"/>
          </w:tcPr>
          <w:p w14:paraId="2FF239E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80</w:t>
            </w:r>
          </w:p>
        </w:tc>
        <w:tc>
          <w:tcPr>
            <w:tcW w:w="1370" w:type="dxa"/>
            <w:vAlign w:val="center"/>
          </w:tcPr>
          <w:p w14:paraId="4C3844C2">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3ABA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vAlign w:val="center"/>
          </w:tcPr>
          <w:p w14:paraId="50E2EDD8">
            <w:pPr>
              <w:pStyle w:val="115"/>
              <w:spacing w:beforeLines="0" w:afterLines="0" w:line="240" w:lineRule="auto"/>
              <w:jc w:val="center"/>
              <w:rPr>
                <w:rFonts w:ascii="Times New Roman"/>
                <w:snapToGrid w:val="0"/>
                <w:color w:val="auto"/>
                <w:kern w:val="21"/>
                <w:szCs w:val="21"/>
                <w:highlight w:val="none"/>
              </w:rPr>
            </w:pPr>
          </w:p>
        </w:tc>
        <w:tc>
          <w:tcPr>
            <w:tcW w:w="4246" w:type="dxa"/>
            <w:shd w:val="clear" w:color="auto" w:fill="auto"/>
            <w:vAlign w:val="center"/>
          </w:tcPr>
          <w:p w14:paraId="5A19CBD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废脱模剂</w:t>
            </w:r>
            <w:r>
              <w:rPr>
                <w:rFonts w:hint="eastAsia"/>
                <w:snapToGrid w:val="0"/>
                <w:color w:val="auto"/>
                <w:kern w:val="21"/>
                <w:szCs w:val="21"/>
                <w:highlight w:val="none"/>
              </w:rPr>
              <w:t>（t/a）</w:t>
            </w:r>
          </w:p>
        </w:tc>
        <w:tc>
          <w:tcPr>
            <w:tcW w:w="1350" w:type="dxa"/>
            <w:shd w:val="clear" w:color="auto" w:fill="auto"/>
            <w:vAlign w:val="center"/>
          </w:tcPr>
          <w:p w14:paraId="5E72607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w:t>
            </w:r>
          </w:p>
        </w:tc>
        <w:tc>
          <w:tcPr>
            <w:tcW w:w="975" w:type="dxa"/>
            <w:vAlign w:val="center"/>
          </w:tcPr>
          <w:p w14:paraId="3CEFBFFA">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395" w:type="dxa"/>
            <w:vAlign w:val="center"/>
          </w:tcPr>
          <w:p w14:paraId="34436F4B">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410" w:type="dxa"/>
            <w:shd w:val="clear" w:color="auto" w:fill="auto"/>
            <w:vAlign w:val="center"/>
          </w:tcPr>
          <w:p w14:paraId="362014F9">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239" w:type="dxa"/>
            <w:vAlign w:val="center"/>
          </w:tcPr>
          <w:p w14:paraId="713E314E">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500" w:type="dxa"/>
            <w:shd w:val="clear" w:color="auto" w:fill="auto"/>
            <w:vAlign w:val="center"/>
          </w:tcPr>
          <w:p w14:paraId="27D2A07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w:t>
            </w:r>
          </w:p>
        </w:tc>
        <w:tc>
          <w:tcPr>
            <w:tcW w:w="1370" w:type="dxa"/>
            <w:vAlign w:val="center"/>
          </w:tcPr>
          <w:p w14:paraId="6DD033A7">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r w14:paraId="78FF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94" w:type="dxa"/>
            <w:vMerge w:val="continue"/>
            <w:vAlign w:val="center"/>
          </w:tcPr>
          <w:p w14:paraId="25BC1AD8">
            <w:pPr>
              <w:pStyle w:val="115"/>
              <w:spacing w:beforeLines="0" w:afterLines="0" w:line="240" w:lineRule="auto"/>
              <w:jc w:val="center"/>
              <w:rPr>
                <w:rFonts w:ascii="Times New Roman"/>
                <w:snapToGrid w:val="0"/>
                <w:color w:val="auto"/>
                <w:kern w:val="21"/>
                <w:szCs w:val="21"/>
                <w:highlight w:val="none"/>
              </w:rPr>
            </w:pPr>
          </w:p>
        </w:tc>
        <w:tc>
          <w:tcPr>
            <w:tcW w:w="4246" w:type="dxa"/>
            <w:shd w:val="clear" w:color="auto" w:fill="auto"/>
            <w:vAlign w:val="center"/>
          </w:tcPr>
          <w:p w14:paraId="5DFC826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废机油</w:t>
            </w:r>
            <w:r>
              <w:rPr>
                <w:rFonts w:hint="eastAsia"/>
                <w:snapToGrid w:val="0"/>
                <w:color w:val="auto"/>
                <w:kern w:val="21"/>
                <w:szCs w:val="21"/>
                <w:highlight w:val="none"/>
              </w:rPr>
              <w:t>（t/a）</w:t>
            </w:r>
          </w:p>
        </w:tc>
        <w:tc>
          <w:tcPr>
            <w:tcW w:w="1350" w:type="dxa"/>
            <w:shd w:val="clear" w:color="auto" w:fill="auto"/>
            <w:vAlign w:val="center"/>
          </w:tcPr>
          <w:p w14:paraId="3204EFD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w:t>
            </w:r>
          </w:p>
        </w:tc>
        <w:tc>
          <w:tcPr>
            <w:tcW w:w="975" w:type="dxa"/>
            <w:vAlign w:val="center"/>
          </w:tcPr>
          <w:p w14:paraId="4097E606">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395" w:type="dxa"/>
            <w:vAlign w:val="center"/>
          </w:tcPr>
          <w:p w14:paraId="21651CB3">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410" w:type="dxa"/>
            <w:shd w:val="clear" w:color="auto" w:fill="auto"/>
            <w:vAlign w:val="center"/>
          </w:tcPr>
          <w:p w14:paraId="424F8DD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w:t>
            </w:r>
          </w:p>
        </w:tc>
        <w:tc>
          <w:tcPr>
            <w:tcW w:w="1239" w:type="dxa"/>
            <w:vAlign w:val="center"/>
          </w:tcPr>
          <w:p w14:paraId="716F95F0">
            <w:pPr>
              <w:spacing w:line="240" w:lineRule="auto"/>
              <w:jc w:val="center"/>
              <w:rPr>
                <w:rFonts w:hint="eastAsia" w:eastAsia="宋体"/>
                <w:snapToGrid w:val="0"/>
                <w:color w:val="auto"/>
                <w:kern w:val="21"/>
                <w:szCs w:val="21"/>
                <w:highlight w:val="none"/>
                <w:lang w:val="en-US" w:eastAsia="zh-CN"/>
              </w:rPr>
            </w:pPr>
            <w:r>
              <w:rPr>
                <w:rFonts w:hint="eastAsia"/>
                <w:snapToGrid w:val="0"/>
                <w:color w:val="auto"/>
                <w:kern w:val="21"/>
                <w:szCs w:val="21"/>
                <w:highlight w:val="none"/>
                <w:lang w:val="en-US" w:eastAsia="zh-CN"/>
              </w:rPr>
              <w:t>/</w:t>
            </w:r>
          </w:p>
        </w:tc>
        <w:tc>
          <w:tcPr>
            <w:tcW w:w="1500" w:type="dxa"/>
            <w:shd w:val="clear" w:color="auto" w:fill="auto"/>
            <w:vAlign w:val="center"/>
          </w:tcPr>
          <w:p w14:paraId="4C2968B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w:t>
            </w:r>
          </w:p>
        </w:tc>
        <w:tc>
          <w:tcPr>
            <w:tcW w:w="1370" w:type="dxa"/>
            <w:vAlign w:val="center"/>
          </w:tcPr>
          <w:p w14:paraId="7F56ED77">
            <w:pPr>
              <w:spacing w:line="240" w:lineRule="auto"/>
              <w:jc w:val="center"/>
              <w:rPr>
                <w:rFonts w:hint="eastAsia" w:eastAsia="宋体"/>
                <w:snapToGrid w:val="0"/>
                <w:color w:val="auto"/>
                <w:szCs w:val="21"/>
                <w:highlight w:val="none"/>
                <w:lang w:val="en-US" w:eastAsia="zh-CN"/>
              </w:rPr>
            </w:pPr>
            <w:r>
              <w:rPr>
                <w:rFonts w:hint="eastAsia"/>
                <w:snapToGrid w:val="0"/>
                <w:color w:val="auto"/>
                <w:szCs w:val="21"/>
                <w:highlight w:val="none"/>
                <w:lang w:val="en-US" w:eastAsia="zh-CN"/>
              </w:rPr>
              <w:t>/</w:t>
            </w:r>
          </w:p>
        </w:tc>
      </w:tr>
    </w:tbl>
    <w:p w14:paraId="5BE638CE">
      <w:pPr>
        <w:pStyle w:val="115"/>
        <w:spacing w:beforeLines="0" w:afterLines="0" w:line="0" w:lineRule="atLeast"/>
        <w:jc w:val="left"/>
        <w:rPr>
          <w:rFonts w:ascii="Times New Roman"/>
          <w:color w:val="auto"/>
        </w:rPr>
      </w:pPr>
      <w:r>
        <w:rPr>
          <w:rFonts w:ascii="Times New Roman"/>
          <w:snapToGrid w:val="0"/>
          <w:color w:val="auto"/>
          <w:kern w:val="21"/>
        </w:rPr>
        <w:t>注：</w:t>
      </w:r>
      <w:r>
        <w:rPr>
          <w:rFonts w:ascii="Times New Roman"/>
          <w:snapToGrid w:val="0"/>
          <w:color w:val="auto"/>
          <w:kern w:val="21"/>
        </w:rPr>
        <w:fldChar w:fldCharType="begin"/>
      </w:r>
      <w:r>
        <w:rPr>
          <w:rFonts w:ascii="Times New Roman"/>
          <w:snapToGrid w:val="0"/>
          <w:color w:val="auto"/>
          <w:kern w:val="21"/>
        </w:rPr>
        <w:instrText xml:space="preserve"> = 6 \* GB3 \* MERGEFORMAT </w:instrText>
      </w:r>
      <w:r>
        <w:rPr>
          <w:rFonts w:ascii="Times New Roman"/>
          <w:snapToGrid w:val="0"/>
          <w:color w:val="auto"/>
          <w:kern w:val="21"/>
        </w:rPr>
        <w:fldChar w:fldCharType="separate"/>
      </w:r>
      <w:r>
        <w:rPr>
          <w:color w:val="auto"/>
        </w:rPr>
        <w:t>⑥</w:t>
      </w:r>
      <w:r>
        <w:rPr>
          <w:rFonts w:ascii="Times New Roman"/>
          <w:snapToGrid w:val="0"/>
          <w:color w:val="auto"/>
          <w:kern w:val="21"/>
        </w:rPr>
        <w:fldChar w:fldCharType="end"/>
      </w:r>
      <w:r>
        <w:rPr>
          <w:rFonts w:ascii="Times New Roman"/>
          <w:snapToGrid w:val="0"/>
          <w:color w:val="auto"/>
          <w:kern w:val="21"/>
        </w:rPr>
        <w:t>=</w:t>
      </w:r>
      <w:r>
        <w:rPr>
          <w:rFonts w:ascii="Times New Roman"/>
          <w:snapToGrid w:val="0"/>
          <w:color w:val="auto"/>
          <w:spacing w:val="-6"/>
          <w:kern w:val="21"/>
        </w:rPr>
        <w:fldChar w:fldCharType="begin"/>
      </w:r>
      <w:r>
        <w:rPr>
          <w:rFonts w:ascii="Times New Roman"/>
          <w:snapToGrid w:val="0"/>
          <w:color w:val="auto"/>
          <w:spacing w:val="-6"/>
          <w:kern w:val="21"/>
        </w:rPr>
        <w:instrText xml:space="preserve"> = 1 \* GB3 \* MERGEFORMAT </w:instrText>
      </w:r>
      <w:r>
        <w:rPr>
          <w:rFonts w:ascii="Times New Roman"/>
          <w:snapToGrid w:val="0"/>
          <w:color w:val="auto"/>
          <w:spacing w:val="-6"/>
          <w:kern w:val="21"/>
        </w:rPr>
        <w:fldChar w:fldCharType="separate"/>
      </w:r>
      <w:r>
        <w:rPr>
          <w:color w:val="auto"/>
        </w:rPr>
        <w:t>①</w:t>
      </w:r>
      <w:r>
        <w:rPr>
          <w:rFonts w:ascii="Times New Roman"/>
          <w:snapToGrid w:val="0"/>
          <w:color w:val="auto"/>
          <w:spacing w:val="-6"/>
          <w:kern w:val="21"/>
        </w:rPr>
        <w:fldChar w:fldCharType="end"/>
      </w:r>
      <w:r>
        <w:rPr>
          <w:rFonts w:ascii="Times New Roman"/>
          <w:snapToGrid w:val="0"/>
          <w:color w:val="auto"/>
          <w:spacing w:val="-6"/>
          <w:kern w:val="21"/>
        </w:rPr>
        <w:t>+</w:t>
      </w:r>
      <w:r>
        <w:rPr>
          <w:rFonts w:ascii="Times New Roman"/>
          <w:snapToGrid w:val="0"/>
          <w:color w:val="auto"/>
          <w:spacing w:val="-6"/>
          <w:kern w:val="21"/>
        </w:rPr>
        <w:fldChar w:fldCharType="begin"/>
      </w:r>
      <w:r>
        <w:rPr>
          <w:rFonts w:ascii="Times New Roman"/>
          <w:snapToGrid w:val="0"/>
          <w:color w:val="auto"/>
          <w:spacing w:val="-6"/>
          <w:kern w:val="21"/>
        </w:rPr>
        <w:instrText xml:space="preserve"> = 3 \* GB3 \* MERGEFORMAT </w:instrText>
      </w:r>
      <w:r>
        <w:rPr>
          <w:rFonts w:ascii="Times New Roman"/>
          <w:snapToGrid w:val="0"/>
          <w:color w:val="auto"/>
          <w:spacing w:val="-6"/>
          <w:kern w:val="21"/>
        </w:rPr>
        <w:fldChar w:fldCharType="separate"/>
      </w:r>
      <w:r>
        <w:rPr>
          <w:color w:val="auto"/>
        </w:rPr>
        <w:t>③</w:t>
      </w:r>
      <w:r>
        <w:rPr>
          <w:rFonts w:ascii="Times New Roman"/>
          <w:snapToGrid w:val="0"/>
          <w:color w:val="auto"/>
          <w:spacing w:val="-6"/>
          <w:kern w:val="21"/>
        </w:rPr>
        <w:fldChar w:fldCharType="end"/>
      </w:r>
      <w:r>
        <w:rPr>
          <w:rFonts w:ascii="Times New Roman"/>
          <w:snapToGrid w:val="0"/>
          <w:color w:val="auto"/>
          <w:spacing w:val="-6"/>
          <w:kern w:val="21"/>
        </w:rPr>
        <w:t>+</w:t>
      </w:r>
      <w:r>
        <w:rPr>
          <w:rFonts w:ascii="Times New Roman"/>
          <w:snapToGrid w:val="0"/>
          <w:color w:val="auto"/>
          <w:spacing w:val="-6"/>
          <w:kern w:val="21"/>
        </w:rPr>
        <w:fldChar w:fldCharType="begin"/>
      </w:r>
      <w:r>
        <w:rPr>
          <w:rFonts w:ascii="Times New Roman"/>
          <w:snapToGrid w:val="0"/>
          <w:color w:val="auto"/>
          <w:spacing w:val="-6"/>
          <w:kern w:val="21"/>
        </w:rPr>
        <w:instrText xml:space="preserve"> = 4 \* GB3 \* MERGEFORMAT </w:instrText>
      </w:r>
      <w:r>
        <w:rPr>
          <w:rFonts w:ascii="Times New Roman"/>
          <w:snapToGrid w:val="0"/>
          <w:color w:val="auto"/>
          <w:spacing w:val="-6"/>
          <w:kern w:val="21"/>
        </w:rPr>
        <w:fldChar w:fldCharType="separate"/>
      </w:r>
      <w:r>
        <w:rPr>
          <w:color w:val="auto"/>
        </w:rPr>
        <w:t>④</w:t>
      </w:r>
      <w:r>
        <w:rPr>
          <w:rFonts w:ascii="Times New Roman"/>
          <w:snapToGrid w:val="0"/>
          <w:color w:val="auto"/>
          <w:spacing w:val="-6"/>
          <w:kern w:val="21"/>
        </w:rPr>
        <w:fldChar w:fldCharType="end"/>
      </w:r>
      <w:r>
        <w:rPr>
          <w:rFonts w:ascii="Times New Roman"/>
          <w:snapToGrid w:val="0"/>
          <w:color w:val="auto"/>
          <w:spacing w:val="-6"/>
          <w:kern w:val="21"/>
        </w:rPr>
        <w:t>-</w:t>
      </w:r>
      <w:r>
        <w:rPr>
          <w:rFonts w:ascii="Times New Roman"/>
          <w:snapToGrid w:val="0"/>
          <w:color w:val="auto"/>
          <w:kern w:val="21"/>
        </w:rPr>
        <w:fldChar w:fldCharType="begin"/>
      </w:r>
      <w:r>
        <w:rPr>
          <w:rFonts w:ascii="Times New Roman"/>
          <w:snapToGrid w:val="0"/>
          <w:color w:val="auto"/>
          <w:kern w:val="21"/>
        </w:rPr>
        <w:instrText xml:space="preserve"> = 5 \* GB3 \* MERGEFORMAT </w:instrText>
      </w:r>
      <w:r>
        <w:rPr>
          <w:rFonts w:ascii="Times New Roman"/>
          <w:snapToGrid w:val="0"/>
          <w:color w:val="auto"/>
          <w:kern w:val="21"/>
        </w:rPr>
        <w:fldChar w:fldCharType="separate"/>
      </w:r>
      <w:r>
        <w:rPr>
          <w:color w:val="auto"/>
        </w:rPr>
        <w:t>⑤</w:t>
      </w:r>
      <w:r>
        <w:rPr>
          <w:rFonts w:ascii="Times New Roman"/>
          <w:snapToGrid w:val="0"/>
          <w:color w:val="auto"/>
          <w:kern w:val="21"/>
        </w:rPr>
        <w:fldChar w:fldCharType="end"/>
      </w:r>
      <w:r>
        <w:rPr>
          <w:rFonts w:ascii="Times New Roman"/>
          <w:snapToGrid w:val="0"/>
          <w:color w:val="auto"/>
          <w:kern w:val="21"/>
        </w:rPr>
        <w:t>；</w:t>
      </w:r>
      <w:r>
        <w:rPr>
          <w:rFonts w:ascii="Times New Roman"/>
          <w:snapToGrid w:val="0"/>
          <w:color w:val="auto"/>
          <w:spacing w:val="-6"/>
          <w:kern w:val="21"/>
        </w:rPr>
        <w:fldChar w:fldCharType="begin"/>
      </w:r>
      <w:r>
        <w:rPr>
          <w:rFonts w:ascii="Times New Roman"/>
          <w:snapToGrid w:val="0"/>
          <w:color w:val="auto"/>
          <w:spacing w:val="-6"/>
          <w:kern w:val="21"/>
        </w:rPr>
        <w:instrText xml:space="preserve"> = 7 \* GB3 \* MERGEFORMAT </w:instrText>
      </w:r>
      <w:r>
        <w:rPr>
          <w:rFonts w:ascii="Times New Roman"/>
          <w:snapToGrid w:val="0"/>
          <w:color w:val="auto"/>
          <w:spacing w:val="-6"/>
          <w:kern w:val="21"/>
        </w:rPr>
        <w:fldChar w:fldCharType="separate"/>
      </w:r>
      <w:r>
        <w:rPr>
          <w:color w:val="auto"/>
        </w:rPr>
        <w:t>⑦</w:t>
      </w:r>
      <w:r>
        <w:rPr>
          <w:rFonts w:ascii="Times New Roman"/>
          <w:snapToGrid w:val="0"/>
          <w:color w:val="auto"/>
          <w:spacing w:val="-6"/>
          <w:kern w:val="21"/>
        </w:rPr>
        <w:fldChar w:fldCharType="end"/>
      </w:r>
      <w:r>
        <w:rPr>
          <w:rFonts w:ascii="Times New Roman"/>
          <w:snapToGrid w:val="0"/>
          <w:color w:val="auto"/>
          <w:spacing w:val="-6"/>
          <w:kern w:val="21"/>
        </w:rPr>
        <w:t>=</w:t>
      </w:r>
      <w:r>
        <w:rPr>
          <w:rFonts w:ascii="Times New Roman"/>
          <w:snapToGrid w:val="0"/>
          <w:color w:val="auto"/>
          <w:kern w:val="21"/>
        </w:rPr>
        <w:fldChar w:fldCharType="begin"/>
      </w:r>
      <w:r>
        <w:rPr>
          <w:rFonts w:ascii="Times New Roman"/>
          <w:snapToGrid w:val="0"/>
          <w:color w:val="auto"/>
          <w:kern w:val="21"/>
        </w:rPr>
        <w:instrText xml:space="preserve"> = 6 \* GB3 \* MERGEFORMAT </w:instrText>
      </w:r>
      <w:r>
        <w:rPr>
          <w:rFonts w:ascii="Times New Roman"/>
          <w:snapToGrid w:val="0"/>
          <w:color w:val="auto"/>
          <w:kern w:val="21"/>
        </w:rPr>
        <w:fldChar w:fldCharType="separate"/>
      </w:r>
      <w:r>
        <w:rPr>
          <w:color w:val="auto"/>
        </w:rPr>
        <w:t>⑥</w:t>
      </w:r>
      <w:r>
        <w:rPr>
          <w:rFonts w:ascii="Times New Roman"/>
          <w:snapToGrid w:val="0"/>
          <w:color w:val="auto"/>
          <w:kern w:val="21"/>
        </w:rPr>
        <w:fldChar w:fldCharType="end"/>
      </w:r>
      <w:r>
        <w:rPr>
          <w:rFonts w:ascii="Times New Roman"/>
          <w:snapToGrid w:val="0"/>
          <w:color w:val="auto"/>
          <w:kern w:val="21"/>
        </w:rPr>
        <w:t>-</w:t>
      </w:r>
      <w:r>
        <w:rPr>
          <w:rFonts w:ascii="Times New Roman"/>
          <w:snapToGrid w:val="0"/>
          <w:color w:val="auto"/>
          <w:spacing w:val="-6"/>
          <w:kern w:val="21"/>
        </w:rPr>
        <w:fldChar w:fldCharType="begin"/>
      </w:r>
      <w:r>
        <w:rPr>
          <w:rFonts w:ascii="Times New Roman"/>
          <w:snapToGrid w:val="0"/>
          <w:color w:val="auto"/>
          <w:spacing w:val="-6"/>
          <w:kern w:val="21"/>
        </w:rPr>
        <w:instrText xml:space="preserve"> = 1 \* GB3 \* MERGEFORMAT </w:instrText>
      </w:r>
      <w:r>
        <w:rPr>
          <w:rFonts w:ascii="Times New Roman"/>
          <w:snapToGrid w:val="0"/>
          <w:color w:val="auto"/>
          <w:spacing w:val="-6"/>
          <w:kern w:val="21"/>
        </w:rPr>
        <w:fldChar w:fldCharType="separate"/>
      </w:r>
      <w:r>
        <w:rPr>
          <w:color w:val="auto"/>
        </w:rPr>
        <w:t>①</w:t>
      </w:r>
      <w:r>
        <w:rPr>
          <w:rFonts w:ascii="Times New Roman"/>
          <w:snapToGrid w:val="0"/>
          <w:color w:val="auto"/>
          <w:spacing w:val="-6"/>
          <w:kern w:val="21"/>
        </w:rPr>
        <w:fldChar w:fldCharType="end"/>
      </w:r>
    </w:p>
    <w:p w14:paraId="30244023">
      <w:pPr>
        <w:pStyle w:val="16"/>
        <w:ind w:left="0" w:leftChars="0" w:firstLine="0" w:firstLineChars="0"/>
        <w:rPr>
          <w:rFonts w:hint="eastAsia" w:eastAsia="宋体"/>
          <w:color w:val="auto"/>
          <w:lang w:eastAsia="zh-CN"/>
        </w:rPr>
      </w:pPr>
    </w:p>
    <w:sectPr>
      <w:headerReference r:id="rId11" w:type="default"/>
      <w:footerReference r:id="rId12" w:type="default"/>
      <w:pgSz w:w="16838" w:h="11906" w:orient="landscape"/>
      <w:pgMar w:top="1417" w:right="1417" w:bottom="1417" w:left="1417" w:header="850" w:footer="850" w:gutter="0"/>
      <w:pgBorders>
        <w:top w:val="none" w:sz="0" w:space="0"/>
        <w:left w:val="none" w:sz="0" w:space="0"/>
        <w:bottom w:val="none" w:sz="0" w:space="0"/>
        <w:right w:val="none" w:sz="0" w:space="0"/>
      </w:pgBorders>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AB8941-AFAF-4D02-8514-5AEC8C1680D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
    <w:altName w:val="宋体"/>
    <w:panose1 w:val="00000000000000000000"/>
    <w:charset w:val="81"/>
    <w:family w:val="auto"/>
    <w:pitch w:val="default"/>
    <w:sig w:usb0="00000000" w:usb1="00000000" w:usb2="00000010" w:usb3="00000000" w:csb0="00080000"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B45673AA-CE28-4B9D-91E8-B5FFE5320C60}"/>
  </w:font>
  <w:font w:name="MS PGothic">
    <w:panose1 w:val="020B0600070205080204"/>
    <w:charset w:val="80"/>
    <w:family w:val="swiss"/>
    <w:pitch w:val="default"/>
    <w:sig w:usb0="E00002FF" w:usb1="6AC7FDFB" w:usb2="08000012" w:usb3="00000000" w:csb0="4002009F" w:csb1="DFD7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等?">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楷体_GB2312">
    <w:altName w:val="楷体"/>
    <w:panose1 w:val="00000000000000000000"/>
    <w:charset w:val="86"/>
    <w:family w:val="modern"/>
    <w:pitch w:val="default"/>
    <w:sig w:usb0="00000000" w:usb1="00000000" w:usb2="00000000" w:usb3="00000000" w:csb0="00040000" w:csb1="00000000"/>
    <w:embedRegular r:id="rId3" w:fontKey="{42A6D1AB-18EA-4B25-A539-54140552AA49}"/>
  </w:font>
  <w:font w:name="楷体">
    <w:panose1 w:val="02010609060101010101"/>
    <w:charset w:val="86"/>
    <w:family w:val="modern"/>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体">
    <w:altName w:val="宋体"/>
    <w:panose1 w:val="00000000000000000000"/>
    <w:charset w:val="86"/>
    <w:family w:val="roman"/>
    <w:pitch w:val="default"/>
    <w:sig w:usb0="00000000" w:usb1="00000000" w:usb2="00000010" w:usb3="00000000" w:csb0="00040000"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Impact">
    <w:panose1 w:val="020B0806030902050204"/>
    <w:charset w:val="00"/>
    <w:family w:val="swiss"/>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embedRegular r:id="rId4" w:fontKey="{120EC575-B41A-40FF-97E5-69A251C017CE}"/>
  </w:font>
  <w:font w:name="Wingdings 2">
    <w:panose1 w:val="05020102010507070707"/>
    <w:charset w:val="02"/>
    <w:family w:val="roman"/>
    <w:pitch w:val="default"/>
    <w:sig w:usb0="00000000" w:usb1="00000000" w:usb2="00000000" w:usb3="00000000" w:csb0="80000000" w:csb1="00000000"/>
    <w:embedRegular r:id="rId5" w:fontKey="{DEFF907F-DADC-469E-AB2C-3744505C0D94}"/>
  </w:font>
  <w:font w:name="方正小标宋_GBK">
    <w:panose1 w:val="03000509000000000000"/>
    <w:charset w:val="86"/>
    <w:family w:val="script"/>
    <w:pitch w:val="default"/>
    <w:sig w:usb0="00000001" w:usb1="080E0000" w:usb2="00000000" w:usb3="00000000" w:csb0="00040000" w:csb1="00000000"/>
    <w:embedRegular r:id="rId6" w:fontKey="{F16F1525-03C9-4E8E-B8A2-8C856621E374}"/>
  </w:font>
  <w:font w:name="WPSEMBED1">
    <w:panose1 w:val="02010609030101010101"/>
    <w:charset w:val="86"/>
    <w:family w:val="auto"/>
    <w:pitch w:val="default"/>
    <w:sig w:usb0="00000001" w:usb1="080E0000" w:usb2="00000000" w:usb3="00000000" w:csb0="00040000" w:csb1="00000000"/>
  </w:font>
  <w:font w:name="KSOFD8A28030">
    <w:panose1 w:val="020B0503020204020204"/>
    <w:charset w:val="86"/>
    <w:family w:val="auto"/>
    <w:pitch w:val="default"/>
    <w:sig w:usb0="00000001" w:usb1="00000000" w:usb2="00000000" w:usb3="00000000" w:csb0="00040001" w:csb1="00000000"/>
  </w:font>
  <w:font w:name="WPSEMBED2">
    <w:panose1 w:val="05020102010507070707"/>
    <w:charset w:val="00"/>
    <w:family w:val="auto"/>
    <w:pitch w:val="default"/>
    <w:sig w:usb0="00000000" w:usb1="00000000" w:usb2="00000000" w:usb3="00000000" w:csb0="80000000" w:csb1="00000000"/>
  </w:font>
  <w:font w:name="WPSEMBED3">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39158">
    <w:pPr>
      <w:pStyle w:val="2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83870">
    <w:pPr>
      <w:pStyle w:val="29"/>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3" name="文本框 2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0A302">
                          <w:pPr>
                            <w:pStyle w:val="29"/>
                            <w:rPr>
                              <w:rStyle w:val="46"/>
                              <w:rFonts w:ascii="宋体" w:hAnsi="宋体"/>
                              <w:sz w:val="28"/>
                              <w:szCs w:val="28"/>
                            </w:rPr>
                          </w:pPr>
                          <w:r>
                            <w:rPr>
                              <w:rStyle w:val="46"/>
                              <w:rFonts w:hint="eastAsia" w:ascii="宋体" w:hAnsi="宋体"/>
                              <w:sz w:val="28"/>
                              <w:szCs w:val="28"/>
                            </w:rPr>
                            <w:t>—</w:t>
                          </w:r>
                          <w:r>
                            <w:rPr>
                              <w:rFonts w:ascii="宋体" w:hAnsi="宋体"/>
                              <w:sz w:val="26"/>
                              <w:szCs w:val="26"/>
                            </w:rPr>
                            <w:fldChar w:fldCharType="begin"/>
                          </w:r>
                          <w:r>
                            <w:rPr>
                              <w:rStyle w:val="46"/>
                              <w:rFonts w:ascii="宋体" w:hAnsi="宋体"/>
                              <w:sz w:val="26"/>
                              <w:szCs w:val="26"/>
                            </w:rPr>
                            <w:instrText xml:space="preserve">PAGE  </w:instrText>
                          </w:r>
                          <w:r>
                            <w:rPr>
                              <w:rFonts w:ascii="宋体" w:hAnsi="宋体"/>
                              <w:sz w:val="26"/>
                              <w:szCs w:val="26"/>
                            </w:rPr>
                            <w:fldChar w:fldCharType="separate"/>
                          </w:r>
                          <w:r>
                            <w:rPr>
                              <w:rStyle w:val="46"/>
                              <w:rFonts w:ascii="宋体" w:hAnsi="宋体"/>
                              <w:sz w:val="26"/>
                              <w:szCs w:val="26"/>
                            </w:rPr>
                            <w:t>4</w:t>
                          </w:r>
                          <w:r>
                            <w:rPr>
                              <w:rFonts w:ascii="宋体" w:hAnsi="宋体"/>
                              <w:sz w:val="26"/>
                              <w:szCs w:val="26"/>
                            </w:rPr>
                            <w:fldChar w:fldCharType="end"/>
                          </w:r>
                          <w:r>
                            <w:rPr>
                              <w:rStyle w:val="46"/>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I6zog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Mp5RoplDyy4/v&#10;l5+/L7++kXgIiWrr54jcWcSG5p1p0DjDucdhZN4UTsUvOBH4IfD5KrBoAuHx0mwym6VwcfiGDfCT&#10;p+vW+fBeGEWikVGHCrbCstPWhy50CInZtNlUUrZVlJrUGb2Zvk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Os6INAIAAGUEAAAOAAAAAAAAAAEAIAAAAB8BAABkcnMvZTJvRG9jLnhtbFBL&#10;BQYAAAAABgAGAFkBAADFBQAAAAA=&#10;">
              <v:fill on="f" focussize="0,0"/>
              <v:stroke on="f" weight="0.5pt"/>
              <v:imagedata o:title=""/>
              <o:lock v:ext="edit" aspectratio="f"/>
              <v:textbox inset="0mm,0mm,0mm,0mm" style="mso-fit-shape-to-text:t;">
                <w:txbxContent>
                  <w:p w14:paraId="7970A302">
                    <w:pPr>
                      <w:pStyle w:val="29"/>
                      <w:rPr>
                        <w:rStyle w:val="46"/>
                        <w:rFonts w:ascii="宋体" w:hAnsi="宋体"/>
                        <w:sz w:val="28"/>
                        <w:szCs w:val="28"/>
                      </w:rPr>
                    </w:pPr>
                    <w:r>
                      <w:rPr>
                        <w:rStyle w:val="46"/>
                        <w:rFonts w:hint="eastAsia" w:ascii="宋体" w:hAnsi="宋体"/>
                        <w:sz w:val="28"/>
                        <w:szCs w:val="28"/>
                      </w:rPr>
                      <w:t>—</w:t>
                    </w:r>
                    <w:r>
                      <w:rPr>
                        <w:rFonts w:ascii="宋体" w:hAnsi="宋体"/>
                        <w:sz w:val="26"/>
                        <w:szCs w:val="26"/>
                      </w:rPr>
                      <w:fldChar w:fldCharType="begin"/>
                    </w:r>
                    <w:r>
                      <w:rPr>
                        <w:rStyle w:val="46"/>
                        <w:rFonts w:ascii="宋体" w:hAnsi="宋体"/>
                        <w:sz w:val="26"/>
                        <w:szCs w:val="26"/>
                      </w:rPr>
                      <w:instrText xml:space="preserve">PAGE  </w:instrText>
                    </w:r>
                    <w:r>
                      <w:rPr>
                        <w:rFonts w:ascii="宋体" w:hAnsi="宋体"/>
                        <w:sz w:val="26"/>
                        <w:szCs w:val="26"/>
                      </w:rPr>
                      <w:fldChar w:fldCharType="separate"/>
                    </w:r>
                    <w:r>
                      <w:rPr>
                        <w:rStyle w:val="46"/>
                        <w:rFonts w:ascii="宋体" w:hAnsi="宋体"/>
                        <w:sz w:val="26"/>
                        <w:szCs w:val="26"/>
                      </w:rPr>
                      <w:t>4</w:t>
                    </w:r>
                    <w:r>
                      <w:rPr>
                        <w:rFonts w:ascii="宋体" w:hAnsi="宋体"/>
                        <w:sz w:val="26"/>
                        <w:szCs w:val="26"/>
                      </w:rPr>
                      <w:fldChar w:fldCharType="end"/>
                    </w:r>
                    <w:r>
                      <w:rPr>
                        <w:rStyle w:val="46"/>
                        <w:rFonts w:hint="eastAsia" w:ascii="宋体" w:hAnsi="宋体"/>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64E7D">
    <w:pPr>
      <w:pStyle w:val="2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4" name="文本框 2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2DD00">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D9ek1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HL1mhLDNEp++v7t&#10;9OPX6edXkg4hUePCDJEPDrGxfWtbNM5wHnCYmLeV1+kLTgR+CHy8CCzaSHi6NJ1MpzlcHL5hA/zs&#10;8brzIb4TVpNkFNSjgp2w7LAJsQ8dQlI2Y9dSqa6KypCmoNd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QQP16TUCAABlBAAADgAAAAAAAAABACAAAAAfAQAAZHJzL2Uyb0RvYy54bWxQ&#10;SwUGAAAAAAYABgBZAQAAxgUAAAAA&#10;">
              <v:fill on="f" focussize="0,0"/>
              <v:stroke on="f" weight="0.5pt"/>
              <v:imagedata o:title=""/>
              <o:lock v:ext="edit" aspectratio="f"/>
              <v:textbox inset="0mm,0mm,0mm,0mm" style="mso-fit-shape-to-text:t;">
                <w:txbxContent>
                  <w:p w14:paraId="1932DD00">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7CF86">
    <w:pPr>
      <w:pStyle w:val="29"/>
      <w:framePr w:wrap="around" w:vAnchor="text" w:hAnchor="margin" w:xAlign="outside" w:y="1"/>
      <w:rPr>
        <w:rStyle w:val="46"/>
        <w:rFonts w:ascii="宋体" w:hAnsi="宋体"/>
        <w:sz w:val="28"/>
        <w:szCs w:val="28"/>
      </w:rPr>
    </w:pPr>
    <w:r>
      <w:rPr>
        <w:rStyle w:val="46"/>
        <w:rFonts w:hint="eastAsia" w:ascii="宋体" w:hAnsi="宋体"/>
        <w:sz w:val="28"/>
        <w:szCs w:val="28"/>
      </w:rPr>
      <w:t>—</w:t>
    </w:r>
    <w:r>
      <w:rPr>
        <w:rFonts w:ascii="宋体" w:hAnsi="宋体"/>
        <w:sz w:val="26"/>
        <w:szCs w:val="26"/>
      </w:rPr>
      <w:fldChar w:fldCharType="begin"/>
    </w:r>
    <w:r>
      <w:rPr>
        <w:rStyle w:val="46"/>
        <w:rFonts w:ascii="宋体" w:hAnsi="宋体"/>
        <w:sz w:val="26"/>
        <w:szCs w:val="26"/>
      </w:rPr>
      <w:instrText xml:space="preserve">PAGE  </w:instrText>
    </w:r>
    <w:r>
      <w:rPr>
        <w:rFonts w:ascii="宋体" w:hAnsi="宋体"/>
        <w:sz w:val="26"/>
        <w:szCs w:val="26"/>
      </w:rPr>
      <w:fldChar w:fldCharType="separate"/>
    </w:r>
    <w:r>
      <w:rPr>
        <w:rStyle w:val="46"/>
        <w:rFonts w:ascii="宋体" w:hAnsi="宋体"/>
        <w:sz w:val="26"/>
        <w:szCs w:val="26"/>
        <w:lang w:val="en-US" w:eastAsia="zh-CN"/>
      </w:rPr>
      <w:t>29</w:t>
    </w:r>
    <w:r>
      <w:rPr>
        <w:rFonts w:ascii="宋体" w:hAnsi="宋体"/>
        <w:sz w:val="26"/>
        <w:szCs w:val="26"/>
      </w:rPr>
      <w:fldChar w:fldCharType="end"/>
    </w:r>
    <w:r>
      <w:rPr>
        <w:rStyle w:val="46"/>
        <w:rFonts w:hint="eastAsia" w:ascii="宋体" w:hAnsi="宋体"/>
        <w:sz w:val="28"/>
        <w:szCs w:val="28"/>
      </w:rPr>
      <w:t>—</w:t>
    </w:r>
  </w:p>
  <w:p w14:paraId="74911620">
    <w:pPr>
      <w:pStyle w:val="29"/>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EC84C">
    <w:pPr>
      <w:pStyle w:val="29"/>
      <w:framePr w:wrap="around" w:vAnchor="text" w:hAnchor="margin" w:xAlign="center" w:y="1"/>
      <w:rPr>
        <w:rStyle w:val="46"/>
        <w:rFonts w:ascii="宋体" w:hAnsi="宋体"/>
        <w:sz w:val="28"/>
        <w:szCs w:val="28"/>
      </w:rPr>
    </w:pPr>
    <w:r>
      <w:rPr>
        <w:rStyle w:val="46"/>
        <w:rFonts w:hint="eastAsia" w:ascii="宋体" w:hAnsi="宋体"/>
        <w:sz w:val="28"/>
        <w:szCs w:val="28"/>
      </w:rPr>
      <w:t>—</w:t>
    </w:r>
    <w:r>
      <w:rPr>
        <w:rFonts w:ascii="宋体" w:hAnsi="宋体"/>
        <w:sz w:val="26"/>
        <w:szCs w:val="26"/>
      </w:rPr>
      <w:fldChar w:fldCharType="begin"/>
    </w:r>
    <w:r>
      <w:rPr>
        <w:rStyle w:val="46"/>
        <w:rFonts w:ascii="宋体" w:hAnsi="宋体"/>
        <w:sz w:val="26"/>
        <w:szCs w:val="26"/>
      </w:rPr>
      <w:instrText xml:space="preserve">PAGE  </w:instrText>
    </w:r>
    <w:r>
      <w:rPr>
        <w:rFonts w:ascii="宋体" w:hAnsi="宋体"/>
        <w:sz w:val="26"/>
        <w:szCs w:val="26"/>
      </w:rPr>
      <w:fldChar w:fldCharType="separate"/>
    </w:r>
    <w:r>
      <w:rPr>
        <w:rStyle w:val="46"/>
        <w:rFonts w:ascii="宋体" w:hAnsi="宋体"/>
        <w:sz w:val="26"/>
        <w:szCs w:val="26"/>
      </w:rPr>
      <w:t>182</w:t>
    </w:r>
    <w:r>
      <w:rPr>
        <w:rFonts w:ascii="宋体" w:hAnsi="宋体"/>
        <w:sz w:val="26"/>
        <w:szCs w:val="26"/>
      </w:rPr>
      <w:fldChar w:fldCharType="end"/>
    </w:r>
    <w:r>
      <w:rPr>
        <w:rStyle w:val="46"/>
        <w:rFonts w:hint="eastAsia" w:ascii="宋体" w:hAnsi="宋体"/>
        <w:sz w:val="28"/>
        <w:szCs w:val="28"/>
      </w:rPr>
      <w:t>—</w:t>
    </w:r>
  </w:p>
  <w:p w14:paraId="2F96D3EB">
    <w:pPr>
      <w:pStyle w:val="2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3AA91">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B15EC">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2F9A6">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AF29DB"/>
    <w:multiLevelType w:val="singleLevel"/>
    <w:tmpl w:val="E6AF29DB"/>
    <w:lvl w:ilvl="0" w:tentative="0">
      <w:start w:val="2"/>
      <w:numFmt w:val="decimal"/>
      <w:suff w:val="nothing"/>
      <w:lvlText w:val="%1、"/>
      <w:lvlJc w:val="left"/>
    </w:lvl>
  </w:abstractNum>
  <w:abstractNum w:abstractNumId="1">
    <w:nsid w:val="2CCD7232"/>
    <w:multiLevelType w:val="multilevel"/>
    <w:tmpl w:val="2CCD7232"/>
    <w:lvl w:ilvl="0" w:tentative="0">
      <w:start w:val="1"/>
      <w:numFmt w:val="decimal"/>
      <w:pStyle w:val="165"/>
      <w:lvlText w:val="表%1 "/>
      <w:lvlJc w:val="center"/>
      <w:pPr>
        <w:tabs>
          <w:tab w:val="left" w:pos="3828"/>
        </w:tabs>
        <w:ind w:left="2694" w:firstLine="851"/>
      </w:pPr>
      <w:rPr>
        <w:rFonts w:hint="eastAsia" w:ascii="黑体" w:hAnsi="Times New Roman" w:eastAsia="黑体"/>
        <w:b w:val="0"/>
        <w:i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pStyle w:val="79"/>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71D371E9"/>
    <w:multiLevelType w:val="singleLevel"/>
    <w:tmpl w:val="71D371E9"/>
    <w:lvl w:ilvl="0" w:tentative="0">
      <w:start w:val="1"/>
      <w:numFmt w:val="bullet"/>
      <w:pStyle w:val="13"/>
      <w:lvlText w:val=""/>
      <w:lvlJc w:val="left"/>
      <w:pPr>
        <w:tabs>
          <w:tab w:val="left" w:pos="780"/>
        </w:tabs>
        <w:ind w:left="780"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forms" w:enforcement="1" w:cryptProviderType="rsaFull" w:cryptAlgorithmClass="hash" w:cryptAlgorithmType="typeAny" w:cryptAlgorithmSid="4" w:cryptSpinCount="0" w:hash="77KZxpeZEAPgZ8ZKBqbQkouNnCI=" w:salt="YX/y5pejApiox/Uu+903ww=="/>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ZkNzQ4ZWFiZmQ4NTRhOWRkZTk3YTMwMjlmMmZhYmUifQ=="/>
  </w:docVars>
  <w:rsids>
    <w:rsidRoot w:val="00A14947"/>
    <w:rsid w:val="000006ED"/>
    <w:rsid w:val="00000A25"/>
    <w:rsid w:val="00001467"/>
    <w:rsid w:val="00001E6F"/>
    <w:rsid w:val="00001F9E"/>
    <w:rsid w:val="000026AE"/>
    <w:rsid w:val="000029F8"/>
    <w:rsid w:val="000040E9"/>
    <w:rsid w:val="00004133"/>
    <w:rsid w:val="00004C4A"/>
    <w:rsid w:val="00004F4F"/>
    <w:rsid w:val="000060B3"/>
    <w:rsid w:val="00006F6E"/>
    <w:rsid w:val="0000751A"/>
    <w:rsid w:val="000076E0"/>
    <w:rsid w:val="00007828"/>
    <w:rsid w:val="000078BA"/>
    <w:rsid w:val="00007E1A"/>
    <w:rsid w:val="00007EC4"/>
    <w:rsid w:val="000103A2"/>
    <w:rsid w:val="00010426"/>
    <w:rsid w:val="00010859"/>
    <w:rsid w:val="00010BCB"/>
    <w:rsid w:val="00011066"/>
    <w:rsid w:val="00011322"/>
    <w:rsid w:val="000117EA"/>
    <w:rsid w:val="00011C8E"/>
    <w:rsid w:val="00012133"/>
    <w:rsid w:val="0001215B"/>
    <w:rsid w:val="00012202"/>
    <w:rsid w:val="000129F4"/>
    <w:rsid w:val="00012BB7"/>
    <w:rsid w:val="00012E69"/>
    <w:rsid w:val="00012FE9"/>
    <w:rsid w:val="0001376E"/>
    <w:rsid w:val="000137F7"/>
    <w:rsid w:val="00014C39"/>
    <w:rsid w:val="00014C50"/>
    <w:rsid w:val="00015096"/>
    <w:rsid w:val="00015B1F"/>
    <w:rsid w:val="000172C9"/>
    <w:rsid w:val="00017A3E"/>
    <w:rsid w:val="00017AE9"/>
    <w:rsid w:val="00017FC7"/>
    <w:rsid w:val="00020A47"/>
    <w:rsid w:val="000211CF"/>
    <w:rsid w:val="00021208"/>
    <w:rsid w:val="00021B18"/>
    <w:rsid w:val="000220D0"/>
    <w:rsid w:val="000238CE"/>
    <w:rsid w:val="00023909"/>
    <w:rsid w:val="0002403B"/>
    <w:rsid w:val="000244B2"/>
    <w:rsid w:val="000253E4"/>
    <w:rsid w:val="00025485"/>
    <w:rsid w:val="000259C0"/>
    <w:rsid w:val="0002649B"/>
    <w:rsid w:val="00026CFE"/>
    <w:rsid w:val="00026D82"/>
    <w:rsid w:val="00026E16"/>
    <w:rsid w:val="000277AB"/>
    <w:rsid w:val="00027BA3"/>
    <w:rsid w:val="00027CAF"/>
    <w:rsid w:val="00027D0B"/>
    <w:rsid w:val="00031F5D"/>
    <w:rsid w:val="00031FC8"/>
    <w:rsid w:val="0003204D"/>
    <w:rsid w:val="000328AF"/>
    <w:rsid w:val="000329E4"/>
    <w:rsid w:val="00032E1C"/>
    <w:rsid w:val="00033445"/>
    <w:rsid w:val="00034D8A"/>
    <w:rsid w:val="0003559B"/>
    <w:rsid w:val="0003596A"/>
    <w:rsid w:val="00035A16"/>
    <w:rsid w:val="00035E56"/>
    <w:rsid w:val="000365FD"/>
    <w:rsid w:val="0003723C"/>
    <w:rsid w:val="000374A3"/>
    <w:rsid w:val="00040167"/>
    <w:rsid w:val="0004023C"/>
    <w:rsid w:val="00040835"/>
    <w:rsid w:val="000409D8"/>
    <w:rsid w:val="00040D29"/>
    <w:rsid w:val="00040DA0"/>
    <w:rsid w:val="00040DF1"/>
    <w:rsid w:val="00040F95"/>
    <w:rsid w:val="000410B0"/>
    <w:rsid w:val="000413F4"/>
    <w:rsid w:val="00041F6F"/>
    <w:rsid w:val="000424BE"/>
    <w:rsid w:val="00042D1F"/>
    <w:rsid w:val="0004364B"/>
    <w:rsid w:val="00043C01"/>
    <w:rsid w:val="00044D29"/>
    <w:rsid w:val="000450D0"/>
    <w:rsid w:val="000452F1"/>
    <w:rsid w:val="0004557F"/>
    <w:rsid w:val="000462DF"/>
    <w:rsid w:val="000465DE"/>
    <w:rsid w:val="000468C7"/>
    <w:rsid w:val="00047DD0"/>
    <w:rsid w:val="00050434"/>
    <w:rsid w:val="00051176"/>
    <w:rsid w:val="000516B6"/>
    <w:rsid w:val="00051F52"/>
    <w:rsid w:val="000521A2"/>
    <w:rsid w:val="00053057"/>
    <w:rsid w:val="00053C31"/>
    <w:rsid w:val="00053C6D"/>
    <w:rsid w:val="00054497"/>
    <w:rsid w:val="0005473A"/>
    <w:rsid w:val="00054A5D"/>
    <w:rsid w:val="000550D1"/>
    <w:rsid w:val="0005748C"/>
    <w:rsid w:val="00057727"/>
    <w:rsid w:val="00057BC5"/>
    <w:rsid w:val="000607CF"/>
    <w:rsid w:val="00061B1F"/>
    <w:rsid w:val="00061BE8"/>
    <w:rsid w:val="00061C67"/>
    <w:rsid w:val="00062206"/>
    <w:rsid w:val="00063093"/>
    <w:rsid w:val="00063361"/>
    <w:rsid w:val="0006368A"/>
    <w:rsid w:val="0006461B"/>
    <w:rsid w:val="000648FD"/>
    <w:rsid w:val="00065805"/>
    <w:rsid w:val="00065D83"/>
    <w:rsid w:val="00066300"/>
    <w:rsid w:val="000663C0"/>
    <w:rsid w:val="00067040"/>
    <w:rsid w:val="0006791D"/>
    <w:rsid w:val="000709A7"/>
    <w:rsid w:val="00070C80"/>
    <w:rsid w:val="00071055"/>
    <w:rsid w:val="00071446"/>
    <w:rsid w:val="00071828"/>
    <w:rsid w:val="00071D1C"/>
    <w:rsid w:val="00072D8F"/>
    <w:rsid w:val="00072FAC"/>
    <w:rsid w:val="000730C4"/>
    <w:rsid w:val="000733C4"/>
    <w:rsid w:val="000743AE"/>
    <w:rsid w:val="00074783"/>
    <w:rsid w:val="00074834"/>
    <w:rsid w:val="00074D60"/>
    <w:rsid w:val="00075935"/>
    <w:rsid w:val="00076299"/>
    <w:rsid w:val="00076E13"/>
    <w:rsid w:val="00077526"/>
    <w:rsid w:val="000775DA"/>
    <w:rsid w:val="00077837"/>
    <w:rsid w:val="0008070B"/>
    <w:rsid w:val="00080A5D"/>
    <w:rsid w:val="00080E7B"/>
    <w:rsid w:val="000810AC"/>
    <w:rsid w:val="00081A02"/>
    <w:rsid w:val="00082231"/>
    <w:rsid w:val="000824E7"/>
    <w:rsid w:val="00082D05"/>
    <w:rsid w:val="00082D9A"/>
    <w:rsid w:val="00083147"/>
    <w:rsid w:val="0008339A"/>
    <w:rsid w:val="0008364E"/>
    <w:rsid w:val="00083A64"/>
    <w:rsid w:val="00083D6B"/>
    <w:rsid w:val="000844E4"/>
    <w:rsid w:val="0008486F"/>
    <w:rsid w:val="00084A17"/>
    <w:rsid w:val="000855EB"/>
    <w:rsid w:val="000856AD"/>
    <w:rsid w:val="00085CAE"/>
    <w:rsid w:val="00085D45"/>
    <w:rsid w:val="00086207"/>
    <w:rsid w:val="00086A01"/>
    <w:rsid w:val="00091949"/>
    <w:rsid w:val="0009257A"/>
    <w:rsid w:val="000925F1"/>
    <w:rsid w:val="00092C3B"/>
    <w:rsid w:val="00092D38"/>
    <w:rsid w:val="00093256"/>
    <w:rsid w:val="00093435"/>
    <w:rsid w:val="0009377B"/>
    <w:rsid w:val="00093B23"/>
    <w:rsid w:val="00094AE5"/>
    <w:rsid w:val="00094B34"/>
    <w:rsid w:val="0009581C"/>
    <w:rsid w:val="00095DF0"/>
    <w:rsid w:val="00096826"/>
    <w:rsid w:val="00096897"/>
    <w:rsid w:val="00097046"/>
    <w:rsid w:val="0009794F"/>
    <w:rsid w:val="00097B72"/>
    <w:rsid w:val="000A0254"/>
    <w:rsid w:val="000A0489"/>
    <w:rsid w:val="000A0517"/>
    <w:rsid w:val="000A05BF"/>
    <w:rsid w:val="000A0630"/>
    <w:rsid w:val="000A080C"/>
    <w:rsid w:val="000A20C9"/>
    <w:rsid w:val="000A21D8"/>
    <w:rsid w:val="000A3197"/>
    <w:rsid w:val="000A31FC"/>
    <w:rsid w:val="000A32CD"/>
    <w:rsid w:val="000A389F"/>
    <w:rsid w:val="000A3CA7"/>
    <w:rsid w:val="000A4C47"/>
    <w:rsid w:val="000A51D2"/>
    <w:rsid w:val="000A5C13"/>
    <w:rsid w:val="000A5EE1"/>
    <w:rsid w:val="000A6322"/>
    <w:rsid w:val="000A738B"/>
    <w:rsid w:val="000A74FB"/>
    <w:rsid w:val="000A7892"/>
    <w:rsid w:val="000B01C7"/>
    <w:rsid w:val="000B058F"/>
    <w:rsid w:val="000B0EFB"/>
    <w:rsid w:val="000B0F1A"/>
    <w:rsid w:val="000B0FCC"/>
    <w:rsid w:val="000B2BC1"/>
    <w:rsid w:val="000B2EDD"/>
    <w:rsid w:val="000B31B3"/>
    <w:rsid w:val="000B3925"/>
    <w:rsid w:val="000B3D98"/>
    <w:rsid w:val="000B4467"/>
    <w:rsid w:val="000B4DB9"/>
    <w:rsid w:val="000B5217"/>
    <w:rsid w:val="000B545D"/>
    <w:rsid w:val="000B5995"/>
    <w:rsid w:val="000B627E"/>
    <w:rsid w:val="000B677C"/>
    <w:rsid w:val="000B6F1A"/>
    <w:rsid w:val="000C00DF"/>
    <w:rsid w:val="000C09AC"/>
    <w:rsid w:val="000C138D"/>
    <w:rsid w:val="000C177E"/>
    <w:rsid w:val="000C188A"/>
    <w:rsid w:val="000C1FA7"/>
    <w:rsid w:val="000C2411"/>
    <w:rsid w:val="000C27A0"/>
    <w:rsid w:val="000C27FE"/>
    <w:rsid w:val="000C2E79"/>
    <w:rsid w:val="000C3796"/>
    <w:rsid w:val="000C3FC9"/>
    <w:rsid w:val="000C4219"/>
    <w:rsid w:val="000C42DC"/>
    <w:rsid w:val="000C45E1"/>
    <w:rsid w:val="000C4CB1"/>
    <w:rsid w:val="000C5226"/>
    <w:rsid w:val="000C5609"/>
    <w:rsid w:val="000C57BF"/>
    <w:rsid w:val="000C6E85"/>
    <w:rsid w:val="000C767F"/>
    <w:rsid w:val="000C7F39"/>
    <w:rsid w:val="000D0F32"/>
    <w:rsid w:val="000D1C08"/>
    <w:rsid w:val="000D1E25"/>
    <w:rsid w:val="000D1F96"/>
    <w:rsid w:val="000D2B56"/>
    <w:rsid w:val="000D3A1F"/>
    <w:rsid w:val="000D3CAE"/>
    <w:rsid w:val="000D472E"/>
    <w:rsid w:val="000D54A0"/>
    <w:rsid w:val="000D5A44"/>
    <w:rsid w:val="000D64A1"/>
    <w:rsid w:val="000D728B"/>
    <w:rsid w:val="000D72AE"/>
    <w:rsid w:val="000D7448"/>
    <w:rsid w:val="000D7593"/>
    <w:rsid w:val="000D7765"/>
    <w:rsid w:val="000E086A"/>
    <w:rsid w:val="000E113E"/>
    <w:rsid w:val="000E12B8"/>
    <w:rsid w:val="000E14F0"/>
    <w:rsid w:val="000E1A15"/>
    <w:rsid w:val="000E1A9F"/>
    <w:rsid w:val="000E2BCA"/>
    <w:rsid w:val="000E365B"/>
    <w:rsid w:val="000E375E"/>
    <w:rsid w:val="000E3ED2"/>
    <w:rsid w:val="000E478D"/>
    <w:rsid w:val="000E4D09"/>
    <w:rsid w:val="000E519B"/>
    <w:rsid w:val="000E5633"/>
    <w:rsid w:val="000E5E2C"/>
    <w:rsid w:val="000E6006"/>
    <w:rsid w:val="000E65CB"/>
    <w:rsid w:val="000E663C"/>
    <w:rsid w:val="000E6696"/>
    <w:rsid w:val="000E6EA1"/>
    <w:rsid w:val="000F004F"/>
    <w:rsid w:val="000F0663"/>
    <w:rsid w:val="000F1022"/>
    <w:rsid w:val="000F1B6F"/>
    <w:rsid w:val="000F1BFF"/>
    <w:rsid w:val="000F202A"/>
    <w:rsid w:val="000F22D2"/>
    <w:rsid w:val="000F238A"/>
    <w:rsid w:val="000F2740"/>
    <w:rsid w:val="000F2D5E"/>
    <w:rsid w:val="000F40A0"/>
    <w:rsid w:val="000F42DB"/>
    <w:rsid w:val="000F5023"/>
    <w:rsid w:val="000F5A1C"/>
    <w:rsid w:val="000F5FFF"/>
    <w:rsid w:val="000F6354"/>
    <w:rsid w:val="000F6763"/>
    <w:rsid w:val="000F68C7"/>
    <w:rsid w:val="000F73AD"/>
    <w:rsid w:val="000F7A4E"/>
    <w:rsid w:val="00100454"/>
    <w:rsid w:val="0010049A"/>
    <w:rsid w:val="00100A51"/>
    <w:rsid w:val="00100C5D"/>
    <w:rsid w:val="001016EB"/>
    <w:rsid w:val="00101AC3"/>
    <w:rsid w:val="00101E0E"/>
    <w:rsid w:val="00102A1D"/>
    <w:rsid w:val="00102D03"/>
    <w:rsid w:val="00102E80"/>
    <w:rsid w:val="001038AF"/>
    <w:rsid w:val="00104C0D"/>
    <w:rsid w:val="00105448"/>
    <w:rsid w:val="00105DB6"/>
    <w:rsid w:val="00106833"/>
    <w:rsid w:val="00106D1D"/>
    <w:rsid w:val="00106F96"/>
    <w:rsid w:val="001076D8"/>
    <w:rsid w:val="00107F51"/>
    <w:rsid w:val="001104C0"/>
    <w:rsid w:val="00110D94"/>
    <w:rsid w:val="0011136E"/>
    <w:rsid w:val="0011140D"/>
    <w:rsid w:val="001119FB"/>
    <w:rsid w:val="00112B2A"/>
    <w:rsid w:val="001133F4"/>
    <w:rsid w:val="00113701"/>
    <w:rsid w:val="00113783"/>
    <w:rsid w:val="00114F7F"/>
    <w:rsid w:val="00115246"/>
    <w:rsid w:val="00115322"/>
    <w:rsid w:val="00115A4B"/>
    <w:rsid w:val="00116136"/>
    <w:rsid w:val="00116669"/>
    <w:rsid w:val="00116958"/>
    <w:rsid w:val="001169E8"/>
    <w:rsid w:val="001176DB"/>
    <w:rsid w:val="001179AA"/>
    <w:rsid w:val="0012205E"/>
    <w:rsid w:val="001225E7"/>
    <w:rsid w:val="001229DC"/>
    <w:rsid w:val="00123412"/>
    <w:rsid w:val="00124153"/>
    <w:rsid w:val="00124485"/>
    <w:rsid w:val="00125B49"/>
    <w:rsid w:val="001268E6"/>
    <w:rsid w:val="00126B04"/>
    <w:rsid w:val="00127125"/>
    <w:rsid w:val="001277BB"/>
    <w:rsid w:val="00127A61"/>
    <w:rsid w:val="00127F8D"/>
    <w:rsid w:val="00130147"/>
    <w:rsid w:val="0013057A"/>
    <w:rsid w:val="001310C4"/>
    <w:rsid w:val="001315D9"/>
    <w:rsid w:val="00131682"/>
    <w:rsid w:val="001317C4"/>
    <w:rsid w:val="00131D30"/>
    <w:rsid w:val="00131F42"/>
    <w:rsid w:val="00132172"/>
    <w:rsid w:val="00133938"/>
    <w:rsid w:val="001342D1"/>
    <w:rsid w:val="0013431E"/>
    <w:rsid w:val="00134DC3"/>
    <w:rsid w:val="00135346"/>
    <w:rsid w:val="001357F1"/>
    <w:rsid w:val="00135BF2"/>
    <w:rsid w:val="00135C55"/>
    <w:rsid w:val="001360A6"/>
    <w:rsid w:val="00136812"/>
    <w:rsid w:val="00136A84"/>
    <w:rsid w:val="00136B93"/>
    <w:rsid w:val="00136ED8"/>
    <w:rsid w:val="001371E3"/>
    <w:rsid w:val="001373E0"/>
    <w:rsid w:val="00140AEC"/>
    <w:rsid w:val="00140CDE"/>
    <w:rsid w:val="00140FA8"/>
    <w:rsid w:val="00141392"/>
    <w:rsid w:val="001414D5"/>
    <w:rsid w:val="001416A5"/>
    <w:rsid w:val="00141EC0"/>
    <w:rsid w:val="001429FE"/>
    <w:rsid w:val="00142A84"/>
    <w:rsid w:val="00142FEB"/>
    <w:rsid w:val="00143A2D"/>
    <w:rsid w:val="0014526A"/>
    <w:rsid w:val="00145A41"/>
    <w:rsid w:val="00145D17"/>
    <w:rsid w:val="00150000"/>
    <w:rsid w:val="00150AB0"/>
    <w:rsid w:val="00150D25"/>
    <w:rsid w:val="00151675"/>
    <w:rsid w:val="001518AB"/>
    <w:rsid w:val="0015260D"/>
    <w:rsid w:val="00153270"/>
    <w:rsid w:val="001538A9"/>
    <w:rsid w:val="00153B11"/>
    <w:rsid w:val="00153CC8"/>
    <w:rsid w:val="00154097"/>
    <w:rsid w:val="00155C39"/>
    <w:rsid w:val="001560BF"/>
    <w:rsid w:val="00156626"/>
    <w:rsid w:val="001567BB"/>
    <w:rsid w:val="00157159"/>
    <w:rsid w:val="00157435"/>
    <w:rsid w:val="0015769C"/>
    <w:rsid w:val="001577B1"/>
    <w:rsid w:val="0015787C"/>
    <w:rsid w:val="00157BE9"/>
    <w:rsid w:val="001603BF"/>
    <w:rsid w:val="00160BF5"/>
    <w:rsid w:val="00160D4D"/>
    <w:rsid w:val="001614B7"/>
    <w:rsid w:val="00161614"/>
    <w:rsid w:val="001619AB"/>
    <w:rsid w:val="00161A98"/>
    <w:rsid w:val="00162449"/>
    <w:rsid w:val="001636A8"/>
    <w:rsid w:val="00164363"/>
    <w:rsid w:val="00164931"/>
    <w:rsid w:val="00164936"/>
    <w:rsid w:val="00164B2E"/>
    <w:rsid w:val="00165272"/>
    <w:rsid w:val="00165472"/>
    <w:rsid w:val="001656EC"/>
    <w:rsid w:val="00165976"/>
    <w:rsid w:val="00166F2A"/>
    <w:rsid w:val="0016798A"/>
    <w:rsid w:val="00170C0E"/>
    <w:rsid w:val="00171D5D"/>
    <w:rsid w:val="00171F90"/>
    <w:rsid w:val="00172492"/>
    <w:rsid w:val="00172C44"/>
    <w:rsid w:val="00172CDF"/>
    <w:rsid w:val="0017477B"/>
    <w:rsid w:val="0017504D"/>
    <w:rsid w:val="0017534C"/>
    <w:rsid w:val="00175690"/>
    <w:rsid w:val="00175F6E"/>
    <w:rsid w:val="00176188"/>
    <w:rsid w:val="0017671A"/>
    <w:rsid w:val="00177016"/>
    <w:rsid w:val="00177422"/>
    <w:rsid w:val="00177763"/>
    <w:rsid w:val="001779E1"/>
    <w:rsid w:val="001803C5"/>
    <w:rsid w:val="0018049B"/>
    <w:rsid w:val="001806D4"/>
    <w:rsid w:val="001806EF"/>
    <w:rsid w:val="00180948"/>
    <w:rsid w:val="00180A23"/>
    <w:rsid w:val="00180BE0"/>
    <w:rsid w:val="00180CD0"/>
    <w:rsid w:val="00181312"/>
    <w:rsid w:val="00181661"/>
    <w:rsid w:val="001817C5"/>
    <w:rsid w:val="00181907"/>
    <w:rsid w:val="00181922"/>
    <w:rsid w:val="00184590"/>
    <w:rsid w:val="00184A6E"/>
    <w:rsid w:val="00184D42"/>
    <w:rsid w:val="0018511C"/>
    <w:rsid w:val="001858A0"/>
    <w:rsid w:val="0018664C"/>
    <w:rsid w:val="0018676F"/>
    <w:rsid w:val="00186A6B"/>
    <w:rsid w:val="0018706B"/>
    <w:rsid w:val="001870D1"/>
    <w:rsid w:val="0018781E"/>
    <w:rsid w:val="00187ADE"/>
    <w:rsid w:val="001901B5"/>
    <w:rsid w:val="00190242"/>
    <w:rsid w:val="0019076C"/>
    <w:rsid w:val="00190A62"/>
    <w:rsid w:val="00190AED"/>
    <w:rsid w:val="00190D4F"/>
    <w:rsid w:val="00190D5A"/>
    <w:rsid w:val="0019262D"/>
    <w:rsid w:val="001942E0"/>
    <w:rsid w:val="00194774"/>
    <w:rsid w:val="00194CAE"/>
    <w:rsid w:val="001952B8"/>
    <w:rsid w:val="0019561D"/>
    <w:rsid w:val="001957EB"/>
    <w:rsid w:val="001960FD"/>
    <w:rsid w:val="0019644E"/>
    <w:rsid w:val="001973BD"/>
    <w:rsid w:val="001976E5"/>
    <w:rsid w:val="00197B9A"/>
    <w:rsid w:val="00197E9A"/>
    <w:rsid w:val="001A0161"/>
    <w:rsid w:val="001A02EA"/>
    <w:rsid w:val="001A1067"/>
    <w:rsid w:val="001A148A"/>
    <w:rsid w:val="001A15E7"/>
    <w:rsid w:val="001A1B35"/>
    <w:rsid w:val="001A1B75"/>
    <w:rsid w:val="001A205E"/>
    <w:rsid w:val="001A208F"/>
    <w:rsid w:val="001A22D0"/>
    <w:rsid w:val="001A2BD6"/>
    <w:rsid w:val="001A300D"/>
    <w:rsid w:val="001A31F0"/>
    <w:rsid w:val="001A38EE"/>
    <w:rsid w:val="001A3AFE"/>
    <w:rsid w:val="001A4422"/>
    <w:rsid w:val="001A48A2"/>
    <w:rsid w:val="001A48F5"/>
    <w:rsid w:val="001A4B93"/>
    <w:rsid w:val="001A4CE5"/>
    <w:rsid w:val="001A4DA1"/>
    <w:rsid w:val="001A53E7"/>
    <w:rsid w:val="001A5C0D"/>
    <w:rsid w:val="001A5C5D"/>
    <w:rsid w:val="001A5D90"/>
    <w:rsid w:val="001A6947"/>
    <w:rsid w:val="001A6F61"/>
    <w:rsid w:val="001B0B2D"/>
    <w:rsid w:val="001B18D3"/>
    <w:rsid w:val="001B1B42"/>
    <w:rsid w:val="001B1BEF"/>
    <w:rsid w:val="001B23F7"/>
    <w:rsid w:val="001B275B"/>
    <w:rsid w:val="001B2BB3"/>
    <w:rsid w:val="001B322C"/>
    <w:rsid w:val="001B346D"/>
    <w:rsid w:val="001B3923"/>
    <w:rsid w:val="001B3F60"/>
    <w:rsid w:val="001B40B8"/>
    <w:rsid w:val="001B4122"/>
    <w:rsid w:val="001B413A"/>
    <w:rsid w:val="001B470C"/>
    <w:rsid w:val="001B4C42"/>
    <w:rsid w:val="001B57BF"/>
    <w:rsid w:val="001B66E4"/>
    <w:rsid w:val="001B72B8"/>
    <w:rsid w:val="001B7411"/>
    <w:rsid w:val="001C1698"/>
    <w:rsid w:val="001C2039"/>
    <w:rsid w:val="001C2900"/>
    <w:rsid w:val="001C2920"/>
    <w:rsid w:val="001C3730"/>
    <w:rsid w:val="001C464F"/>
    <w:rsid w:val="001C4CF6"/>
    <w:rsid w:val="001C5005"/>
    <w:rsid w:val="001C57DE"/>
    <w:rsid w:val="001C642C"/>
    <w:rsid w:val="001C69B3"/>
    <w:rsid w:val="001C719F"/>
    <w:rsid w:val="001C745E"/>
    <w:rsid w:val="001D0D70"/>
    <w:rsid w:val="001D0E9E"/>
    <w:rsid w:val="001D0FBA"/>
    <w:rsid w:val="001D1399"/>
    <w:rsid w:val="001D2FB0"/>
    <w:rsid w:val="001D352A"/>
    <w:rsid w:val="001D3C3B"/>
    <w:rsid w:val="001D3DB7"/>
    <w:rsid w:val="001D49DD"/>
    <w:rsid w:val="001D4C33"/>
    <w:rsid w:val="001D5426"/>
    <w:rsid w:val="001D5595"/>
    <w:rsid w:val="001D5C5E"/>
    <w:rsid w:val="001D6152"/>
    <w:rsid w:val="001D6485"/>
    <w:rsid w:val="001D70DC"/>
    <w:rsid w:val="001D713F"/>
    <w:rsid w:val="001D7874"/>
    <w:rsid w:val="001D7F22"/>
    <w:rsid w:val="001D7FD4"/>
    <w:rsid w:val="001E04AA"/>
    <w:rsid w:val="001E05B5"/>
    <w:rsid w:val="001E0F26"/>
    <w:rsid w:val="001E1A6A"/>
    <w:rsid w:val="001E1B75"/>
    <w:rsid w:val="001E1CB8"/>
    <w:rsid w:val="001E2131"/>
    <w:rsid w:val="001E2462"/>
    <w:rsid w:val="001E26FA"/>
    <w:rsid w:val="001E2FA2"/>
    <w:rsid w:val="001E344E"/>
    <w:rsid w:val="001E355A"/>
    <w:rsid w:val="001E3971"/>
    <w:rsid w:val="001E4073"/>
    <w:rsid w:val="001E44B2"/>
    <w:rsid w:val="001E4CFD"/>
    <w:rsid w:val="001E545C"/>
    <w:rsid w:val="001E551D"/>
    <w:rsid w:val="001E56C3"/>
    <w:rsid w:val="001E5B94"/>
    <w:rsid w:val="001E5ED7"/>
    <w:rsid w:val="001E6304"/>
    <w:rsid w:val="001E6728"/>
    <w:rsid w:val="001E6DB2"/>
    <w:rsid w:val="001E74C1"/>
    <w:rsid w:val="001F01CA"/>
    <w:rsid w:val="001F06B1"/>
    <w:rsid w:val="001F0F17"/>
    <w:rsid w:val="001F0F1A"/>
    <w:rsid w:val="001F1375"/>
    <w:rsid w:val="001F2751"/>
    <w:rsid w:val="001F27E1"/>
    <w:rsid w:val="001F284D"/>
    <w:rsid w:val="001F28EE"/>
    <w:rsid w:val="001F3027"/>
    <w:rsid w:val="001F3347"/>
    <w:rsid w:val="001F45D0"/>
    <w:rsid w:val="001F541C"/>
    <w:rsid w:val="001F555D"/>
    <w:rsid w:val="001F578A"/>
    <w:rsid w:val="001F6872"/>
    <w:rsid w:val="001F69E4"/>
    <w:rsid w:val="001F6A3A"/>
    <w:rsid w:val="001F72AA"/>
    <w:rsid w:val="001F7331"/>
    <w:rsid w:val="001F771C"/>
    <w:rsid w:val="001F7B9E"/>
    <w:rsid w:val="001F7E69"/>
    <w:rsid w:val="00200D96"/>
    <w:rsid w:val="0020154C"/>
    <w:rsid w:val="00201899"/>
    <w:rsid w:val="002018D9"/>
    <w:rsid w:val="00201AB3"/>
    <w:rsid w:val="00202CCF"/>
    <w:rsid w:val="00202D19"/>
    <w:rsid w:val="0020326A"/>
    <w:rsid w:val="00203F11"/>
    <w:rsid w:val="00204B1E"/>
    <w:rsid w:val="0020583E"/>
    <w:rsid w:val="002059C6"/>
    <w:rsid w:val="0020602A"/>
    <w:rsid w:val="002062E8"/>
    <w:rsid w:val="00207110"/>
    <w:rsid w:val="002078FD"/>
    <w:rsid w:val="00207DCF"/>
    <w:rsid w:val="00207E01"/>
    <w:rsid w:val="002107CC"/>
    <w:rsid w:val="00210A6F"/>
    <w:rsid w:val="002110E8"/>
    <w:rsid w:val="00211C98"/>
    <w:rsid w:val="00211F70"/>
    <w:rsid w:val="002125B4"/>
    <w:rsid w:val="0021325E"/>
    <w:rsid w:val="0021350B"/>
    <w:rsid w:val="0021416F"/>
    <w:rsid w:val="00214DFF"/>
    <w:rsid w:val="002155B8"/>
    <w:rsid w:val="00216D04"/>
    <w:rsid w:val="00216F47"/>
    <w:rsid w:val="002170CA"/>
    <w:rsid w:val="00217896"/>
    <w:rsid w:val="00220006"/>
    <w:rsid w:val="002201AB"/>
    <w:rsid w:val="002201B4"/>
    <w:rsid w:val="00221CD2"/>
    <w:rsid w:val="00221D1F"/>
    <w:rsid w:val="0022266F"/>
    <w:rsid w:val="00223F8F"/>
    <w:rsid w:val="00224839"/>
    <w:rsid w:val="002249B2"/>
    <w:rsid w:val="00224B77"/>
    <w:rsid w:val="00224C6F"/>
    <w:rsid w:val="00225817"/>
    <w:rsid w:val="0022600B"/>
    <w:rsid w:val="00226574"/>
    <w:rsid w:val="00226D36"/>
    <w:rsid w:val="002271B6"/>
    <w:rsid w:val="002278EC"/>
    <w:rsid w:val="002279C3"/>
    <w:rsid w:val="0023020B"/>
    <w:rsid w:val="00230BA5"/>
    <w:rsid w:val="00230BDC"/>
    <w:rsid w:val="00230CD7"/>
    <w:rsid w:val="00231693"/>
    <w:rsid w:val="00232131"/>
    <w:rsid w:val="0023240A"/>
    <w:rsid w:val="0023280E"/>
    <w:rsid w:val="002328CA"/>
    <w:rsid w:val="00234198"/>
    <w:rsid w:val="00234AAA"/>
    <w:rsid w:val="00236065"/>
    <w:rsid w:val="00236284"/>
    <w:rsid w:val="00236857"/>
    <w:rsid w:val="00236AD5"/>
    <w:rsid w:val="002377D1"/>
    <w:rsid w:val="00237B14"/>
    <w:rsid w:val="00237EA0"/>
    <w:rsid w:val="002405D7"/>
    <w:rsid w:val="00241A6E"/>
    <w:rsid w:val="00241D9D"/>
    <w:rsid w:val="00242B05"/>
    <w:rsid w:val="00243172"/>
    <w:rsid w:val="00243534"/>
    <w:rsid w:val="002437A7"/>
    <w:rsid w:val="0024588A"/>
    <w:rsid w:val="00245CE0"/>
    <w:rsid w:val="002461B8"/>
    <w:rsid w:val="00247685"/>
    <w:rsid w:val="002478E5"/>
    <w:rsid w:val="00247BF8"/>
    <w:rsid w:val="00247C77"/>
    <w:rsid w:val="00247E4F"/>
    <w:rsid w:val="002506BC"/>
    <w:rsid w:val="00250AC4"/>
    <w:rsid w:val="0025149A"/>
    <w:rsid w:val="00251995"/>
    <w:rsid w:val="0025208D"/>
    <w:rsid w:val="0025292B"/>
    <w:rsid w:val="00252B13"/>
    <w:rsid w:val="00253593"/>
    <w:rsid w:val="00253BB6"/>
    <w:rsid w:val="00254345"/>
    <w:rsid w:val="0025471E"/>
    <w:rsid w:val="00254916"/>
    <w:rsid w:val="00254E80"/>
    <w:rsid w:val="00255687"/>
    <w:rsid w:val="00256171"/>
    <w:rsid w:val="0025657A"/>
    <w:rsid w:val="00257047"/>
    <w:rsid w:val="00257BFA"/>
    <w:rsid w:val="00260C87"/>
    <w:rsid w:val="00261688"/>
    <w:rsid w:val="0026199D"/>
    <w:rsid w:val="00262125"/>
    <w:rsid w:val="0026230F"/>
    <w:rsid w:val="00262FE2"/>
    <w:rsid w:val="002638E7"/>
    <w:rsid w:val="00263A79"/>
    <w:rsid w:val="00263D61"/>
    <w:rsid w:val="00264557"/>
    <w:rsid w:val="0026488D"/>
    <w:rsid w:val="00264BBC"/>
    <w:rsid w:val="00264F41"/>
    <w:rsid w:val="00265818"/>
    <w:rsid w:val="00265A46"/>
    <w:rsid w:val="002666DB"/>
    <w:rsid w:val="00266D5A"/>
    <w:rsid w:val="00266E91"/>
    <w:rsid w:val="00267D7D"/>
    <w:rsid w:val="00270122"/>
    <w:rsid w:val="002701EE"/>
    <w:rsid w:val="00270B29"/>
    <w:rsid w:val="002716A0"/>
    <w:rsid w:val="00271D05"/>
    <w:rsid w:val="00271E3F"/>
    <w:rsid w:val="002723C2"/>
    <w:rsid w:val="0027265D"/>
    <w:rsid w:val="00273470"/>
    <w:rsid w:val="002743EF"/>
    <w:rsid w:val="00274A06"/>
    <w:rsid w:val="00274BEE"/>
    <w:rsid w:val="0027595A"/>
    <w:rsid w:val="00275E9C"/>
    <w:rsid w:val="0027685B"/>
    <w:rsid w:val="0027707B"/>
    <w:rsid w:val="002771A3"/>
    <w:rsid w:val="002772BA"/>
    <w:rsid w:val="002805AB"/>
    <w:rsid w:val="0028079E"/>
    <w:rsid w:val="0028153A"/>
    <w:rsid w:val="0028164B"/>
    <w:rsid w:val="00281926"/>
    <w:rsid w:val="00281BEE"/>
    <w:rsid w:val="00282292"/>
    <w:rsid w:val="0028237F"/>
    <w:rsid w:val="00282771"/>
    <w:rsid w:val="00283503"/>
    <w:rsid w:val="00283776"/>
    <w:rsid w:val="002839E6"/>
    <w:rsid w:val="00284204"/>
    <w:rsid w:val="0028434D"/>
    <w:rsid w:val="0028438E"/>
    <w:rsid w:val="00284424"/>
    <w:rsid w:val="00284609"/>
    <w:rsid w:val="00285607"/>
    <w:rsid w:val="00285A7B"/>
    <w:rsid w:val="00285D94"/>
    <w:rsid w:val="00286822"/>
    <w:rsid w:val="00286B88"/>
    <w:rsid w:val="0028786D"/>
    <w:rsid w:val="00287D2D"/>
    <w:rsid w:val="00287F74"/>
    <w:rsid w:val="0029031F"/>
    <w:rsid w:val="002907AE"/>
    <w:rsid w:val="002915D8"/>
    <w:rsid w:val="00291773"/>
    <w:rsid w:val="00291D58"/>
    <w:rsid w:val="002924D9"/>
    <w:rsid w:val="0029270A"/>
    <w:rsid w:val="00292B63"/>
    <w:rsid w:val="002936FC"/>
    <w:rsid w:val="00293859"/>
    <w:rsid w:val="002938B2"/>
    <w:rsid w:val="002943BF"/>
    <w:rsid w:val="002943FA"/>
    <w:rsid w:val="00294907"/>
    <w:rsid w:val="00294C9F"/>
    <w:rsid w:val="00294D63"/>
    <w:rsid w:val="002950FC"/>
    <w:rsid w:val="002958B8"/>
    <w:rsid w:val="00295FEE"/>
    <w:rsid w:val="00296B22"/>
    <w:rsid w:val="00296E14"/>
    <w:rsid w:val="002977BC"/>
    <w:rsid w:val="00297A9F"/>
    <w:rsid w:val="00297F0F"/>
    <w:rsid w:val="002A1582"/>
    <w:rsid w:val="002A168C"/>
    <w:rsid w:val="002A235F"/>
    <w:rsid w:val="002A2856"/>
    <w:rsid w:val="002A2E2E"/>
    <w:rsid w:val="002A327B"/>
    <w:rsid w:val="002A398D"/>
    <w:rsid w:val="002A3A66"/>
    <w:rsid w:val="002A3ACE"/>
    <w:rsid w:val="002A3DC7"/>
    <w:rsid w:val="002A3F57"/>
    <w:rsid w:val="002A43AA"/>
    <w:rsid w:val="002A4474"/>
    <w:rsid w:val="002A49E3"/>
    <w:rsid w:val="002A4BCA"/>
    <w:rsid w:val="002A5C72"/>
    <w:rsid w:val="002A5EF5"/>
    <w:rsid w:val="002A6460"/>
    <w:rsid w:val="002A7EF4"/>
    <w:rsid w:val="002B0322"/>
    <w:rsid w:val="002B04A0"/>
    <w:rsid w:val="002B0A6C"/>
    <w:rsid w:val="002B119B"/>
    <w:rsid w:val="002B1D4D"/>
    <w:rsid w:val="002B24BF"/>
    <w:rsid w:val="002B275D"/>
    <w:rsid w:val="002B3236"/>
    <w:rsid w:val="002B3CC1"/>
    <w:rsid w:val="002B3E0E"/>
    <w:rsid w:val="002B4227"/>
    <w:rsid w:val="002B4837"/>
    <w:rsid w:val="002B48EF"/>
    <w:rsid w:val="002B4974"/>
    <w:rsid w:val="002B49E2"/>
    <w:rsid w:val="002B4D35"/>
    <w:rsid w:val="002B4E9D"/>
    <w:rsid w:val="002B5A3E"/>
    <w:rsid w:val="002B7065"/>
    <w:rsid w:val="002B733F"/>
    <w:rsid w:val="002B7AEF"/>
    <w:rsid w:val="002B7B00"/>
    <w:rsid w:val="002B7C44"/>
    <w:rsid w:val="002B7D9E"/>
    <w:rsid w:val="002C0135"/>
    <w:rsid w:val="002C0419"/>
    <w:rsid w:val="002C0EDD"/>
    <w:rsid w:val="002C0F41"/>
    <w:rsid w:val="002C12E6"/>
    <w:rsid w:val="002C24ED"/>
    <w:rsid w:val="002C2749"/>
    <w:rsid w:val="002C2A58"/>
    <w:rsid w:val="002C2B17"/>
    <w:rsid w:val="002C3629"/>
    <w:rsid w:val="002C3AF7"/>
    <w:rsid w:val="002C3B46"/>
    <w:rsid w:val="002C3F30"/>
    <w:rsid w:val="002C40FE"/>
    <w:rsid w:val="002C47DE"/>
    <w:rsid w:val="002C4E00"/>
    <w:rsid w:val="002C4EC0"/>
    <w:rsid w:val="002C6829"/>
    <w:rsid w:val="002C6D5C"/>
    <w:rsid w:val="002C6D65"/>
    <w:rsid w:val="002C7C94"/>
    <w:rsid w:val="002D0367"/>
    <w:rsid w:val="002D0621"/>
    <w:rsid w:val="002D06B8"/>
    <w:rsid w:val="002D0983"/>
    <w:rsid w:val="002D0C81"/>
    <w:rsid w:val="002D12D9"/>
    <w:rsid w:val="002D14DE"/>
    <w:rsid w:val="002D250F"/>
    <w:rsid w:val="002D2765"/>
    <w:rsid w:val="002D2953"/>
    <w:rsid w:val="002D312D"/>
    <w:rsid w:val="002D316B"/>
    <w:rsid w:val="002D31DE"/>
    <w:rsid w:val="002D375E"/>
    <w:rsid w:val="002D3DD0"/>
    <w:rsid w:val="002D3FE6"/>
    <w:rsid w:val="002D4391"/>
    <w:rsid w:val="002D4CE5"/>
    <w:rsid w:val="002D4FBD"/>
    <w:rsid w:val="002D501E"/>
    <w:rsid w:val="002D689E"/>
    <w:rsid w:val="002D7B94"/>
    <w:rsid w:val="002D7F53"/>
    <w:rsid w:val="002E04D8"/>
    <w:rsid w:val="002E05F5"/>
    <w:rsid w:val="002E074F"/>
    <w:rsid w:val="002E0A99"/>
    <w:rsid w:val="002E0AC5"/>
    <w:rsid w:val="002E1168"/>
    <w:rsid w:val="002E1D2E"/>
    <w:rsid w:val="002E1F3A"/>
    <w:rsid w:val="002E2783"/>
    <w:rsid w:val="002E298A"/>
    <w:rsid w:val="002E2B99"/>
    <w:rsid w:val="002E36CB"/>
    <w:rsid w:val="002E429D"/>
    <w:rsid w:val="002E4D03"/>
    <w:rsid w:val="002E56DA"/>
    <w:rsid w:val="002E5A46"/>
    <w:rsid w:val="002E668C"/>
    <w:rsid w:val="002E6EB9"/>
    <w:rsid w:val="002F129D"/>
    <w:rsid w:val="002F2077"/>
    <w:rsid w:val="002F23E2"/>
    <w:rsid w:val="002F242D"/>
    <w:rsid w:val="002F2E42"/>
    <w:rsid w:val="002F337F"/>
    <w:rsid w:val="002F33C9"/>
    <w:rsid w:val="002F37F9"/>
    <w:rsid w:val="002F3E05"/>
    <w:rsid w:val="002F4863"/>
    <w:rsid w:val="002F4C27"/>
    <w:rsid w:val="002F5043"/>
    <w:rsid w:val="002F6330"/>
    <w:rsid w:val="002F72B8"/>
    <w:rsid w:val="002F7C05"/>
    <w:rsid w:val="00300323"/>
    <w:rsid w:val="00300A4A"/>
    <w:rsid w:val="00300D9F"/>
    <w:rsid w:val="00301183"/>
    <w:rsid w:val="00301328"/>
    <w:rsid w:val="00301452"/>
    <w:rsid w:val="003016B9"/>
    <w:rsid w:val="00301978"/>
    <w:rsid w:val="0030274E"/>
    <w:rsid w:val="0030332C"/>
    <w:rsid w:val="0030367B"/>
    <w:rsid w:val="00303CD9"/>
    <w:rsid w:val="00304913"/>
    <w:rsid w:val="00304CFE"/>
    <w:rsid w:val="003051C2"/>
    <w:rsid w:val="0030521F"/>
    <w:rsid w:val="00305553"/>
    <w:rsid w:val="003055C2"/>
    <w:rsid w:val="003057DC"/>
    <w:rsid w:val="00306366"/>
    <w:rsid w:val="00307187"/>
    <w:rsid w:val="003078DD"/>
    <w:rsid w:val="00310571"/>
    <w:rsid w:val="00310BE9"/>
    <w:rsid w:val="00310E4C"/>
    <w:rsid w:val="003119DE"/>
    <w:rsid w:val="003121A4"/>
    <w:rsid w:val="00312296"/>
    <w:rsid w:val="00312A4E"/>
    <w:rsid w:val="00312FF8"/>
    <w:rsid w:val="00313DF0"/>
    <w:rsid w:val="00314EE6"/>
    <w:rsid w:val="00314F0E"/>
    <w:rsid w:val="003154DC"/>
    <w:rsid w:val="003158D8"/>
    <w:rsid w:val="003165D0"/>
    <w:rsid w:val="0031669A"/>
    <w:rsid w:val="00316DDC"/>
    <w:rsid w:val="00317DA6"/>
    <w:rsid w:val="00317F85"/>
    <w:rsid w:val="003205A4"/>
    <w:rsid w:val="0032066D"/>
    <w:rsid w:val="0032073E"/>
    <w:rsid w:val="00321549"/>
    <w:rsid w:val="00321AC5"/>
    <w:rsid w:val="00321D8E"/>
    <w:rsid w:val="00321E73"/>
    <w:rsid w:val="00322659"/>
    <w:rsid w:val="00323799"/>
    <w:rsid w:val="00323A0A"/>
    <w:rsid w:val="00323D17"/>
    <w:rsid w:val="00323F95"/>
    <w:rsid w:val="00324012"/>
    <w:rsid w:val="00324755"/>
    <w:rsid w:val="00325413"/>
    <w:rsid w:val="00325928"/>
    <w:rsid w:val="00325A19"/>
    <w:rsid w:val="00325C32"/>
    <w:rsid w:val="003267F2"/>
    <w:rsid w:val="00326997"/>
    <w:rsid w:val="00327E54"/>
    <w:rsid w:val="00330184"/>
    <w:rsid w:val="0033056E"/>
    <w:rsid w:val="00330944"/>
    <w:rsid w:val="00331A43"/>
    <w:rsid w:val="00331AED"/>
    <w:rsid w:val="00331AF2"/>
    <w:rsid w:val="00331E02"/>
    <w:rsid w:val="00331E56"/>
    <w:rsid w:val="00332863"/>
    <w:rsid w:val="003334C5"/>
    <w:rsid w:val="003337DD"/>
    <w:rsid w:val="00333C57"/>
    <w:rsid w:val="003364D2"/>
    <w:rsid w:val="0033684D"/>
    <w:rsid w:val="0033731D"/>
    <w:rsid w:val="003373DA"/>
    <w:rsid w:val="00337B42"/>
    <w:rsid w:val="003410C0"/>
    <w:rsid w:val="0034126F"/>
    <w:rsid w:val="00341B42"/>
    <w:rsid w:val="00341E35"/>
    <w:rsid w:val="00342D03"/>
    <w:rsid w:val="00342F91"/>
    <w:rsid w:val="003432FF"/>
    <w:rsid w:val="0034348F"/>
    <w:rsid w:val="0034380F"/>
    <w:rsid w:val="00344048"/>
    <w:rsid w:val="00345563"/>
    <w:rsid w:val="003470BC"/>
    <w:rsid w:val="00347123"/>
    <w:rsid w:val="003503D8"/>
    <w:rsid w:val="0035121A"/>
    <w:rsid w:val="00351DC1"/>
    <w:rsid w:val="00352ADF"/>
    <w:rsid w:val="00352B40"/>
    <w:rsid w:val="00352C97"/>
    <w:rsid w:val="00354325"/>
    <w:rsid w:val="0035547D"/>
    <w:rsid w:val="003559D4"/>
    <w:rsid w:val="00355E4E"/>
    <w:rsid w:val="003564D0"/>
    <w:rsid w:val="00356653"/>
    <w:rsid w:val="00356C0D"/>
    <w:rsid w:val="00356C58"/>
    <w:rsid w:val="0035743F"/>
    <w:rsid w:val="00357774"/>
    <w:rsid w:val="00357BE2"/>
    <w:rsid w:val="00357D72"/>
    <w:rsid w:val="00357F04"/>
    <w:rsid w:val="00357FEF"/>
    <w:rsid w:val="00360399"/>
    <w:rsid w:val="00361650"/>
    <w:rsid w:val="0036170C"/>
    <w:rsid w:val="00361C1A"/>
    <w:rsid w:val="00362282"/>
    <w:rsid w:val="00362CFC"/>
    <w:rsid w:val="00362F2F"/>
    <w:rsid w:val="003630C0"/>
    <w:rsid w:val="00363183"/>
    <w:rsid w:val="00363205"/>
    <w:rsid w:val="00363BE0"/>
    <w:rsid w:val="00363DC9"/>
    <w:rsid w:val="00364A19"/>
    <w:rsid w:val="003652DE"/>
    <w:rsid w:val="0036584A"/>
    <w:rsid w:val="00366B54"/>
    <w:rsid w:val="00366E0F"/>
    <w:rsid w:val="00366FF9"/>
    <w:rsid w:val="00367038"/>
    <w:rsid w:val="00367197"/>
    <w:rsid w:val="003703F3"/>
    <w:rsid w:val="00370E15"/>
    <w:rsid w:val="0037122D"/>
    <w:rsid w:val="00371825"/>
    <w:rsid w:val="00371889"/>
    <w:rsid w:val="00371AAC"/>
    <w:rsid w:val="00371B78"/>
    <w:rsid w:val="00371F21"/>
    <w:rsid w:val="003722A1"/>
    <w:rsid w:val="003729A7"/>
    <w:rsid w:val="00372B48"/>
    <w:rsid w:val="00372D5D"/>
    <w:rsid w:val="00373154"/>
    <w:rsid w:val="003736A0"/>
    <w:rsid w:val="00373740"/>
    <w:rsid w:val="00373889"/>
    <w:rsid w:val="00373926"/>
    <w:rsid w:val="00373A91"/>
    <w:rsid w:val="00374112"/>
    <w:rsid w:val="003746A4"/>
    <w:rsid w:val="0037488E"/>
    <w:rsid w:val="003751AF"/>
    <w:rsid w:val="003771B8"/>
    <w:rsid w:val="003778F9"/>
    <w:rsid w:val="003800D8"/>
    <w:rsid w:val="003801DF"/>
    <w:rsid w:val="003804C9"/>
    <w:rsid w:val="00381A72"/>
    <w:rsid w:val="00381E83"/>
    <w:rsid w:val="00381FD2"/>
    <w:rsid w:val="003832FF"/>
    <w:rsid w:val="003836EA"/>
    <w:rsid w:val="003837FF"/>
    <w:rsid w:val="00383966"/>
    <w:rsid w:val="00383A90"/>
    <w:rsid w:val="00384039"/>
    <w:rsid w:val="00384676"/>
    <w:rsid w:val="0038468B"/>
    <w:rsid w:val="00384AE6"/>
    <w:rsid w:val="0038525F"/>
    <w:rsid w:val="003855E0"/>
    <w:rsid w:val="00385A0D"/>
    <w:rsid w:val="0038687E"/>
    <w:rsid w:val="0038690E"/>
    <w:rsid w:val="00386D30"/>
    <w:rsid w:val="00386E19"/>
    <w:rsid w:val="003877C9"/>
    <w:rsid w:val="00387E86"/>
    <w:rsid w:val="00390657"/>
    <w:rsid w:val="0039068D"/>
    <w:rsid w:val="003906FB"/>
    <w:rsid w:val="00390857"/>
    <w:rsid w:val="003908D0"/>
    <w:rsid w:val="00390FC9"/>
    <w:rsid w:val="00391C52"/>
    <w:rsid w:val="003923D4"/>
    <w:rsid w:val="00392479"/>
    <w:rsid w:val="00392553"/>
    <w:rsid w:val="00392DB5"/>
    <w:rsid w:val="00394ABA"/>
    <w:rsid w:val="00394E00"/>
    <w:rsid w:val="00396CFC"/>
    <w:rsid w:val="003971D0"/>
    <w:rsid w:val="00397692"/>
    <w:rsid w:val="003979AA"/>
    <w:rsid w:val="00397E58"/>
    <w:rsid w:val="003A0F05"/>
    <w:rsid w:val="003A0FBD"/>
    <w:rsid w:val="003A19D1"/>
    <w:rsid w:val="003A1F75"/>
    <w:rsid w:val="003A223D"/>
    <w:rsid w:val="003A2593"/>
    <w:rsid w:val="003A25E8"/>
    <w:rsid w:val="003A28FA"/>
    <w:rsid w:val="003A2BD0"/>
    <w:rsid w:val="003A3057"/>
    <w:rsid w:val="003A35FA"/>
    <w:rsid w:val="003A3DEE"/>
    <w:rsid w:val="003A414D"/>
    <w:rsid w:val="003A424B"/>
    <w:rsid w:val="003A42B7"/>
    <w:rsid w:val="003A4452"/>
    <w:rsid w:val="003A4694"/>
    <w:rsid w:val="003A4744"/>
    <w:rsid w:val="003A4BF3"/>
    <w:rsid w:val="003A59B2"/>
    <w:rsid w:val="003A59C4"/>
    <w:rsid w:val="003A6195"/>
    <w:rsid w:val="003A6B95"/>
    <w:rsid w:val="003A73F9"/>
    <w:rsid w:val="003A7834"/>
    <w:rsid w:val="003B0638"/>
    <w:rsid w:val="003B10A9"/>
    <w:rsid w:val="003B1103"/>
    <w:rsid w:val="003B1547"/>
    <w:rsid w:val="003B195F"/>
    <w:rsid w:val="003B1A26"/>
    <w:rsid w:val="003B1EB8"/>
    <w:rsid w:val="003B2502"/>
    <w:rsid w:val="003B2620"/>
    <w:rsid w:val="003B2C00"/>
    <w:rsid w:val="003B34E8"/>
    <w:rsid w:val="003B350E"/>
    <w:rsid w:val="003B3E5D"/>
    <w:rsid w:val="003B420D"/>
    <w:rsid w:val="003B4475"/>
    <w:rsid w:val="003B465F"/>
    <w:rsid w:val="003B529B"/>
    <w:rsid w:val="003B54E2"/>
    <w:rsid w:val="003B671C"/>
    <w:rsid w:val="003B6AFA"/>
    <w:rsid w:val="003B73E0"/>
    <w:rsid w:val="003B7A47"/>
    <w:rsid w:val="003B7ACC"/>
    <w:rsid w:val="003C0475"/>
    <w:rsid w:val="003C0613"/>
    <w:rsid w:val="003C083E"/>
    <w:rsid w:val="003C09F9"/>
    <w:rsid w:val="003C0F36"/>
    <w:rsid w:val="003C1122"/>
    <w:rsid w:val="003C1200"/>
    <w:rsid w:val="003C19C9"/>
    <w:rsid w:val="003C32A5"/>
    <w:rsid w:val="003C3E6F"/>
    <w:rsid w:val="003C46CD"/>
    <w:rsid w:val="003C4D77"/>
    <w:rsid w:val="003C5785"/>
    <w:rsid w:val="003C5EE2"/>
    <w:rsid w:val="003C60AE"/>
    <w:rsid w:val="003C6C16"/>
    <w:rsid w:val="003C6E35"/>
    <w:rsid w:val="003C7180"/>
    <w:rsid w:val="003C73A2"/>
    <w:rsid w:val="003C747A"/>
    <w:rsid w:val="003C7873"/>
    <w:rsid w:val="003C7A47"/>
    <w:rsid w:val="003C7AFC"/>
    <w:rsid w:val="003D0A33"/>
    <w:rsid w:val="003D0FA3"/>
    <w:rsid w:val="003D179E"/>
    <w:rsid w:val="003D337E"/>
    <w:rsid w:val="003D399E"/>
    <w:rsid w:val="003D464F"/>
    <w:rsid w:val="003D4BC3"/>
    <w:rsid w:val="003D5103"/>
    <w:rsid w:val="003D5676"/>
    <w:rsid w:val="003D647A"/>
    <w:rsid w:val="003D68D7"/>
    <w:rsid w:val="003D6C36"/>
    <w:rsid w:val="003D794D"/>
    <w:rsid w:val="003D7D16"/>
    <w:rsid w:val="003E00DD"/>
    <w:rsid w:val="003E0EA4"/>
    <w:rsid w:val="003E2399"/>
    <w:rsid w:val="003E2915"/>
    <w:rsid w:val="003E2948"/>
    <w:rsid w:val="003E2A8B"/>
    <w:rsid w:val="003E2C54"/>
    <w:rsid w:val="003E2CBE"/>
    <w:rsid w:val="003E2EF7"/>
    <w:rsid w:val="003E2F66"/>
    <w:rsid w:val="003E3058"/>
    <w:rsid w:val="003E3536"/>
    <w:rsid w:val="003E3BB8"/>
    <w:rsid w:val="003E4055"/>
    <w:rsid w:val="003E426F"/>
    <w:rsid w:val="003E462A"/>
    <w:rsid w:val="003E4A5B"/>
    <w:rsid w:val="003E5417"/>
    <w:rsid w:val="003E5948"/>
    <w:rsid w:val="003E5A26"/>
    <w:rsid w:val="003E6B87"/>
    <w:rsid w:val="003E76A9"/>
    <w:rsid w:val="003E7B14"/>
    <w:rsid w:val="003E7B2E"/>
    <w:rsid w:val="003F00C7"/>
    <w:rsid w:val="003F044C"/>
    <w:rsid w:val="003F0809"/>
    <w:rsid w:val="003F0A7E"/>
    <w:rsid w:val="003F353E"/>
    <w:rsid w:val="003F3838"/>
    <w:rsid w:val="003F3ADE"/>
    <w:rsid w:val="003F4307"/>
    <w:rsid w:val="003F44C6"/>
    <w:rsid w:val="003F459C"/>
    <w:rsid w:val="003F5AD0"/>
    <w:rsid w:val="003F60AB"/>
    <w:rsid w:val="003F67FA"/>
    <w:rsid w:val="003F688D"/>
    <w:rsid w:val="003F68C4"/>
    <w:rsid w:val="003F6A8C"/>
    <w:rsid w:val="003F72B3"/>
    <w:rsid w:val="003F755C"/>
    <w:rsid w:val="003F78A5"/>
    <w:rsid w:val="003F799B"/>
    <w:rsid w:val="0040055D"/>
    <w:rsid w:val="00400A36"/>
    <w:rsid w:val="00400B91"/>
    <w:rsid w:val="00400C4A"/>
    <w:rsid w:val="004010A3"/>
    <w:rsid w:val="00402E39"/>
    <w:rsid w:val="00403111"/>
    <w:rsid w:val="004039B8"/>
    <w:rsid w:val="00403A93"/>
    <w:rsid w:val="00403EA5"/>
    <w:rsid w:val="00404271"/>
    <w:rsid w:val="00404DA9"/>
    <w:rsid w:val="00404EF5"/>
    <w:rsid w:val="004054DA"/>
    <w:rsid w:val="00405862"/>
    <w:rsid w:val="00406AF5"/>
    <w:rsid w:val="00406F01"/>
    <w:rsid w:val="00407050"/>
    <w:rsid w:val="00407237"/>
    <w:rsid w:val="004074BF"/>
    <w:rsid w:val="00407EE9"/>
    <w:rsid w:val="00410673"/>
    <w:rsid w:val="00410F28"/>
    <w:rsid w:val="004114A5"/>
    <w:rsid w:val="00411B85"/>
    <w:rsid w:val="00411BF7"/>
    <w:rsid w:val="004120E2"/>
    <w:rsid w:val="00412F16"/>
    <w:rsid w:val="00412F76"/>
    <w:rsid w:val="004132D8"/>
    <w:rsid w:val="00413A46"/>
    <w:rsid w:val="00414FED"/>
    <w:rsid w:val="004151E9"/>
    <w:rsid w:val="0041525B"/>
    <w:rsid w:val="00415A31"/>
    <w:rsid w:val="004160DF"/>
    <w:rsid w:val="0041616D"/>
    <w:rsid w:val="00416535"/>
    <w:rsid w:val="004165E0"/>
    <w:rsid w:val="00416819"/>
    <w:rsid w:val="00416D50"/>
    <w:rsid w:val="00416D60"/>
    <w:rsid w:val="00416FD5"/>
    <w:rsid w:val="004171BB"/>
    <w:rsid w:val="00417772"/>
    <w:rsid w:val="0042000A"/>
    <w:rsid w:val="004200C7"/>
    <w:rsid w:val="004202C1"/>
    <w:rsid w:val="00420743"/>
    <w:rsid w:val="00420C86"/>
    <w:rsid w:val="00420E6A"/>
    <w:rsid w:val="00421091"/>
    <w:rsid w:val="004212F0"/>
    <w:rsid w:val="00421484"/>
    <w:rsid w:val="00423060"/>
    <w:rsid w:val="004235DE"/>
    <w:rsid w:val="00424308"/>
    <w:rsid w:val="00424707"/>
    <w:rsid w:val="00424783"/>
    <w:rsid w:val="00425A9E"/>
    <w:rsid w:val="00426077"/>
    <w:rsid w:val="00426D6B"/>
    <w:rsid w:val="004274AE"/>
    <w:rsid w:val="00427568"/>
    <w:rsid w:val="004277AE"/>
    <w:rsid w:val="00427AD3"/>
    <w:rsid w:val="00427AF2"/>
    <w:rsid w:val="00427F9A"/>
    <w:rsid w:val="004311AA"/>
    <w:rsid w:val="0043147B"/>
    <w:rsid w:val="00431E6C"/>
    <w:rsid w:val="00432418"/>
    <w:rsid w:val="004327BC"/>
    <w:rsid w:val="00432970"/>
    <w:rsid w:val="00432D84"/>
    <w:rsid w:val="00433685"/>
    <w:rsid w:val="00433CE7"/>
    <w:rsid w:val="00433EAD"/>
    <w:rsid w:val="0043423B"/>
    <w:rsid w:val="0043454B"/>
    <w:rsid w:val="00435019"/>
    <w:rsid w:val="00435539"/>
    <w:rsid w:val="0043584F"/>
    <w:rsid w:val="00436586"/>
    <w:rsid w:val="004366DF"/>
    <w:rsid w:val="00436AC0"/>
    <w:rsid w:val="0043747D"/>
    <w:rsid w:val="004379C2"/>
    <w:rsid w:val="00440061"/>
    <w:rsid w:val="004405B3"/>
    <w:rsid w:val="0044111B"/>
    <w:rsid w:val="00442121"/>
    <w:rsid w:val="00442B89"/>
    <w:rsid w:val="00442C06"/>
    <w:rsid w:val="00442DB0"/>
    <w:rsid w:val="00442FA8"/>
    <w:rsid w:val="00443504"/>
    <w:rsid w:val="00443574"/>
    <w:rsid w:val="004435CF"/>
    <w:rsid w:val="00444D82"/>
    <w:rsid w:val="00445BAB"/>
    <w:rsid w:val="00445DE1"/>
    <w:rsid w:val="00445F1C"/>
    <w:rsid w:val="00446FA7"/>
    <w:rsid w:val="004478B6"/>
    <w:rsid w:val="0044791A"/>
    <w:rsid w:val="004506BF"/>
    <w:rsid w:val="004513B6"/>
    <w:rsid w:val="004516E0"/>
    <w:rsid w:val="00451AFA"/>
    <w:rsid w:val="00451EFE"/>
    <w:rsid w:val="00452738"/>
    <w:rsid w:val="00453611"/>
    <w:rsid w:val="00453A12"/>
    <w:rsid w:val="0045435A"/>
    <w:rsid w:val="00454A19"/>
    <w:rsid w:val="00454D90"/>
    <w:rsid w:val="00454F6D"/>
    <w:rsid w:val="00455447"/>
    <w:rsid w:val="00455498"/>
    <w:rsid w:val="00455701"/>
    <w:rsid w:val="004558C7"/>
    <w:rsid w:val="00456091"/>
    <w:rsid w:val="00456286"/>
    <w:rsid w:val="0045639E"/>
    <w:rsid w:val="0045664A"/>
    <w:rsid w:val="004571B9"/>
    <w:rsid w:val="00457C2D"/>
    <w:rsid w:val="004605AA"/>
    <w:rsid w:val="00460B18"/>
    <w:rsid w:val="00460CF4"/>
    <w:rsid w:val="00460D0A"/>
    <w:rsid w:val="00461710"/>
    <w:rsid w:val="00461B49"/>
    <w:rsid w:val="00461F64"/>
    <w:rsid w:val="00462558"/>
    <w:rsid w:val="004625B6"/>
    <w:rsid w:val="004628F7"/>
    <w:rsid w:val="00462A66"/>
    <w:rsid w:val="00463248"/>
    <w:rsid w:val="00463643"/>
    <w:rsid w:val="004637C2"/>
    <w:rsid w:val="00463EA8"/>
    <w:rsid w:val="0046428A"/>
    <w:rsid w:val="004642C5"/>
    <w:rsid w:val="00464613"/>
    <w:rsid w:val="00465210"/>
    <w:rsid w:val="00465BFC"/>
    <w:rsid w:val="00465EFD"/>
    <w:rsid w:val="00465F1D"/>
    <w:rsid w:val="00466147"/>
    <w:rsid w:val="00466321"/>
    <w:rsid w:val="00466C79"/>
    <w:rsid w:val="00466D20"/>
    <w:rsid w:val="00467106"/>
    <w:rsid w:val="00467160"/>
    <w:rsid w:val="00467A78"/>
    <w:rsid w:val="00470736"/>
    <w:rsid w:val="00473AD0"/>
    <w:rsid w:val="00473F2F"/>
    <w:rsid w:val="0047435E"/>
    <w:rsid w:val="004746B6"/>
    <w:rsid w:val="00474A43"/>
    <w:rsid w:val="00474CA8"/>
    <w:rsid w:val="004771DA"/>
    <w:rsid w:val="00477BBA"/>
    <w:rsid w:val="004816FD"/>
    <w:rsid w:val="00481B47"/>
    <w:rsid w:val="00481BFB"/>
    <w:rsid w:val="00482598"/>
    <w:rsid w:val="00482A3F"/>
    <w:rsid w:val="00482E5E"/>
    <w:rsid w:val="00482F7E"/>
    <w:rsid w:val="00483186"/>
    <w:rsid w:val="0048352F"/>
    <w:rsid w:val="00483E76"/>
    <w:rsid w:val="004844DF"/>
    <w:rsid w:val="004849FD"/>
    <w:rsid w:val="00484B9B"/>
    <w:rsid w:val="00484ED4"/>
    <w:rsid w:val="00484EF7"/>
    <w:rsid w:val="004855F6"/>
    <w:rsid w:val="0048622B"/>
    <w:rsid w:val="00486535"/>
    <w:rsid w:val="0048661E"/>
    <w:rsid w:val="004874DF"/>
    <w:rsid w:val="00487622"/>
    <w:rsid w:val="00487B81"/>
    <w:rsid w:val="00490083"/>
    <w:rsid w:val="00490112"/>
    <w:rsid w:val="004902FE"/>
    <w:rsid w:val="00490639"/>
    <w:rsid w:val="0049071E"/>
    <w:rsid w:val="00490809"/>
    <w:rsid w:val="00490847"/>
    <w:rsid w:val="004909EB"/>
    <w:rsid w:val="00490E7C"/>
    <w:rsid w:val="00490F45"/>
    <w:rsid w:val="004915A0"/>
    <w:rsid w:val="00491A94"/>
    <w:rsid w:val="00491CB9"/>
    <w:rsid w:val="00491E75"/>
    <w:rsid w:val="0049212F"/>
    <w:rsid w:val="004921AF"/>
    <w:rsid w:val="0049346E"/>
    <w:rsid w:val="004938FB"/>
    <w:rsid w:val="004943BE"/>
    <w:rsid w:val="004944A9"/>
    <w:rsid w:val="00494670"/>
    <w:rsid w:val="00494BDF"/>
    <w:rsid w:val="00494BE2"/>
    <w:rsid w:val="00494D1B"/>
    <w:rsid w:val="004958CF"/>
    <w:rsid w:val="004959A1"/>
    <w:rsid w:val="00495DA2"/>
    <w:rsid w:val="00495F24"/>
    <w:rsid w:val="004963A5"/>
    <w:rsid w:val="00497EEC"/>
    <w:rsid w:val="004A0332"/>
    <w:rsid w:val="004A0994"/>
    <w:rsid w:val="004A0C21"/>
    <w:rsid w:val="004A0F44"/>
    <w:rsid w:val="004A12FE"/>
    <w:rsid w:val="004A1459"/>
    <w:rsid w:val="004A21E9"/>
    <w:rsid w:val="004A2821"/>
    <w:rsid w:val="004A28C7"/>
    <w:rsid w:val="004A2A7F"/>
    <w:rsid w:val="004A304C"/>
    <w:rsid w:val="004A3244"/>
    <w:rsid w:val="004A3823"/>
    <w:rsid w:val="004A3B6D"/>
    <w:rsid w:val="004A424B"/>
    <w:rsid w:val="004A4AA0"/>
    <w:rsid w:val="004A50F1"/>
    <w:rsid w:val="004A5798"/>
    <w:rsid w:val="004A5B4A"/>
    <w:rsid w:val="004A5D4A"/>
    <w:rsid w:val="004A6664"/>
    <w:rsid w:val="004A6A75"/>
    <w:rsid w:val="004A6C7F"/>
    <w:rsid w:val="004A718F"/>
    <w:rsid w:val="004A760D"/>
    <w:rsid w:val="004B0855"/>
    <w:rsid w:val="004B08D6"/>
    <w:rsid w:val="004B19F9"/>
    <w:rsid w:val="004B2C60"/>
    <w:rsid w:val="004B3565"/>
    <w:rsid w:val="004B3DE7"/>
    <w:rsid w:val="004B4626"/>
    <w:rsid w:val="004B4FF1"/>
    <w:rsid w:val="004B5365"/>
    <w:rsid w:val="004B55BB"/>
    <w:rsid w:val="004B5BA7"/>
    <w:rsid w:val="004B5C2C"/>
    <w:rsid w:val="004B5ED2"/>
    <w:rsid w:val="004B6015"/>
    <w:rsid w:val="004B65FE"/>
    <w:rsid w:val="004C0E4D"/>
    <w:rsid w:val="004C1210"/>
    <w:rsid w:val="004C136D"/>
    <w:rsid w:val="004C1A62"/>
    <w:rsid w:val="004C1D69"/>
    <w:rsid w:val="004C26EE"/>
    <w:rsid w:val="004C2AE2"/>
    <w:rsid w:val="004C2F69"/>
    <w:rsid w:val="004C3637"/>
    <w:rsid w:val="004C4313"/>
    <w:rsid w:val="004C4C33"/>
    <w:rsid w:val="004C4E2E"/>
    <w:rsid w:val="004C4F11"/>
    <w:rsid w:val="004C5416"/>
    <w:rsid w:val="004C5443"/>
    <w:rsid w:val="004C5771"/>
    <w:rsid w:val="004C5B8F"/>
    <w:rsid w:val="004C5DB8"/>
    <w:rsid w:val="004C627A"/>
    <w:rsid w:val="004C66EE"/>
    <w:rsid w:val="004C7640"/>
    <w:rsid w:val="004C7ACF"/>
    <w:rsid w:val="004D00F2"/>
    <w:rsid w:val="004D05E6"/>
    <w:rsid w:val="004D0BCD"/>
    <w:rsid w:val="004D1024"/>
    <w:rsid w:val="004D1696"/>
    <w:rsid w:val="004D26E0"/>
    <w:rsid w:val="004D285C"/>
    <w:rsid w:val="004D3433"/>
    <w:rsid w:val="004D3550"/>
    <w:rsid w:val="004D367C"/>
    <w:rsid w:val="004D3A10"/>
    <w:rsid w:val="004D3CCC"/>
    <w:rsid w:val="004D45CB"/>
    <w:rsid w:val="004D4971"/>
    <w:rsid w:val="004D4C3A"/>
    <w:rsid w:val="004D515D"/>
    <w:rsid w:val="004D54D2"/>
    <w:rsid w:val="004D5B95"/>
    <w:rsid w:val="004D6806"/>
    <w:rsid w:val="004D6D18"/>
    <w:rsid w:val="004D779D"/>
    <w:rsid w:val="004E0229"/>
    <w:rsid w:val="004E1F20"/>
    <w:rsid w:val="004E277A"/>
    <w:rsid w:val="004E2E3F"/>
    <w:rsid w:val="004E2FE6"/>
    <w:rsid w:val="004E3201"/>
    <w:rsid w:val="004E383B"/>
    <w:rsid w:val="004E4046"/>
    <w:rsid w:val="004E48A4"/>
    <w:rsid w:val="004E4A67"/>
    <w:rsid w:val="004E4EFC"/>
    <w:rsid w:val="004E5343"/>
    <w:rsid w:val="004E552B"/>
    <w:rsid w:val="004E573B"/>
    <w:rsid w:val="004E5D33"/>
    <w:rsid w:val="004E5E07"/>
    <w:rsid w:val="004E6946"/>
    <w:rsid w:val="004E6B2F"/>
    <w:rsid w:val="004E75BE"/>
    <w:rsid w:val="004E76F1"/>
    <w:rsid w:val="004E77B4"/>
    <w:rsid w:val="004E77EF"/>
    <w:rsid w:val="004F038D"/>
    <w:rsid w:val="004F04BE"/>
    <w:rsid w:val="004F05EC"/>
    <w:rsid w:val="004F086F"/>
    <w:rsid w:val="004F0BD6"/>
    <w:rsid w:val="004F0E12"/>
    <w:rsid w:val="004F1199"/>
    <w:rsid w:val="004F1AD8"/>
    <w:rsid w:val="004F1CF6"/>
    <w:rsid w:val="004F1E67"/>
    <w:rsid w:val="004F242F"/>
    <w:rsid w:val="004F24C0"/>
    <w:rsid w:val="004F3789"/>
    <w:rsid w:val="004F3B1A"/>
    <w:rsid w:val="004F3D8F"/>
    <w:rsid w:val="004F443D"/>
    <w:rsid w:val="004F4F6E"/>
    <w:rsid w:val="004F52B6"/>
    <w:rsid w:val="004F5A75"/>
    <w:rsid w:val="004F5D43"/>
    <w:rsid w:val="004F6D11"/>
    <w:rsid w:val="004F718D"/>
    <w:rsid w:val="004F74F2"/>
    <w:rsid w:val="004F7878"/>
    <w:rsid w:val="004F7992"/>
    <w:rsid w:val="004F7E56"/>
    <w:rsid w:val="00500023"/>
    <w:rsid w:val="00500233"/>
    <w:rsid w:val="005003A2"/>
    <w:rsid w:val="0050073E"/>
    <w:rsid w:val="00500C50"/>
    <w:rsid w:val="00501108"/>
    <w:rsid w:val="00501508"/>
    <w:rsid w:val="00501EE1"/>
    <w:rsid w:val="00502067"/>
    <w:rsid w:val="005020E6"/>
    <w:rsid w:val="005021B4"/>
    <w:rsid w:val="005021ED"/>
    <w:rsid w:val="00502C69"/>
    <w:rsid w:val="005039CB"/>
    <w:rsid w:val="00503A52"/>
    <w:rsid w:val="005045B7"/>
    <w:rsid w:val="00504A39"/>
    <w:rsid w:val="00504B53"/>
    <w:rsid w:val="00504BFE"/>
    <w:rsid w:val="00504CCD"/>
    <w:rsid w:val="0050558F"/>
    <w:rsid w:val="005055AF"/>
    <w:rsid w:val="00505792"/>
    <w:rsid w:val="0050589A"/>
    <w:rsid w:val="0050601C"/>
    <w:rsid w:val="00506286"/>
    <w:rsid w:val="005066FF"/>
    <w:rsid w:val="005069F2"/>
    <w:rsid w:val="00506D14"/>
    <w:rsid w:val="00506D5B"/>
    <w:rsid w:val="005074A1"/>
    <w:rsid w:val="00507623"/>
    <w:rsid w:val="00507BE9"/>
    <w:rsid w:val="00510813"/>
    <w:rsid w:val="00510E56"/>
    <w:rsid w:val="00511101"/>
    <w:rsid w:val="00511149"/>
    <w:rsid w:val="00511990"/>
    <w:rsid w:val="00511DE0"/>
    <w:rsid w:val="00511DF6"/>
    <w:rsid w:val="005123A4"/>
    <w:rsid w:val="00512598"/>
    <w:rsid w:val="00512E1A"/>
    <w:rsid w:val="00513647"/>
    <w:rsid w:val="00513E6D"/>
    <w:rsid w:val="005145A7"/>
    <w:rsid w:val="00514870"/>
    <w:rsid w:val="00514891"/>
    <w:rsid w:val="00514A58"/>
    <w:rsid w:val="00514B9B"/>
    <w:rsid w:val="00515730"/>
    <w:rsid w:val="005158BF"/>
    <w:rsid w:val="00515D4A"/>
    <w:rsid w:val="00515F6D"/>
    <w:rsid w:val="005162C4"/>
    <w:rsid w:val="00516901"/>
    <w:rsid w:val="005169B5"/>
    <w:rsid w:val="00516C22"/>
    <w:rsid w:val="00517AE4"/>
    <w:rsid w:val="00517F02"/>
    <w:rsid w:val="00520651"/>
    <w:rsid w:val="005206E9"/>
    <w:rsid w:val="00521705"/>
    <w:rsid w:val="005217F9"/>
    <w:rsid w:val="00521893"/>
    <w:rsid w:val="00522408"/>
    <w:rsid w:val="00523A94"/>
    <w:rsid w:val="00523AC4"/>
    <w:rsid w:val="00523FC0"/>
    <w:rsid w:val="00524005"/>
    <w:rsid w:val="00524303"/>
    <w:rsid w:val="005247B2"/>
    <w:rsid w:val="005258A2"/>
    <w:rsid w:val="0052657C"/>
    <w:rsid w:val="005268D2"/>
    <w:rsid w:val="00527742"/>
    <w:rsid w:val="00527754"/>
    <w:rsid w:val="00527E37"/>
    <w:rsid w:val="00530037"/>
    <w:rsid w:val="00530A6B"/>
    <w:rsid w:val="00531640"/>
    <w:rsid w:val="00532400"/>
    <w:rsid w:val="00532AEF"/>
    <w:rsid w:val="00532E10"/>
    <w:rsid w:val="00533474"/>
    <w:rsid w:val="00533519"/>
    <w:rsid w:val="005335FA"/>
    <w:rsid w:val="00533626"/>
    <w:rsid w:val="00533D34"/>
    <w:rsid w:val="00534025"/>
    <w:rsid w:val="005345F2"/>
    <w:rsid w:val="00534B99"/>
    <w:rsid w:val="00534C16"/>
    <w:rsid w:val="00534D05"/>
    <w:rsid w:val="00535787"/>
    <w:rsid w:val="00535C53"/>
    <w:rsid w:val="00536241"/>
    <w:rsid w:val="00536BC8"/>
    <w:rsid w:val="00536F20"/>
    <w:rsid w:val="00537AAB"/>
    <w:rsid w:val="00537C88"/>
    <w:rsid w:val="00537FD0"/>
    <w:rsid w:val="005401AE"/>
    <w:rsid w:val="00540347"/>
    <w:rsid w:val="00540A1C"/>
    <w:rsid w:val="00540CB4"/>
    <w:rsid w:val="00541647"/>
    <w:rsid w:val="005417AB"/>
    <w:rsid w:val="005422D9"/>
    <w:rsid w:val="005423A0"/>
    <w:rsid w:val="00542E07"/>
    <w:rsid w:val="005435AA"/>
    <w:rsid w:val="005438DB"/>
    <w:rsid w:val="00543934"/>
    <w:rsid w:val="00543EBF"/>
    <w:rsid w:val="0054463C"/>
    <w:rsid w:val="00544C02"/>
    <w:rsid w:val="00544CEE"/>
    <w:rsid w:val="00544FB6"/>
    <w:rsid w:val="00545424"/>
    <w:rsid w:val="00545DB2"/>
    <w:rsid w:val="005473D5"/>
    <w:rsid w:val="00547406"/>
    <w:rsid w:val="00547C28"/>
    <w:rsid w:val="00547ED0"/>
    <w:rsid w:val="005518E5"/>
    <w:rsid w:val="00552AE5"/>
    <w:rsid w:val="00553A84"/>
    <w:rsid w:val="0055487F"/>
    <w:rsid w:val="00554A7B"/>
    <w:rsid w:val="0055572C"/>
    <w:rsid w:val="00556029"/>
    <w:rsid w:val="00556625"/>
    <w:rsid w:val="005569D2"/>
    <w:rsid w:val="00556B26"/>
    <w:rsid w:val="00556D3D"/>
    <w:rsid w:val="005571DC"/>
    <w:rsid w:val="0055747F"/>
    <w:rsid w:val="0056004B"/>
    <w:rsid w:val="0056106A"/>
    <w:rsid w:val="005612C7"/>
    <w:rsid w:val="00561741"/>
    <w:rsid w:val="00562BC9"/>
    <w:rsid w:val="00564012"/>
    <w:rsid w:val="005643EB"/>
    <w:rsid w:val="005643F1"/>
    <w:rsid w:val="005646EF"/>
    <w:rsid w:val="005673D9"/>
    <w:rsid w:val="005677BA"/>
    <w:rsid w:val="005700A2"/>
    <w:rsid w:val="00570156"/>
    <w:rsid w:val="00571305"/>
    <w:rsid w:val="00571544"/>
    <w:rsid w:val="00571D81"/>
    <w:rsid w:val="00572066"/>
    <w:rsid w:val="005720AE"/>
    <w:rsid w:val="00572B32"/>
    <w:rsid w:val="00572F9B"/>
    <w:rsid w:val="00573034"/>
    <w:rsid w:val="00573A5B"/>
    <w:rsid w:val="005741AB"/>
    <w:rsid w:val="005750D2"/>
    <w:rsid w:val="00575704"/>
    <w:rsid w:val="00575773"/>
    <w:rsid w:val="00576147"/>
    <w:rsid w:val="005761C0"/>
    <w:rsid w:val="00576242"/>
    <w:rsid w:val="005764BB"/>
    <w:rsid w:val="00576581"/>
    <w:rsid w:val="00576F0E"/>
    <w:rsid w:val="00577517"/>
    <w:rsid w:val="005776DE"/>
    <w:rsid w:val="005800BA"/>
    <w:rsid w:val="00580BAA"/>
    <w:rsid w:val="00581638"/>
    <w:rsid w:val="00581691"/>
    <w:rsid w:val="00582236"/>
    <w:rsid w:val="00583B16"/>
    <w:rsid w:val="00583C06"/>
    <w:rsid w:val="0058427C"/>
    <w:rsid w:val="0058448A"/>
    <w:rsid w:val="00584842"/>
    <w:rsid w:val="00584B0E"/>
    <w:rsid w:val="00584F17"/>
    <w:rsid w:val="0058541E"/>
    <w:rsid w:val="00586D69"/>
    <w:rsid w:val="005878E4"/>
    <w:rsid w:val="00587CD6"/>
    <w:rsid w:val="00590115"/>
    <w:rsid w:val="00590388"/>
    <w:rsid w:val="00590666"/>
    <w:rsid w:val="00590975"/>
    <w:rsid w:val="00590C7C"/>
    <w:rsid w:val="00591356"/>
    <w:rsid w:val="005918B4"/>
    <w:rsid w:val="005918F7"/>
    <w:rsid w:val="005925F2"/>
    <w:rsid w:val="00593939"/>
    <w:rsid w:val="0059444C"/>
    <w:rsid w:val="00594991"/>
    <w:rsid w:val="00594D77"/>
    <w:rsid w:val="005950D4"/>
    <w:rsid w:val="0059525F"/>
    <w:rsid w:val="005958BE"/>
    <w:rsid w:val="00596003"/>
    <w:rsid w:val="005969E4"/>
    <w:rsid w:val="00596AC3"/>
    <w:rsid w:val="00596C2C"/>
    <w:rsid w:val="0059793D"/>
    <w:rsid w:val="00597AB1"/>
    <w:rsid w:val="00597AFC"/>
    <w:rsid w:val="00597EDD"/>
    <w:rsid w:val="00597FF8"/>
    <w:rsid w:val="005A02F9"/>
    <w:rsid w:val="005A04F5"/>
    <w:rsid w:val="005A06B7"/>
    <w:rsid w:val="005A0C59"/>
    <w:rsid w:val="005A14B2"/>
    <w:rsid w:val="005A1500"/>
    <w:rsid w:val="005A1546"/>
    <w:rsid w:val="005A1759"/>
    <w:rsid w:val="005A1B35"/>
    <w:rsid w:val="005A1CFD"/>
    <w:rsid w:val="005A2892"/>
    <w:rsid w:val="005A2EA1"/>
    <w:rsid w:val="005A32B7"/>
    <w:rsid w:val="005A3307"/>
    <w:rsid w:val="005A3A77"/>
    <w:rsid w:val="005A3EE6"/>
    <w:rsid w:val="005A4597"/>
    <w:rsid w:val="005A58A6"/>
    <w:rsid w:val="005A5B5F"/>
    <w:rsid w:val="005A68A7"/>
    <w:rsid w:val="005A6D71"/>
    <w:rsid w:val="005A739C"/>
    <w:rsid w:val="005B015C"/>
    <w:rsid w:val="005B079F"/>
    <w:rsid w:val="005B1AFD"/>
    <w:rsid w:val="005B24EB"/>
    <w:rsid w:val="005B27C0"/>
    <w:rsid w:val="005B2E57"/>
    <w:rsid w:val="005B34C3"/>
    <w:rsid w:val="005B39F9"/>
    <w:rsid w:val="005B4039"/>
    <w:rsid w:val="005B4AB9"/>
    <w:rsid w:val="005B4D93"/>
    <w:rsid w:val="005B51A6"/>
    <w:rsid w:val="005B52AA"/>
    <w:rsid w:val="005B57BE"/>
    <w:rsid w:val="005B6470"/>
    <w:rsid w:val="005B669C"/>
    <w:rsid w:val="005B6EFB"/>
    <w:rsid w:val="005B7201"/>
    <w:rsid w:val="005B7CA6"/>
    <w:rsid w:val="005B7DC6"/>
    <w:rsid w:val="005C0472"/>
    <w:rsid w:val="005C088A"/>
    <w:rsid w:val="005C0A22"/>
    <w:rsid w:val="005C0C3E"/>
    <w:rsid w:val="005C117A"/>
    <w:rsid w:val="005C1A23"/>
    <w:rsid w:val="005C1D4A"/>
    <w:rsid w:val="005C27AB"/>
    <w:rsid w:val="005C2FE7"/>
    <w:rsid w:val="005C30C2"/>
    <w:rsid w:val="005C32A0"/>
    <w:rsid w:val="005C3850"/>
    <w:rsid w:val="005C3D82"/>
    <w:rsid w:val="005C5190"/>
    <w:rsid w:val="005C6AEC"/>
    <w:rsid w:val="005C7798"/>
    <w:rsid w:val="005C79AA"/>
    <w:rsid w:val="005D06D7"/>
    <w:rsid w:val="005D0C19"/>
    <w:rsid w:val="005D1524"/>
    <w:rsid w:val="005D1D50"/>
    <w:rsid w:val="005D1FE4"/>
    <w:rsid w:val="005D3564"/>
    <w:rsid w:val="005D36AB"/>
    <w:rsid w:val="005D5351"/>
    <w:rsid w:val="005D6190"/>
    <w:rsid w:val="005D643D"/>
    <w:rsid w:val="005D6942"/>
    <w:rsid w:val="005D7AF0"/>
    <w:rsid w:val="005D7CFB"/>
    <w:rsid w:val="005E00E9"/>
    <w:rsid w:val="005E07F9"/>
    <w:rsid w:val="005E082F"/>
    <w:rsid w:val="005E14DA"/>
    <w:rsid w:val="005E2473"/>
    <w:rsid w:val="005E29A4"/>
    <w:rsid w:val="005E3193"/>
    <w:rsid w:val="005E33AE"/>
    <w:rsid w:val="005E3419"/>
    <w:rsid w:val="005E3A54"/>
    <w:rsid w:val="005E3B42"/>
    <w:rsid w:val="005E4633"/>
    <w:rsid w:val="005E6037"/>
    <w:rsid w:val="005F13A0"/>
    <w:rsid w:val="005F1797"/>
    <w:rsid w:val="005F313A"/>
    <w:rsid w:val="005F3674"/>
    <w:rsid w:val="005F3F1A"/>
    <w:rsid w:val="005F4023"/>
    <w:rsid w:val="005F4437"/>
    <w:rsid w:val="005F4965"/>
    <w:rsid w:val="005F58F3"/>
    <w:rsid w:val="005F58F9"/>
    <w:rsid w:val="005F65CD"/>
    <w:rsid w:val="005F6641"/>
    <w:rsid w:val="005F73A2"/>
    <w:rsid w:val="005F7FE7"/>
    <w:rsid w:val="006000B9"/>
    <w:rsid w:val="00600253"/>
    <w:rsid w:val="0060058D"/>
    <w:rsid w:val="00600E8D"/>
    <w:rsid w:val="0060163F"/>
    <w:rsid w:val="00602D47"/>
    <w:rsid w:val="00603063"/>
    <w:rsid w:val="006033A3"/>
    <w:rsid w:val="00603975"/>
    <w:rsid w:val="00603A6B"/>
    <w:rsid w:val="00603CAF"/>
    <w:rsid w:val="00604348"/>
    <w:rsid w:val="006044BF"/>
    <w:rsid w:val="00604764"/>
    <w:rsid w:val="00604B48"/>
    <w:rsid w:val="00604D52"/>
    <w:rsid w:val="006059B7"/>
    <w:rsid w:val="00605CCB"/>
    <w:rsid w:val="00605E87"/>
    <w:rsid w:val="006066DD"/>
    <w:rsid w:val="006070F1"/>
    <w:rsid w:val="006073F7"/>
    <w:rsid w:val="0060776C"/>
    <w:rsid w:val="00607C02"/>
    <w:rsid w:val="00610E29"/>
    <w:rsid w:val="006113D8"/>
    <w:rsid w:val="0061147D"/>
    <w:rsid w:val="00611542"/>
    <w:rsid w:val="006121BC"/>
    <w:rsid w:val="00612527"/>
    <w:rsid w:val="00612A99"/>
    <w:rsid w:val="00612FB8"/>
    <w:rsid w:val="006133FF"/>
    <w:rsid w:val="006150DB"/>
    <w:rsid w:val="006152D7"/>
    <w:rsid w:val="00616254"/>
    <w:rsid w:val="0061668E"/>
    <w:rsid w:val="00616E06"/>
    <w:rsid w:val="006173B1"/>
    <w:rsid w:val="00617714"/>
    <w:rsid w:val="006178DD"/>
    <w:rsid w:val="00617CC3"/>
    <w:rsid w:val="006204E3"/>
    <w:rsid w:val="0062163D"/>
    <w:rsid w:val="00621716"/>
    <w:rsid w:val="00621884"/>
    <w:rsid w:val="00621ABA"/>
    <w:rsid w:val="00621F0E"/>
    <w:rsid w:val="006229CB"/>
    <w:rsid w:val="00622FAE"/>
    <w:rsid w:val="00623343"/>
    <w:rsid w:val="00623C8C"/>
    <w:rsid w:val="006246E4"/>
    <w:rsid w:val="00624D3B"/>
    <w:rsid w:val="00624F5A"/>
    <w:rsid w:val="00626FC0"/>
    <w:rsid w:val="006272AE"/>
    <w:rsid w:val="00630E7B"/>
    <w:rsid w:val="0063176A"/>
    <w:rsid w:val="0063197D"/>
    <w:rsid w:val="0063199B"/>
    <w:rsid w:val="0063261B"/>
    <w:rsid w:val="00632BBD"/>
    <w:rsid w:val="00633AEE"/>
    <w:rsid w:val="00633CD7"/>
    <w:rsid w:val="00634072"/>
    <w:rsid w:val="0063420B"/>
    <w:rsid w:val="00634599"/>
    <w:rsid w:val="00634A0A"/>
    <w:rsid w:val="0063503C"/>
    <w:rsid w:val="00635E0B"/>
    <w:rsid w:val="0063626F"/>
    <w:rsid w:val="006365C5"/>
    <w:rsid w:val="00636788"/>
    <w:rsid w:val="00636822"/>
    <w:rsid w:val="006368D6"/>
    <w:rsid w:val="006369A5"/>
    <w:rsid w:val="006369D0"/>
    <w:rsid w:val="00637484"/>
    <w:rsid w:val="006377A6"/>
    <w:rsid w:val="00637A3D"/>
    <w:rsid w:val="0064044B"/>
    <w:rsid w:val="0064059A"/>
    <w:rsid w:val="006410E8"/>
    <w:rsid w:val="0064110F"/>
    <w:rsid w:val="006411EF"/>
    <w:rsid w:val="006419F4"/>
    <w:rsid w:val="0064278D"/>
    <w:rsid w:val="006427F5"/>
    <w:rsid w:val="00642ABF"/>
    <w:rsid w:val="00642C47"/>
    <w:rsid w:val="00642D0F"/>
    <w:rsid w:val="00642F8E"/>
    <w:rsid w:val="00643B57"/>
    <w:rsid w:val="00643F05"/>
    <w:rsid w:val="00644BA6"/>
    <w:rsid w:val="00644CEF"/>
    <w:rsid w:val="00644CFA"/>
    <w:rsid w:val="00645180"/>
    <w:rsid w:val="0064608E"/>
    <w:rsid w:val="006463B1"/>
    <w:rsid w:val="00646A92"/>
    <w:rsid w:val="00647747"/>
    <w:rsid w:val="00647968"/>
    <w:rsid w:val="00647E4E"/>
    <w:rsid w:val="00647E50"/>
    <w:rsid w:val="00650060"/>
    <w:rsid w:val="00650390"/>
    <w:rsid w:val="006504F2"/>
    <w:rsid w:val="00650550"/>
    <w:rsid w:val="006506EA"/>
    <w:rsid w:val="00651039"/>
    <w:rsid w:val="00651AD6"/>
    <w:rsid w:val="00651CFB"/>
    <w:rsid w:val="00652AF4"/>
    <w:rsid w:val="00653188"/>
    <w:rsid w:val="0065319D"/>
    <w:rsid w:val="006533C7"/>
    <w:rsid w:val="00653422"/>
    <w:rsid w:val="00653861"/>
    <w:rsid w:val="00653C44"/>
    <w:rsid w:val="00653F60"/>
    <w:rsid w:val="00653F6E"/>
    <w:rsid w:val="0065446A"/>
    <w:rsid w:val="00655710"/>
    <w:rsid w:val="00655A5F"/>
    <w:rsid w:val="006565E7"/>
    <w:rsid w:val="0065665F"/>
    <w:rsid w:val="00656C8C"/>
    <w:rsid w:val="00656F5A"/>
    <w:rsid w:val="006570BE"/>
    <w:rsid w:val="00657E52"/>
    <w:rsid w:val="0066048E"/>
    <w:rsid w:val="00660AAB"/>
    <w:rsid w:val="00660FCE"/>
    <w:rsid w:val="00662051"/>
    <w:rsid w:val="00663F4A"/>
    <w:rsid w:val="00665D4D"/>
    <w:rsid w:val="006666A1"/>
    <w:rsid w:val="0066672A"/>
    <w:rsid w:val="00666CB4"/>
    <w:rsid w:val="00666F90"/>
    <w:rsid w:val="00667985"/>
    <w:rsid w:val="00670874"/>
    <w:rsid w:val="006748B8"/>
    <w:rsid w:val="00674C0F"/>
    <w:rsid w:val="00674EA7"/>
    <w:rsid w:val="00674F89"/>
    <w:rsid w:val="00674FDC"/>
    <w:rsid w:val="00675DE8"/>
    <w:rsid w:val="00675DF4"/>
    <w:rsid w:val="006775C3"/>
    <w:rsid w:val="0067780F"/>
    <w:rsid w:val="00677A84"/>
    <w:rsid w:val="00680660"/>
    <w:rsid w:val="00680843"/>
    <w:rsid w:val="00680C59"/>
    <w:rsid w:val="00680E68"/>
    <w:rsid w:val="00680EA0"/>
    <w:rsid w:val="00682FDC"/>
    <w:rsid w:val="0068367A"/>
    <w:rsid w:val="00683CC4"/>
    <w:rsid w:val="00684F9F"/>
    <w:rsid w:val="006856C7"/>
    <w:rsid w:val="00685E00"/>
    <w:rsid w:val="00685E40"/>
    <w:rsid w:val="00685FE0"/>
    <w:rsid w:val="00686354"/>
    <w:rsid w:val="00686DDC"/>
    <w:rsid w:val="00687C49"/>
    <w:rsid w:val="00687D97"/>
    <w:rsid w:val="006901D5"/>
    <w:rsid w:val="006903CC"/>
    <w:rsid w:val="00690CE5"/>
    <w:rsid w:val="006911EF"/>
    <w:rsid w:val="00691697"/>
    <w:rsid w:val="00691913"/>
    <w:rsid w:val="00691E35"/>
    <w:rsid w:val="00691FDC"/>
    <w:rsid w:val="0069247D"/>
    <w:rsid w:val="00692785"/>
    <w:rsid w:val="0069290A"/>
    <w:rsid w:val="00693CD2"/>
    <w:rsid w:val="00693E5E"/>
    <w:rsid w:val="006942E4"/>
    <w:rsid w:val="006953CE"/>
    <w:rsid w:val="00695636"/>
    <w:rsid w:val="00696774"/>
    <w:rsid w:val="00696A74"/>
    <w:rsid w:val="00697639"/>
    <w:rsid w:val="0069775A"/>
    <w:rsid w:val="006977ED"/>
    <w:rsid w:val="00697813"/>
    <w:rsid w:val="006A1245"/>
    <w:rsid w:val="006A2870"/>
    <w:rsid w:val="006A349E"/>
    <w:rsid w:val="006A3EE8"/>
    <w:rsid w:val="006A5879"/>
    <w:rsid w:val="006A5B74"/>
    <w:rsid w:val="006A5CB8"/>
    <w:rsid w:val="006A5D95"/>
    <w:rsid w:val="006A5FEF"/>
    <w:rsid w:val="006A66F3"/>
    <w:rsid w:val="006A6E4B"/>
    <w:rsid w:val="006A72BF"/>
    <w:rsid w:val="006B010F"/>
    <w:rsid w:val="006B02FD"/>
    <w:rsid w:val="006B03F2"/>
    <w:rsid w:val="006B04A1"/>
    <w:rsid w:val="006B04FA"/>
    <w:rsid w:val="006B061D"/>
    <w:rsid w:val="006B082D"/>
    <w:rsid w:val="006B0FE8"/>
    <w:rsid w:val="006B1D00"/>
    <w:rsid w:val="006B1FB6"/>
    <w:rsid w:val="006B2F64"/>
    <w:rsid w:val="006B35A7"/>
    <w:rsid w:val="006B37DC"/>
    <w:rsid w:val="006B4F68"/>
    <w:rsid w:val="006B4FF2"/>
    <w:rsid w:val="006B55D3"/>
    <w:rsid w:val="006B6176"/>
    <w:rsid w:val="006B6D61"/>
    <w:rsid w:val="006B6FBB"/>
    <w:rsid w:val="006B7DA1"/>
    <w:rsid w:val="006C016F"/>
    <w:rsid w:val="006C03A4"/>
    <w:rsid w:val="006C03A5"/>
    <w:rsid w:val="006C0592"/>
    <w:rsid w:val="006C0B25"/>
    <w:rsid w:val="006C0BE5"/>
    <w:rsid w:val="006C0FB3"/>
    <w:rsid w:val="006C1410"/>
    <w:rsid w:val="006C223B"/>
    <w:rsid w:val="006C26C5"/>
    <w:rsid w:val="006C272E"/>
    <w:rsid w:val="006C2BC6"/>
    <w:rsid w:val="006C2EF2"/>
    <w:rsid w:val="006C3088"/>
    <w:rsid w:val="006C38A7"/>
    <w:rsid w:val="006C3C70"/>
    <w:rsid w:val="006C3CB9"/>
    <w:rsid w:val="006C41CF"/>
    <w:rsid w:val="006C43F7"/>
    <w:rsid w:val="006C4AFE"/>
    <w:rsid w:val="006C4FDD"/>
    <w:rsid w:val="006C4FEC"/>
    <w:rsid w:val="006C5423"/>
    <w:rsid w:val="006C5479"/>
    <w:rsid w:val="006C5580"/>
    <w:rsid w:val="006C55F4"/>
    <w:rsid w:val="006C5C67"/>
    <w:rsid w:val="006C5D68"/>
    <w:rsid w:val="006C634F"/>
    <w:rsid w:val="006C63EE"/>
    <w:rsid w:val="006C651C"/>
    <w:rsid w:val="006C70B2"/>
    <w:rsid w:val="006C7F2E"/>
    <w:rsid w:val="006D0160"/>
    <w:rsid w:val="006D0488"/>
    <w:rsid w:val="006D106B"/>
    <w:rsid w:val="006D13B5"/>
    <w:rsid w:val="006D16B0"/>
    <w:rsid w:val="006D1796"/>
    <w:rsid w:val="006D18F2"/>
    <w:rsid w:val="006D2525"/>
    <w:rsid w:val="006D2EA7"/>
    <w:rsid w:val="006D3050"/>
    <w:rsid w:val="006D395E"/>
    <w:rsid w:val="006D3A33"/>
    <w:rsid w:val="006D3C69"/>
    <w:rsid w:val="006D4283"/>
    <w:rsid w:val="006D4663"/>
    <w:rsid w:val="006D4C9B"/>
    <w:rsid w:val="006D5013"/>
    <w:rsid w:val="006D6304"/>
    <w:rsid w:val="006D65C2"/>
    <w:rsid w:val="006D7028"/>
    <w:rsid w:val="006D72BB"/>
    <w:rsid w:val="006D7720"/>
    <w:rsid w:val="006D7F1F"/>
    <w:rsid w:val="006E12FF"/>
    <w:rsid w:val="006E1981"/>
    <w:rsid w:val="006E2113"/>
    <w:rsid w:val="006E2F0B"/>
    <w:rsid w:val="006E4AA0"/>
    <w:rsid w:val="006E4FE8"/>
    <w:rsid w:val="006E52FE"/>
    <w:rsid w:val="006E607E"/>
    <w:rsid w:val="006E63EF"/>
    <w:rsid w:val="006E68BA"/>
    <w:rsid w:val="006E6E67"/>
    <w:rsid w:val="006E7CC4"/>
    <w:rsid w:val="006E7E09"/>
    <w:rsid w:val="006F00E1"/>
    <w:rsid w:val="006F05C2"/>
    <w:rsid w:val="006F0DC6"/>
    <w:rsid w:val="006F13B8"/>
    <w:rsid w:val="006F1D32"/>
    <w:rsid w:val="006F251E"/>
    <w:rsid w:val="006F2962"/>
    <w:rsid w:val="006F425D"/>
    <w:rsid w:val="006F4476"/>
    <w:rsid w:val="006F4834"/>
    <w:rsid w:val="006F484D"/>
    <w:rsid w:val="006F5899"/>
    <w:rsid w:val="006F5E5D"/>
    <w:rsid w:val="006F7CC6"/>
    <w:rsid w:val="007007A1"/>
    <w:rsid w:val="007007B6"/>
    <w:rsid w:val="00700C2A"/>
    <w:rsid w:val="00700DB8"/>
    <w:rsid w:val="00701423"/>
    <w:rsid w:val="00702477"/>
    <w:rsid w:val="0070280B"/>
    <w:rsid w:val="00702D1B"/>
    <w:rsid w:val="00702D4D"/>
    <w:rsid w:val="00703B2E"/>
    <w:rsid w:val="00703EA1"/>
    <w:rsid w:val="007046BB"/>
    <w:rsid w:val="00705711"/>
    <w:rsid w:val="00706C5D"/>
    <w:rsid w:val="00707D5A"/>
    <w:rsid w:val="0071000F"/>
    <w:rsid w:val="00710C1D"/>
    <w:rsid w:val="00710D21"/>
    <w:rsid w:val="00711489"/>
    <w:rsid w:val="00712093"/>
    <w:rsid w:val="0071289E"/>
    <w:rsid w:val="007129A3"/>
    <w:rsid w:val="00712C1D"/>
    <w:rsid w:val="00713660"/>
    <w:rsid w:val="00715004"/>
    <w:rsid w:val="00715450"/>
    <w:rsid w:val="00715D8E"/>
    <w:rsid w:val="007166AF"/>
    <w:rsid w:val="00716A18"/>
    <w:rsid w:val="00717116"/>
    <w:rsid w:val="00717D03"/>
    <w:rsid w:val="00720F6C"/>
    <w:rsid w:val="00721D66"/>
    <w:rsid w:val="00722184"/>
    <w:rsid w:val="0072287A"/>
    <w:rsid w:val="0072317C"/>
    <w:rsid w:val="0072343B"/>
    <w:rsid w:val="007235F9"/>
    <w:rsid w:val="00723E23"/>
    <w:rsid w:val="00723E6E"/>
    <w:rsid w:val="00724268"/>
    <w:rsid w:val="00724802"/>
    <w:rsid w:val="00724F22"/>
    <w:rsid w:val="007251EB"/>
    <w:rsid w:val="007252B9"/>
    <w:rsid w:val="00725997"/>
    <w:rsid w:val="00726EE0"/>
    <w:rsid w:val="00727307"/>
    <w:rsid w:val="00730498"/>
    <w:rsid w:val="00730F29"/>
    <w:rsid w:val="0073176C"/>
    <w:rsid w:val="007319B2"/>
    <w:rsid w:val="007319EB"/>
    <w:rsid w:val="007321F2"/>
    <w:rsid w:val="00732306"/>
    <w:rsid w:val="00732922"/>
    <w:rsid w:val="00732A48"/>
    <w:rsid w:val="00732DD5"/>
    <w:rsid w:val="00732F24"/>
    <w:rsid w:val="0073302C"/>
    <w:rsid w:val="00733822"/>
    <w:rsid w:val="00733B76"/>
    <w:rsid w:val="00734A32"/>
    <w:rsid w:val="00734B47"/>
    <w:rsid w:val="00734CD6"/>
    <w:rsid w:val="0073523A"/>
    <w:rsid w:val="00735964"/>
    <w:rsid w:val="00735E9B"/>
    <w:rsid w:val="00736063"/>
    <w:rsid w:val="00736206"/>
    <w:rsid w:val="00736863"/>
    <w:rsid w:val="00737325"/>
    <w:rsid w:val="007377F7"/>
    <w:rsid w:val="00737E18"/>
    <w:rsid w:val="00737E7A"/>
    <w:rsid w:val="007403AE"/>
    <w:rsid w:val="00740A48"/>
    <w:rsid w:val="00740E24"/>
    <w:rsid w:val="007415CE"/>
    <w:rsid w:val="00741F3B"/>
    <w:rsid w:val="00742286"/>
    <w:rsid w:val="00743018"/>
    <w:rsid w:val="0074396E"/>
    <w:rsid w:val="007441B7"/>
    <w:rsid w:val="00744F99"/>
    <w:rsid w:val="0074527F"/>
    <w:rsid w:val="00745BBE"/>
    <w:rsid w:val="0074620F"/>
    <w:rsid w:val="007475C3"/>
    <w:rsid w:val="00750620"/>
    <w:rsid w:val="0075121D"/>
    <w:rsid w:val="007515BC"/>
    <w:rsid w:val="007515E4"/>
    <w:rsid w:val="0075162E"/>
    <w:rsid w:val="0075180C"/>
    <w:rsid w:val="007528B2"/>
    <w:rsid w:val="00753475"/>
    <w:rsid w:val="00753526"/>
    <w:rsid w:val="00753588"/>
    <w:rsid w:val="007535F2"/>
    <w:rsid w:val="00754034"/>
    <w:rsid w:val="00754044"/>
    <w:rsid w:val="0075431D"/>
    <w:rsid w:val="0075463D"/>
    <w:rsid w:val="00754A40"/>
    <w:rsid w:val="00754AF1"/>
    <w:rsid w:val="00755145"/>
    <w:rsid w:val="0075583A"/>
    <w:rsid w:val="00755FD0"/>
    <w:rsid w:val="00756556"/>
    <w:rsid w:val="00756593"/>
    <w:rsid w:val="00756898"/>
    <w:rsid w:val="0075696E"/>
    <w:rsid w:val="00756A23"/>
    <w:rsid w:val="00756D07"/>
    <w:rsid w:val="00756D29"/>
    <w:rsid w:val="007570A5"/>
    <w:rsid w:val="00757C9F"/>
    <w:rsid w:val="007607E0"/>
    <w:rsid w:val="00760B1E"/>
    <w:rsid w:val="007618C4"/>
    <w:rsid w:val="00761B02"/>
    <w:rsid w:val="007621FF"/>
    <w:rsid w:val="00762F83"/>
    <w:rsid w:val="00763278"/>
    <w:rsid w:val="00763421"/>
    <w:rsid w:val="00763CD2"/>
    <w:rsid w:val="00763E9F"/>
    <w:rsid w:val="00764574"/>
    <w:rsid w:val="007646B6"/>
    <w:rsid w:val="00764E96"/>
    <w:rsid w:val="007652D0"/>
    <w:rsid w:val="00765492"/>
    <w:rsid w:val="007656A1"/>
    <w:rsid w:val="0076616F"/>
    <w:rsid w:val="00767177"/>
    <w:rsid w:val="007672DC"/>
    <w:rsid w:val="00767980"/>
    <w:rsid w:val="00770B19"/>
    <w:rsid w:val="007713F0"/>
    <w:rsid w:val="00771510"/>
    <w:rsid w:val="007723A9"/>
    <w:rsid w:val="00772607"/>
    <w:rsid w:val="0077290A"/>
    <w:rsid w:val="00773810"/>
    <w:rsid w:val="00773D02"/>
    <w:rsid w:val="0077406C"/>
    <w:rsid w:val="0077463F"/>
    <w:rsid w:val="007755A1"/>
    <w:rsid w:val="007762F5"/>
    <w:rsid w:val="0077650E"/>
    <w:rsid w:val="00776ACF"/>
    <w:rsid w:val="00777110"/>
    <w:rsid w:val="00777400"/>
    <w:rsid w:val="00777AA8"/>
    <w:rsid w:val="00780658"/>
    <w:rsid w:val="00780A80"/>
    <w:rsid w:val="00780B14"/>
    <w:rsid w:val="0078106A"/>
    <w:rsid w:val="0078139A"/>
    <w:rsid w:val="00781AC3"/>
    <w:rsid w:val="00781D86"/>
    <w:rsid w:val="007836EA"/>
    <w:rsid w:val="007842CE"/>
    <w:rsid w:val="00784CDA"/>
    <w:rsid w:val="00785179"/>
    <w:rsid w:val="00785B1E"/>
    <w:rsid w:val="00786853"/>
    <w:rsid w:val="007873B9"/>
    <w:rsid w:val="007876F8"/>
    <w:rsid w:val="00787A2E"/>
    <w:rsid w:val="00787AA8"/>
    <w:rsid w:val="00787B70"/>
    <w:rsid w:val="0079020F"/>
    <w:rsid w:val="007906C4"/>
    <w:rsid w:val="0079078D"/>
    <w:rsid w:val="00792064"/>
    <w:rsid w:val="00793509"/>
    <w:rsid w:val="00793D6C"/>
    <w:rsid w:val="007940EA"/>
    <w:rsid w:val="00794AB6"/>
    <w:rsid w:val="007953DD"/>
    <w:rsid w:val="00795BFF"/>
    <w:rsid w:val="00795C82"/>
    <w:rsid w:val="007967E8"/>
    <w:rsid w:val="00796E03"/>
    <w:rsid w:val="007976AB"/>
    <w:rsid w:val="00797986"/>
    <w:rsid w:val="007A04DD"/>
    <w:rsid w:val="007A0587"/>
    <w:rsid w:val="007A061F"/>
    <w:rsid w:val="007A0C74"/>
    <w:rsid w:val="007A0D84"/>
    <w:rsid w:val="007A1038"/>
    <w:rsid w:val="007A10B7"/>
    <w:rsid w:val="007A2170"/>
    <w:rsid w:val="007A22BF"/>
    <w:rsid w:val="007A2990"/>
    <w:rsid w:val="007A3323"/>
    <w:rsid w:val="007A3A80"/>
    <w:rsid w:val="007A3EB8"/>
    <w:rsid w:val="007A3FD5"/>
    <w:rsid w:val="007A4088"/>
    <w:rsid w:val="007A44D2"/>
    <w:rsid w:val="007A5827"/>
    <w:rsid w:val="007A5AC5"/>
    <w:rsid w:val="007A66DE"/>
    <w:rsid w:val="007A6B06"/>
    <w:rsid w:val="007A739D"/>
    <w:rsid w:val="007B1DE8"/>
    <w:rsid w:val="007B322E"/>
    <w:rsid w:val="007B32E9"/>
    <w:rsid w:val="007B33E4"/>
    <w:rsid w:val="007B46A8"/>
    <w:rsid w:val="007B4B84"/>
    <w:rsid w:val="007B4BFC"/>
    <w:rsid w:val="007B5410"/>
    <w:rsid w:val="007B5BFC"/>
    <w:rsid w:val="007B5F73"/>
    <w:rsid w:val="007B6338"/>
    <w:rsid w:val="007B6602"/>
    <w:rsid w:val="007B69F1"/>
    <w:rsid w:val="007B6E26"/>
    <w:rsid w:val="007B72B8"/>
    <w:rsid w:val="007B7A58"/>
    <w:rsid w:val="007C00DB"/>
    <w:rsid w:val="007C0276"/>
    <w:rsid w:val="007C116C"/>
    <w:rsid w:val="007C1951"/>
    <w:rsid w:val="007C1B0C"/>
    <w:rsid w:val="007C1D27"/>
    <w:rsid w:val="007C21B5"/>
    <w:rsid w:val="007C2450"/>
    <w:rsid w:val="007C2515"/>
    <w:rsid w:val="007C32B3"/>
    <w:rsid w:val="007C3AC6"/>
    <w:rsid w:val="007C40E2"/>
    <w:rsid w:val="007C4279"/>
    <w:rsid w:val="007C6529"/>
    <w:rsid w:val="007C7914"/>
    <w:rsid w:val="007D0805"/>
    <w:rsid w:val="007D1123"/>
    <w:rsid w:val="007D1946"/>
    <w:rsid w:val="007D2526"/>
    <w:rsid w:val="007D2816"/>
    <w:rsid w:val="007D2D19"/>
    <w:rsid w:val="007D2DE3"/>
    <w:rsid w:val="007D3A02"/>
    <w:rsid w:val="007D410D"/>
    <w:rsid w:val="007D465A"/>
    <w:rsid w:val="007D481A"/>
    <w:rsid w:val="007D52FD"/>
    <w:rsid w:val="007D5EC5"/>
    <w:rsid w:val="007D6331"/>
    <w:rsid w:val="007D6484"/>
    <w:rsid w:val="007D684A"/>
    <w:rsid w:val="007D69E1"/>
    <w:rsid w:val="007D7798"/>
    <w:rsid w:val="007D7EB3"/>
    <w:rsid w:val="007E01E6"/>
    <w:rsid w:val="007E040B"/>
    <w:rsid w:val="007E077C"/>
    <w:rsid w:val="007E0C58"/>
    <w:rsid w:val="007E135C"/>
    <w:rsid w:val="007E18CF"/>
    <w:rsid w:val="007E2BE3"/>
    <w:rsid w:val="007E321E"/>
    <w:rsid w:val="007E4BD2"/>
    <w:rsid w:val="007E579F"/>
    <w:rsid w:val="007E6AA2"/>
    <w:rsid w:val="007E759C"/>
    <w:rsid w:val="007E7725"/>
    <w:rsid w:val="007E7E2D"/>
    <w:rsid w:val="007F037C"/>
    <w:rsid w:val="007F0EEB"/>
    <w:rsid w:val="007F1644"/>
    <w:rsid w:val="007F1FF8"/>
    <w:rsid w:val="007F2075"/>
    <w:rsid w:val="007F2A1C"/>
    <w:rsid w:val="007F2C4B"/>
    <w:rsid w:val="007F2E13"/>
    <w:rsid w:val="007F2E88"/>
    <w:rsid w:val="007F3126"/>
    <w:rsid w:val="007F32BE"/>
    <w:rsid w:val="007F359A"/>
    <w:rsid w:val="007F41DB"/>
    <w:rsid w:val="007F4265"/>
    <w:rsid w:val="007F491B"/>
    <w:rsid w:val="007F512B"/>
    <w:rsid w:val="007F5BD3"/>
    <w:rsid w:val="007F6BC3"/>
    <w:rsid w:val="007F7B05"/>
    <w:rsid w:val="00800388"/>
    <w:rsid w:val="008003E0"/>
    <w:rsid w:val="00800A33"/>
    <w:rsid w:val="00800F0D"/>
    <w:rsid w:val="00801393"/>
    <w:rsid w:val="008019A8"/>
    <w:rsid w:val="00801B37"/>
    <w:rsid w:val="00801BCD"/>
    <w:rsid w:val="008024A7"/>
    <w:rsid w:val="0080263F"/>
    <w:rsid w:val="008028D6"/>
    <w:rsid w:val="00802CAE"/>
    <w:rsid w:val="00802F88"/>
    <w:rsid w:val="0080314E"/>
    <w:rsid w:val="00803A49"/>
    <w:rsid w:val="00804A9B"/>
    <w:rsid w:val="0080533D"/>
    <w:rsid w:val="00805C2E"/>
    <w:rsid w:val="0080611F"/>
    <w:rsid w:val="008068B5"/>
    <w:rsid w:val="008069B3"/>
    <w:rsid w:val="0080763D"/>
    <w:rsid w:val="008100A3"/>
    <w:rsid w:val="00810AB3"/>
    <w:rsid w:val="00810D3C"/>
    <w:rsid w:val="00811212"/>
    <w:rsid w:val="0081141D"/>
    <w:rsid w:val="00812850"/>
    <w:rsid w:val="0081293E"/>
    <w:rsid w:val="00812C4E"/>
    <w:rsid w:val="00813936"/>
    <w:rsid w:val="00813D48"/>
    <w:rsid w:val="00815465"/>
    <w:rsid w:val="0081601E"/>
    <w:rsid w:val="00816271"/>
    <w:rsid w:val="00816338"/>
    <w:rsid w:val="00817B71"/>
    <w:rsid w:val="00817E9A"/>
    <w:rsid w:val="008201E7"/>
    <w:rsid w:val="00820200"/>
    <w:rsid w:val="008214CD"/>
    <w:rsid w:val="0082167A"/>
    <w:rsid w:val="0082184F"/>
    <w:rsid w:val="00821B29"/>
    <w:rsid w:val="00822509"/>
    <w:rsid w:val="0082282B"/>
    <w:rsid w:val="00822D0C"/>
    <w:rsid w:val="008239EF"/>
    <w:rsid w:val="0082554D"/>
    <w:rsid w:val="00825CF2"/>
    <w:rsid w:val="008260E0"/>
    <w:rsid w:val="00826F37"/>
    <w:rsid w:val="00826FD8"/>
    <w:rsid w:val="008306BD"/>
    <w:rsid w:val="00830A1F"/>
    <w:rsid w:val="00830BA3"/>
    <w:rsid w:val="00831A80"/>
    <w:rsid w:val="00831CC0"/>
    <w:rsid w:val="0083345C"/>
    <w:rsid w:val="00833743"/>
    <w:rsid w:val="008340A4"/>
    <w:rsid w:val="008342E2"/>
    <w:rsid w:val="00834964"/>
    <w:rsid w:val="00834EB5"/>
    <w:rsid w:val="0083553C"/>
    <w:rsid w:val="0083589D"/>
    <w:rsid w:val="00835FA8"/>
    <w:rsid w:val="008365E7"/>
    <w:rsid w:val="008369C7"/>
    <w:rsid w:val="00836C4C"/>
    <w:rsid w:val="00836CA8"/>
    <w:rsid w:val="0083726A"/>
    <w:rsid w:val="008379B6"/>
    <w:rsid w:val="00840A3B"/>
    <w:rsid w:val="00840A48"/>
    <w:rsid w:val="00840AF4"/>
    <w:rsid w:val="00840F4C"/>
    <w:rsid w:val="0084120B"/>
    <w:rsid w:val="0084158E"/>
    <w:rsid w:val="00841B5D"/>
    <w:rsid w:val="00841C7E"/>
    <w:rsid w:val="00842724"/>
    <w:rsid w:val="008437F2"/>
    <w:rsid w:val="0084385C"/>
    <w:rsid w:val="008448C2"/>
    <w:rsid w:val="00845DB2"/>
    <w:rsid w:val="00846029"/>
    <w:rsid w:val="008464E6"/>
    <w:rsid w:val="00847DC8"/>
    <w:rsid w:val="008501E4"/>
    <w:rsid w:val="00850463"/>
    <w:rsid w:val="0085070B"/>
    <w:rsid w:val="00850886"/>
    <w:rsid w:val="00850ED9"/>
    <w:rsid w:val="0085259D"/>
    <w:rsid w:val="008528EC"/>
    <w:rsid w:val="00852D0F"/>
    <w:rsid w:val="00853299"/>
    <w:rsid w:val="0085347D"/>
    <w:rsid w:val="00853676"/>
    <w:rsid w:val="00854318"/>
    <w:rsid w:val="008545E2"/>
    <w:rsid w:val="00854F16"/>
    <w:rsid w:val="00855375"/>
    <w:rsid w:val="008558A4"/>
    <w:rsid w:val="0085611D"/>
    <w:rsid w:val="00856144"/>
    <w:rsid w:val="00856193"/>
    <w:rsid w:val="0085718F"/>
    <w:rsid w:val="008576E7"/>
    <w:rsid w:val="008607E1"/>
    <w:rsid w:val="008608F6"/>
    <w:rsid w:val="00860A54"/>
    <w:rsid w:val="0086142C"/>
    <w:rsid w:val="00861561"/>
    <w:rsid w:val="00861673"/>
    <w:rsid w:val="00861C23"/>
    <w:rsid w:val="00864422"/>
    <w:rsid w:val="00864486"/>
    <w:rsid w:val="008648EE"/>
    <w:rsid w:val="00864930"/>
    <w:rsid w:val="00864C09"/>
    <w:rsid w:val="00864ED3"/>
    <w:rsid w:val="00864EDA"/>
    <w:rsid w:val="00866010"/>
    <w:rsid w:val="00866336"/>
    <w:rsid w:val="008663F5"/>
    <w:rsid w:val="00866BB9"/>
    <w:rsid w:val="00866EBC"/>
    <w:rsid w:val="008673D9"/>
    <w:rsid w:val="008677D9"/>
    <w:rsid w:val="0087001F"/>
    <w:rsid w:val="0087003F"/>
    <w:rsid w:val="008705B3"/>
    <w:rsid w:val="0087104D"/>
    <w:rsid w:val="0087135F"/>
    <w:rsid w:val="00871A5A"/>
    <w:rsid w:val="00871D07"/>
    <w:rsid w:val="0087236D"/>
    <w:rsid w:val="00872D94"/>
    <w:rsid w:val="00872F48"/>
    <w:rsid w:val="008730BB"/>
    <w:rsid w:val="008740CC"/>
    <w:rsid w:val="0087495A"/>
    <w:rsid w:val="00874A4D"/>
    <w:rsid w:val="008751D2"/>
    <w:rsid w:val="008760D1"/>
    <w:rsid w:val="00876FE5"/>
    <w:rsid w:val="00877006"/>
    <w:rsid w:val="00877F70"/>
    <w:rsid w:val="0088015C"/>
    <w:rsid w:val="008802CA"/>
    <w:rsid w:val="00880364"/>
    <w:rsid w:val="00880DCA"/>
    <w:rsid w:val="00880FDE"/>
    <w:rsid w:val="00881386"/>
    <w:rsid w:val="0088306D"/>
    <w:rsid w:val="008839B9"/>
    <w:rsid w:val="00883B1A"/>
    <w:rsid w:val="00883B2A"/>
    <w:rsid w:val="00883DE2"/>
    <w:rsid w:val="008840FF"/>
    <w:rsid w:val="00884158"/>
    <w:rsid w:val="0088455A"/>
    <w:rsid w:val="00884B86"/>
    <w:rsid w:val="00885904"/>
    <w:rsid w:val="00885927"/>
    <w:rsid w:val="00886626"/>
    <w:rsid w:val="00886638"/>
    <w:rsid w:val="00886684"/>
    <w:rsid w:val="00886779"/>
    <w:rsid w:val="008868CC"/>
    <w:rsid w:val="00886FC8"/>
    <w:rsid w:val="0088706D"/>
    <w:rsid w:val="008875A5"/>
    <w:rsid w:val="00887B34"/>
    <w:rsid w:val="00887CEA"/>
    <w:rsid w:val="0089053A"/>
    <w:rsid w:val="00891592"/>
    <w:rsid w:val="00891ADA"/>
    <w:rsid w:val="00891C39"/>
    <w:rsid w:val="00891CA9"/>
    <w:rsid w:val="00891E9E"/>
    <w:rsid w:val="0089210B"/>
    <w:rsid w:val="00892588"/>
    <w:rsid w:val="008928EB"/>
    <w:rsid w:val="008929C4"/>
    <w:rsid w:val="00895F82"/>
    <w:rsid w:val="0089671B"/>
    <w:rsid w:val="00896811"/>
    <w:rsid w:val="0089704F"/>
    <w:rsid w:val="008970A2"/>
    <w:rsid w:val="00897519"/>
    <w:rsid w:val="008979EA"/>
    <w:rsid w:val="00897D4C"/>
    <w:rsid w:val="008A01DB"/>
    <w:rsid w:val="008A0FB9"/>
    <w:rsid w:val="008A19D9"/>
    <w:rsid w:val="008A1D52"/>
    <w:rsid w:val="008A220E"/>
    <w:rsid w:val="008A2A4F"/>
    <w:rsid w:val="008A2F68"/>
    <w:rsid w:val="008A334C"/>
    <w:rsid w:val="008A3C02"/>
    <w:rsid w:val="008A3C87"/>
    <w:rsid w:val="008A3F75"/>
    <w:rsid w:val="008A41B0"/>
    <w:rsid w:val="008A566C"/>
    <w:rsid w:val="008A5F76"/>
    <w:rsid w:val="008A7BF7"/>
    <w:rsid w:val="008A7D21"/>
    <w:rsid w:val="008A7D2F"/>
    <w:rsid w:val="008B047E"/>
    <w:rsid w:val="008B0C53"/>
    <w:rsid w:val="008B0D91"/>
    <w:rsid w:val="008B1729"/>
    <w:rsid w:val="008B1902"/>
    <w:rsid w:val="008B1FAC"/>
    <w:rsid w:val="008B259A"/>
    <w:rsid w:val="008B287E"/>
    <w:rsid w:val="008B2DF3"/>
    <w:rsid w:val="008B2DF5"/>
    <w:rsid w:val="008B3411"/>
    <w:rsid w:val="008B4528"/>
    <w:rsid w:val="008B4FA6"/>
    <w:rsid w:val="008B4FBD"/>
    <w:rsid w:val="008B5282"/>
    <w:rsid w:val="008B532F"/>
    <w:rsid w:val="008B540F"/>
    <w:rsid w:val="008B564E"/>
    <w:rsid w:val="008B58A8"/>
    <w:rsid w:val="008B5C4F"/>
    <w:rsid w:val="008B622A"/>
    <w:rsid w:val="008B638F"/>
    <w:rsid w:val="008B7822"/>
    <w:rsid w:val="008B7B98"/>
    <w:rsid w:val="008B7C17"/>
    <w:rsid w:val="008C0358"/>
    <w:rsid w:val="008C0C5F"/>
    <w:rsid w:val="008C1A5D"/>
    <w:rsid w:val="008C2242"/>
    <w:rsid w:val="008C24C9"/>
    <w:rsid w:val="008C2D01"/>
    <w:rsid w:val="008C33F1"/>
    <w:rsid w:val="008C368E"/>
    <w:rsid w:val="008C40E6"/>
    <w:rsid w:val="008C42C1"/>
    <w:rsid w:val="008C4546"/>
    <w:rsid w:val="008C46DF"/>
    <w:rsid w:val="008C4B98"/>
    <w:rsid w:val="008C5E5C"/>
    <w:rsid w:val="008C6113"/>
    <w:rsid w:val="008C643B"/>
    <w:rsid w:val="008C6710"/>
    <w:rsid w:val="008C6762"/>
    <w:rsid w:val="008C6AFB"/>
    <w:rsid w:val="008C70EE"/>
    <w:rsid w:val="008C7136"/>
    <w:rsid w:val="008C7E5C"/>
    <w:rsid w:val="008C7EAE"/>
    <w:rsid w:val="008D0A80"/>
    <w:rsid w:val="008D0B07"/>
    <w:rsid w:val="008D0F7A"/>
    <w:rsid w:val="008D2531"/>
    <w:rsid w:val="008D31F5"/>
    <w:rsid w:val="008D3649"/>
    <w:rsid w:val="008D3FDB"/>
    <w:rsid w:val="008D5673"/>
    <w:rsid w:val="008D570F"/>
    <w:rsid w:val="008D640D"/>
    <w:rsid w:val="008D68E4"/>
    <w:rsid w:val="008D6BB1"/>
    <w:rsid w:val="008D6EA9"/>
    <w:rsid w:val="008D6F51"/>
    <w:rsid w:val="008D7C7A"/>
    <w:rsid w:val="008E00A0"/>
    <w:rsid w:val="008E0506"/>
    <w:rsid w:val="008E0CFF"/>
    <w:rsid w:val="008E0E28"/>
    <w:rsid w:val="008E177E"/>
    <w:rsid w:val="008E1C2D"/>
    <w:rsid w:val="008E200C"/>
    <w:rsid w:val="008E2B5E"/>
    <w:rsid w:val="008E312F"/>
    <w:rsid w:val="008E3DF8"/>
    <w:rsid w:val="008E3EF9"/>
    <w:rsid w:val="008E4BA5"/>
    <w:rsid w:val="008E4DA9"/>
    <w:rsid w:val="008E5370"/>
    <w:rsid w:val="008E5609"/>
    <w:rsid w:val="008E561F"/>
    <w:rsid w:val="008E5CDA"/>
    <w:rsid w:val="008E5D6B"/>
    <w:rsid w:val="008E615B"/>
    <w:rsid w:val="008E6161"/>
    <w:rsid w:val="008E679E"/>
    <w:rsid w:val="008E750A"/>
    <w:rsid w:val="008E76F0"/>
    <w:rsid w:val="008E7882"/>
    <w:rsid w:val="008E796E"/>
    <w:rsid w:val="008F0170"/>
    <w:rsid w:val="008F12EF"/>
    <w:rsid w:val="008F15FE"/>
    <w:rsid w:val="008F19B4"/>
    <w:rsid w:val="008F23AA"/>
    <w:rsid w:val="008F2668"/>
    <w:rsid w:val="008F29F8"/>
    <w:rsid w:val="008F2D29"/>
    <w:rsid w:val="008F2DF3"/>
    <w:rsid w:val="008F3018"/>
    <w:rsid w:val="008F379C"/>
    <w:rsid w:val="008F3FF9"/>
    <w:rsid w:val="008F4769"/>
    <w:rsid w:val="008F5187"/>
    <w:rsid w:val="008F5294"/>
    <w:rsid w:val="008F55B3"/>
    <w:rsid w:val="008F5D82"/>
    <w:rsid w:val="008F60D8"/>
    <w:rsid w:val="008F6A7E"/>
    <w:rsid w:val="008F6D9D"/>
    <w:rsid w:val="008F7269"/>
    <w:rsid w:val="0090035C"/>
    <w:rsid w:val="00900BF8"/>
    <w:rsid w:val="00900D3A"/>
    <w:rsid w:val="009010B6"/>
    <w:rsid w:val="0090138B"/>
    <w:rsid w:val="00902185"/>
    <w:rsid w:val="0090223A"/>
    <w:rsid w:val="00902727"/>
    <w:rsid w:val="00902F2F"/>
    <w:rsid w:val="0090312B"/>
    <w:rsid w:val="00903AA4"/>
    <w:rsid w:val="00903C8E"/>
    <w:rsid w:val="009046AB"/>
    <w:rsid w:val="00904897"/>
    <w:rsid w:val="00905058"/>
    <w:rsid w:val="0090582A"/>
    <w:rsid w:val="00905FC7"/>
    <w:rsid w:val="009064DD"/>
    <w:rsid w:val="00906940"/>
    <w:rsid w:val="009070E2"/>
    <w:rsid w:val="00910BD8"/>
    <w:rsid w:val="00910ED1"/>
    <w:rsid w:val="00911629"/>
    <w:rsid w:val="0091172D"/>
    <w:rsid w:val="00911DFD"/>
    <w:rsid w:val="00911E16"/>
    <w:rsid w:val="009126E4"/>
    <w:rsid w:val="00912B2F"/>
    <w:rsid w:val="00912D84"/>
    <w:rsid w:val="00912F96"/>
    <w:rsid w:val="00913C0B"/>
    <w:rsid w:val="00913F69"/>
    <w:rsid w:val="00914AEE"/>
    <w:rsid w:val="0091503A"/>
    <w:rsid w:val="00917117"/>
    <w:rsid w:val="0091736D"/>
    <w:rsid w:val="00917422"/>
    <w:rsid w:val="009174F9"/>
    <w:rsid w:val="00917803"/>
    <w:rsid w:val="00917B30"/>
    <w:rsid w:val="009203D2"/>
    <w:rsid w:val="0092105E"/>
    <w:rsid w:val="00921465"/>
    <w:rsid w:val="00921BB5"/>
    <w:rsid w:val="00921BFA"/>
    <w:rsid w:val="00921EEB"/>
    <w:rsid w:val="009222FF"/>
    <w:rsid w:val="009234C4"/>
    <w:rsid w:val="00923980"/>
    <w:rsid w:val="00923982"/>
    <w:rsid w:val="00923D32"/>
    <w:rsid w:val="00923DD2"/>
    <w:rsid w:val="00924049"/>
    <w:rsid w:val="00924768"/>
    <w:rsid w:val="009249AE"/>
    <w:rsid w:val="00924ACD"/>
    <w:rsid w:val="00924B5C"/>
    <w:rsid w:val="00924D4B"/>
    <w:rsid w:val="00924E2F"/>
    <w:rsid w:val="00925ED4"/>
    <w:rsid w:val="009263B4"/>
    <w:rsid w:val="009264C0"/>
    <w:rsid w:val="0092654F"/>
    <w:rsid w:val="009268D7"/>
    <w:rsid w:val="009270CA"/>
    <w:rsid w:val="009271FB"/>
    <w:rsid w:val="0093037A"/>
    <w:rsid w:val="00930A60"/>
    <w:rsid w:val="00930BC5"/>
    <w:rsid w:val="00931193"/>
    <w:rsid w:val="00931EAA"/>
    <w:rsid w:val="009320A7"/>
    <w:rsid w:val="00932C67"/>
    <w:rsid w:val="00933045"/>
    <w:rsid w:val="009331D8"/>
    <w:rsid w:val="00933532"/>
    <w:rsid w:val="00934012"/>
    <w:rsid w:val="00934445"/>
    <w:rsid w:val="00934752"/>
    <w:rsid w:val="009347A3"/>
    <w:rsid w:val="00934FE9"/>
    <w:rsid w:val="00935336"/>
    <w:rsid w:val="00935F7E"/>
    <w:rsid w:val="009367FB"/>
    <w:rsid w:val="0093682B"/>
    <w:rsid w:val="00936955"/>
    <w:rsid w:val="00936AC6"/>
    <w:rsid w:val="00936CF1"/>
    <w:rsid w:val="00936D96"/>
    <w:rsid w:val="009370DD"/>
    <w:rsid w:val="00937CCB"/>
    <w:rsid w:val="009401AF"/>
    <w:rsid w:val="00940FD0"/>
    <w:rsid w:val="0094154D"/>
    <w:rsid w:val="00941A5B"/>
    <w:rsid w:val="00941ABA"/>
    <w:rsid w:val="009423AF"/>
    <w:rsid w:val="009428EF"/>
    <w:rsid w:val="009429A7"/>
    <w:rsid w:val="00942B8D"/>
    <w:rsid w:val="00942C38"/>
    <w:rsid w:val="00942D00"/>
    <w:rsid w:val="00943F0D"/>
    <w:rsid w:val="00943FD2"/>
    <w:rsid w:val="009440B7"/>
    <w:rsid w:val="009443BD"/>
    <w:rsid w:val="0094441E"/>
    <w:rsid w:val="00944477"/>
    <w:rsid w:val="0094463F"/>
    <w:rsid w:val="009453A6"/>
    <w:rsid w:val="00945966"/>
    <w:rsid w:val="00945BFC"/>
    <w:rsid w:val="00945EFA"/>
    <w:rsid w:val="00946BF7"/>
    <w:rsid w:val="00947A38"/>
    <w:rsid w:val="00947FE2"/>
    <w:rsid w:val="00950013"/>
    <w:rsid w:val="009506CA"/>
    <w:rsid w:val="00950FD0"/>
    <w:rsid w:val="0095155F"/>
    <w:rsid w:val="009516A4"/>
    <w:rsid w:val="00951E0A"/>
    <w:rsid w:val="00952300"/>
    <w:rsid w:val="009524C8"/>
    <w:rsid w:val="009527CC"/>
    <w:rsid w:val="00953164"/>
    <w:rsid w:val="00953169"/>
    <w:rsid w:val="009536A7"/>
    <w:rsid w:val="00953797"/>
    <w:rsid w:val="00953A90"/>
    <w:rsid w:val="00954429"/>
    <w:rsid w:val="00955CF2"/>
    <w:rsid w:val="0095632D"/>
    <w:rsid w:val="009563CE"/>
    <w:rsid w:val="009573C2"/>
    <w:rsid w:val="0095788F"/>
    <w:rsid w:val="00957D9D"/>
    <w:rsid w:val="009603F9"/>
    <w:rsid w:val="0096092C"/>
    <w:rsid w:val="0096160D"/>
    <w:rsid w:val="009625A2"/>
    <w:rsid w:val="00963054"/>
    <w:rsid w:val="0096313E"/>
    <w:rsid w:val="00963538"/>
    <w:rsid w:val="0096521B"/>
    <w:rsid w:val="00965D94"/>
    <w:rsid w:val="00966B11"/>
    <w:rsid w:val="00966D46"/>
    <w:rsid w:val="00967098"/>
    <w:rsid w:val="00967543"/>
    <w:rsid w:val="0096777C"/>
    <w:rsid w:val="00970409"/>
    <w:rsid w:val="00971BC9"/>
    <w:rsid w:val="00971E1B"/>
    <w:rsid w:val="009720AC"/>
    <w:rsid w:val="0097214C"/>
    <w:rsid w:val="00972723"/>
    <w:rsid w:val="00972A9A"/>
    <w:rsid w:val="00972C9A"/>
    <w:rsid w:val="00973A71"/>
    <w:rsid w:val="009745D7"/>
    <w:rsid w:val="0097460F"/>
    <w:rsid w:val="0097513B"/>
    <w:rsid w:val="00975B32"/>
    <w:rsid w:val="00975BDB"/>
    <w:rsid w:val="00976328"/>
    <w:rsid w:val="0097680D"/>
    <w:rsid w:val="00976D60"/>
    <w:rsid w:val="009778C7"/>
    <w:rsid w:val="0097795C"/>
    <w:rsid w:val="00977B25"/>
    <w:rsid w:val="00980ADE"/>
    <w:rsid w:val="0098107E"/>
    <w:rsid w:val="00981B5A"/>
    <w:rsid w:val="0098238E"/>
    <w:rsid w:val="00982438"/>
    <w:rsid w:val="00983AEC"/>
    <w:rsid w:val="00983D8C"/>
    <w:rsid w:val="0098404C"/>
    <w:rsid w:val="0098407A"/>
    <w:rsid w:val="009845D1"/>
    <w:rsid w:val="00984B88"/>
    <w:rsid w:val="009850A9"/>
    <w:rsid w:val="00985283"/>
    <w:rsid w:val="00985795"/>
    <w:rsid w:val="00985D24"/>
    <w:rsid w:val="0098639F"/>
    <w:rsid w:val="00986B15"/>
    <w:rsid w:val="009877C8"/>
    <w:rsid w:val="00987E7F"/>
    <w:rsid w:val="00990246"/>
    <w:rsid w:val="009904DC"/>
    <w:rsid w:val="0099057C"/>
    <w:rsid w:val="00991091"/>
    <w:rsid w:val="0099177E"/>
    <w:rsid w:val="00991987"/>
    <w:rsid w:val="00991C02"/>
    <w:rsid w:val="009923F3"/>
    <w:rsid w:val="009925CA"/>
    <w:rsid w:val="0099276F"/>
    <w:rsid w:val="00992A97"/>
    <w:rsid w:val="00994818"/>
    <w:rsid w:val="00994A15"/>
    <w:rsid w:val="00994DB1"/>
    <w:rsid w:val="009950D1"/>
    <w:rsid w:val="00995992"/>
    <w:rsid w:val="009962A9"/>
    <w:rsid w:val="0099637F"/>
    <w:rsid w:val="00996509"/>
    <w:rsid w:val="0099663E"/>
    <w:rsid w:val="00996D3D"/>
    <w:rsid w:val="00996FB0"/>
    <w:rsid w:val="00997394"/>
    <w:rsid w:val="00997416"/>
    <w:rsid w:val="009A023B"/>
    <w:rsid w:val="009A03E5"/>
    <w:rsid w:val="009A05F2"/>
    <w:rsid w:val="009A0F3B"/>
    <w:rsid w:val="009A1BB4"/>
    <w:rsid w:val="009A2176"/>
    <w:rsid w:val="009A2628"/>
    <w:rsid w:val="009A2D42"/>
    <w:rsid w:val="009A3200"/>
    <w:rsid w:val="009A34D9"/>
    <w:rsid w:val="009A3C21"/>
    <w:rsid w:val="009A41D9"/>
    <w:rsid w:val="009A42D3"/>
    <w:rsid w:val="009A5AC0"/>
    <w:rsid w:val="009A5D6F"/>
    <w:rsid w:val="009A61DC"/>
    <w:rsid w:val="009A6B58"/>
    <w:rsid w:val="009A73E5"/>
    <w:rsid w:val="009A7605"/>
    <w:rsid w:val="009A7DD0"/>
    <w:rsid w:val="009B0897"/>
    <w:rsid w:val="009B08FB"/>
    <w:rsid w:val="009B1153"/>
    <w:rsid w:val="009B13B1"/>
    <w:rsid w:val="009B1ED3"/>
    <w:rsid w:val="009B1FD2"/>
    <w:rsid w:val="009B1FE5"/>
    <w:rsid w:val="009B1FEC"/>
    <w:rsid w:val="009B202F"/>
    <w:rsid w:val="009B34DE"/>
    <w:rsid w:val="009B4605"/>
    <w:rsid w:val="009B4CA0"/>
    <w:rsid w:val="009B4E65"/>
    <w:rsid w:val="009B5124"/>
    <w:rsid w:val="009B568A"/>
    <w:rsid w:val="009B75A3"/>
    <w:rsid w:val="009B78BF"/>
    <w:rsid w:val="009B7BD9"/>
    <w:rsid w:val="009B7C69"/>
    <w:rsid w:val="009C03A0"/>
    <w:rsid w:val="009C050A"/>
    <w:rsid w:val="009C053C"/>
    <w:rsid w:val="009C0C74"/>
    <w:rsid w:val="009C0E64"/>
    <w:rsid w:val="009C1DE9"/>
    <w:rsid w:val="009C1EBE"/>
    <w:rsid w:val="009C228E"/>
    <w:rsid w:val="009C2627"/>
    <w:rsid w:val="009C2D0F"/>
    <w:rsid w:val="009C2E8B"/>
    <w:rsid w:val="009C3B8D"/>
    <w:rsid w:val="009C405A"/>
    <w:rsid w:val="009C458C"/>
    <w:rsid w:val="009C66D1"/>
    <w:rsid w:val="009C6CB8"/>
    <w:rsid w:val="009C6D62"/>
    <w:rsid w:val="009C7A4D"/>
    <w:rsid w:val="009C7A58"/>
    <w:rsid w:val="009C7B04"/>
    <w:rsid w:val="009C7DD5"/>
    <w:rsid w:val="009D0583"/>
    <w:rsid w:val="009D1844"/>
    <w:rsid w:val="009D1F99"/>
    <w:rsid w:val="009D204D"/>
    <w:rsid w:val="009D2420"/>
    <w:rsid w:val="009D306A"/>
    <w:rsid w:val="009D3085"/>
    <w:rsid w:val="009D34F3"/>
    <w:rsid w:val="009D3574"/>
    <w:rsid w:val="009D383E"/>
    <w:rsid w:val="009D4CF3"/>
    <w:rsid w:val="009D5B18"/>
    <w:rsid w:val="009D6592"/>
    <w:rsid w:val="009D6698"/>
    <w:rsid w:val="009D76A6"/>
    <w:rsid w:val="009D7A91"/>
    <w:rsid w:val="009D7E8F"/>
    <w:rsid w:val="009E1ED2"/>
    <w:rsid w:val="009E227D"/>
    <w:rsid w:val="009E2EE4"/>
    <w:rsid w:val="009E3FC6"/>
    <w:rsid w:val="009E473B"/>
    <w:rsid w:val="009E4F5F"/>
    <w:rsid w:val="009E5019"/>
    <w:rsid w:val="009E5982"/>
    <w:rsid w:val="009E66FB"/>
    <w:rsid w:val="009E6A70"/>
    <w:rsid w:val="009E7001"/>
    <w:rsid w:val="009F076D"/>
    <w:rsid w:val="009F085D"/>
    <w:rsid w:val="009F1826"/>
    <w:rsid w:val="009F1E4C"/>
    <w:rsid w:val="009F1FC5"/>
    <w:rsid w:val="009F2603"/>
    <w:rsid w:val="009F271B"/>
    <w:rsid w:val="009F2A81"/>
    <w:rsid w:val="009F2FA7"/>
    <w:rsid w:val="009F526A"/>
    <w:rsid w:val="009F56DF"/>
    <w:rsid w:val="009F595F"/>
    <w:rsid w:val="009F5C3B"/>
    <w:rsid w:val="009F5FF3"/>
    <w:rsid w:val="009F6FEE"/>
    <w:rsid w:val="009F761A"/>
    <w:rsid w:val="009F7B5B"/>
    <w:rsid w:val="00A00193"/>
    <w:rsid w:val="00A01481"/>
    <w:rsid w:val="00A016F5"/>
    <w:rsid w:val="00A01C29"/>
    <w:rsid w:val="00A02598"/>
    <w:rsid w:val="00A02865"/>
    <w:rsid w:val="00A046A8"/>
    <w:rsid w:val="00A048AA"/>
    <w:rsid w:val="00A04F1B"/>
    <w:rsid w:val="00A0501B"/>
    <w:rsid w:val="00A054FF"/>
    <w:rsid w:val="00A05ADE"/>
    <w:rsid w:val="00A05CC4"/>
    <w:rsid w:val="00A06041"/>
    <w:rsid w:val="00A062F1"/>
    <w:rsid w:val="00A06301"/>
    <w:rsid w:val="00A06D82"/>
    <w:rsid w:val="00A07516"/>
    <w:rsid w:val="00A078DE"/>
    <w:rsid w:val="00A07A34"/>
    <w:rsid w:val="00A107A3"/>
    <w:rsid w:val="00A107DF"/>
    <w:rsid w:val="00A10F11"/>
    <w:rsid w:val="00A1253B"/>
    <w:rsid w:val="00A1290A"/>
    <w:rsid w:val="00A12A63"/>
    <w:rsid w:val="00A1323A"/>
    <w:rsid w:val="00A132EE"/>
    <w:rsid w:val="00A14553"/>
    <w:rsid w:val="00A14947"/>
    <w:rsid w:val="00A14B9F"/>
    <w:rsid w:val="00A15238"/>
    <w:rsid w:val="00A159CC"/>
    <w:rsid w:val="00A159D2"/>
    <w:rsid w:val="00A1626A"/>
    <w:rsid w:val="00A1662B"/>
    <w:rsid w:val="00A16C1B"/>
    <w:rsid w:val="00A16FB2"/>
    <w:rsid w:val="00A179BA"/>
    <w:rsid w:val="00A17A30"/>
    <w:rsid w:val="00A207D5"/>
    <w:rsid w:val="00A209A9"/>
    <w:rsid w:val="00A2102B"/>
    <w:rsid w:val="00A21F08"/>
    <w:rsid w:val="00A22668"/>
    <w:rsid w:val="00A22746"/>
    <w:rsid w:val="00A231FF"/>
    <w:rsid w:val="00A23B60"/>
    <w:rsid w:val="00A242B3"/>
    <w:rsid w:val="00A2592A"/>
    <w:rsid w:val="00A269FD"/>
    <w:rsid w:val="00A26D91"/>
    <w:rsid w:val="00A2746E"/>
    <w:rsid w:val="00A304C7"/>
    <w:rsid w:val="00A305D1"/>
    <w:rsid w:val="00A3170F"/>
    <w:rsid w:val="00A32484"/>
    <w:rsid w:val="00A32A83"/>
    <w:rsid w:val="00A32B14"/>
    <w:rsid w:val="00A32E84"/>
    <w:rsid w:val="00A33339"/>
    <w:rsid w:val="00A33C2F"/>
    <w:rsid w:val="00A33CED"/>
    <w:rsid w:val="00A347D5"/>
    <w:rsid w:val="00A34B6E"/>
    <w:rsid w:val="00A34ECA"/>
    <w:rsid w:val="00A34FB4"/>
    <w:rsid w:val="00A35017"/>
    <w:rsid w:val="00A3523B"/>
    <w:rsid w:val="00A3565C"/>
    <w:rsid w:val="00A358A0"/>
    <w:rsid w:val="00A35AFB"/>
    <w:rsid w:val="00A35C5F"/>
    <w:rsid w:val="00A35E26"/>
    <w:rsid w:val="00A36387"/>
    <w:rsid w:val="00A36756"/>
    <w:rsid w:val="00A368DB"/>
    <w:rsid w:val="00A36B8D"/>
    <w:rsid w:val="00A36F0F"/>
    <w:rsid w:val="00A412E4"/>
    <w:rsid w:val="00A41394"/>
    <w:rsid w:val="00A419F1"/>
    <w:rsid w:val="00A4238B"/>
    <w:rsid w:val="00A423AA"/>
    <w:rsid w:val="00A42AE7"/>
    <w:rsid w:val="00A434D5"/>
    <w:rsid w:val="00A4352B"/>
    <w:rsid w:val="00A43DE7"/>
    <w:rsid w:val="00A43DFB"/>
    <w:rsid w:val="00A44574"/>
    <w:rsid w:val="00A4485A"/>
    <w:rsid w:val="00A44F1C"/>
    <w:rsid w:val="00A44F54"/>
    <w:rsid w:val="00A44F6D"/>
    <w:rsid w:val="00A453D3"/>
    <w:rsid w:val="00A45FFE"/>
    <w:rsid w:val="00A501E7"/>
    <w:rsid w:val="00A5237A"/>
    <w:rsid w:val="00A5256C"/>
    <w:rsid w:val="00A52FBE"/>
    <w:rsid w:val="00A53644"/>
    <w:rsid w:val="00A5369E"/>
    <w:rsid w:val="00A53EC6"/>
    <w:rsid w:val="00A53FA4"/>
    <w:rsid w:val="00A546F6"/>
    <w:rsid w:val="00A54842"/>
    <w:rsid w:val="00A54CD2"/>
    <w:rsid w:val="00A55690"/>
    <w:rsid w:val="00A557FE"/>
    <w:rsid w:val="00A559AD"/>
    <w:rsid w:val="00A55C0F"/>
    <w:rsid w:val="00A55CE6"/>
    <w:rsid w:val="00A569E4"/>
    <w:rsid w:val="00A56A37"/>
    <w:rsid w:val="00A571A9"/>
    <w:rsid w:val="00A574A0"/>
    <w:rsid w:val="00A57927"/>
    <w:rsid w:val="00A602C2"/>
    <w:rsid w:val="00A60356"/>
    <w:rsid w:val="00A60AB1"/>
    <w:rsid w:val="00A60F25"/>
    <w:rsid w:val="00A61707"/>
    <w:rsid w:val="00A61940"/>
    <w:rsid w:val="00A61C13"/>
    <w:rsid w:val="00A624EE"/>
    <w:rsid w:val="00A633A5"/>
    <w:rsid w:val="00A64407"/>
    <w:rsid w:val="00A646CF"/>
    <w:rsid w:val="00A648BE"/>
    <w:rsid w:val="00A64BF6"/>
    <w:rsid w:val="00A64C0C"/>
    <w:rsid w:val="00A657F9"/>
    <w:rsid w:val="00A65DE5"/>
    <w:rsid w:val="00A66E39"/>
    <w:rsid w:val="00A670EB"/>
    <w:rsid w:val="00A67C83"/>
    <w:rsid w:val="00A67E16"/>
    <w:rsid w:val="00A70C59"/>
    <w:rsid w:val="00A70D47"/>
    <w:rsid w:val="00A70E1B"/>
    <w:rsid w:val="00A70F4E"/>
    <w:rsid w:val="00A7147B"/>
    <w:rsid w:val="00A715BA"/>
    <w:rsid w:val="00A71CB8"/>
    <w:rsid w:val="00A72261"/>
    <w:rsid w:val="00A728F4"/>
    <w:rsid w:val="00A72E66"/>
    <w:rsid w:val="00A72F24"/>
    <w:rsid w:val="00A73E26"/>
    <w:rsid w:val="00A74157"/>
    <w:rsid w:val="00A74205"/>
    <w:rsid w:val="00A75A4D"/>
    <w:rsid w:val="00A75CF1"/>
    <w:rsid w:val="00A76336"/>
    <w:rsid w:val="00A76746"/>
    <w:rsid w:val="00A776A7"/>
    <w:rsid w:val="00A776E4"/>
    <w:rsid w:val="00A77D1B"/>
    <w:rsid w:val="00A8057C"/>
    <w:rsid w:val="00A805DD"/>
    <w:rsid w:val="00A80CD6"/>
    <w:rsid w:val="00A80F12"/>
    <w:rsid w:val="00A81187"/>
    <w:rsid w:val="00A81560"/>
    <w:rsid w:val="00A82A34"/>
    <w:rsid w:val="00A82F8E"/>
    <w:rsid w:val="00A838B4"/>
    <w:rsid w:val="00A840B6"/>
    <w:rsid w:val="00A844FD"/>
    <w:rsid w:val="00A84F2F"/>
    <w:rsid w:val="00A853B2"/>
    <w:rsid w:val="00A85807"/>
    <w:rsid w:val="00A85EF7"/>
    <w:rsid w:val="00A8713F"/>
    <w:rsid w:val="00A872C6"/>
    <w:rsid w:val="00A909FF"/>
    <w:rsid w:val="00A90ADD"/>
    <w:rsid w:val="00A90BA1"/>
    <w:rsid w:val="00A90D7D"/>
    <w:rsid w:val="00A91A1D"/>
    <w:rsid w:val="00A91BDE"/>
    <w:rsid w:val="00A92953"/>
    <w:rsid w:val="00A9342E"/>
    <w:rsid w:val="00A939E5"/>
    <w:rsid w:val="00A93B90"/>
    <w:rsid w:val="00A93D5A"/>
    <w:rsid w:val="00A93F4D"/>
    <w:rsid w:val="00A94118"/>
    <w:rsid w:val="00A94273"/>
    <w:rsid w:val="00A95527"/>
    <w:rsid w:val="00A96357"/>
    <w:rsid w:val="00A965F4"/>
    <w:rsid w:val="00A966F7"/>
    <w:rsid w:val="00A975A4"/>
    <w:rsid w:val="00A97644"/>
    <w:rsid w:val="00A97A9A"/>
    <w:rsid w:val="00A97DFC"/>
    <w:rsid w:val="00A97E1E"/>
    <w:rsid w:val="00A97FDC"/>
    <w:rsid w:val="00AA0671"/>
    <w:rsid w:val="00AA19E5"/>
    <w:rsid w:val="00AA1D61"/>
    <w:rsid w:val="00AA2044"/>
    <w:rsid w:val="00AA2531"/>
    <w:rsid w:val="00AA27F5"/>
    <w:rsid w:val="00AA281D"/>
    <w:rsid w:val="00AA2D9A"/>
    <w:rsid w:val="00AA4B23"/>
    <w:rsid w:val="00AA4E8C"/>
    <w:rsid w:val="00AA5266"/>
    <w:rsid w:val="00AA5A73"/>
    <w:rsid w:val="00AA5F49"/>
    <w:rsid w:val="00AA6D45"/>
    <w:rsid w:val="00AA6E45"/>
    <w:rsid w:val="00AA78C4"/>
    <w:rsid w:val="00AB12ED"/>
    <w:rsid w:val="00AB1CD9"/>
    <w:rsid w:val="00AB1E09"/>
    <w:rsid w:val="00AB241E"/>
    <w:rsid w:val="00AB2463"/>
    <w:rsid w:val="00AB294D"/>
    <w:rsid w:val="00AB4A52"/>
    <w:rsid w:val="00AB52D7"/>
    <w:rsid w:val="00AB5330"/>
    <w:rsid w:val="00AB585D"/>
    <w:rsid w:val="00AB5A67"/>
    <w:rsid w:val="00AB614A"/>
    <w:rsid w:val="00AB692A"/>
    <w:rsid w:val="00AB6D7B"/>
    <w:rsid w:val="00AB72F6"/>
    <w:rsid w:val="00AB7747"/>
    <w:rsid w:val="00AC09DF"/>
    <w:rsid w:val="00AC1425"/>
    <w:rsid w:val="00AC14CE"/>
    <w:rsid w:val="00AC175A"/>
    <w:rsid w:val="00AC1B7B"/>
    <w:rsid w:val="00AC2993"/>
    <w:rsid w:val="00AC2A56"/>
    <w:rsid w:val="00AC2B0E"/>
    <w:rsid w:val="00AC31BA"/>
    <w:rsid w:val="00AC3BC7"/>
    <w:rsid w:val="00AC3C19"/>
    <w:rsid w:val="00AC3C82"/>
    <w:rsid w:val="00AC4401"/>
    <w:rsid w:val="00AC4604"/>
    <w:rsid w:val="00AC48DA"/>
    <w:rsid w:val="00AC4B47"/>
    <w:rsid w:val="00AC52AA"/>
    <w:rsid w:val="00AC54D4"/>
    <w:rsid w:val="00AC5771"/>
    <w:rsid w:val="00AC57A2"/>
    <w:rsid w:val="00AC5881"/>
    <w:rsid w:val="00AC5C5E"/>
    <w:rsid w:val="00AC5E6E"/>
    <w:rsid w:val="00AC60E6"/>
    <w:rsid w:val="00AC6D82"/>
    <w:rsid w:val="00AC71A2"/>
    <w:rsid w:val="00AC7541"/>
    <w:rsid w:val="00AC79B5"/>
    <w:rsid w:val="00AD0067"/>
    <w:rsid w:val="00AD055E"/>
    <w:rsid w:val="00AD05D6"/>
    <w:rsid w:val="00AD1E80"/>
    <w:rsid w:val="00AD23B0"/>
    <w:rsid w:val="00AD2A50"/>
    <w:rsid w:val="00AD3B63"/>
    <w:rsid w:val="00AD47A7"/>
    <w:rsid w:val="00AD4EED"/>
    <w:rsid w:val="00AD51D9"/>
    <w:rsid w:val="00AD57BF"/>
    <w:rsid w:val="00AD5B0D"/>
    <w:rsid w:val="00AD6A83"/>
    <w:rsid w:val="00AD6F85"/>
    <w:rsid w:val="00AD71E3"/>
    <w:rsid w:val="00AD7765"/>
    <w:rsid w:val="00AD7CFF"/>
    <w:rsid w:val="00AE001F"/>
    <w:rsid w:val="00AE10E3"/>
    <w:rsid w:val="00AE20AC"/>
    <w:rsid w:val="00AE2708"/>
    <w:rsid w:val="00AE284D"/>
    <w:rsid w:val="00AE2E30"/>
    <w:rsid w:val="00AE2EA6"/>
    <w:rsid w:val="00AE33D4"/>
    <w:rsid w:val="00AE3533"/>
    <w:rsid w:val="00AE375E"/>
    <w:rsid w:val="00AE50DA"/>
    <w:rsid w:val="00AE560D"/>
    <w:rsid w:val="00AE63D8"/>
    <w:rsid w:val="00AE7657"/>
    <w:rsid w:val="00AE7C29"/>
    <w:rsid w:val="00AF0676"/>
    <w:rsid w:val="00AF07A4"/>
    <w:rsid w:val="00AF0943"/>
    <w:rsid w:val="00AF0CBF"/>
    <w:rsid w:val="00AF1A56"/>
    <w:rsid w:val="00AF1C66"/>
    <w:rsid w:val="00AF1E1B"/>
    <w:rsid w:val="00AF20B8"/>
    <w:rsid w:val="00AF257F"/>
    <w:rsid w:val="00AF281A"/>
    <w:rsid w:val="00AF28A7"/>
    <w:rsid w:val="00AF30E5"/>
    <w:rsid w:val="00AF31E7"/>
    <w:rsid w:val="00AF33CF"/>
    <w:rsid w:val="00AF3448"/>
    <w:rsid w:val="00AF36E8"/>
    <w:rsid w:val="00AF3FC6"/>
    <w:rsid w:val="00AF42F9"/>
    <w:rsid w:val="00AF460C"/>
    <w:rsid w:val="00AF4785"/>
    <w:rsid w:val="00AF491A"/>
    <w:rsid w:val="00AF4D50"/>
    <w:rsid w:val="00AF5B8A"/>
    <w:rsid w:val="00AF6077"/>
    <w:rsid w:val="00AF6179"/>
    <w:rsid w:val="00AF6368"/>
    <w:rsid w:val="00AF6526"/>
    <w:rsid w:val="00AF7018"/>
    <w:rsid w:val="00AF70BB"/>
    <w:rsid w:val="00AF7125"/>
    <w:rsid w:val="00AF7B95"/>
    <w:rsid w:val="00AF7BD2"/>
    <w:rsid w:val="00AF7CBE"/>
    <w:rsid w:val="00B00035"/>
    <w:rsid w:val="00B009A4"/>
    <w:rsid w:val="00B00D27"/>
    <w:rsid w:val="00B00E4A"/>
    <w:rsid w:val="00B011DE"/>
    <w:rsid w:val="00B019C4"/>
    <w:rsid w:val="00B01A16"/>
    <w:rsid w:val="00B01BA0"/>
    <w:rsid w:val="00B01F6E"/>
    <w:rsid w:val="00B02335"/>
    <w:rsid w:val="00B02677"/>
    <w:rsid w:val="00B030A1"/>
    <w:rsid w:val="00B03752"/>
    <w:rsid w:val="00B049AF"/>
    <w:rsid w:val="00B04B6A"/>
    <w:rsid w:val="00B05339"/>
    <w:rsid w:val="00B054B1"/>
    <w:rsid w:val="00B0664C"/>
    <w:rsid w:val="00B069C8"/>
    <w:rsid w:val="00B06A17"/>
    <w:rsid w:val="00B076C3"/>
    <w:rsid w:val="00B100F8"/>
    <w:rsid w:val="00B102FC"/>
    <w:rsid w:val="00B11B68"/>
    <w:rsid w:val="00B12234"/>
    <w:rsid w:val="00B1295A"/>
    <w:rsid w:val="00B131BF"/>
    <w:rsid w:val="00B136CD"/>
    <w:rsid w:val="00B1470D"/>
    <w:rsid w:val="00B15398"/>
    <w:rsid w:val="00B15B4E"/>
    <w:rsid w:val="00B16DFF"/>
    <w:rsid w:val="00B17080"/>
    <w:rsid w:val="00B173C5"/>
    <w:rsid w:val="00B1758A"/>
    <w:rsid w:val="00B17977"/>
    <w:rsid w:val="00B17D09"/>
    <w:rsid w:val="00B20120"/>
    <w:rsid w:val="00B2026B"/>
    <w:rsid w:val="00B20A45"/>
    <w:rsid w:val="00B222B0"/>
    <w:rsid w:val="00B22424"/>
    <w:rsid w:val="00B2267A"/>
    <w:rsid w:val="00B2295D"/>
    <w:rsid w:val="00B22A07"/>
    <w:rsid w:val="00B22C5C"/>
    <w:rsid w:val="00B23128"/>
    <w:rsid w:val="00B2316F"/>
    <w:rsid w:val="00B23258"/>
    <w:rsid w:val="00B2366B"/>
    <w:rsid w:val="00B236F7"/>
    <w:rsid w:val="00B23980"/>
    <w:rsid w:val="00B23A89"/>
    <w:rsid w:val="00B2458C"/>
    <w:rsid w:val="00B24F30"/>
    <w:rsid w:val="00B2518A"/>
    <w:rsid w:val="00B25AB9"/>
    <w:rsid w:val="00B261A4"/>
    <w:rsid w:val="00B264F3"/>
    <w:rsid w:val="00B269FF"/>
    <w:rsid w:val="00B26ED8"/>
    <w:rsid w:val="00B26FE9"/>
    <w:rsid w:val="00B27845"/>
    <w:rsid w:val="00B3032C"/>
    <w:rsid w:val="00B315AD"/>
    <w:rsid w:val="00B31ABF"/>
    <w:rsid w:val="00B32420"/>
    <w:rsid w:val="00B32934"/>
    <w:rsid w:val="00B32BDA"/>
    <w:rsid w:val="00B33974"/>
    <w:rsid w:val="00B33BE3"/>
    <w:rsid w:val="00B340A5"/>
    <w:rsid w:val="00B34147"/>
    <w:rsid w:val="00B34721"/>
    <w:rsid w:val="00B348FD"/>
    <w:rsid w:val="00B34B4A"/>
    <w:rsid w:val="00B352F7"/>
    <w:rsid w:val="00B35420"/>
    <w:rsid w:val="00B3665D"/>
    <w:rsid w:val="00B374AB"/>
    <w:rsid w:val="00B37832"/>
    <w:rsid w:val="00B37AA0"/>
    <w:rsid w:val="00B37BCB"/>
    <w:rsid w:val="00B37E6A"/>
    <w:rsid w:val="00B40638"/>
    <w:rsid w:val="00B4144A"/>
    <w:rsid w:val="00B41FAF"/>
    <w:rsid w:val="00B42084"/>
    <w:rsid w:val="00B42129"/>
    <w:rsid w:val="00B4273E"/>
    <w:rsid w:val="00B42800"/>
    <w:rsid w:val="00B433D6"/>
    <w:rsid w:val="00B4450F"/>
    <w:rsid w:val="00B45847"/>
    <w:rsid w:val="00B45EC5"/>
    <w:rsid w:val="00B4620B"/>
    <w:rsid w:val="00B46550"/>
    <w:rsid w:val="00B4665A"/>
    <w:rsid w:val="00B46CC9"/>
    <w:rsid w:val="00B46D90"/>
    <w:rsid w:val="00B46FC2"/>
    <w:rsid w:val="00B472EC"/>
    <w:rsid w:val="00B50F5F"/>
    <w:rsid w:val="00B512EE"/>
    <w:rsid w:val="00B514B3"/>
    <w:rsid w:val="00B51525"/>
    <w:rsid w:val="00B51B6F"/>
    <w:rsid w:val="00B5254F"/>
    <w:rsid w:val="00B5308E"/>
    <w:rsid w:val="00B53B5D"/>
    <w:rsid w:val="00B54597"/>
    <w:rsid w:val="00B54848"/>
    <w:rsid w:val="00B5528F"/>
    <w:rsid w:val="00B5552B"/>
    <w:rsid w:val="00B5555D"/>
    <w:rsid w:val="00B5556D"/>
    <w:rsid w:val="00B55BA7"/>
    <w:rsid w:val="00B56303"/>
    <w:rsid w:val="00B5662C"/>
    <w:rsid w:val="00B56C56"/>
    <w:rsid w:val="00B56FF8"/>
    <w:rsid w:val="00B570C4"/>
    <w:rsid w:val="00B57133"/>
    <w:rsid w:val="00B6055E"/>
    <w:rsid w:val="00B60722"/>
    <w:rsid w:val="00B60DC0"/>
    <w:rsid w:val="00B6280C"/>
    <w:rsid w:val="00B62EE0"/>
    <w:rsid w:val="00B62FD2"/>
    <w:rsid w:val="00B6317D"/>
    <w:rsid w:val="00B63201"/>
    <w:rsid w:val="00B63535"/>
    <w:rsid w:val="00B643D5"/>
    <w:rsid w:val="00B64D62"/>
    <w:rsid w:val="00B65EA8"/>
    <w:rsid w:val="00B65F4F"/>
    <w:rsid w:val="00B66393"/>
    <w:rsid w:val="00B663EB"/>
    <w:rsid w:val="00B66608"/>
    <w:rsid w:val="00B67510"/>
    <w:rsid w:val="00B677CB"/>
    <w:rsid w:val="00B70437"/>
    <w:rsid w:val="00B713B4"/>
    <w:rsid w:val="00B72EEE"/>
    <w:rsid w:val="00B73F51"/>
    <w:rsid w:val="00B7417E"/>
    <w:rsid w:val="00B74406"/>
    <w:rsid w:val="00B74410"/>
    <w:rsid w:val="00B74740"/>
    <w:rsid w:val="00B75472"/>
    <w:rsid w:val="00B75904"/>
    <w:rsid w:val="00B75C67"/>
    <w:rsid w:val="00B75FA0"/>
    <w:rsid w:val="00B762B4"/>
    <w:rsid w:val="00B762C8"/>
    <w:rsid w:val="00B7649F"/>
    <w:rsid w:val="00B76F9A"/>
    <w:rsid w:val="00B7723F"/>
    <w:rsid w:val="00B773F4"/>
    <w:rsid w:val="00B77883"/>
    <w:rsid w:val="00B77A68"/>
    <w:rsid w:val="00B80018"/>
    <w:rsid w:val="00B804AC"/>
    <w:rsid w:val="00B80534"/>
    <w:rsid w:val="00B80BFD"/>
    <w:rsid w:val="00B810F6"/>
    <w:rsid w:val="00B82175"/>
    <w:rsid w:val="00B82697"/>
    <w:rsid w:val="00B82E5F"/>
    <w:rsid w:val="00B82F5D"/>
    <w:rsid w:val="00B835A6"/>
    <w:rsid w:val="00B83913"/>
    <w:rsid w:val="00B83CAE"/>
    <w:rsid w:val="00B8433C"/>
    <w:rsid w:val="00B85331"/>
    <w:rsid w:val="00B8538A"/>
    <w:rsid w:val="00B855DA"/>
    <w:rsid w:val="00B85DE5"/>
    <w:rsid w:val="00B86194"/>
    <w:rsid w:val="00B86449"/>
    <w:rsid w:val="00B86FD4"/>
    <w:rsid w:val="00B87026"/>
    <w:rsid w:val="00B87491"/>
    <w:rsid w:val="00B87C20"/>
    <w:rsid w:val="00B90453"/>
    <w:rsid w:val="00B904CB"/>
    <w:rsid w:val="00B9085F"/>
    <w:rsid w:val="00B9121D"/>
    <w:rsid w:val="00B91459"/>
    <w:rsid w:val="00B91C4D"/>
    <w:rsid w:val="00B92742"/>
    <w:rsid w:val="00B92B22"/>
    <w:rsid w:val="00B92E05"/>
    <w:rsid w:val="00B93098"/>
    <w:rsid w:val="00B9419F"/>
    <w:rsid w:val="00B9559E"/>
    <w:rsid w:val="00B965A3"/>
    <w:rsid w:val="00B96C8B"/>
    <w:rsid w:val="00B96F16"/>
    <w:rsid w:val="00BA07B0"/>
    <w:rsid w:val="00BA0E8C"/>
    <w:rsid w:val="00BA1C77"/>
    <w:rsid w:val="00BA29E9"/>
    <w:rsid w:val="00BA2C89"/>
    <w:rsid w:val="00BA395C"/>
    <w:rsid w:val="00BA3964"/>
    <w:rsid w:val="00BA41A5"/>
    <w:rsid w:val="00BA4208"/>
    <w:rsid w:val="00BA52F9"/>
    <w:rsid w:val="00BA5AA9"/>
    <w:rsid w:val="00BA6839"/>
    <w:rsid w:val="00BA6C00"/>
    <w:rsid w:val="00BA7142"/>
    <w:rsid w:val="00BA744A"/>
    <w:rsid w:val="00BA7AF3"/>
    <w:rsid w:val="00BA7DC8"/>
    <w:rsid w:val="00BB0146"/>
    <w:rsid w:val="00BB0410"/>
    <w:rsid w:val="00BB0681"/>
    <w:rsid w:val="00BB0B49"/>
    <w:rsid w:val="00BB22B1"/>
    <w:rsid w:val="00BB237C"/>
    <w:rsid w:val="00BB25C2"/>
    <w:rsid w:val="00BB29B8"/>
    <w:rsid w:val="00BB2AF3"/>
    <w:rsid w:val="00BB39FB"/>
    <w:rsid w:val="00BB41A3"/>
    <w:rsid w:val="00BB4308"/>
    <w:rsid w:val="00BB4556"/>
    <w:rsid w:val="00BB4DCE"/>
    <w:rsid w:val="00BB567C"/>
    <w:rsid w:val="00BB647E"/>
    <w:rsid w:val="00BB6637"/>
    <w:rsid w:val="00BB663A"/>
    <w:rsid w:val="00BB69A0"/>
    <w:rsid w:val="00BB7512"/>
    <w:rsid w:val="00BB77E8"/>
    <w:rsid w:val="00BB7B63"/>
    <w:rsid w:val="00BB7C43"/>
    <w:rsid w:val="00BC003F"/>
    <w:rsid w:val="00BC03EA"/>
    <w:rsid w:val="00BC14FB"/>
    <w:rsid w:val="00BC2318"/>
    <w:rsid w:val="00BC2A55"/>
    <w:rsid w:val="00BC2F7C"/>
    <w:rsid w:val="00BC30DA"/>
    <w:rsid w:val="00BC32DC"/>
    <w:rsid w:val="00BC35B6"/>
    <w:rsid w:val="00BC38D4"/>
    <w:rsid w:val="00BC44BF"/>
    <w:rsid w:val="00BC465F"/>
    <w:rsid w:val="00BC635D"/>
    <w:rsid w:val="00BC6A9D"/>
    <w:rsid w:val="00BC6AFD"/>
    <w:rsid w:val="00BC7003"/>
    <w:rsid w:val="00BC7A0B"/>
    <w:rsid w:val="00BD009A"/>
    <w:rsid w:val="00BD0113"/>
    <w:rsid w:val="00BD02B6"/>
    <w:rsid w:val="00BD1471"/>
    <w:rsid w:val="00BD1B51"/>
    <w:rsid w:val="00BD2B39"/>
    <w:rsid w:val="00BD2F38"/>
    <w:rsid w:val="00BD3303"/>
    <w:rsid w:val="00BD339D"/>
    <w:rsid w:val="00BD3463"/>
    <w:rsid w:val="00BD4596"/>
    <w:rsid w:val="00BD52D2"/>
    <w:rsid w:val="00BD5552"/>
    <w:rsid w:val="00BD5820"/>
    <w:rsid w:val="00BD5BAE"/>
    <w:rsid w:val="00BD6099"/>
    <w:rsid w:val="00BD6A91"/>
    <w:rsid w:val="00BD6B21"/>
    <w:rsid w:val="00BD701A"/>
    <w:rsid w:val="00BD7AD6"/>
    <w:rsid w:val="00BD7C90"/>
    <w:rsid w:val="00BD7CAF"/>
    <w:rsid w:val="00BE03A1"/>
    <w:rsid w:val="00BE06B2"/>
    <w:rsid w:val="00BE1405"/>
    <w:rsid w:val="00BE1A79"/>
    <w:rsid w:val="00BE2040"/>
    <w:rsid w:val="00BE243E"/>
    <w:rsid w:val="00BE264C"/>
    <w:rsid w:val="00BE2EF9"/>
    <w:rsid w:val="00BE312D"/>
    <w:rsid w:val="00BE32FA"/>
    <w:rsid w:val="00BE35BA"/>
    <w:rsid w:val="00BE368A"/>
    <w:rsid w:val="00BE3786"/>
    <w:rsid w:val="00BE4808"/>
    <w:rsid w:val="00BE4836"/>
    <w:rsid w:val="00BE49D8"/>
    <w:rsid w:val="00BE4A04"/>
    <w:rsid w:val="00BE75B9"/>
    <w:rsid w:val="00BE78BB"/>
    <w:rsid w:val="00BE7BC8"/>
    <w:rsid w:val="00BE7BDB"/>
    <w:rsid w:val="00BE7E1E"/>
    <w:rsid w:val="00BE7EDF"/>
    <w:rsid w:val="00BF0356"/>
    <w:rsid w:val="00BF0375"/>
    <w:rsid w:val="00BF0BBE"/>
    <w:rsid w:val="00BF1677"/>
    <w:rsid w:val="00BF1C20"/>
    <w:rsid w:val="00BF2C9A"/>
    <w:rsid w:val="00BF4DA1"/>
    <w:rsid w:val="00BF5011"/>
    <w:rsid w:val="00BF5942"/>
    <w:rsid w:val="00BF6146"/>
    <w:rsid w:val="00BF6167"/>
    <w:rsid w:val="00BF650F"/>
    <w:rsid w:val="00BF6512"/>
    <w:rsid w:val="00BF6728"/>
    <w:rsid w:val="00BF6914"/>
    <w:rsid w:val="00BF6F3C"/>
    <w:rsid w:val="00BF7381"/>
    <w:rsid w:val="00BF769E"/>
    <w:rsid w:val="00BF78E8"/>
    <w:rsid w:val="00C001A0"/>
    <w:rsid w:val="00C00826"/>
    <w:rsid w:val="00C008C6"/>
    <w:rsid w:val="00C008C7"/>
    <w:rsid w:val="00C01FCB"/>
    <w:rsid w:val="00C021C5"/>
    <w:rsid w:val="00C02A3D"/>
    <w:rsid w:val="00C03225"/>
    <w:rsid w:val="00C0343B"/>
    <w:rsid w:val="00C03F82"/>
    <w:rsid w:val="00C045A3"/>
    <w:rsid w:val="00C04A42"/>
    <w:rsid w:val="00C05C86"/>
    <w:rsid w:val="00C05CFC"/>
    <w:rsid w:val="00C07796"/>
    <w:rsid w:val="00C07C4E"/>
    <w:rsid w:val="00C07EC6"/>
    <w:rsid w:val="00C10578"/>
    <w:rsid w:val="00C1059B"/>
    <w:rsid w:val="00C1090E"/>
    <w:rsid w:val="00C109BF"/>
    <w:rsid w:val="00C10A26"/>
    <w:rsid w:val="00C10AA4"/>
    <w:rsid w:val="00C10E6D"/>
    <w:rsid w:val="00C10E7C"/>
    <w:rsid w:val="00C10F09"/>
    <w:rsid w:val="00C112F1"/>
    <w:rsid w:val="00C11CD6"/>
    <w:rsid w:val="00C12755"/>
    <w:rsid w:val="00C12A4B"/>
    <w:rsid w:val="00C13144"/>
    <w:rsid w:val="00C135BC"/>
    <w:rsid w:val="00C13C4E"/>
    <w:rsid w:val="00C1452B"/>
    <w:rsid w:val="00C14AE2"/>
    <w:rsid w:val="00C14B94"/>
    <w:rsid w:val="00C14F27"/>
    <w:rsid w:val="00C15C95"/>
    <w:rsid w:val="00C163F4"/>
    <w:rsid w:val="00C167A6"/>
    <w:rsid w:val="00C16A77"/>
    <w:rsid w:val="00C1748C"/>
    <w:rsid w:val="00C17562"/>
    <w:rsid w:val="00C20AFF"/>
    <w:rsid w:val="00C20F69"/>
    <w:rsid w:val="00C2199B"/>
    <w:rsid w:val="00C21D2A"/>
    <w:rsid w:val="00C22383"/>
    <w:rsid w:val="00C2263E"/>
    <w:rsid w:val="00C2267D"/>
    <w:rsid w:val="00C22CA3"/>
    <w:rsid w:val="00C22E1A"/>
    <w:rsid w:val="00C234BB"/>
    <w:rsid w:val="00C237B9"/>
    <w:rsid w:val="00C23956"/>
    <w:rsid w:val="00C2464D"/>
    <w:rsid w:val="00C246C2"/>
    <w:rsid w:val="00C254A3"/>
    <w:rsid w:val="00C2577C"/>
    <w:rsid w:val="00C2596A"/>
    <w:rsid w:val="00C25982"/>
    <w:rsid w:val="00C25A85"/>
    <w:rsid w:val="00C25ABD"/>
    <w:rsid w:val="00C25D21"/>
    <w:rsid w:val="00C260C6"/>
    <w:rsid w:val="00C26E9B"/>
    <w:rsid w:val="00C27537"/>
    <w:rsid w:val="00C2756F"/>
    <w:rsid w:val="00C27A32"/>
    <w:rsid w:val="00C27C19"/>
    <w:rsid w:val="00C30B44"/>
    <w:rsid w:val="00C30DC9"/>
    <w:rsid w:val="00C31018"/>
    <w:rsid w:val="00C31BAD"/>
    <w:rsid w:val="00C328FE"/>
    <w:rsid w:val="00C32FBB"/>
    <w:rsid w:val="00C33507"/>
    <w:rsid w:val="00C3384D"/>
    <w:rsid w:val="00C342D5"/>
    <w:rsid w:val="00C344AF"/>
    <w:rsid w:val="00C36DD4"/>
    <w:rsid w:val="00C373F7"/>
    <w:rsid w:val="00C37A2D"/>
    <w:rsid w:val="00C37D0F"/>
    <w:rsid w:val="00C37FC1"/>
    <w:rsid w:val="00C4094F"/>
    <w:rsid w:val="00C410A6"/>
    <w:rsid w:val="00C427B8"/>
    <w:rsid w:val="00C42AF4"/>
    <w:rsid w:val="00C4306B"/>
    <w:rsid w:val="00C430EC"/>
    <w:rsid w:val="00C43138"/>
    <w:rsid w:val="00C4317A"/>
    <w:rsid w:val="00C43C56"/>
    <w:rsid w:val="00C4409D"/>
    <w:rsid w:val="00C44545"/>
    <w:rsid w:val="00C44BDF"/>
    <w:rsid w:val="00C44E72"/>
    <w:rsid w:val="00C4574B"/>
    <w:rsid w:val="00C4587C"/>
    <w:rsid w:val="00C45A06"/>
    <w:rsid w:val="00C46A3D"/>
    <w:rsid w:val="00C4729F"/>
    <w:rsid w:val="00C47E5B"/>
    <w:rsid w:val="00C47F18"/>
    <w:rsid w:val="00C50460"/>
    <w:rsid w:val="00C506B4"/>
    <w:rsid w:val="00C514EF"/>
    <w:rsid w:val="00C51963"/>
    <w:rsid w:val="00C52569"/>
    <w:rsid w:val="00C5273F"/>
    <w:rsid w:val="00C5359F"/>
    <w:rsid w:val="00C5371C"/>
    <w:rsid w:val="00C537AB"/>
    <w:rsid w:val="00C53C69"/>
    <w:rsid w:val="00C53FAC"/>
    <w:rsid w:val="00C54C56"/>
    <w:rsid w:val="00C54DBD"/>
    <w:rsid w:val="00C55BF4"/>
    <w:rsid w:val="00C56259"/>
    <w:rsid w:val="00C5677F"/>
    <w:rsid w:val="00C60571"/>
    <w:rsid w:val="00C6064A"/>
    <w:rsid w:val="00C6068F"/>
    <w:rsid w:val="00C60E9E"/>
    <w:rsid w:val="00C61E4B"/>
    <w:rsid w:val="00C62643"/>
    <w:rsid w:val="00C6325B"/>
    <w:rsid w:val="00C636E7"/>
    <w:rsid w:val="00C6394D"/>
    <w:rsid w:val="00C63C08"/>
    <w:rsid w:val="00C63C2E"/>
    <w:rsid w:val="00C643E3"/>
    <w:rsid w:val="00C64BFF"/>
    <w:rsid w:val="00C65B98"/>
    <w:rsid w:val="00C6617A"/>
    <w:rsid w:val="00C6659B"/>
    <w:rsid w:val="00C66D8A"/>
    <w:rsid w:val="00C6786E"/>
    <w:rsid w:val="00C67A66"/>
    <w:rsid w:val="00C67C94"/>
    <w:rsid w:val="00C7044B"/>
    <w:rsid w:val="00C704D3"/>
    <w:rsid w:val="00C704E9"/>
    <w:rsid w:val="00C7086C"/>
    <w:rsid w:val="00C70B14"/>
    <w:rsid w:val="00C714A2"/>
    <w:rsid w:val="00C71619"/>
    <w:rsid w:val="00C718FF"/>
    <w:rsid w:val="00C7231F"/>
    <w:rsid w:val="00C72B71"/>
    <w:rsid w:val="00C72BF8"/>
    <w:rsid w:val="00C73059"/>
    <w:rsid w:val="00C734BC"/>
    <w:rsid w:val="00C7408D"/>
    <w:rsid w:val="00C7472E"/>
    <w:rsid w:val="00C74F25"/>
    <w:rsid w:val="00C752F3"/>
    <w:rsid w:val="00C75502"/>
    <w:rsid w:val="00C7597A"/>
    <w:rsid w:val="00C75D1F"/>
    <w:rsid w:val="00C75D30"/>
    <w:rsid w:val="00C763C9"/>
    <w:rsid w:val="00C7664F"/>
    <w:rsid w:val="00C76B1D"/>
    <w:rsid w:val="00C77D58"/>
    <w:rsid w:val="00C80057"/>
    <w:rsid w:val="00C805A7"/>
    <w:rsid w:val="00C80A5A"/>
    <w:rsid w:val="00C80F9B"/>
    <w:rsid w:val="00C81889"/>
    <w:rsid w:val="00C81A2F"/>
    <w:rsid w:val="00C82232"/>
    <w:rsid w:val="00C826EC"/>
    <w:rsid w:val="00C82913"/>
    <w:rsid w:val="00C82E4D"/>
    <w:rsid w:val="00C849F2"/>
    <w:rsid w:val="00C84CF9"/>
    <w:rsid w:val="00C852C4"/>
    <w:rsid w:val="00C8543F"/>
    <w:rsid w:val="00C85AE5"/>
    <w:rsid w:val="00C85E20"/>
    <w:rsid w:val="00C863A0"/>
    <w:rsid w:val="00C8649F"/>
    <w:rsid w:val="00C86B8F"/>
    <w:rsid w:val="00C903F7"/>
    <w:rsid w:val="00C9077B"/>
    <w:rsid w:val="00C90910"/>
    <w:rsid w:val="00C909CC"/>
    <w:rsid w:val="00C90CA1"/>
    <w:rsid w:val="00C91392"/>
    <w:rsid w:val="00C9170C"/>
    <w:rsid w:val="00C92AC8"/>
    <w:rsid w:val="00C934A0"/>
    <w:rsid w:val="00C93EC1"/>
    <w:rsid w:val="00C943AE"/>
    <w:rsid w:val="00C9450C"/>
    <w:rsid w:val="00C95F15"/>
    <w:rsid w:val="00C95FF0"/>
    <w:rsid w:val="00C9609F"/>
    <w:rsid w:val="00C96F83"/>
    <w:rsid w:val="00C972B1"/>
    <w:rsid w:val="00CA10F4"/>
    <w:rsid w:val="00CA1340"/>
    <w:rsid w:val="00CA1A54"/>
    <w:rsid w:val="00CA1DA0"/>
    <w:rsid w:val="00CA2CCE"/>
    <w:rsid w:val="00CA2ED4"/>
    <w:rsid w:val="00CA337E"/>
    <w:rsid w:val="00CA3389"/>
    <w:rsid w:val="00CA384C"/>
    <w:rsid w:val="00CA3BB0"/>
    <w:rsid w:val="00CA4099"/>
    <w:rsid w:val="00CA43FD"/>
    <w:rsid w:val="00CA4C1A"/>
    <w:rsid w:val="00CA5530"/>
    <w:rsid w:val="00CA671C"/>
    <w:rsid w:val="00CA6EA2"/>
    <w:rsid w:val="00CA74F1"/>
    <w:rsid w:val="00CA7AFD"/>
    <w:rsid w:val="00CA7CDE"/>
    <w:rsid w:val="00CA7EF8"/>
    <w:rsid w:val="00CB000B"/>
    <w:rsid w:val="00CB06B5"/>
    <w:rsid w:val="00CB1985"/>
    <w:rsid w:val="00CB2192"/>
    <w:rsid w:val="00CB2AB8"/>
    <w:rsid w:val="00CB361B"/>
    <w:rsid w:val="00CB375D"/>
    <w:rsid w:val="00CB375F"/>
    <w:rsid w:val="00CB3868"/>
    <w:rsid w:val="00CB394A"/>
    <w:rsid w:val="00CB4598"/>
    <w:rsid w:val="00CB5FF5"/>
    <w:rsid w:val="00CB6027"/>
    <w:rsid w:val="00CB6434"/>
    <w:rsid w:val="00CB67D6"/>
    <w:rsid w:val="00CB6BD9"/>
    <w:rsid w:val="00CB75E0"/>
    <w:rsid w:val="00CB75FF"/>
    <w:rsid w:val="00CB7B32"/>
    <w:rsid w:val="00CB7DF0"/>
    <w:rsid w:val="00CC01BF"/>
    <w:rsid w:val="00CC01E1"/>
    <w:rsid w:val="00CC0B09"/>
    <w:rsid w:val="00CC0C67"/>
    <w:rsid w:val="00CC12FA"/>
    <w:rsid w:val="00CC282E"/>
    <w:rsid w:val="00CC2A9B"/>
    <w:rsid w:val="00CC2CC1"/>
    <w:rsid w:val="00CC2E61"/>
    <w:rsid w:val="00CC35DB"/>
    <w:rsid w:val="00CC4155"/>
    <w:rsid w:val="00CC437D"/>
    <w:rsid w:val="00CC489B"/>
    <w:rsid w:val="00CC493F"/>
    <w:rsid w:val="00CC6776"/>
    <w:rsid w:val="00CC73EF"/>
    <w:rsid w:val="00CC7496"/>
    <w:rsid w:val="00CD11FF"/>
    <w:rsid w:val="00CD152D"/>
    <w:rsid w:val="00CD1767"/>
    <w:rsid w:val="00CD19CB"/>
    <w:rsid w:val="00CD2467"/>
    <w:rsid w:val="00CD2777"/>
    <w:rsid w:val="00CD2BCD"/>
    <w:rsid w:val="00CD3A4C"/>
    <w:rsid w:val="00CD3ED2"/>
    <w:rsid w:val="00CD48EA"/>
    <w:rsid w:val="00CD4D51"/>
    <w:rsid w:val="00CD4EA8"/>
    <w:rsid w:val="00CD5294"/>
    <w:rsid w:val="00CD53E1"/>
    <w:rsid w:val="00CD58DD"/>
    <w:rsid w:val="00CD5BA5"/>
    <w:rsid w:val="00CD62A9"/>
    <w:rsid w:val="00CD664B"/>
    <w:rsid w:val="00CD68F8"/>
    <w:rsid w:val="00CD7983"/>
    <w:rsid w:val="00CD79CC"/>
    <w:rsid w:val="00CE06E9"/>
    <w:rsid w:val="00CE0E78"/>
    <w:rsid w:val="00CE0F4A"/>
    <w:rsid w:val="00CE10E9"/>
    <w:rsid w:val="00CE1662"/>
    <w:rsid w:val="00CE18C0"/>
    <w:rsid w:val="00CE1A0B"/>
    <w:rsid w:val="00CE2910"/>
    <w:rsid w:val="00CE357D"/>
    <w:rsid w:val="00CE43F8"/>
    <w:rsid w:val="00CE4494"/>
    <w:rsid w:val="00CE4A1B"/>
    <w:rsid w:val="00CE5393"/>
    <w:rsid w:val="00CE5AA9"/>
    <w:rsid w:val="00CE5B0D"/>
    <w:rsid w:val="00CE6945"/>
    <w:rsid w:val="00CE6EB9"/>
    <w:rsid w:val="00CE7108"/>
    <w:rsid w:val="00CE7560"/>
    <w:rsid w:val="00CE7783"/>
    <w:rsid w:val="00CE7F4C"/>
    <w:rsid w:val="00CF0975"/>
    <w:rsid w:val="00CF1B89"/>
    <w:rsid w:val="00CF21AC"/>
    <w:rsid w:val="00CF24B8"/>
    <w:rsid w:val="00CF27CB"/>
    <w:rsid w:val="00CF29B4"/>
    <w:rsid w:val="00CF2B38"/>
    <w:rsid w:val="00CF2F50"/>
    <w:rsid w:val="00CF3154"/>
    <w:rsid w:val="00CF36BE"/>
    <w:rsid w:val="00CF3A2B"/>
    <w:rsid w:val="00CF40E0"/>
    <w:rsid w:val="00CF4917"/>
    <w:rsid w:val="00CF5242"/>
    <w:rsid w:val="00CF5B01"/>
    <w:rsid w:val="00CF6000"/>
    <w:rsid w:val="00CF6093"/>
    <w:rsid w:val="00CF6191"/>
    <w:rsid w:val="00D003F3"/>
    <w:rsid w:val="00D0179A"/>
    <w:rsid w:val="00D01B68"/>
    <w:rsid w:val="00D02390"/>
    <w:rsid w:val="00D033B4"/>
    <w:rsid w:val="00D0364F"/>
    <w:rsid w:val="00D03A30"/>
    <w:rsid w:val="00D03BCD"/>
    <w:rsid w:val="00D04050"/>
    <w:rsid w:val="00D04760"/>
    <w:rsid w:val="00D04B71"/>
    <w:rsid w:val="00D053CD"/>
    <w:rsid w:val="00D0627C"/>
    <w:rsid w:val="00D066AA"/>
    <w:rsid w:val="00D06715"/>
    <w:rsid w:val="00D06834"/>
    <w:rsid w:val="00D0713B"/>
    <w:rsid w:val="00D07841"/>
    <w:rsid w:val="00D07D65"/>
    <w:rsid w:val="00D10395"/>
    <w:rsid w:val="00D1071F"/>
    <w:rsid w:val="00D1139A"/>
    <w:rsid w:val="00D1164F"/>
    <w:rsid w:val="00D12724"/>
    <w:rsid w:val="00D12BE7"/>
    <w:rsid w:val="00D12D6F"/>
    <w:rsid w:val="00D146B5"/>
    <w:rsid w:val="00D154DE"/>
    <w:rsid w:val="00D165D1"/>
    <w:rsid w:val="00D1691C"/>
    <w:rsid w:val="00D20B55"/>
    <w:rsid w:val="00D2127F"/>
    <w:rsid w:val="00D21AE3"/>
    <w:rsid w:val="00D2226A"/>
    <w:rsid w:val="00D22B53"/>
    <w:rsid w:val="00D2307C"/>
    <w:rsid w:val="00D23E21"/>
    <w:rsid w:val="00D24766"/>
    <w:rsid w:val="00D24905"/>
    <w:rsid w:val="00D2509C"/>
    <w:rsid w:val="00D2529E"/>
    <w:rsid w:val="00D258E4"/>
    <w:rsid w:val="00D25D2A"/>
    <w:rsid w:val="00D27307"/>
    <w:rsid w:val="00D273E4"/>
    <w:rsid w:val="00D27A34"/>
    <w:rsid w:val="00D27B3E"/>
    <w:rsid w:val="00D27C3B"/>
    <w:rsid w:val="00D27DA3"/>
    <w:rsid w:val="00D27FD4"/>
    <w:rsid w:val="00D3032C"/>
    <w:rsid w:val="00D308ED"/>
    <w:rsid w:val="00D30D9C"/>
    <w:rsid w:val="00D31E13"/>
    <w:rsid w:val="00D3259E"/>
    <w:rsid w:val="00D33372"/>
    <w:rsid w:val="00D33650"/>
    <w:rsid w:val="00D33886"/>
    <w:rsid w:val="00D33DA2"/>
    <w:rsid w:val="00D33F34"/>
    <w:rsid w:val="00D34289"/>
    <w:rsid w:val="00D35266"/>
    <w:rsid w:val="00D3542B"/>
    <w:rsid w:val="00D35C78"/>
    <w:rsid w:val="00D35FFA"/>
    <w:rsid w:val="00D36CF1"/>
    <w:rsid w:val="00D36D86"/>
    <w:rsid w:val="00D371C1"/>
    <w:rsid w:val="00D374C9"/>
    <w:rsid w:val="00D375FA"/>
    <w:rsid w:val="00D404D4"/>
    <w:rsid w:val="00D416A6"/>
    <w:rsid w:val="00D41706"/>
    <w:rsid w:val="00D41750"/>
    <w:rsid w:val="00D41C11"/>
    <w:rsid w:val="00D4286D"/>
    <w:rsid w:val="00D428AA"/>
    <w:rsid w:val="00D4290E"/>
    <w:rsid w:val="00D42E4D"/>
    <w:rsid w:val="00D42FAC"/>
    <w:rsid w:val="00D434B0"/>
    <w:rsid w:val="00D446D9"/>
    <w:rsid w:val="00D44B7A"/>
    <w:rsid w:val="00D44C73"/>
    <w:rsid w:val="00D455B1"/>
    <w:rsid w:val="00D462BB"/>
    <w:rsid w:val="00D46513"/>
    <w:rsid w:val="00D466AC"/>
    <w:rsid w:val="00D4681F"/>
    <w:rsid w:val="00D472C0"/>
    <w:rsid w:val="00D474DA"/>
    <w:rsid w:val="00D477B2"/>
    <w:rsid w:val="00D478D8"/>
    <w:rsid w:val="00D47BCC"/>
    <w:rsid w:val="00D47F8B"/>
    <w:rsid w:val="00D506B8"/>
    <w:rsid w:val="00D507A0"/>
    <w:rsid w:val="00D50A34"/>
    <w:rsid w:val="00D50E0D"/>
    <w:rsid w:val="00D52235"/>
    <w:rsid w:val="00D52845"/>
    <w:rsid w:val="00D53AF5"/>
    <w:rsid w:val="00D53EFA"/>
    <w:rsid w:val="00D544D0"/>
    <w:rsid w:val="00D54B1F"/>
    <w:rsid w:val="00D55361"/>
    <w:rsid w:val="00D562D4"/>
    <w:rsid w:val="00D56674"/>
    <w:rsid w:val="00D56A5F"/>
    <w:rsid w:val="00D56A97"/>
    <w:rsid w:val="00D603C7"/>
    <w:rsid w:val="00D6172B"/>
    <w:rsid w:val="00D61BC9"/>
    <w:rsid w:val="00D61C9F"/>
    <w:rsid w:val="00D61F3B"/>
    <w:rsid w:val="00D623D4"/>
    <w:rsid w:val="00D6242F"/>
    <w:rsid w:val="00D6275C"/>
    <w:rsid w:val="00D62F4D"/>
    <w:rsid w:val="00D634F8"/>
    <w:rsid w:val="00D63C7F"/>
    <w:rsid w:val="00D64243"/>
    <w:rsid w:val="00D64AD5"/>
    <w:rsid w:val="00D64C38"/>
    <w:rsid w:val="00D65312"/>
    <w:rsid w:val="00D663E0"/>
    <w:rsid w:val="00D669BB"/>
    <w:rsid w:val="00D67438"/>
    <w:rsid w:val="00D67659"/>
    <w:rsid w:val="00D70576"/>
    <w:rsid w:val="00D7098D"/>
    <w:rsid w:val="00D70A3E"/>
    <w:rsid w:val="00D712D4"/>
    <w:rsid w:val="00D71517"/>
    <w:rsid w:val="00D716AB"/>
    <w:rsid w:val="00D719DF"/>
    <w:rsid w:val="00D71D3D"/>
    <w:rsid w:val="00D71DFD"/>
    <w:rsid w:val="00D72E06"/>
    <w:rsid w:val="00D73DBE"/>
    <w:rsid w:val="00D74105"/>
    <w:rsid w:val="00D7654A"/>
    <w:rsid w:val="00D76655"/>
    <w:rsid w:val="00D76FB6"/>
    <w:rsid w:val="00D77285"/>
    <w:rsid w:val="00D7765B"/>
    <w:rsid w:val="00D77BFE"/>
    <w:rsid w:val="00D80022"/>
    <w:rsid w:val="00D80253"/>
    <w:rsid w:val="00D807AF"/>
    <w:rsid w:val="00D81285"/>
    <w:rsid w:val="00D815E9"/>
    <w:rsid w:val="00D8171F"/>
    <w:rsid w:val="00D81E78"/>
    <w:rsid w:val="00D83597"/>
    <w:rsid w:val="00D83662"/>
    <w:rsid w:val="00D8441E"/>
    <w:rsid w:val="00D84AEF"/>
    <w:rsid w:val="00D86DB8"/>
    <w:rsid w:val="00D86EA7"/>
    <w:rsid w:val="00D8712D"/>
    <w:rsid w:val="00D8721F"/>
    <w:rsid w:val="00D906A6"/>
    <w:rsid w:val="00D91DA2"/>
    <w:rsid w:val="00D91E1F"/>
    <w:rsid w:val="00D91F62"/>
    <w:rsid w:val="00D91FF5"/>
    <w:rsid w:val="00D92775"/>
    <w:rsid w:val="00D92CF9"/>
    <w:rsid w:val="00D92FCF"/>
    <w:rsid w:val="00D93409"/>
    <w:rsid w:val="00D938EC"/>
    <w:rsid w:val="00D93C0E"/>
    <w:rsid w:val="00D94157"/>
    <w:rsid w:val="00D941A7"/>
    <w:rsid w:val="00D94957"/>
    <w:rsid w:val="00D949FF"/>
    <w:rsid w:val="00D94A7C"/>
    <w:rsid w:val="00D95896"/>
    <w:rsid w:val="00D95C85"/>
    <w:rsid w:val="00D970F8"/>
    <w:rsid w:val="00D9752D"/>
    <w:rsid w:val="00D97C7E"/>
    <w:rsid w:val="00D97CD3"/>
    <w:rsid w:val="00DA01A7"/>
    <w:rsid w:val="00DA0752"/>
    <w:rsid w:val="00DA120C"/>
    <w:rsid w:val="00DA1510"/>
    <w:rsid w:val="00DA1CD5"/>
    <w:rsid w:val="00DA279F"/>
    <w:rsid w:val="00DA3019"/>
    <w:rsid w:val="00DA32A9"/>
    <w:rsid w:val="00DA3569"/>
    <w:rsid w:val="00DA36E2"/>
    <w:rsid w:val="00DA3774"/>
    <w:rsid w:val="00DA4378"/>
    <w:rsid w:val="00DA4AAD"/>
    <w:rsid w:val="00DA5083"/>
    <w:rsid w:val="00DA5206"/>
    <w:rsid w:val="00DA55B8"/>
    <w:rsid w:val="00DA5899"/>
    <w:rsid w:val="00DA5A3E"/>
    <w:rsid w:val="00DA5CAD"/>
    <w:rsid w:val="00DA5EC2"/>
    <w:rsid w:val="00DA7381"/>
    <w:rsid w:val="00DA785E"/>
    <w:rsid w:val="00DB1D77"/>
    <w:rsid w:val="00DB27D3"/>
    <w:rsid w:val="00DB2983"/>
    <w:rsid w:val="00DB3355"/>
    <w:rsid w:val="00DB33E6"/>
    <w:rsid w:val="00DB4550"/>
    <w:rsid w:val="00DB47A6"/>
    <w:rsid w:val="00DB4CA8"/>
    <w:rsid w:val="00DB57E2"/>
    <w:rsid w:val="00DB6CD7"/>
    <w:rsid w:val="00DB7142"/>
    <w:rsid w:val="00DB7BA8"/>
    <w:rsid w:val="00DB7CE1"/>
    <w:rsid w:val="00DC079B"/>
    <w:rsid w:val="00DC1257"/>
    <w:rsid w:val="00DC1D62"/>
    <w:rsid w:val="00DC1FA3"/>
    <w:rsid w:val="00DC2C8F"/>
    <w:rsid w:val="00DC2CFC"/>
    <w:rsid w:val="00DC3088"/>
    <w:rsid w:val="00DC32F8"/>
    <w:rsid w:val="00DC340A"/>
    <w:rsid w:val="00DC3B42"/>
    <w:rsid w:val="00DC3DC0"/>
    <w:rsid w:val="00DC449B"/>
    <w:rsid w:val="00DC4612"/>
    <w:rsid w:val="00DC46BC"/>
    <w:rsid w:val="00DC4DA7"/>
    <w:rsid w:val="00DC4E37"/>
    <w:rsid w:val="00DC5942"/>
    <w:rsid w:val="00DC5B2B"/>
    <w:rsid w:val="00DC6941"/>
    <w:rsid w:val="00DC74C9"/>
    <w:rsid w:val="00DD0394"/>
    <w:rsid w:val="00DD066C"/>
    <w:rsid w:val="00DD06A8"/>
    <w:rsid w:val="00DD07F7"/>
    <w:rsid w:val="00DD1B0A"/>
    <w:rsid w:val="00DD1EB0"/>
    <w:rsid w:val="00DD2022"/>
    <w:rsid w:val="00DD2C49"/>
    <w:rsid w:val="00DD2F7E"/>
    <w:rsid w:val="00DD318D"/>
    <w:rsid w:val="00DD33EC"/>
    <w:rsid w:val="00DD3DEC"/>
    <w:rsid w:val="00DD3E29"/>
    <w:rsid w:val="00DD40CF"/>
    <w:rsid w:val="00DD4F37"/>
    <w:rsid w:val="00DD534D"/>
    <w:rsid w:val="00DD55D6"/>
    <w:rsid w:val="00DD5944"/>
    <w:rsid w:val="00DD61D5"/>
    <w:rsid w:val="00DD695E"/>
    <w:rsid w:val="00DD6EB7"/>
    <w:rsid w:val="00DD6F9C"/>
    <w:rsid w:val="00DD775E"/>
    <w:rsid w:val="00DD7CC4"/>
    <w:rsid w:val="00DE0630"/>
    <w:rsid w:val="00DE15C6"/>
    <w:rsid w:val="00DE27A8"/>
    <w:rsid w:val="00DE289F"/>
    <w:rsid w:val="00DE2B4E"/>
    <w:rsid w:val="00DE3565"/>
    <w:rsid w:val="00DE439A"/>
    <w:rsid w:val="00DE440E"/>
    <w:rsid w:val="00DE4B68"/>
    <w:rsid w:val="00DE54B6"/>
    <w:rsid w:val="00DE556E"/>
    <w:rsid w:val="00DE5AB7"/>
    <w:rsid w:val="00DE6338"/>
    <w:rsid w:val="00DE6449"/>
    <w:rsid w:val="00DE7375"/>
    <w:rsid w:val="00DE73E8"/>
    <w:rsid w:val="00DE772D"/>
    <w:rsid w:val="00DE7A45"/>
    <w:rsid w:val="00DE7DA5"/>
    <w:rsid w:val="00DF13A8"/>
    <w:rsid w:val="00DF1503"/>
    <w:rsid w:val="00DF171A"/>
    <w:rsid w:val="00DF1B66"/>
    <w:rsid w:val="00DF1C36"/>
    <w:rsid w:val="00DF1D73"/>
    <w:rsid w:val="00DF20E7"/>
    <w:rsid w:val="00DF27F6"/>
    <w:rsid w:val="00DF2BB7"/>
    <w:rsid w:val="00DF2E12"/>
    <w:rsid w:val="00DF362C"/>
    <w:rsid w:val="00DF4546"/>
    <w:rsid w:val="00DF4A83"/>
    <w:rsid w:val="00DF514A"/>
    <w:rsid w:val="00DF51C2"/>
    <w:rsid w:val="00DF5400"/>
    <w:rsid w:val="00DF5576"/>
    <w:rsid w:val="00DF6690"/>
    <w:rsid w:val="00DF6804"/>
    <w:rsid w:val="00DF71A8"/>
    <w:rsid w:val="00DF73FD"/>
    <w:rsid w:val="00DF768B"/>
    <w:rsid w:val="00DF7A8E"/>
    <w:rsid w:val="00DF7FBF"/>
    <w:rsid w:val="00E00FC5"/>
    <w:rsid w:val="00E0145E"/>
    <w:rsid w:val="00E01A22"/>
    <w:rsid w:val="00E01E77"/>
    <w:rsid w:val="00E027C7"/>
    <w:rsid w:val="00E02E9F"/>
    <w:rsid w:val="00E033E6"/>
    <w:rsid w:val="00E03588"/>
    <w:rsid w:val="00E0358D"/>
    <w:rsid w:val="00E039F5"/>
    <w:rsid w:val="00E03CB4"/>
    <w:rsid w:val="00E03D44"/>
    <w:rsid w:val="00E04323"/>
    <w:rsid w:val="00E04599"/>
    <w:rsid w:val="00E05628"/>
    <w:rsid w:val="00E0603F"/>
    <w:rsid w:val="00E066F2"/>
    <w:rsid w:val="00E070A2"/>
    <w:rsid w:val="00E070C5"/>
    <w:rsid w:val="00E072FF"/>
    <w:rsid w:val="00E076B5"/>
    <w:rsid w:val="00E07830"/>
    <w:rsid w:val="00E07EA2"/>
    <w:rsid w:val="00E10310"/>
    <w:rsid w:val="00E103C8"/>
    <w:rsid w:val="00E10B34"/>
    <w:rsid w:val="00E10D8F"/>
    <w:rsid w:val="00E113CB"/>
    <w:rsid w:val="00E117B7"/>
    <w:rsid w:val="00E11A3D"/>
    <w:rsid w:val="00E11C2E"/>
    <w:rsid w:val="00E127D2"/>
    <w:rsid w:val="00E128B2"/>
    <w:rsid w:val="00E128F5"/>
    <w:rsid w:val="00E12910"/>
    <w:rsid w:val="00E12C05"/>
    <w:rsid w:val="00E12C87"/>
    <w:rsid w:val="00E132A8"/>
    <w:rsid w:val="00E133F0"/>
    <w:rsid w:val="00E1392B"/>
    <w:rsid w:val="00E13A57"/>
    <w:rsid w:val="00E14888"/>
    <w:rsid w:val="00E14FA9"/>
    <w:rsid w:val="00E150BE"/>
    <w:rsid w:val="00E1527C"/>
    <w:rsid w:val="00E1532C"/>
    <w:rsid w:val="00E15609"/>
    <w:rsid w:val="00E15B01"/>
    <w:rsid w:val="00E15D72"/>
    <w:rsid w:val="00E15DA6"/>
    <w:rsid w:val="00E167DA"/>
    <w:rsid w:val="00E1696C"/>
    <w:rsid w:val="00E16AC5"/>
    <w:rsid w:val="00E16DAF"/>
    <w:rsid w:val="00E17053"/>
    <w:rsid w:val="00E170C3"/>
    <w:rsid w:val="00E179DF"/>
    <w:rsid w:val="00E216A9"/>
    <w:rsid w:val="00E218DA"/>
    <w:rsid w:val="00E21FCE"/>
    <w:rsid w:val="00E229D8"/>
    <w:rsid w:val="00E22BFC"/>
    <w:rsid w:val="00E235AE"/>
    <w:rsid w:val="00E236B0"/>
    <w:rsid w:val="00E23BA4"/>
    <w:rsid w:val="00E23DA6"/>
    <w:rsid w:val="00E24156"/>
    <w:rsid w:val="00E24327"/>
    <w:rsid w:val="00E2442F"/>
    <w:rsid w:val="00E24475"/>
    <w:rsid w:val="00E2468A"/>
    <w:rsid w:val="00E24C93"/>
    <w:rsid w:val="00E2656A"/>
    <w:rsid w:val="00E26B23"/>
    <w:rsid w:val="00E26EEA"/>
    <w:rsid w:val="00E26F8E"/>
    <w:rsid w:val="00E2704D"/>
    <w:rsid w:val="00E270D7"/>
    <w:rsid w:val="00E2743D"/>
    <w:rsid w:val="00E30866"/>
    <w:rsid w:val="00E308C0"/>
    <w:rsid w:val="00E312F2"/>
    <w:rsid w:val="00E313F9"/>
    <w:rsid w:val="00E31E34"/>
    <w:rsid w:val="00E3290C"/>
    <w:rsid w:val="00E32BFD"/>
    <w:rsid w:val="00E33567"/>
    <w:rsid w:val="00E3393F"/>
    <w:rsid w:val="00E33A17"/>
    <w:rsid w:val="00E342D4"/>
    <w:rsid w:val="00E347EF"/>
    <w:rsid w:val="00E3484A"/>
    <w:rsid w:val="00E34E6A"/>
    <w:rsid w:val="00E357D9"/>
    <w:rsid w:val="00E3594A"/>
    <w:rsid w:val="00E359DA"/>
    <w:rsid w:val="00E35AF6"/>
    <w:rsid w:val="00E35B08"/>
    <w:rsid w:val="00E3687B"/>
    <w:rsid w:val="00E36AB5"/>
    <w:rsid w:val="00E36C87"/>
    <w:rsid w:val="00E37B16"/>
    <w:rsid w:val="00E37B6B"/>
    <w:rsid w:val="00E403CE"/>
    <w:rsid w:val="00E405B1"/>
    <w:rsid w:val="00E40E9E"/>
    <w:rsid w:val="00E41016"/>
    <w:rsid w:val="00E412D0"/>
    <w:rsid w:val="00E416F6"/>
    <w:rsid w:val="00E41897"/>
    <w:rsid w:val="00E41D27"/>
    <w:rsid w:val="00E420F6"/>
    <w:rsid w:val="00E42148"/>
    <w:rsid w:val="00E422BA"/>
    <w:rsid w:val="00E42372"/>
    <w:rsid w:val="00E43CA8"/>
    <w:rsid w:val="00E44A19"/>
    <w:rsid w:val="00E451CD"/>
    <w:rsid w:val="00E461C5"/>
    <w:rsid w:val="00E462F0"/>
    <w:rsid w:val="00E4630C"/>
    <w:rsid w:val="00E4670B"/>
    <w:rsid w:val="00E46E54"/>
    <w:rsid w:val="00E475DE"/>
    <w:rsid w:val="00E47EB9"/>
    <w:rsid w:val="00E5004D"/>
    <w:rsid w:val="00E50362"/>
    <w:rsid w:val="00E517D7"/>
    <w:rsid w:val="00E51C4B"/>
    <w:rsid w:val="00E51E44"/>
    <w:rsid w:val="00E52033"/>
    <w:rsid w:val="00E52425"/>
    <w:rsid w:val="00E534E8"/>
    <w:rsid w:val="00E535A1"/>
    <w:rsid w:val="00E53724"/>
    <w:rsid w:val="00E53E0F"/>
    <w:rsid w:val="00E53F9F"/>
    <w:rsid w:val="00E543DE"/>
    <w:rsid w:val="00E55128"/>
    <w:rsid w:val="00E551C6"/>
    <w:rsid w:val="00E557C4"/>
    <w:rsid w:val="00E55B95"/>
    <w:rsid w:val="00E55DCC"/>
    <w:rsid w:val="00E56322"/>
    <w:rsid w:val="00E56B3B"/>
    <w:rsid w:val="00E5702A"/>
    <w:rsid w:val="00E57627"/>
    <w:rsid w:val="00E577C4"/>
    <w:rsid w:val="00E57DF2"/>
    <w:rsid w:val="00E600DA"/>
    <w:rsid w:val="00E60229"/>
    <w:rsid w:val="00E60982"/>
    <w:rsid w:val="00E611A5"/>
    <w:rsid w:val="00E617F7"/>
    <w:rsid w:val="00E6194E"/>
    <w:rsid w:val="00E61AF0"/>
    <w:rsid w:val="00E61BB9"/>
    <w:rsid w:val="00E629D9"/>
    <w:rsid w:val="00E62A7A"/>
    <w:rsid w:val="00E62C62"/>
    <w:rsid w:val="00E62CB0"/>
    <w:rsid w:val="00E62D72"/>
    <w:rsid w:val="00E63308"/>
    <w:rsid w:val="00E64ACA"/>
    <w:rsid w:val="00E654C1"/>
    <w:rsid w:val="00E655A7"/>
    <w:rsid w:val="00E658EF"/>
    <w:rsid w:val="00E65D97"/>
    <w:rsid w:val="00E65DDD"/>
    <w:rsid w:val="00E66066"/>
    <w:rsid w:val="00E662E3"/>
    <w:rsid w:val="00E66BA3"/>
    <w:rsid w:val="00E67341"/>
    <w:rsid w:val="00E703DC"/>
    <w:rsid w:val="00E7089A"/>
    <w:rsid w:val="00E714B7"/>
    <w:rsid w:val="00E715D7"/>
    <w:rsid w:val="00E715E6"/>
    <w:rsid w:val="00E71FAF"/>
    <w:rsid w:val="00E72262"/>
    <w:rsid w:val="00E72A5A"/>
    <w:rsid w:val="00E72E8E"/>
    <w:rsid w:val="00E72FBD"/>
    <w:rsid w:val="00E73354"/>
    <w:rsid w:val="00E73D4C"/>
    <w:rsid w:val="00E7421A"/>
    <w:rsid w:val="00E75512"/>
    <w:rsid w:val="00E75A8C"/>
    <w:rsid w:val="00E75C9E"/>
    <w:rsid w:val="00E76897"/>
    <w:rsid w:val="00E77086"/>
    <w:rsid w:val="00E80C0B"/>
    <w:rsid w:val="00E81A3C"/>
    <w:rsid w:val="00E81CEB"/>
    <w:rsid w:val="00E829FF"/>
    <w:rsid w:val="00E839C6"/>
    <w:rsid w:val="00E83F4D"/>
    <w:rsid w:val="00E84900"/>
    <w:rsid w:val="00E84D8E"/>
    <w:rsid w:val="00E85041"/>
    <w:rsid w:val="00E850AF"/>
    <w:rsid w:val="00E850EC"/>
    <w:rsid w:val="00E85514"/>
    <w:rsid w:val="00E85C34"/>
    <w:rsid w:val="00E86454"/>
    <w:rsid w:val="00E86C45"/>
    <w:rsid w:val="00E86E0D"/>
    <w:rsid w:val="00E87790"/>
    <w:rsid w:val="00E87B61"/>
    <w:rsid w:val="00E90007"/>
    <w:rsid w:val="00E90F17"/>
    <w:rsid w:val="00E91618"/>
    <w:rsid w:val="00E91E05"/>
    <w:rsid w:val="00E91E79"/>
    <w:rsid w:val="00E91EFD"/>
    <w:rsid w:val="00E9206E"/>
    <w:rsid w:val="00E9242D"/>
    <w:rsid w:val="00E9245A"/>
    <w:rsid w:val="00E92861"/>
    <w:rsid w:val="00E928EA"/>
    <w:rsid w:val="00E929FF"/>
    <w:rsid w:val="00E93253"/>
    <w:rsid w:val="00E93432"/>
    <w:rsid w:val="00E93CAE"/>
    <w:rsid w:val="00E94391"/>
    <w:rsid w:val="00E949EF"/>
    <w:rsid w:val="00E95351"/>
    <w:rsid w:val="00E95621"/>
    <w:rsid w:val="00E95762"/>
    <w:rsid w:val="00E95828"/>
    <w:rsid w:val="00E9606C"/>
    <w:rsid w:val="00E966A0"/>
    <w:rsid w:val="00E96AB1"/>
    <w:rsid w:val="00EA04D9"/>
    <w:rsid w:val="00EA08E8"/>
    <w:rsid w:val="00EA0CD2"/>
    <w:rsid w:val="00EA1CF8"/>
    <w:rsid w:val="00EA1FFF"/>
    <w:rsid w:val="00EA2103"/>
    <w:rsid w:val="00EA2450"/>
    <w:rsid w:val="00EA2EF4"/>
    <w:rsid w:val="00EA34EF"/>
    <w:rsid w:val="00EA3F32"/>
    <w:rsid w:val="00EA458F"/>
    <w:rsid w:val="00EA4CE4"/>
    <w:rsid w:val="00EA4D30"/>
    <w:rsid w:val="00EA530C"/>
    <w:rsid w:val="00EA5584"/>
    <w:rsid w:val="00EA5EFE"/>
    <w:rsid w:val="00EA6290"/>
    <w:rsid w:val="00EA65B6"/>
    <w:rsid w:val="00EA79AB"/>
    <w:rsid w:val="00EA7FFA"/>
    <w:rsid w:val="00EB1190"/>
    <w:rsid w:val="00EB155E"/>
    <w:rsid w:val="00EB16D6"/>
    <w:rsid w:val="00EB17E7"/>
    <w:rsid w:val="00EB1AD2"/>
    <w:rsid w:val="00EB1D9E"/>
    <w:rsid w:val="00EB2BA8"/>
    <w:rsid w:val="00EB2C76"/>
    <w:rsid w:val="00EB39BB"/>
    <w:rsid w:val="00EB3B8A"/>
    <w:rsid w:val="00EB3D49"/>
    <w:rsid w:val="00EB3D6A"/>
    <w:rsid w:val="00EB4068"/>
    <w:rsid w:val="00EB5067"/>
    <w:rsid w:val="00EB5102"/>
    <w:rsid w:val="00EB5255"/>
    <w:rsid w:val="00EB52FD"/>
    <w:rsid w:val="00EB5C47"/>
    <w:rsid w:val="00EB5E1E"/>
    <w:rsid w:val="00EB6B9A"/>
    <w:rsid w:val="00EB6D35"/>
    <w:rsid w:val="00EB7268"/>
    <w:rsid w:val="00EB7618"/>
    <w:rsid w:val="00EB7861"/>
    <w:rsid w:val="00EB7D01"/>
    <w:rsid w:val="00EC04CF"/>
    <w:rsid w:val="00EC08C5"/>
    <w:rsid w:val="00EC160C"/>
    <w:rsid w:val="00EC1674"/>
    <w:rsid w:val="00EC1ADD"/>
    <w:rsid w:val="00EC2B41"/>
    <w:rsid w:val="00EC36BC"/>
    <w:rsid w:val="00EC4D18"/>
    <w:rsid w:val="00EC4D7A"/>
    <w:rsid w:val="00EC5401"/>
    <w:rsid w:val="00EC559C"/>
    <w:rsid w:val="00EC6203"/>
    <w:rsid w:val="00EC759F"/>
    <w:rsid w:val="00EC7C4C"/>
    <w:rsid w:val="00ED0639"/>
    <w:rsid w:val="00ED08C7"/>
    <w:rsid w:val="00ED0FDA"/>
    <w:rsid w:val="00ED142C"/>
    <w:rsid w:val="00ED15FD"/>
    <w:rsid w:val="00ED1DED"/>
    <w:rsid w:val="00ED2567"/>
    <w:rsid w:val="00ED281A"/>
    <w:rsid w:val="00ED2F7B"/>
    <w:rsid w:val="00ED32D0"/>
    <w:rsid w:val="00ED4719"/>
    <w:rsid w:val="00ED4935"/>
    <w:rsid w:val="00ED4B6D"/>
    <w:rsid w:val="00ED6157"/>
    <w:rsid w:val="00ED62FF"/>
    <w:rsid w:val="00ED6FF5"/>
    <w:rsid w:val="00ED7B71"/>
    <w:rsid w:val="00EE0286"/>
    <w:rsid w:val="00EE0E13"/>
    <w:rsid w:val="00EE0F0E"/>
    <w:rsid w:val="00EE102A"/>
    <w:rsid w:val="00EE20E1"/>
    <w:rsid w:val="00EE34C8"/>
    <w:rsid w:val="00EE38F8"/>
    <w:rsid w:val="00EE3D40"/>
    <w:rsid w:val="00EE417E"/>
    <w:rsid w:val="00EE4340"/>
    <w:rsid w:val="00EE49CF"/>
    <w:rsid w:val="00EE4C6B"/>
    <w:rsid w:val="00EE5037"/>
    <w:rsid w:val="00EE548D"/>
    <w:rsid w:val="00EE59BE"/>
    <w:rsid w:val="00EE61FC"/>
    <w:rsid w:val="00EE6321"/>
    <w:rsid w:val="00EE63C9"/>
    <w:rsid w:val="00EE68BE"/>
    <w:rsid w:val="00EE6C95"/>
    <w:rsid w:val="00EE76B9"/>
    <w:rsid w:val="00EE781C"/>
    <w:rsid w:val="00EE7E2E"/>
    <w:rsid w:val="00EE7E3C"/>
    <w:rsid w:val="00EF01E4"/>
    <w:rsid w:val="00EF04A9"/>
    <w:rsid w:val="00EF0600"/>
    <w:rsid w:val="00EF0B64"/>
    <w:rsid w:val="00EF1995"/>
    <w:rsid w:val="00EF23A5"/>
    <w:rsid w:val="00EF2C39"/>
    <w:rsid w:val="00EF2C86"/>
    <w:rsid w:val="00EF3021"/>
    <w:rsid w:val="00EF31C6"/>
    <w:rsid w:val="00EF3331"/>
    <w:rsid w:val="00EF3C39"/>
    <w:rsid w:val="00EF4341"/>
    <w:rsid w:val="00EF4755"/>
    <w:rsid w:val="00EF57A5"/>
    <w:rsid w:val="00EF59BC"/>
    <w:rsid w:val="00EF5A88"/>
    <w:rsid w:val="00EF5AAD"/>
    <w:rsid w:val="00EF6D18"/>
    <w:rsid w:val="00EF7135"/>
    <w:rsid w:val="00EF751C"/>
    <w:rsid w:val="00EF7637"/>
    <w:rsid w:val="00EF7A7A"/>
    <w:rsid w:val="00EF7C9F"/>
    <w:rsid w:val="00EF7D26"/>
    <w:rsid w:val="00F00141"/>
    <w:rsid w:val="00F002E7"/>
    <w:rsid w:val="00F023FA"/>
    <w:rsid w:val="00F027CA"/>
    <w:rsid w:val="00F027DB"/>
    <w:rsid w:val="00F02A22"/>
    <w:rsid w:val="00F02A5D"/>
    <w:rsid w:val="00F02D6B"/>
    <w:rsid w:val="00F02F45"/>
    <w:rsid w:val="00F037AC"/>
    <w:rsid w:val="00F03F53"/>
    <w:rsid w:val="00F04774"/>
    <w:rsid w:val="00F04EF1"/>
    <w:rsid w:val="00F050B3"/>
    <w:rsid w:val="00F0511D"/>
    <w:rsid w:val="00F0551D"/>
    <w:rsid w:val="00F05795"/>
    <w:rsid w:val="00F059D2"/>
    <w:rsid w:val="00F05C8B"/>
    <w:rsid w:val="00F05E9A"/>
    <w:rsid w:val="00F05F33"/>
    <w:rsid w:val="00F064E0"/>
    <w:rsid w:val="00F067A0"/>
    <w:rsid w:val="00F0688F"/>
    <w:rsid w:val="00F06AD2"/>
    <w:rsid w:val="00F06C10"/>
    <w:rsid w:val="00F078B9"/>
    <w:rsid w:val="00F106E1"/>
    <w:rsid w:val="00F10B6C"/>
    <w:rsid w:val="00F10C0C"/>
    <w:rsid w:val="00F11B9A"/>
    <w:rsid w:val="00F12027"/>
    <w:rsid w:val="00F12B19"/>
    <w:rsid w:val="00F12C77"/>
    <w:rsid w:val="00F13763"/>
    <w:rsid w:val="00F13980"/>
    <w:rsid w:val="00F14589"/>
    <w:rsid w:val="00F1468B"/>
    <w:rsid w:val="00F14A7A"/>
    <w:rsid w:val="00F14AF4"/>
    <w:rsid w:val="00F15618"/>
    <w:rsid w:val="00F161A7"/>
    <w:rsid w:val="00F16DAA"/>
    <w:rsid w:val="00F16DEA"/>
    <w:rsid w:val="00F20567"/>
    <w:rsid w:val="00F20A2E"/>
    <w:rsid w:val="00F2266A"/>
    <w:rsid w:val="00F22985"/>
    <w:rsid w:val="00F22A0D"/>
    <w:rsid w:val="00F2396D"/>
    <w:rsid w:val="00F245BC"/>
    <w:rsid w:val="00F2524A"/>
    <w:rsid w:val="00F2577A"/>
    <w:rsid w:val="00F269E4"/>
    <w:rsid w:val="00F271F1"/>
    <w:rsid w:val="00F276F6"/>
    <w:rsid w:val="00F2779C"/>
    <w:rsid w:val="00F27C33"/>
    <w:rsid w:val="00F303C1"/>
    <w:rsid w:val="00F30B0F"/>
    <w:rsid w:val="00F31442"/>
    <w:rsid w:val="00F3169F"/>
    <w:rsid w:val="00F31F4D"/>
    <w:rsid w:val="00F3235F"/>
    <w:rsid w:val="00F33033"/>
    <w:rsid w:val="00F33525"/>
    <w:rsid w:val="00F3383E"/>
    <w:rsid w:val="00F34105"/>
    <w:rsid w:val="00F34241"/>
    <w:rsid w:val="00F34EAD"/>
    <w:rsid w:val="00F35299"/>
    <w:rsid w:val="00F35367"/>
    <w:rsid w:val="00F35C80"/>
    <w:rsid w:val="00F36518"/>
    <w:rsid w:val="00F36ED2"/>
    <w:rsid w:val="00F36FDE"/>
    <w:rsid w:val="00F371A5"/>
    <w:rsid w:val="00F37BEE"/>
    <w:rsid w:val="00F37D60"/>
    <w:rsid w:val="00F37E01"/>
    <w:rsid w:val="00F40EE8"/>
    <w:rsid w:val="00F41427"/>
    <w:rsid w:val="00F41B3A"/>
    <w:rsid w:val="00F41FB2"/>
    <w:rsid w:val="00F42153"/>
    <w:rsid w:val="00F4268D"/>
    <w:rsid w:val="00F42F53"/>
    <w:rsid w:val="00F43E1C"/>
    <w:rsid w:val="00F43F92"/>
    <w:rsid w:val="00F441B8"/>
    <w:rsid w:val="00F45570"/>
    <w:rsid w:val="00F45643"/>
    <w:rsid w:val="00F458D0"/>
    <w:rsid w:val="00F45F02"/>
    <w:rsid w:val="00F46100"/>
    <w:rsid w:val="00F46443"/>
    <w:rsid w:val="00F465A7"/>
    <w:rsid w:val="00F46AC7"/>
    <w:rsid w:val="00F46FE5"/>
    <w:rsid w:val="00F47981"/>
    <w:rsid w:val="00F47A91"/>
    <w:rsid w:val="00F47AA9"/>
    <w:rsid w:val="00F50AD4"/>
    <w:rsid w:val="00F50B7C"/>
    <w:rsid w:val="00F50FCF"/>
    <w:rsid w:val="00F514FE"/>
    <w:rsid w:val="00F51CCD"/>
    <w:rsid w:val="00F51F4A"/>
    <w:rsid w:val="00F52126"/>
    <w:rsid w:val="00F522AB"/>
    <w:rsid w:val="00F522CD"/>
    <w:rsid w:val="00F52FAD"/>
    <w:rsid w:val="00F53217"/>
    <w:rsid w:val="00F53292"/>
    <w:rsid w:val="00F53471"/>
    <w:rsid w:val="00F537AF"/>
    <w:rsid w:val="00F53C05"/>
    <w:rsid w:val="00F53ED2"/>
    <w:rsid w:val="00F54886"/>
    <w:rsid w:val="00F54BDB"/>
    <w:rsid w:val="00F54C0E"/>
    <w:rsid w:val="00F5506F"/>
    <w:rsid w:val="00F550E6"/>
    <w:rsid w:val="00F5591C"/>
    <w:rsid w:val="00F5643B"/>
    <w:rsid w:val="00F565AB"/>
    <w:rsid w:val="00F57AF8"/>
    <w:rsid w:val="00F60F18"/>
    <w:rsid w:val="00F61B6D"/>
    <w:rsid w:val="00F63775"/>
    <w:rsid w:val="00F63D89"/>
    <w:rsid w:val="00F63DD9"/>
    <w:rsid w:val="00F6486D"/>
    <w:rsid w:val="00F64BDF"/>
    <w:rsid w:val="00F64C16"/>
    <w:rsid w:val="00F67882"/>
    <w:rsid w:val="00F707AF"/>
    <w:rsid w:val="00F708AB"/>
    <w:rsid w:val="00F70C52"/>
    <w:rsid w:val="00F71158"/>
    <w:rsid w:val="00F71441"/>
    <w:rsid w:val="00F722F2"/>
    <w:rsid w:val="00F72992"/>
    <w:rsid w:val="00F72A62"/>
    <w:rsid w:val="00F72B37"/>
    <w:rsid w:val="00F72D8A"/>
    <w:rsid w:val="00F735BE"/>
    <w:rsid w:val="00F7374F"/>
    <w:rsid w:val="00F741CB"/>
    <w:rsid w:val="00F74345"/>
    <w:rsid w:val="00F74466"/>
    <w:rsid w:val="00F74543"/>
    <w:rsid w:val="00F74624"/>
    <w:rsid w:val="00F7476B"/>
    <w:rsid w:val="00F74A95"/>
    <w:rsid w:val="00F74E97"/>
    <w:rsid w:val="00F750B6"/>
    <w:rsid w:val="00F7543D"/>
    <w:rsid w:val="00F7587F"/>
    <w:rsid w:val="00F76087"/>
    <w:rsid w:val="00F76DA0"/>
    <w:rsid w:val="00F76DD7"/>
    <w:rsid w:val="00F77356"/>
    <w:rsid w:val="00F77CEA"/>
    <w:rsid w:val="00F80800"/>
    <w:rsid w:val="00F80A0A"/>
    <w:rsid w:val="00F80EFA"/>
    <w:rsid w:val="00F80F8D"/>
    <w:rsid w:val="00F8160B"/>
    <w:rsid w:val="00F826D2"/>
    <w:rsid w:val="00F82B19"/>
    <w:rsid w:val="00F83032"/>
    <w:rsid w:val="00F835D4"/>
    <w:rsid w:val="00F83CEE"/>
    <w:rsid w:val="00F84F01"/>
    <w:rsid w:val="00F8595B"/>
    <w:rsid w:val="00F85A97"/>
    <w:rsid w:val="00F8621E"/>
    <w:rsid w:val="00F87026"/>
    <w:rsid w:val="00F87606"/>
    <w:rsid w:val="00F87900"/>
    <w:rsid w:val="00F87D24"/>
    <w:rsid w:val="00F87E85"/>
    <w:rsid w:val="00F90830"/>
    <w:rsid w:val="00F90B49"/>
    <w:rsid w:val="00F91115"/>
    <w:rsid w:val="00F911E0"/>
    <w:rsid w:val="00F9212D"/>
    <w:rsid w:val="00F92451"/>
    <w:rsid w:val="00F92DC7"/>
    <w:rsid w:val="00F92F55"/>
    <w:rsid w:val="00F930C4"/>
    <w:rsid w:val="00F932EA"/>
    <w:rsid w:val="00F946B3"/>
    <w:rsid w:val="00F95970"/>
    <w:rsid w:val="00F95B28"/>
    <w:rsid w:val="00F95C22"/>
    <w:rsid w:val="00F965DA"/>
    <w:rsid w:val="00F96934"/>
    <w:rsid w:val="00F971F1"/>
    <w:rsid w:val="00F978CB"/>
    <w:rsid w:val="00F97A4E"/>
    <w:rsid w:val="00F97BC5"/>
    <w:rsid w:val="00FA0737"/>
    <w:rsid w:val="00FA08B5"/>
    <w:rsid w:val="00FA0E33"/>
    <w:rsid w:val="00FA0E44"/>
    <w:rsid w:val="00FA2375"/>
    <w:rsid w:val="00FA2E9A"/>
    <w:rsid w:val="00FA2FBE"/>
    <w:rsid w:val="00FA30EA"/>
    <w:rsid w:val="00FA3D64"/>
    <w:rsid w:val="00FA406A"/>
    <w:rsid w:val="00FA46D8"/>
    <w:rsid w:val="00FA4873"/>
    <w:rsid w:val="00FA4E31"/>
    <w:rsid w:val="00FA53B0"/>
    <w:rsid w:val="00FA5E64"/>
    <w:rsid w:val="00FA6CED"/>
    <w:rsid w:val="00FA6D43"/>
    <w:rsid w:val="00FA7F0E"/>
    <w:rsid w:val="00FB00CC"/>
    <w:rsid w:val="00FB06E8"/>
    <w:rsid w:val="00FB0D76"/>
    <w:rsid w:val="00FB0E22"/>
    <w:rsid w:val="00FB0FFA"/>
    <w:rsid w:val="00FB1725"/>
    <w:rsid w:val="00FB1F4C"/>
    <w:rsid w:val="00FB1F97"/>
    <w:rsid w:val="00FB20EE"/>
    <w:rsid w:val="00FB2990"/>
    <w:rsid w:val="00FB2BD6"/>
    <w:rsid w:val="00FB45DC"/>
    <w:rsid w:val="00FB4F2C"/>
    <w:rsid w:val="00FB503A"/>
    <w:rsid w:val="00FB516C"/>
    <w:rsid w:val="00FB5299"/>
    <w:rsid w:val="00FB529A"/>
    <w:rsid w:val="00FB5451"/>
    <w:rsid w:val="00FB5B8C"/>
    <w:rsid w:val="00FB5C3B"/>
    <w:rsid w:val="00FB5EC3"/>
    <w:rsid w:val="00FB695E"/>
    <w:rsid w:val="00FB7036"/>
    <w:rsid w:val="00FB7122"/>
    <w:rsid w:val="00FB7400"/>
    <w:rsid w:val="00FC03B3"/>
    <w:rsid w:val="00FC0839"/>
    <w:rsid w:val="00FC1C59"/>
    <w:rsid w:val="00FC1F40"/>
    <w:rsid w:val="00FC25E1"/>
    <w:rsid w:val="00FC2834"/>
    <w:rsid w:val="00FC32DF"/>
    <w:rsid w:val="00FC44BE"/>
    <w:rsid w:val="00FC4948"/>
    <w:rsid w:val="00FC4F50"/>
    <w:rsid w:val="00FC5467"/>
    <w:rsid w:val="00FC58B7"/>
    <w:rsid w:val="00FC6F4E"/>
    <w:rsid w:val="00FC72C8"/>
    <w:rsid w:val="00FC73A2"/>
    <w:rsid w:val="00FC7C48"/>
    <w:rsid w:val="00FD0236"/>
    <w:rsid w:val="00FD0932"/>
    <w:rsid w:val="00FD0DC7"/>
    <w:rsid w:val="00FD0FAD"/>
    <w:rsid w:val="00FD1219"/>
    <w:rsid w:val="00FD18F4"/>
    <w:rsid w:val="00FD20CC"/>
    <w:rsid w:val="00FD2EDA"/>
    <w:rsid w:val="00FD3057"/>
    <w:rsid w:val="00FD3412"/>
    <w:rsid w:val="00FD352F"/>
    <w:rsid w:val="00FD46D0"/>
    <w:rsid w:val="00FD4A21"/>
    <w:rsid w:val="00FD54DB"/>
    <w:rsid w:val="00FD57D4"/>
    <w:rsid w:val="00FD5D80"/>
    <w:rsid w:val="00FD619F"/>
    <w:rsid w:val="00FD63C5"/>
    <w:rsid w:val="00FD6B1C"/>
    <w:rsid w:val="00FD6FBC"/>
    <w:rsid w:val="00FD776B"/>
    <w:rsid w:val="00FE0AA2"/>
    <w:rsid w:val="00FE1735"/>
    <w:rsid w:val="00FE1B26"/>
    <w:rsid w:val="00FE1E3A"/>
    <w:rsid w:val="00FE2D42"/>
    <w:rsid w:val="00FE2D70"/>
    <w:rsid w:val="00FE30FA"/>
    <w:rsid w:val="00FE3EC5"/>
    <w:rsid w:val="00FE3F83"/>
    <w:rsid w:val="00FE416F"/>
    <w:rsid w:val="00FE44B2"/>
    <w:rsid w:val="00FE4A7C"/>
    <w:rsid w:val="00FE4E6F"/>
    <w:rsid w:val="00FE5688"/>
    <w:rsid w:val="00FE62BD"/>
    <w:rsid w:val="00FE637A"/>
    <w:rsid w:val="00FE707F"/>
    <w:rsid w:val="00FE7AA6"/>
    <w:rsid w:val="00FF0874"/>
    <w:rsid w:val="00FF0905"/>
    <w:rsid w:val="00FF0A8C"/>
    <w:rsid w:val="00FF0EA2"/>
    <w:rsid w:val="00FF112F"/>
    <w:rsid w:val="00FF11F9"/>
    <w:rsid w:val="00FF1DF8"/>
    <w:rsid w:val="00FF2834"/>
    <w:rsid w:val="00FF2CF4"/>
    <w:rsid w:val="00FF344C"/>
    <w:rsid w:val="00FF349C"/>
    <w:rsid w:val="00FF4092"/>
    <w:rsid w:val="00FF425B"/>
    <w:rsid w:val="00FF439F"/>
    <w:rsid w:val="00FF5774"/>
    <w:rsid w:val="00FF5863"/>
    <w:rsid w:val="00FF690C"/>
    <w:rsid w:val="00FF7A07"/>
    <w:rsid w:val="00FF7B9D"/>
    <w:rsid w:val="00FF7EAA"/>
    <w:rsid w:val="00FF7FFC"/>
    <w:rsid w:val="010C7F74"/>
    <w:rsid w:val="011E0236"/>
    <w:rsid w:val="01261739"/>
    <w:rsid w:val="01287C56"/>
    <w:rsid w:val="01290F7E"/>
    <w:rsid w:val="013E2686"/>
    <w:rsid w:val="013F68BF"/>
    <w:rsid w:val="015D1E09"/>
    <w:rsid w:val="01601FC2"/>
    <w:rsid w:val="016A777E"/>
    <w:rsid w:val="016B7C1C"/>
    <w:rsid w:val="01861103"/>
    <w:rsid w:val="01872429"/>
    <w:rsid w:val="01922253"/>
    <w:rsid w:val="0194156B"/>
    <w:rsid w:val="01AE030F"/>
    <w:rsid w:val="01C7267B"/>
    <w:rsid w:val="01CF365B"/>
    <w:rsid w:val="01D54D98"/>
    <w:rsid w:val="01DF74DA"/>
    <w:rsid w:val="01F156C9"/>
    <w:rsid w:val="01FD7E4B"/>
    <w:rsid w:val="02005EF2"/>
    <w:rsid w:val="02033B37"/>
    <w:rsid w:val="021A0DF3"/>
    <w:rsid w:val="022174B5"/>
    <w:rsid w:val="02221FE6"/>
    <w:rsid w:val="0224187C"/>
    <w:rsid w:val="022C5D05"/>
    <w:rsid w:val="022E6257"/>
    <w:rsid w:val="02306473"/>
    <w:rsid w:val="023277B6"/>
    <w:rsid w:val="02467A44"/>
    <w:rsid w:val="02511F45"/>
    <w:rsid w:val="02670A70"/>
    <w:rsid w:val="02697903"/>
    <w:rsid w:val="026A16F2"/>
    <w:rsid w:val="027516E7"/>
    <w:rsid w:val="02753701"/>
    <w:rsid w:val="028D7421"/>
    <w:rsid w:val="02922A4D"/>
    <w:rsid w:val="029C58B6"/>
    <w:rsid w:val="02A55D74"/>
    <w:rsid w:val="02A81C0A"/>
    <w:rsid w:val="02C61468"/>
    <w:rsid w:val="02CD1F13"/>
    <w:rsid w:val="02D84A47"/>
    <w:rsid w:val="02DB6D23"/>
    <w:rsid w:val="02F96569"/>
    <w:rsid w:val="030516AD"/>
    <w:rsid w:val="03061456"/>
    <w:rsid w:val="031F2043"/>
    <w:rsid w:val="032D4760"/>
    <w:rsid w:val="03466323"/>
    <w:rsid w:val="03526A59"/>
    <w:rsid w:val="03830824"/>
    <w:rsid w:val="03845D68"/>
    <w:rsid w:val="03873896"/>
    <w:rsid w:val="038F71C9"/>
    <w:rsid w:val="03971806"/>
    <w:rsid w:val="03A04F32"/>
    <w:rsid w:val="03B617A8"/>
    <w:rsid w:val="03BB7FBE"/>
    <w:rsid w:val="03E43AD5"/>
    <w:rsid w:val="03EA7B21"/>
    <w:rsid w:val="04035DFD"/>
    <w:rsid w:val="0414147C"/>
    <w:rsid w:val="042913CB"/>
    <w:rsid w:val="042A4DEC"/>
    <w:rsid w:val="043560BB"/>
    <w:rsid w:val="043C2B7C"/>
    <w:rsid w:val="044F0706"/>
    <w:rsid w:val="04620439"/>
    <w:rsid w:val="04620923"/>
    <w:rsid w:val="046E2E88"/>
    <w:rsid w:val="04763EE5"/>
    <w:rsid w:val="047D5273"/>
    <w:rsid w:val="048605CC"/>
    <w:rsid w:val="04860C51"/>
    <w:rsid w:val="0495080F"/>
    <w:rsid w:val="04C53BA2"/>
    <w:rsid w:val="04C6216B"/>
    <w:rsid w:val="04CB4078"/>
    <w:rsid w:val="04CF74A3"/>
    <w:rsid w:val="04F57F57"/>
    <w:rsid w:val="04FA31AD"/>
    <w:rsid w:val="05070440"/>
    <w:rsid w:val="051A3EF6"/>
    <w:rsid w:val="051F632A"/>
    <w:rsid w:val="05286D1D"/>
    <w:rsid w:val="053F14EA"/>
    <w:rsid w:val="053F4C77"/>
    <w:rsid w:val="054C5E09"/>
    <w:rsid w:val="055E4678"/>
    <w:rsid w:val="0575419C"/>
    <w:rsid w:val="0586071E"/>
    <w:rsid w:val="058E53C4"/>
    <w:rsid w:val="05924D4E"/>
    <w:rsid w:val="05AC652A"/>
    <w:rsid w:val="05CB6F6D"/>
    <w:rsid w:val="05D3670E"/>
    <w:rsid w:val="05D76E23"/>
    <w:rsid w:val="05E25CD6"/>
    <w:rsid w:val="05E732EC"/>
    <w:rsid w:val="05F23A3F"/>
    <w:rsid w:val="05F83EAE"/>
    <w:rsid w:val="06070160"/>
    <w:rsid w:val="060C4B01"/>
    <w:rsid w:val="06197903"/>
    <w:rsid w:val="061C56B8"/>
    <w:rsid w:val="061E4834"/>
    <w:rsid w:val="062228A8"/>
    <w:rsid w:val="06304C93"/>
    <w:rsid w:val="06305ADA"/>
    <w:rsid w:val="063E7D85"/>
    <w:rsid w:val="063F7B4D"/>
    <w:rsid w:val="06427DAD"/>
    <w:rsid w:val="065940DC"/>
    <w:rsid w:val="0679783A"/>
    <w:rsid w:val="067A7CBC"/>
    <w:rsid w:val="068723D9"/>
    <w:rsid w:val="069F584A"/>
    <w:rsid w:val="06A774AC"/>
    <w:rsid w:val="06B00CD2"/>
    <w:rsid w:val="06B46803"/>
    <w:rsid w:val="06B5691C"/>
    <w:rsid w:val="06BC43B9"/>
    <w:rsid w:val="06D27AF8"/>
    <w:rsid w:val="06E472EB"/>
    <w:rsid w:val="06F8266B"/>
    <w:rsid w:val="07001A12"/>
    <w:rsid w:val="070434E5"/>
    <w:rsid w:val="070B300A"/>
    <w:rsid w:val="071316E4"/>
    <w:rsid w:val="0721282E"/>
    <w:rsid w:val="07281204"/>
    <w:rsid w:val="07293586"/>
    <w:rsid w:val="07295285"/>
    <w:rsid w:val="07357759"/>
    <w:rsid w:val="073E1028"/>
    <w:rsid w:val="074F3DF7"/>
    <w:rsid w:val="07524721"/>
    <w:rsid w:val="075449B1"/>
    <w:rsid w:val="07610B24"/>
    <w:rsid w:val="07636392"/>
    <w:rsid w:val="076A1DFF"/>
    <w:rsid w:val="07702E6D"/>
    <w:rsid w:val="07770C56"/>
    <w:rsid w:val="07854B6B"/>
    <w:rsid w:val="07856623"/>
    <w:rsid w:val="0788194C"/>
    <w:rsid w:val="07887B22"/>
    <w:rsid w:val="07927288"/>
    <w:rsid w:val="07944D6D"/>
    <w:rsid w:val="07A1571D"/>
    <w:rsid w:val="07A62A4A"/>
    <w:rsid w:val="07AB0EFC"/>
    <w:rsid w:val="07BE62CF"/>
    <w:rsid w:val="07C35693"/>
    <w:rsid w:val="07DB478B"/>
    <w:rsid w:val="07F43580"/>
    <w:rsid w:val="080672AE"/>
    <w:rsid w:val="080A32C2"/>
    <w:rsid w:val="080B2B96"/>
    <w:rsid w:val="084240C9"/>
    <w:rsid w:val="084924B7"/>
    <w:rsid w:val="0879531B"/>
    <w:rsid w:val="088D3C44"/>
    <w:rsid w:val="08B12EB5"/>
    <w:rsid w:val="08BA7F54"/>
    <w:rsid w:val="08C52447"/>
    <w:rsid w:val="08DA2C94"/>
    <w:rsid w:val="08E05768"/>
    <w:rsid w:val="08E50D92"/>
    <w:rsid w:val="08E619FE"/>
    <w:rsid w:val="08EA17EE"/>
    <w:rsid w:val="08EC6C65"/>
    <w:rsid w:val="08F63846"/>
    <w:rsid w:val="08F875BE"/>
    <w:rsid w:val="0905241C"/>
    <w:rsid w:val="09150355"/>
    <w:rsid w:val="09153CCC"/>
    <w:rsid w:val="092217DD"/>
    <w:rsid w:val="0923288D"/>
    <w:rsid w:val="0926237D"/>
    <w:rsid w:val="092F499C"/>
    <w:rsid w:val="093A7294"/>
    <w:rsid w:val="09424A95"/>
    <w:rsid w:val="094315EE"/>
    <w:rsid w:val="094D5100"/>
    <w:rsid w:val="09532A47"/>
    <w:rsid w:val="09554A11"/>
    <w:rsid w:val="09566106"/>
    <w:rsid w:val="095F3199"/>
    <w:rsid w:val="0969226A"/>
    <w:rsid w:val="098B3C3A"/>
    <w:rsid w:val="09994A7E"/>
    <w:rsid w:val="099F3749"/>
    <w:rsid w:val="09AF2373"/>
    <w:rsid w:val="09B039F5"/>
    <w:rsid w:val="09BD54A5"/>
    <w:rsid w:val="09C01FBF"/>
    <w:rsid w:val="09C3197A"/>
    <w:rsid w:val="09DE4A06"/>
    <w:rsid w:val="09F00295"/>
    <w:rsid w:val="09F549A3"/>
    <w:rsid w:val="09FF2BD2"/>
    <w:rsid w:val="0A18530B"/>
    <w:rsid w:val="0A263993"/>
    <w:rsid w:val="0A2D3AC2"/>
    <w:rsid w:val="0A421489"/>
    <w:rsid w:val="0A4E103F"/>
    <w:rsid w:val="0A5D02B0"/>
    <w:rsid w:val="0A6C0264"/>
    <w:rsid w:val="0A6E16EF"/>
    <w:rsid w:val="0A7333A0"/>
    <w:rsid w:val="0A735F3E"/>
    <w:rsid w:val="0A782765"/>
    <w:rsid w:val="0A8C6F70"/>
    <w:rsid w:val="0A9276C3"/>
    <w:rsid w:val="0A937117"/>
    <w:rsid w:val="0AA74589"/>
    <w:rsid w:val="0AA755DF"/>
    <w:rsid w:val="0AA96DC2"/>
    <w:rsid w:val="0AAC68B2"/>
    <w:rsid w:val="0AB53C55"/>
    <w:rsid w:val="0ABB0BC0"/>
    <w:rsid w:val="0ACA0FF4"/>
    <w:rsid w:val="0AE0030A"/>
    <w:rsid w:val="0AE222D4"/>
    <w:rsid w:val="0B120D44"/>
    <w:rsid w:val="0B1D50BA"/>
    <w:rsid w:val="0B3D575C"/>
    <w:rsid w:val="0B46666B"/>
    <w:rsid w:val="0B48482D"/>
    <w:rsid w:val="0B49285F"/>
    <w:rsid w:val="0B64718D"/>
    <w:rsid w:val="0B73117E"/>
    <w:rsid w:val="0B7972B0"/>
    <w:rsid w:val="0B797F91"/>
    <w:rsid w:val="0B7A75CF"/>
    <w:rsid w:val="0B893072"/>
    <w:rsid w:val="0B956974"/>
    <w:rsid w:val="0B996E37"/>
    <w:rsid w:val="0B9C2483"/>
    <w:rsid w:val="0BAC4902"/>
    <w:rsid w:val="0BAE425B"/>
    <w:rsid w:val="0BB92634"/>
    <w:rsid w:val="0BD279F0"/>
    <w:rsid w:val="0BD27BF6"/>
    <w:rsid w:val="0BE242E8"/>
    <w:rsid w:val="0C022EFD"/>
    <w:rsid w:val="0C085D6A"/>
    <w:rsid w:val="0C132275"/>
    <w:rsid w:val="0C1F51AE"/>
    <w:rsid w:val="0C1F6048"/>
    <w:rsid w:val="0C276FC7"/>
    <w:rsid w:val="0C320B8E"/>
    <w:rsid w:val="0C322B1C"/>
    <w:rsid w:val="0C3B1C9C"/>
    <w:rsid w:val="0C3B3C7D"/>
    <w:rsid w:val="0C3E79DE"/>
    <w:rsid w:val="0C5022A4"/>
    <w:rsid w:val="0C590D62"/>
    <w:rsid w:val="0C607F90"/>
    <w:rsid w:val="0CA768A8"/>
    <w:rsid w:val="0CAB2EAE"/>
    <w:rsid w:val="0CAF6862"/>
    <w:rsid w:val="0CD93263"/>
    <w:rsid w:val="0CF32516"/>
    <w:rsid w:val="0CF602B9"/>
    <w:rsid w:val="0CF66BF8"/>
    <w:rsid w:val="0D160B7F"/>
    <w:rsid w:val="0D29243C"/>
    <w:rsid w:val="0D4C42E6"/>
    <w:rsid w:val="0D4C64A3"/>
    <w:rsid w:val="0D536C16"/>
    <w:rsid w:val="0D621C7D"/>
    <w:rsid w:val="0D660F9A"/>
    <w:rsid w:val="0D6A3852"/>
    <w:rsid w:val="0D7A4A46"/>
    <w:rsid w:val="0D7F757F"/>
    <w:rsid w:val="0D806A08"/>
    <w:rsid w:val="0D847672"/>
    <w:rsid w:val="0DA35E8C"/>
    <w:rsid w:val="0DA95575"/>
    <w:rsid w:val="0DAA7C6F"/>
    <w:rsid w:val="0DB86EFA"/>
    <w:rsid w:val="0DCA778C"/>
    <w:rsid w:val="0DCE1BD2"/>
    <w:rsid w:val="0DCE21C8"/>
    <w:rsid w:val="0DDD7A15"/>
    <w:rsid w:val="0DDE43F3"/>
    <w:rsid w:val="0DF00CF5"/>
    <w:rsid w:val="0DF905B5"/>
    <w:rsid w:val="0E0A401C"/>
    <w:rsid w:val="0E252D31"/>
    <w:rsid w:val="0E2D2CDB"/>
    <w:rsid w:val="0E440BB0"/>
    <w:rsid w:val="0E5579F8"/>
    <w:rsid w:val="0E5A03D3"/>
    <w:rsid w:val="0E6354DA"/>
    <w:rsid w:val="0E682AF0"/>
    <w:rsid w:val="0E72396F"/>
    <w:rsid w:val="0E73034D"/>
    <w:rsid w:val="0E736B7C"/>
    <w:rsid w:val="0E76512D"/>
    <w:rsid w:val="0E7D78A0"/>
    <w:rsid w:val="0E8722D8"/>
    <w:rsid w:val="0E987F5E"/>
    <w:rsid w:val="0EAA4EB7"/>
    <w:rsid w:val="0EAC64C1"/>
    <w:rsid w:val="0ED65CAC"/>
    <w:rsid w:val="0EEF0114"/>
    <w:rsid w:val="0F000F7B"/>
    <w:rsid w:val="0F0505DC"/>
    <w:rsid w:val="0F13775A"/>
    <w:rsid w:val="0F181E5C"/>
    <w:rsid w:val="0F191596"/>
    <w:rsid w:val="0F1B23D5"/>
    <w:rsid w:val="0F3C0883"/>
    <w:rsid w:val="0F40581B"/>
    <w:rsid w:val="0F49619B"/>
    <w:rsid w:val="0F535C58"/>
    <w:rsid w:val="0F5F45FE"/>
    <w:rsid w:val="0F601A19"/>
    <w:rsid w:val="0F9A112B"/>
    <w:rsid w:val="0FA22032"/>
    <w:rsid w:val="0FB35FED"/>
    <w:rsid w:val="0FB65311"/>
    <w:rsid w:val="0FD91EF8"/>
    <w:rsid w:val="101809AB"/>
    <w:rsid w:val="104906FF"/>
    <w:rsid w:val="106D2F64"/>
    <w:rsid w:val="10702642"/>
    <w:rsid w:val="10717CD9"/>
    <w:rsid w:val="10831E63"/>
    <w:rsid w:val="10856228"/>
    <w:rsid w:val="10A11A01"/>
    <w:rsid w:val="10AD5132"/>
    <w:rsid w:val="10B63710"/>
    <w:rsid w:val="10C539B0"/>
    <w:rsid w:val="10C53B29"/>
    <w:rsid w:val="10C85AC8"/>
    <w:rsid w:val="10DB57FB"/>
    <w:rsid w:val="10DF7ACB"/>
    <w:rsid w:val="10E01064"/>
    <w:rsid w:val="10E76132"/>
    <w:rsid w:val="10F10820"/>
    <w:rsid w:val="10F46BA2"/>
    <w:rsid w:val="11011AD3"/>
    <w:rsid w:val="11124F21"/>
    <w:rsid w:val="1116648B"/>
    <w:rsid w:val="111B0C92"/>
    <w:rsid w:val="111C2F7A"/>
    <w:rsid w:val="112278CE"/>
    <w:rsid w:val="11335637"/>
    <w:rsid w:val="113373E5"/>
    <w:rsid w:val="11433058"/>
    <w:rsid w:val="114530AA"/>
    <w:rsid w:val="115A2AA7"/>
    <w:rsid w:val="11665CA1"/>
    <w:rsid w:val="117F4AB7"/>
    <w:rsid w:val="118F0642"/>
    <w:rsid w:val="119F2F9C"/>
    <w:rsid w:val="11C24C0D"/>
    <w:rsid w:val="11C444E1"/>
    <w:rsid w:val="11C5129F"/>
    <w:rsid w:val="11CE710E"/>
    <w:rsid w:val="11D16BFE"/>
    <w:rsid w:val="11D66F71"/>
    <w:rsid w:val="11DA1B39"/>
    <w:rsid w:val="11DC229F"/>
    <w:rsid w:val="11E435E3"/>
    <w:rsid w:val="11E76422"/>
    <w:rsid w:val="11E85E6F"/>
    <w:rsid w:val="11EC57E6"/>
    <w:rsid w:val="11F3368B"/>
    <w:rsid w:val="11FD0D93"/>
    <w:rsid w:val="12015736"/>
    <w:rsid w:val="121667D8"/>
    <w:rsid w:val="121E0043"/>
    <w:rsid w:val="122356AC"/>
    <w:rsid w:val="12287829"/>
    <w:rsid w:val="122B1F50"/>
    <w:rsid w:val="123553DF"/>
    <w:rsid w:val="124473D0"/>
    <w:rsid w:val="12486EC1"/>
    <w:rsid w:val="126A5144"/>
    <w:rsid w:val="126D2DCB"/>
    <w:rsid w:val="12773AAF"/>
    <w:rsid w:val="127D4370"/>
    <w:rsid w:val="12837EF9"/>
    <w:rsid w:val="12887C05"/>
    <w:rsid w:val="128E689D"/>
    <w:rsid w:val="128F2041"/>
    <w:rsid w:val="129120CA"/>
    <w:rsid w:val="12AE1FE2"/>
    <w:rsid w:val="12BA06AC"/>
    <w:rsid w:val="12CE603E"/>
    <w:rsid w:val="12E30C1F"/>
    <w:rsid w:val="130848A2"/>
    <w:rsid w:val="13237B7D"/>
    <w:rsid w:val="13390EFF"/>
    <w:rsid w:val="133B6C14"/>
    <w:rsid w:val="134E480F"/>
    <w:rsid w:val="1356385F"/>
    <w:rsid w:val="135D251A"/>
    <w:rsid w:val="13653AA2"/>
    <w:rsid w:val="136F4921"/>
    <w:rsid w:val="138530D5"/>
    <w:rsid w:val="13861541"/>
    <w:rsid w:val="13920D7B"/>
    <w:rsid w:val="13951726"/>
    <w:rsid w:val="13957CB9"/>
    <w:rsid w:val="13967F09"/>
    <w:rsid w:val="13A265E9"/>
    <w:rsid w:val="13B40289"/>
    <w:rsid w:val="13B55FB8"/>
    <w:rsid w:val="13B907A5"/>
    <w:rsid w:val="13BE610B"/>
    <w:rsid w:val="13EC179B"/>
    <w:rsid w:val="13EC67A0"/>
    <w:rsid w:val="13ED1C55"/>
    <w:rsid w:val="13F611EC"/>
    <w:rsid w:val="1409747C"/>
    <w:rsid w:val="141B018D"/>
    <w:rsid w:val="142B6A9A"/>
    <w:rsid w:val="14396509"/>
    <w:rsid w:val="143F2545"/>
    <w:rsid w:val="144E65DE"/>
    <w:rsid w:val="1457163D"/>
    <w:rsid w:val="146A766C"/>
    <w:rsid w:val="14700825"/>
    <w:rsid w:val="14914E83"/>
    <w:rsid w:val="149503B7"/>
    <w:rsid w:val="14951F61"/>
    <w:rsid w:val="14983A03"/>
    <w:rsid w:val="14AD74AF"/>
    <w:rsid w:val="14B051F1"/>
    <w:rsid w:val="14BB1368"/>
    <w:rsid w:val="14C663E1"/>
    <w:rsid w:val="14D25167"/>
    <w:rsid w:val="14DD2C3C"/>
    <w:rsid w:val="14DE3B0C"/>
    <w:rsid w:val="14E552CC"/>
    <w:rsid w:val="14F36D6C"/>
    <w:rsid w:val="150317C5"/>
    <w:rsid w:val="15052509"/>
    <w:rsid w:val="151000C4"/>
    <w:rsid w:val="152F21EC"/>
    <w:rsid w:val="15322AC6"/>
    <w:rsid w:val="15384EFF"/>
    <w:rsid w:val="154222B6"/>
    <w:rsid w:val="154274C5"/>
    <w:rsid w:val="154A0266"/>
    <w:rsid w:val="15542020"/>
    <w:rsid w:val="15740EF8"/>
    <w:rsid w:val="157E2F9E"/>
    <w:rsid w:val="158B34E7"/>
    <w:rsid w:val="15966539"/>
    <w:rsid w:val="15997A33"/>
    <w:rsid w:val="15C21D5D"/>
    <w:rsid w:val="15C727F2"/>
    <w:rsid w:val="15D85185"/>
    <w:rsid w:val="15E353E4"/>
    <w:rsid w:val="15E57946"/>
    <w:rsid w:val="15EE5648"/>
    <w:rsid w:val="15F24DE9"/>
    <w:rsid w:val="16087E1D"/>
    <w:rsid w:val="160A1C64"/>
    <w:rsid w:val="161C0B30"/>
    <w:rsid w:val="16232652"/>
    <w:rsid w:val="162D7B12"/>
    <w:rsid w:val="162E7FFC"/>
    <w:rsid w:val="16353C00"/>
    <w:rsid w:val="163B5B8B"/>
    <w:rsid w:val="163B64BE"/>
    <w:rsid w:val="166E6B68"/>
    <w:rsid w:val="16746022"/>
    <w:rsid w:val="16D54FB0"/>
    <w:rsid w:val="16DB02E7"/>
    <w:rsid w:val="16F2564D"/>
    <w:rsid w:val="16F274A9"/>
    <w:rsid w:val="170B2BB3"/>
    <w:rsid w:val="172923EC"/>
    <w:rsid w:val="172A4DE7"/>
    <w:rsid w:val="17481711"/>
    <w:rsid w:val="175479F5"/>
    <w:rsid w:val="17591B70"/>
    <w:rsid w:val="17596145"/>
    <w:rsid w:val="175D1792"/>
    <w:rsid w:val="1767114C"/>
    <w:rsid w:val="17701D14"/>
    <w:rsid w:val="17712A16"/>
    <w:rsid w:val="17735226"/>
    <w:rsid w:val="17832749"/>
    <w:rsid w:val="178B19F3"/>
    <w:rsid w:val="17A65324"/>
    <w:rsid w:val="17A73857"/>
    <w:rsid w:val="17B3035A"/>
    <w:rsid w:val="17BF71A9"/>
    <w:rsid w:val="17D81508"/>
    <w:rsid w:val="17EE22B8"/>
    <w:rsid w:val="17EF2280"/>
    <w:rsid w:val="18251A52"/>
    <w:rsid w:val="18312ED0"/>
    <w:rsid w:val="18384480"/>
    <w:rsid w:val="1886369D"/>
    <w:rsid w:val="188D7274"/>
    <w:rsid w:val="189A656E"/>
    <w:rsid w:val="189F624C"/>
    <w:rsid w:val="18B2778A"/>
    <w:rsid w:val="18BD48B9"/>
    <w:rsid w:val="18C55E2B"/>
    <w:rsid w:val="18C572B9"/>
    <w:rsid w:val="18E65685"/>
    <w:rsid w:val="18E831AB"/>
    <w:rsid w:val="18FA2EDF"/>
    <w:rsid w:val="18FC50B5"/>
    <w:rsid w:val="190259ED"/>
    <w:rsid w:val="19051279"/>
    <w:rsid w:val="19061883"/>
    <w:rsid w:val="19081517"/>
    <w:rsid w:val="190922E3"/>
    <w:rsid w:val="192373AB"/>
    <w:rsid w:val="1941740B"/>
    <w:rsid w:val="195249C2"/>
    <w:rsid w:val="19766A09"/>
    <w:rsid w:val="199C61B8"/>
    <w:rsid w:val="19B438CE"/>
    <w:rsid w:val="19C77265"/>
    <w:rsid w:val="19C842F1"/>
    <w:rsid w:val="19CA0493"/>
    <w:rsid w:val="19E37A74"/>
    <w:rsid w:val="19EE2A43"/>
    <w:rsid w:val="1A130376"/>
    <w:rsid w:val="1A163D48"/>
    <w:rsid w:val="1A18186E"/>
    <w:rsid w:val="1A1A2477"/>
    <w:rsid w:val="1A1C66C0"/>
    <w:rsid w:val="1A2024D1"/>
    <w:rsid w:val="1A2D7065"/>
    <w:rsid w:val="1A42393B"/>
    <w:rsid w:val="1A4D0CE5"/>
    <w:rsid w:val="1A6C5716"/>
    <w:rsid w:val="1A6D406B"/>
    <w:rsid w:val="1A781FDC"/>
    <w:rsid w:val="1A7A05A5"/>
    <w:rsid w:val="1A85736E"/>
    <w:rsid w:val="1A8A0DC5"/>
    <w:rsid w:val="1A8D0828"/>
    <w:rsid w:val="1A9A6889"/>
    <w:rsid w:val="1A9F3D3E"/>
    <w:rsid w:val="1AAD45DE"/>
    <w:rsid w:val="1ABC044C"/>
    <w:rsid w:val="1ABF7F3C"/>
    <w:rsid w:val="1AD1525B"/>
    <w:rsid w:val="1AD45E08"/>
    <w:rsid w:val="1AF15F95"/>
    <w:rsid w:val="1B03756F"/>
    <w:rsid w:val="1B046F80"/>
    <w:rsid w:val="1B0F26C3"/>
    <w:rsid w:val="1B1C713C"/>
    <w:rsid w:val="1B3267B5"/>
    <w:rsid w:val="1B326960"/>
    <w:rsid w:val="1B362818"/>
    <w:rsid w:val="1B40161D"/>
    <w:rsid w:val="1B441859"/>
    <w:rsid w:val="1B505038"/>
    <w:rsid w:val="1B6606B1"/>
    <w:rsid w:val="1B66485B"/>
    <w:rsid w:val="1B6C2C88"/>
    <w:rsid w:val="1B6D3652"/>
    <w:rsid w:val="1B6F4DEF"/>
    <w:rsid w:val="1B707488"/>
    <w:rsid w:val="1B75059D"/>
    <w:rsid w:val="1B7C7BDB"/>
    <w:rsid w:val="1B8545F0"/>
    <w:rsid w:val="1B8A3B07"/>
    <w:rsid w:val="1B8F0610"/>
    <w:rsid w:val="1BB6133F"/>
    <w:rsid w:val="1BC31CAE"/>
    <w:rsid w:val="1BF1606F"/>
    <w:rsid w:val="1C024264"/>
    <w:rsid w:val="1C134ABF"/>
    <w:rsid w:val="1C1D5257"/>
    <w:rsid w:val="1C27223D"/>
    <w:rsid w:val="1C35495A"/>
    <w:rsid w:val="1C3757F2"/>
    <w:rsid w:val="1C395ACC"/>
    <w:rsid w:val="1C4C3A51"/>
    <w:rsid w:val="1C512E16"/>
    <w:rsid w:val="1C5E7925"/>
    <w:rsid w:val="1CB05D8E"/>
    <w:rsid w:val="1CBD27BF"/>
    <w:rsid w:val="1CC37CA8"/>
    <w:rsid w:val="1CCE26B8"/>
    <w:rsid w:val="1CD16B77"/>
    <w:rsid w:val="1CD80D2E"/>
    <w:rsid w:val="1CDF64D6"/>
    <w:rsid w:val="1CF30371"/>
    <w:rsid w:val="1CFC7AC6"/>
    <w:rsid w:val="1CFD070F"/>
    <w:rsid w:val="1CFD0F69"/>
    <w:rsid w:val="1D040590"/>
    <w:rsid w:val="1D136553"/>
    <w:rsid w:val="1D180449"/>
    <w:rsid w:val="1D183933"/>
    <w:rsid w:val="1D2353DE"/>
    <w:rsid w:val="1D531FE1"/>
    <w:rsid w:val="1D5F6196"/>
    <w:rsid w:val="1D6132A5"/>
    <w:rsid w:val="1D6445C8"/>
    <w:rsid w:val="1D6C74B1"/>
    <w:rsid w:val="1D724583"/>
    <w:rsid w:val="1D7414B2"/>
    <w:rsid w:val="1D8E56D5"/>
    <w:rsid w:val="1D9B4C90"/>
    <w:rsid w:val="1D9C27B6"/>
    <w:rsid w:val="1DA11B7B"/>
    <w:rsid w:val="1DA125C3"/>
    <w:rsid w:val="1DA253F1"/>
    <w:rsid w:val="1DA5166B"/>
    <w:rsid w:val="1DA86E9A"/>
    <w:rsid w:val="1DC75107"/>
    <w:rsid w:val="1DD12460"/>
    <w:rsid w:val="1DD67A76"/>
    <w:rsid w:val="1DDE1F0D"/>
    <w:rsid w:val="1DDF5951"/>
    <w:rsid w:val="1DE6649E"/>
    <w:rsid w:val="1DF34995"/>
    <w:rsid w:val="1DF85402"/>
    <w:rsid w:val="1E0C16EA"/>
    <w:rsid w:val="1E1071D7"/>
    <w:rsid w:val="1E1634D3"/>
    <w:rsid w:val="1E1D1646"/>
    <w:rsid w:val="1E3429EF"/>
    <w:rsid w:val="1E3D10C6"/>
    <w:rsid w:val="1E4058C9"/>
    <w:rsid w:val="1E77012A"/>
    <w:rsid w:val="1E7A43DA"/>
    <w:rsid w:val="1E8A260F"/>
    <w:rsid w:val="1E965458"/>
    <w:rsid w:val="1E9D6FD2"/>
    <w:rsid w:val="1E9F41EB"/>
    <w:rsid w:val="1ECB1635"/>
    <w:rsid w:val="1ED56B30"/>
    <w:rsid w:val="1EE32B69"/>
    <w:rsid w:val="1EF503D0"/>
    <w:rsid w:val="1EF83A1C"/>
    <w:rsid w:val="1F0954A0"/>
    <w:rsid w:val="1F182311"/>
    <w:rsid w:val="1F1D7927"/>
    <w:rsid w:val="1F3507CD"/>
    <w:rsid w:val="1F751FD2"/>
    <w:rsid w:val="1F7532BF"/>
    <w:rsid w:val="1F90634B"/>
    <w:rsid w:val="1FB1202B"/>
    <w:rsid w:val="1FCE4B66"/>
    <w:rsid w:val="1FD71989"/>
    <w:rsid w:val="1FD9754F"/>
    <w:rsid w:val="1FE6521E"/>
    <w:rsid w:val="1FE7539E"/>
    <w:rsid w:val="20124FB2"/>
    <w:rsid w:val="20147C0D"/>
    <w:rsid w:val="20193933"/>
    <w:rsid w:val="201C7BDE"/>
    <w:rsid w:val="20256A93"/>
    <w:rsid w:val="202E414E"/>
    <w:rsid w:val="203D55C9"/>
    <w:rsid w:val="20407429"/>
    <w:rsid w:val="20431034"/>
    <w:rsid w:val="205F176B"/>
    <w:rsid w:val="206155F1"/>
    <w:rsid w:val="20633113"/>
    <w:rsid w:val="20671BE0"/>
    <w:rsid w:val="20851F29"/>
    <w:rsid w:val="20963CB8"/>
    <w:rsid w:val="20971788"/>
    <w:rsid w:val="209F1B0B"/>
    <w:rsid w:val="20A3350A"/>
    <w:rsid w:val="20A81A1B"/>
    <w:rsid w:val="20B07FB6"/>
    <w:rsid w:val="20B646FB"/>
    <w:rsid w:val="20C77B4A"/>
    <w:rsid w:val="20D83B05"/>
    <w:rsid w:val="20DA787E"/>
    <w:rsid w:val="20E20BBC"/>
    <w:rsid w:val="20E91B6D"/>
    <w:rsid w:val="211D7792"/>
    <w:rsid w:val="212F13C6"/>
    <w:rsid w:val="213176FB"/>
    <w:rsid w:val="213502B1"/>
    <w:rsid w:val="213B74B1"/>
    <w:rsid w:val="213C2142"/>
    <w:rsid w:val="21414386"/>
    <w:rsid w:val="214B2529"/>
    <w:rsid w:val="215A2310"/>
    <w:rsid w:val="215A276C"/>
    <w:rsid w:val="21645E77"/>
    <w:rsid w:val="216D5C06"/>
    <w:rsid w:val="2188552B"/>
    <w:rsid w:val="21A46495"/>
    <w:rsid w:val="21A83BDE"/>
    <w:rsid w:val="21B77062"/>
    <w:rsid w:val="21C2373D"/>
    <w:rsid w:val="21DB48C2"/>
    <w:rsid w:val="21DE318A"/>
    <w:rsid w:val="21E52E78"/>
    <w:rsid w:val="21E87D78"/>
    <w:rsid w:val="21EC4D47"/>
    <w:rsid w:val="21EF5B80"/>
    <w:rsid w:val="22063D36"/>
    <w:rsid w:val="22140B6D"/>
    <w:rsid w:val="2222096C"/>
    <w:rsid w:val="22293669"/>
    <w:rsid w:val="223631D9"/>
    <w:rsid w:val="22576990"/>
    <w:rsid w:val="22582D8F"/>
    <w:rsid w:val="22715FC0"/>
    <w:rsid w:val="2275620E"/>
    <w:rsid w:val="227728B9"/>
    <w:rsid w:val="22851A6B"/>
    <w:rsid w:val="22984551"/>
    <w:rsid w:val="22A83271"/>
    <w:rsid w:val="22C92E93"/>
    <w:rsid w:val="22CD140E"/>
    <w:rsid w:val="22D811DC"/>
    <w:rsid w:val="22F47480"/>
    <w:rsid w:val="23007343"/>
    <w:rsid w:val="231828DF"/>
    <w:rsid w:val="233F7E6C"/>
    <w:rsid w:val="23451001"/>
    <w:rsid w:val="234E3A9F"/>
    <w:rsid w:val="23526226"/>
    <w:rsid w:val="2355143D"/>
    <w:rsid w:val="23653986"/>
    <w:rsid w:val="236A19EB"/>
    <w:rsid w:val="23757C14"/>
    <w:rsid w:val="2380374C"/>
    <w:rsid w:val="238534CD"/>
    <w:rsid w:val="238E0DF3"/>
    <w:rsid w:val="23915A65"/>
    <w:rsid w:val="23B80059"/>
    <w:rsid w:val="23DE1C48"/>
    <w:rsid w:val="23EC550D"/>
    <w:rsid w:val="240210CD"/>
    <w:rsid w:val="240A2722"/>
    <w:rsid w:val="240B498A"/>
    <w:rsid w:val="24264E8A"/>
    <w:rsid w:val="2435301D"/>
    <w:rsid w:val="243847AB"/>
    <w:rsid w:val="243C43AB"/>
    <w:rsid w:val="244D3F7A"/>
    <w:rsid w:val="24547366"/>
    <w:rsid w:val="24564E86"/>
    <w:rsid w:val="246031B3"/>
    <w:rsid w:val="2463402E"/>
    <w:rsid w:val="2466767A"/>
    <w:rsid w:val="246F29D3"/>
    <w:rsid w:val="246F79DD"/>
    <w:rsid w:val="247A2966"/>
    <w:rsid w:val="247A7B25"/>
    <w:rsid w:val="248577EE"/>
    <w:rsid w:val="2493465B"/>
    <w:rsid w:val="24A40147"/>
    <w:rsid w:val="24A75E8F"/>
    <w:rsid w:val="24B52569"/>
    <w:rsid w:val="24BE3087"/>
    <w:rsid w:val="24BF09F7"/>
    <w:rsid w:val="24D942F0"/>
    <w:rsid w:val="24DF0F4A"/>
    <w:rsid w:val="24E003D2"/>
    <w:rsid w:val="24F07C46"/>
    <w:rsid w:val="24F15196"/>
    <w:rsid w:val="24FA0F4C"/>
    <w:rsid w:val="252D53FE"/>
    <w:rsid w:val="253D7021"/>
    <w:rsid w:val="253F4745"/>
    <w:rsid w:val="255C3C0E"/>
    <w:rsid w:val="255D3975"/>
    <w:rsid w:val="257076E6"/>
    <w:rsid w:val="257A3908"/>
    <w:rsid w:val="25956388"/>
    <w:rsid w:val="25B31F02"/>
    <w:rsid w:val="25CB1CCD"/>
    <w:rsid w:val="25CE54D7"/>
    <w:rsid w:val="25E2280B"/>
    <w:rsid w:val="25E5567E"/>
    <w:rsid w:val="25EC2D81"/>
    <w:rsid w:val="25F3008C"/>
    <w:rsid w:val="26125EB4"/>
    <w:rsid w:val="261E524A"/>
    <w:rsid w:val="2641214D"/>
    <w:rsid w:val="264E2349"/>
    <w:rsid w:val="26502390"/>
    <w:rsid w:val="26586EC9"/>
    <w:rsid w:val="2664017E"/>
    <w:rsid w:val="26712A32"/>
    <w:rsid w:val="26753C6A"/>
    <w:rsid w:val="267F5008"/>
    <w:rsid w:val="268818DC"/>
    <w:rsid w:val="26914A4A"/>
    <w:rsid w:val="2697225D"/>
    <w:rsid w:val="26AB4C0B"/>
    <w:rsid w:val="26D33207"/>
    <w:rsid w:val="27280C17"/>
    <w:rsid w:val="273D2914"/>
    <w:rsid w:val="273E29FE"/>
    <w:rsid w:val="27561C28"/>
    <w:rsid w:val="27683A5A"/>
    <w:rsid w:val="277057A2"/>
    <w:rsid w:val="27806CA5"/>
    <w:rsid w:val="27934C2A"/>
    <w:rsid w:val="27985D9D"/>
    <w:rsid w:val="27AB1F74"/>
    <w:rsid w:val="27DB0914"/>
    <w:rsid w:val="27E70AD2"/>
    <w:rsid w:val="27F751B9"/>
    <w:rsid w:val="280B47C0"/>
    <w:rsid w:val="280B656E"/>
    <w:rsid w:val="28134676"/>
    <w:rsid w:val="281A1A80"/>
    <w:rsid w:val="281C69CE"/>
    <w:rsid w:val="283E1316"/>
    <w:rsid w:val="284803DB"/>
    <w:rsid w:val="286A598B"/>
    <w:rsid w:val="2873516E"/>
    <w:rsid w:val="28763319"/>
    <w:rsid w:val="28777B13"/>
    <w:rsid w:val="28780980"/>
    <w:rsid w:val="287C3F05"/>
    <w:rsid w:val="28830387"/>
    <w:rsid w:val="28880671"/>
    <w:rsid w:val="289D47CB"/>
    <w:rsid w:val="28A10C81"/>
    <w:rsid w:val="28B5472C"/>
    <w:rsid w:val="28D60106"/>
    <w:rsid w:val="28DB0637"/>
    <w:rsid w:val="28F61B99"/>
    <w:rsid w:val="28FB07F9"/>
    <w:rsid w:val="291124E1"/>
    <w:rsid w:val="29206EB8"/>
    <w:rsid w:val="292813A2"/>
    <w:rsid w:val="292907D0"/>
    <w:rsid w:val="29343D04"/>
    <w:rsid w:val="29475CCC"/>
    <w:rsid w:val="29497CCB"/>
    <w:rsid w:val="29595666"/>
    <w:rsid w:val="29693751"/>
    <w:rsid w:val="29811E88"/>
    <w:rsid w:val="298574DC"/>
    <w:rsid w:val="29874881"/>
    <w:rsid w:val="299A22A0"/>
    <w:rsid w:val="29AA1DB7"/>
    <w:rsid w:val="29B17478"/>
    <w:rsid w:val="29B4690F"/>
    <w:rsid w:val="29B92A03"/>
    <w:rsid w:val="29CC61D1"/>
    <w:rsid w:val="29E325E0"/>
    <w:rsid w:val="29E51041"/>
    <w:rsid w:val="29F82961"/>
    <w:rsid w:val="29F847C8"/>
    <w:rsid w:val="29FA6290"/>
    <w:rsid w:val="29FC6AB7"/>
    <w:rsid w:val="2A0911D4"/>
    <w:rsid w:val="2A2450BE"/>
    <w:rsid w:val="2A452503"/>
    <w:rsid w:val="2A48470C"/>
    <w:rsid w:val="2A53244F"/>
    <w:rsid w:val="2A571F3F"/>
    <w:rsid w:val="2A58554D"/>
    <w:rsid w:val="2A6B1546"/>
    <w:rsid w:val="2A6C3553"/>
    <w:rsid w:val="2A76764D"/>
    <w:rsid w:val="2A783C63"/>
    <w:rsid w:val="2A8029EE"/>
    <w:rsid w:val="2A931EF2"/>
    <w:rsid w:val="2AA44A58"/>
    <w:rsid w:val="2AAA2A48"/>
    <w:rsid w:val="2AB26922"/>
    <w:rsid w:val="2AB27175"/>
    <w:rsid w:val="2ABC1B23"/>
    <w:rsid w:val="2ABE3ECE"/>
    <w:rsid w:val="2AD4606F"/>
    <w:rsid w:val="2AD61820"/>
    <w:rsid w:val="2ADF09EB"/>
    <w:rsid w:val="2AE632C3"/>
    <w:rsid w:val="2AEC34DF"/>
    <w:rsid w:val="2B0B4AD7"/>
    <w:rsid w:val="2B110340"/>
    <w:rsid w:val="2B125BAF"/>
    <w:rsid w:val="2B51698E"/>
    <w:rsid w:val="2B524D2D"/>
    <w:rsid w:val="2B681F2A"/>
    <w:rsid w:val="2B8045A6"/>
    <w:rsid w:val="2B88362C"/>
    <w:rsid w:val="2B8D6008"/>
    <w:rsid w:val="2B990A49"/>
    <w:rsid w:val="2B9B17F4"/>
    <w:rsid w:val="2B9D7E25"/>
    <w:rsid w:val="2B9F543D"/>
    <w:rsid w:val="2BA936A8"/>
    <w:rsid w:val="2BAA0720"/>
    <w:rsid w:val="2BAC18C8"/>
    <w:rsid w:val="2BD80E5D"/>
    <w:rsid w:val="2BDA2E28"/>
    <w:rsid w:val="2BE7437C"/>
    <w:rsid w:val="2BE772F2"/>
    <w:rsid w:val="2BEB76BE"/>
    <w:rsid w:val="2BF4428E"/>
    <w:rsid w:val="2BF612E4"/>
    <w:rsid w:val="2BFD4D1F"/>
    <w:rsid w:val="2C0E2AD1"/>
    <w:rsid w:val="2C0E487F"/>
    <w:rsid w:val="2C0F4DF3"/>
    <w:rsid w:val="2C1218A5"/>
    <w:rsid w:val="2C315A5A"/>
    <w:rsid w:val="2C3562B0"/>
    <w:rsid w:val="2C455443"/>
    <w:rsid w:val="2C4B1C25"/>
    <w:rsid w:val="2C541D8E"/>
    <w:rsid w:val="2C550700"/>
    <w:rsid w:val="2C5676FD"/>
    <w:rsid w:val="2C5F6ABA"/>
    <w:rsid w:val="2C64573D"/>
    <w:rsid w:val="2C673F8F"/>
    <w:rsid w:val="2C680433"/>
    <w:rsid w:val="2C716359"/>
    <w:rsid w:val="2C7C09DD"/>
    <w:rsid w:val="2C931228"/>
    <w:rsid w:val="2CA246E6"/>
    <w:rsid w:val="2CA61E54"/>
    <w:rsid w:val="2CD83335"/>
    <w:rsid w:val="2CDE790D"/>
    <w:rsid w:val="2CF24111"/>
    <w:rsid w:val="2CF5277F"/>
    <w:rsid w:val="2CF75BF6"/>
    <w:rsid w:val="2CFB592E"/>
    <w:rsid w:val="2D023594"/>
    <w:rsid w:val="2D1660E1"/>
    <w:rsid w:val="2D171DA8"/>
    <w:rsid w:val="2D1A020F"/>
    <w:rsid w:val="2D236DD1"/>
    <w:rsid w:val="2D322388"/>
    <w:rsid w:val="2D3333D8"/>
    <w:rsid w:val="2D372FD5"/>
    <w:rsid w:val="2D3C2E01"/>
    <w:rsid w:val="2D3F2346"/>
    <w:rsid w:val="2D4C717F"/>
    <w:rsid w:val="2D531613"/>
    <w:rsid w:val="2D666F31"/>
    <w:rsid w:val="2D6E35CE"/>
    <w:rsid w:val="2D7A4946"/>
    <w:rsid w:val="2D7D5B52"/>
    <w:rsid w:val="2D8030E8"/>
    <w:rsid w:val="2D812A62"/>
    <w:rsid w:val="2D9B7E27"/>
    <w:rsid w:val="2D9E48E8"/>
    <w:rsid w:val="2D9E56F5"/>
    <w:rsid w:val="2DA3715E"/>
    <w:rsid w:val="2DB02E38"/>
    <w:rsid w:val="2DC81A80"/>
    <w:rsid w:val="2DCF44E2"/>
    <w:rsid w:val="2DD37B2E"/>
    <w:rsid w:val="2DD90AB3"/>
    <w:rsid w:val="2DDB027C"/>
    <w:rsid w:val="2DF574AD"/>
    <w:rsid w:val="2DF873EA"/>
    <w:rsid w:val="2DFA60A1"/>
    <w:rsid w:val="2E051C5F"/>
    <w:rsid w:val="2E091CF1"/>
    <w:rsid w:val="2E1A086A"/>
    <w:rsid w:val="2E20532B"/>
    <w:rsid w:val="2E356A11"/>
    <w:rsid w:val="2E383EF0"/>
    <w:rsid w:val="2E3D769E"/>
    <w:rsid w:val="2E475148"/>
    <w:rsid w:val="2E51098C"/>
    <w:rsid w:val="2E55175B"/>
    <w:rsid w:val="2E55487C"/>
    <w:rsid w:val="2E65102A"/>
    <w:rsid w:val="2E666B40"/>
    <w:rsid w:val="2E667F96"/>
    <w:rsid w:val="2E807459"/>
    <w:rsid w:val="2E8226AB"/>
    <w:rsid w:val="2E84707B"/>
    <w:rsid w:val="2E9B31C2"/>
    <w:rsid w:val="2E9F5C62"/>
    <w:rsid w:val="2EA92857"/>
    <w:rsid w:val="2EAE5EA6"/>
    <w:rsid w:val="2EB63777"/>
    <w:rsid w:val="2ED808BE"/>
    <w:rsid w:val="2EDE49DD"/>
    <w:rsid w:val="2EDF7472"/>
    <w:rsid w:val="2EE26446"/>
    <w:rsid w:val="2EE713B8"/>
    <w:rsid w:val="2EEA188A"/>
    <w:rsid w:val="2EF3377F"/>
    <w:rsid w:val="2EFF0A20"/>
    <w:rsid w:val="2F057BC3"/>
    <w:rsid w:val="2F2A6BF2"/>
    <w:rsid w:val="2F2D326E"/>
    <w:rsid w:val="2F4377F9"/>
    <w:rsid w:val="2F4D56BE"/>
    <w:rsid w:val="2F5B5DB1"/>
    <w:rsid w:val="2F617DF8"/>
    <w:rsid w:val="2F6623E6"/>
    <w:rsid w:val="2F71289A"/>
    <w:rsid w:val="2F7E1D1C"/>
    <w:rsid w:val="2F860BD0"/>
    <w:rsid w:val="2F8D5A92"/>
    <w:rsid w:val="2F9369D3"/>
    <w:rsid w:val="2F94331C"/>
    <w:rsid w:val="2F9B28CE"/>
    <w:rsid w:val="2FA86D99"/>
    <w:rsid w:val="2FB51EFE"/>
    <w:rsid w:val="2FD065E6"/>
    <w:rsid w:val="2FD96870"/>
    <w:rsid w:val="2FF45683"/>
    <w:rsid w:val="2FF86870"/>
    <w:rsid w:val="30093B66"/>
    <w:rsid w:val="30194B02"/>
    <w:rsid w:val="30287AC5"/>
    <w:rsid w:val="303625F7"/>
    <w:rsid w:val="303A0CA6"/>
    <w:rsid w:val="30580BC9"/>
    <w:rsid w:val="306F5FB7"/>
    <w:rsid w:val="30744C88"/>
    <w:rsid w:val="30837CF8"/>
    <w:rsid w:val="30843362"/>
    <w:rsid w:val="30850E88"/>
    <w:rsid w:val="30A83293"/>
    <w:rsid w:val="30AA75B1"/>
    <w:rsid w:val="30AA7783"/>
    <w:rsid w:val="30B2781E"/>
    <w:rsid w:val="30CA537E"/>
    <w:rsid w:val="30CB562A"/>
    <w:rsid w:val="30D00999"/>
    <w:rsid w:val="30E107B4"/>
    <w:rsid w:val="311E2ED7"/>
    <w:rsid w:val="312E5B7B"/>
    <w:rsid w:val="31342FDA"/>
    <w:rsid w:val="314E58D3"/>
    <w:rsid w:val="315619EE"/>
    <w:rsid w:val="315C449C"/>
    <w:rsid w:val="31771DD6"/>
    <w:rsid w:val="31807FCD"/>
    <w:rsid w:val="3192385D"/>
    <w:rsid w:val="319F7E06"/>
    <w:rsid w:val="31A11CF2"/>
    <w:rsid w:val="31B82709"/>
    <w:rsid w:val="31C554B2"/>
    <w:rsid w:val="31D05482"/>
    <w:rsid w:val="31E1204A"/>
    <w:rsid w:val="31E63EA2"/>
    <w:rsid w:val="31F14A27"/>
    <w:rsid w:val="31F32DAE"/>
    <w:rsid w:val="31FC34A1"/>
    <w:rsid w:val="32114E73"/>
    <w:rsid w:val="3216448E"/>
    <w:rsid w:val="32190A90"/>
    <w:rsid w:val="322037B0"/>
    <w:rsid w:val="3220530C"/>
    <w:rsid w:val="322B7FCC"/>
    <w:rsid w:val="3235134B"/>
    <w:rsid w:val="32400B34"/>
    <w:rsid w:val="32514DEA"/>
    <w:rsid w:val="32566F80"/>
    <w:rsid w:val="326C67A3"/>
    <w:rsid w:val="326D1CBA"/>
    <w:rsid w:val="32852D31"/>
    <w:rsid w:val="32977B71"/>
    <w:rsid w:val="329E6876"/>
    <w:rsid w:val="32A86AB2"/>
    <w:rsid w:val="32B015EE"/>
    <w:rsid w:val="32B36180"/>
    <w:rsid w:val="32D90FC8"/>
    <w:rsid w:val="32E67E80"/>
    <w:rsid w:val="32EE3EC4"/>
    <w:rsid w:val="32F1130F"/>
    <w:rsid w:val="332538B5"/>
    <w:rsid w:val="332C59A2"/>
    <w:rsid w:val="333015F2"/>
    <w:rsid w:val="33330C4F"/>
    <w:rsid w:val="33350266"/>
    <w:rsid w:val="334B6320"/>
    <w:rsid w:val="334E6859"/>
    <w:rsid w:val="335914C9"/>
    <w:rsid w:val="335D4B1C"/>
    <w:rsid w:val="336A2CE3"/>
    <w:rsid w:val="336E25BF"/>
    <w:rsid w:val="337376BE"/>
    <w:rsid w:val="338156D7"/>
    <w:rsid w:val="339715FE"/>
    <w:rsid w:val="33A53D1B"/>
    <w:rsid w:val="33C06DA7"/>
    <w:rsid w:val="33C16234"/>
    <w:rsid w:val="33C860F8"/>
    <w:rsid w:val="33D4727F"/>
    <w:rsid w:val="33D934D4"/>
    <w:rsid w:val="33E34843"/>
    <w:rsid w:val="33FD3B57"/>
    <w:rsid w:val="33FE2F6A"/>
    <w:rsid w:val="340E07E5"/>
    <w:rsid w:val="341F245B"/>
    <w:rsid w:val="342033A2"/>
    <w:rsid w:val="3423225E"/>
    <w:rsid w:val="34235BF7"/>
    <w:rsid w:val="344C063B"/>
    <w:rsid w:val="34515311"/>
    <w:rsid w:val="346239BA"/>
    <w:rsid w:val="34637732"/>
    <w:rsid w:val="34824241"/>
    <w:rsid w:val="348C55CC"/>
    <w:rsid w:val="348D5307"/>
    <w:rsid w:val="348F38AC"/>
    <w:rsid w:val="34A02734"/>
    <w:rsid w:val="34A61311"/>
    <w:rsid w:val="34B7392A"/>
    <w:rsid w:val="34B7500A"/>
    <w:rsid w:val="34B87A7E"/>
    <w:rsid w:val="34BA4154"/>
    <w:rsid w:val="34BC28CE"/>
    <w:rsid w:val="34BE262A"/>
    <w:rsid w:val="34CE4818"/>
    <w:rsid w:val="34EF0FC6"/>
    <w:rsid w:val="34F11CC9"/>
    <w:rsid w:val="350D4514"/>
    <w:rsid w:val="352F00E5"/>
    <w:rsid w:val="3530713A"/>
    <w:rsid w:val="353B59DD"/>
    <w:rsid w:val="35447564"/>
    <w:rsid w:val="354864D3"/>
    <w:rsid w:val="356C23A0"/>
    <w:rsid w:val="35782093"/>
    <w:rsid w:val="357D4824"/>
    <w:rsid w:val="358362DE"/>
    <w:rsid w:val="358C5FA8"/>
    <w:rsid w:val="358F6FCF"/>
    <w:rsid w:val="3598450B"/>
    <w:rsid w:val="359E6C74"/>
    <w:rsid w:val="35A26038"/>
    <w:rsid w:val="35A26B4B"/>
    <w:rsid w:val="35BE5027"/>
    <w:rsid w:val="35C15DF1"/>
    <w:rsid w:val="35CE0C2D"/>
    <w:rsid w:val="35CF1523"/>
    <w:rsid w:val="35EE0C0F"/>
    <w:rsid w:val="35EF181D"/>
    <w:rsid w:val="35FE3BE6"/>
    <w:rsid w:val="3600684C"/>
    <w:rsid w:val="36074A7F"/>
    <w:rsid w:val="3608233F"/>
    <w:rsid w:val="360E1929"/>
    <w:rsid w:val="36273ADD"/>
    <w:rsid w:val="36413AA3"/>
    <w:rsid w:val="365259FF"/>
    <w:rsid w:val="365B2DB7"/>
    <w:rsid w:val="365C0330"/>
    <w:rsid w:val="365C7110"/>
    <w:rsid w:val="36826596"/>
    <w:rsid w:val="368A64C6"/>
    <w:rsid w:val="36923549"/>
    <w:rsid w:val="369C02A7"/>
    <w:rsid w:val="36B75FBF"/>
    <w:rsid w:val="36BD0C45"/>
    <w:rsid w:val="36C0763F"/>
    <w:rsid w:val="36D47A76"/>
    <w:rsid w:val="36D7610B"/>
    <w:rsid w:val="36E22B71"/>
    <w:rsid w:val="37021D22"/>
    <w:rsid w:val="370E1BD7"/>
    <w:rsid w:val="370F1578"/>
    <w:rsid w:val="372B1AB9"/>
    <w:rsid w:val="37492BB6"/>
    <w:rsid w:val="377162BE"/>
    <w:rsid w:val="377F2AD5"/>
    <w:rsid w:val="37817A6D"/>
    <w:rsid w:val="37976290"/>
    <w:rsid w:val="37B81B43"/>
    <w:rsid w:val="37C05A1B"/>
    <w:rsid w:val="37E00298"/>
    <w:rsid w:val="37EB1F20"/>
    <w:rsid w:val="37EF450A"/>
    <w:rsid w:val="380A0FCE"/>
    <w:rsid w:val="381E4198"/>
    <w:rsid w:val="38233460"/>
    <w:rsid w:val="38505380"/>
    <w:rsid w:val="38602906"/>
    <w:rsid w:val="386419CC"/>
    <w:rsid w:val="3874020D"/>
    <w:rsid w:val="38741F0E"/>
    <w:rsid w:val="387D5266"/>
    <w:rsid w:val="38A52F3B"/>
    <w:rsid w:val="38B302F9"/>
    <w:rsid w:val="38DB3D3B"/>
    <w:rsid w:val="38E56968"/>
    <w:rsid w:val="38F12CD3"/>
    <w:rsid w:val="38F94775"/>
    <w:rsid w:val="390002FD"/>
    <w:rsid w:val="390E2362"/>
    <w:rsid w:val="390F0DFB"/>
    <w:rsid w:val="391F64B7"/>
    <w:rsid w:val="39237490"/>
    <w:rsid w:val="392971ED"/>
    <w:rsid w:val="392B61FC"/>
    <w:rsid w:val="39325651"/>
    <w:rsid w:val="393B2A2C"/>
    <w:rsid w:val="39535FC7"/>
    <w:rsid w:val="396106E4"/>
    <w:rsid w:val="39615A95"/>
    <w:rsid w:val="39723517"/>
    <w:rsid w:val="39743029"/>
    <w:rsid w:val="397C0896"/>
    <w:rsid w:val="39900FC9"/>
    <w:rsid w:val="39972358"/>
    <w:rsid w:val="39990857"/>
    <w:rsid w:val="399F6D9F"/>
    <w:rsid w:val="39A71E6F"/>
    <w:rsid w:val="39B0341A"/>
    <w:rsid w:val="39B2766C"/>
    <w:rsid w:val="39B94E6D"/>
    <w:rsid w:val="39D03C3C"/>
    <w:rsid w:val="39E817C8"/>
    <w:rsid w:val="39FB5903"/>
    <w:rsid w:val="39FC040D"/>
    <w:rsid w:val="3A00614F"/>
    <w:rsid w:val="3A0228DF"/>
    <w:rsid w:val="3A050D5C"/>
    <w:rsid w:val="3A173499"/>
    <w:rsid w:val="3A245005"/>
    <w:rsid w:val="3A280D4B"/>
    <w:rsid w:val="3A3A2CE3"/>
    <w:rsid w:val="3A7206CF"/>
    <w:rsid w:val="3A7B61B6"/>
    <w:rsid w:val="3A806BD5"/>
    <w:rsid w:val="3A834EF3"/>
    <w:rsid w:val="3A847321"/>
    <w:rsid w:val="3A872856"/>
    <w:rsid w:val="3A887EF3"/>
    <w:rsid w:val="3A9E33EE"/>
    <w:rsid w:val="3AA0680E"/>
    <w:rsid w:val="3AA62283"/>
    <w:rsid w:val="3AAD1707"/>
    <w:rsid w:val="3ABD615D"/>
    <w:rsid w:val="3AC67554"/>
    <w:rsid w:val="3AE43254"/>
    <w:rsid w:val="3AE818F2"/>
    <w:rsid w:val="3AF173C3"/>
    <w:rsid w:val="3B086638"/>
    <w:rsid w:val="3B0C034B"/>
    <w:rsid w:val="3B131EB2"/>
    <w:rsid w:val="3B1A1659"/>
    <w:rsid w:val="3B1F0857"/>
    <w:rsid w:val="3B254D7E"/>
    <w:rsid w:val="3B262AE0"/>
    <w:rsid w:val="3B284CBC"/>
    <w:rsid w:val="3B3763D1"/>
    <w:rsid w:val="3B392E1A"/>
    <w:rsid w:val="3B4A33FA"/>
    <w:rsid w:val="3B53405D"/>
    <w:rsid w:val="3B567FF1"/>
    <w:rsid w:val="3B8346CB"/>
    <w:rsid w:val="3BA40D5C"/>
    <w:rsid w:val="3BAD1B91"/>
    <w:rsid w:val="3BAF06FD"/>
    <w:rsid w:val="3BB317A5"/>
    <w:rsid w:val="3BB865B6"/>
    <w:rsid w:val="3BC211E2"/>
    <w:rsid w:val="3BD80379"/>
    <w:rsid w:val="3BF515B8"/>
    <w:rsid w:val="3C2177E5"/>
    <w:rsid w:val="3C2F6E1E"/>
    <w:rsid w:val="3C381F3F"/>
    <w:rsid w:val="3C44609B"/>
    <w:rsid w:val="3C4F64BA"/>
    <w:rsid w:val="3C524C2E"/>
    <w:rsid w:val="3C603701"/>
    <w:rsid w:val="3C6773D9"/>
    <w:rsid w:val="3C734A57"/>
    <w:rsid w:val="3C836BC3"/>
    <w:rsid w:val="3C8B3CCA"/>
    <w:rsid w:val="3C8C0DEF"/>
    <w:rsid w:val="3C8D7A42"/>
    <w:rsid w:val="3C914F22"/>
    <w:rsid w:val="3CA20800"/>
    <w:rsid w:val="3CA71EE9"/>
    <w:rsid w:val="3CAC4B5A"/>
    <w:rsid w:val="3CBC30DD"/>
    <w:rsid w:val="3CC02A4C"/>
    <w:rsid w:val="3CC33DB7"/>
    <w:rsid w:val="3CD00306"/>
    <w:rsid w:val="3CDA245A"/>
    <w:rsid w:val="3CDE3DFA"/>
    <w:rsid w:val="3CE06BBC"/>
    <w:rsid w:val="3CE07A0D"/>
    <w:rsid w:val="3CF4210B"/>
    <w:rsid w:val="3CF54BF1"/>
    <w:rsid w:val="3CFB0E50"/>
    <w:rsid w:val="3D1E06B7"/>
    <w:rsid w:val="3D302695"/>
    <w:rsid w:val="3D3879AE"/>
    <w:rsid w:val="3D424389"/>
    <w:rsid w:val="3D50698C"/>
    <w:rsid w:val="3D565C53"/>
    <w:rsid w:val="3D595B76"/>
    <w:rsid w:val="3D613EEC"/>
    <w:rsid w:val="3D637C8F"/>
    <w:rsid w:val="3D677C80"/>
    <w:rsid w:val="3D7B053E"/>
    <w:rsid w:val="3D812719"/>
    <w:rsid w:val="3D984913"/>
    <w:rsid w:val="3D9F0E00"/>
    <w:rsid w:val="3DAE0702"/>
    <w:rsid w:val="3DAE7A33"/>
    <w:rsid w:val="3DD4470B"/>
    <w:rsid w:val="3DDC2A2F"/>
    <w:rsid w:val="3DE6100A"/>
    <w:rsid w:val="3DF30C36"/>
    <w:rsid w:val="3DF97ED9"/>
    <w:rsid w:val="3E1652E2"/>
    <w:rsid w:val="3E165E67"/>
    <w:rsid w:val="3E1C4F52"/>
    <w:rsid w:val="3E2F1222"/>
    <w:rsid w:val="3E344619"/>
    <w:rsid w:val="3E367F06"/>
    <w:rsid w:val="3E406176"/>
    <w:rsid w:val="3E597B76"/>
    <w:rsid w:val="3E5E1BC5"/>
    <w:rsid w:val="3E7A310C"/>
    <w:rsid w:val="3E7A4655"/>
    <w:rsid w:val="3E7C38CA"/>
    <w:rsid w:val="3E9C5D1B"/>
    <w:rsid w:val="3EB60D91"/>
    <w:rsid w:val="3EC01D5A"/>
    <w:rsid w:val="3EC139D3"/>
    <w:rsid w:val="3ECD4126"/>
    <w:rsid w:val="3EDA0523"/>
    <w:rsid w:val="3EDD75D1"/>
    <w:rsid w:val="3F0A1205"/>
    <w:rsid w:val="3F0B0518"/>
    <w:rsid w:val="3F0F31E3"/>
    <w:rsid w:val="3F177A97"/>
    <w:rsid w:val="3F1E3168"/>
    <w:rsid w:val="3F391BBC"/>
    <w:rsid w:val="3F3B19D7"/>
    <w:rsid w:val="3F4C0309"/>
    <w:rsid w:val="3F4D1042"/>
    <w:rsid w:val="3F554898"/>
    <w:rsid w:val="3F654D0B"/>
    <w:rsid w:val="3F662470"/>
    <w:rsid w:val="3F6C1B91"/>
    <w:rsid w:val="3F74485C"/>
    <w:rsid w:val="3F886454"/>
    <w:rsid w:val="3F9B1890"/>
    <w:rsid w:val="3F9E50AA"/>
    <w:rsid w:val="3FA1581F"/>
    <w:rsid w:val="3FBD7AA0"/>
    <w:rsid w:val="3FBF43B6"/>
    <w:rsid w:val="3FC20978"/>
    <w:rsid w:val="3FCC59EF"/>
    <w:rsid w:val="3FD1082F"/>
    <w:rsid w:val="3FD259AA"/>
    <w:rsid w:val="3FDF6807"/>
    <w:rsid w:val="3FF322B2"/>
    <w:rsid w:val="3FF85036"/>
    <w:rsid w:val="3FF86E00"/>
    <w:rsid w:val="3FFA0F4B"/>
    <w:rsid w:val="400B6134"/>
    <w:rsid w:val="40100064"/>
    <w:rsid w:val="401A5619"/>
    <w:rsid w:val="40210647"/>
    <w:rsid w:val="403C77B5"/>
    <w:rsid w:val="403D352D"/>
    <w:rsid w:val="4045036D"/>
    <w:rsid w:val="40624D42"/>
    <w:rsid w:val="407A6407"/>
    <w:rsid w:val="409C0254"/>
    <w:rsid w:val="40AD62B9"/>
    <w:rsid w:val="40B66305"/>
    <w:rsid w:val="40D2366A"/>
    <w:rsid w:val="40EB2F89"/>
    <w:rsid w:val="40F07D45"/>
    <w:rsid w:val="41084033"/>
    <w:rsid w:val="410A1661"/>
    <w:rsid w:val="413F4EAF"/>
    <w:rsid w:val="41510CE5"/>
    <w:rsid w:val="41591F9F"/>
    <w:rsid w:val="41594397"/>
    <w:rsid w:val="415E6861"/>
    <w:rsid w:val="41607BB0"/>
    <w:rsid w:val="417C1E33"/>
    <w:rsid w:val="41801923"/>
    <w:rsid w:val="419164B7"/>
    <w:rsid w:val="41A82C28"/>
    <w:rsid w:val="41AC3252"/>
    <w:rsid w:val="41AF17C5"/>
    <w:rsid w:val="41E14136"/>
    <w:rsid w:val="4200449D"/>
    <w:rsid w:val="420A5691"/>
    <w:rsid w:val="420E0C5D"/>
    <w:rsid w:val="42227B4D"/>
    <w:rsid w:val="42276243"/>
    <w:rsid w:val="42371387"/>
    <w:rsid w:val="42380244"/>
    <w:rsid w:val="423A3BCC"/>
    <w:rsid w:val="423A74FB"/>
    <w:rsid w:val="423F316F"/>
    <w:rsid w:val="424E57D2"/>
    <w:rsid w:val="425C5EED"/>
    <w:rsid w:val="425F6459"/>
    <w:rsid w:val="42631478"/>
    <w:rsid w:val="42905722"/>
    <w:rsid w:val="429F5DD9"/>
    <w:rsid w:val="42B26C49"/>
    <w:rsid w:val="42B71375"/>
    <w:rsid w:val="42BC698B"/>
    <w:rsid w:val="42D02437"/>
    <w:rsid w:val="42D14810"/>
    <w:rsid w:val="42D55C9F"/>
    <w:rsid w:val="42D75573"/>
    <w:rsid w:val="42E665AE"/>
    <w:rsid w:val="42E83C24"/>
    <w:rsid w:val="42FE4F41"/>
    <w:rsid w:val="43065B8C"/>
    <w:rsid w:val="4322060C"/>
    <w:rsid w:val="43252782"/>
    <w:rsid w:val="432B3B11"/>
    <w:rsid w:val="43366360"/>
    <w:rsid w:val="433A6FE6"/>
    <w:rsid w:val="43480868"/>
    <w:rsid w:val="4349587D"/>
    <w:rsid w:val="4350713C"/>
    <w:rsid w:val="43562177"/>
    <w:rsid w:val="435A04FD"/>
    <w:rsid w:val="436653E0"/>
    <w:rsid w:val="437C62E7"/>
    <w:rsid w:val="43A35D9D"/>
    <w:rsid w:val="43BF2755"/>
    <w:rsid w:val="43C4431A"/>
    <w:rsid w:val="43C755E8"/>
    <w:rsid w:val="43C9470A"/>
    <w:rsid w:val="43EC53C7"/>
    <w:rsid w:val="43EF7066"/>
    <w:rsid w:val="43F80311"/>
    <w:rsid w:val="442944F4"/>
    <w:rsid w:val="44385CF1"/>
    <w:rsid w:val="444372B2"/>
    <w:rsid w:val="44537CAC"/>
    <w:rsid w:val="44635ED2"/>
    <w:rsid w:val="446B516E"/>
    <w:rsid w:val="447A5118"/>
    <w:rsid w:val="449C790B"/>
    <w:rsid w:val="44B3228D"/>
    <w:rsid w:val="44B951CC"/>
    <w:rsid w:val="44CD14E0"/>
    <w:rsid w:val="44CE7028"/>
    <w:rsid w:val="44D20936"/>
    <w:rsid w:val="44D56CEA"/>
    <w:rsid w:val="44F20B0B"/>
    <w:rsid w:val="450D34CE"/>
    <w:rsid w:val="451230A0"/>
    <w:rsid w:val="451C7BB5"/>
    <w:rsid w:val="452E5F4C"/>
    <w:rsid w:val="453E7B2C"/>
    <w:rsid w:val="45433AAF"/>
    <w:rsid w:val="45530463"/>
    <w:rsid w:val="45593672"/>
    <w:rsid w:val="45595F7E"/>
    <w:rsid w:val="45612018"/>
    <w:rsid w:val="45665485"/>
    <w:rsid w:val="457C708E"/>
    <w:rsid w:val="4586172C"/>
    <w:rsid w:val="458946E9"/>
    <w:rsid w:val="458B0E76"/>
    <w:rsid w:val="459019B0"/>
    <w:rsid w:val="45997458"/>
    <w:rsid w:val="459C78D2"/>
    <w:rsid w:val="45A47C0E"/>
    <w:rsid w:val="45A73923"/>
    <w:rsid w:val="45A81449"/>
    <w:rsid w:val="45AD2A11"/>
    <w:rsid w:val="45B52AE9"/>
    <w:rsid w:val="45CC3958"/>
    <w:rsid w:val="46087D1A"/>
    <w:rsid w:val="460D711E"/>
    <w:rsid w:val="461B22C5"/>
    <w:rsid w:val="461E7C62"/>
    <w:rsid w:val="46245D03"/>
    <w:rsid w:val="46284A99"/>
    <w:rsid w:val="46413918"/>
    <w:rsid w:val="464465EE"/>
    <w:rsid w:val="464D0FA2"/>
    <w:rsid w:val="4651559C"/>
    <w:rsid w:val="46577FD6"/>
    <w:rsid w:val="465C60F4"/>
    <w:rsid w:val="46623CEE"/>
    <w:rsid w:val="466E44AC"/>
    <w:rsid w:val="467557CF"/>
    <w:rsid w:val="4682613E"/>
    <w:rsid w:val="46911EDD"/>
    <w:rsid w:val="46930C2F"/>
    <w:rsid w:val="46D955A7"/>
    <w:rsid w:val="46FC3C12"/>
    <w:rsid w:val="46FC4EFD"/>
    <w:rsid w:val="46FE1EDD"/>
    <w:rsid w:val="470014FF"/>
    <w:rsid w:val="470D0215"/>
    <w:rsid w:val="47133957"/>
    <w:rsid w:val="47213261"/>
    <w:rsid w:val="47523D62"/>
    <w:rsid w:val="475249B4"/>
    <w:rsid w:val="475523CF"/>
    <w:rsid w:val="47686E17"/>
    <w:rsid w:val="476870E2"/>
    <w:rsid w:val="47775577"/>
    <w:rsid w:val="477C2B8D"/>
    <w:rsid w:val="47866F17"/>
    <w:rsid w:val="479B2568"/>
    <w:rsid w:val="47A07E0C"/>
    <w:rsid w:val="47A1410C"/>
    <w:rsid w:val="47C00DB4"/>
    <w:rsid w:val="47C408B6"/>
    <w:rsid w:val="47D737E5"/>
    <w:rsid w:val="47E150C2"/>
    <w:rsid w:val="47E32A9D"/>
    <w:rsid w:val="47E77E18"/>
    <w:rsid w:val="47E85D1F"/>
    <w:rsid w:val="481B2FFD"/>
    <w:rsid w:val="481C157D"/>
    <w:rsid w:val="48217047"/>
    <w:rsid w:val="483A2895"/>
    <w:rsid w:val="484A67E7"/>
    <w:rsid w:val="48515DC8"/>
    <w:rsid w:val="48643D4D"/>
    <w:rsid w:val="4865098C"/>
    <w:rsid w:val="4870272E"/>
    <w:rsid w:val="48774226"/>
    <w:rsid w:val="48896A5C"/>
    <w:rsid w:val="4893353F"/>
    <w:rsid w:val="48943157"/>
    <w:rsid w:val="48B21DCC"/>
    <w:rsid w:val="48B7420F"/>
    <w:rsid w:val="48B7695A"/>
    <w:rsid w:val="48C06AA9"/>
    <w:rsid w:val="48DC7D87"/>
    <w:rsid w:val="48DF4412"/>
    <w:rsid w:val="48F7102B"/>
    <w:rsid w:val="491312CF"/>
    <w:rsid w:val="49220777"/>
    <w:rsid w:val="492533E1"/>
    <w:rsid w:val="492E6109"/>
    <w:rsid w:val="49404145"/>
    <w:rsid w:val="4945103D"/>
    <w:rsid w:val="49672948"/>
    <w:rsid w:val="496909AC"/>
    <w:rsid w:val="497A30FC"/>
    <w:rsid w:val="49816239"/>
    <w:rsid w:val="498D3C8B"/>
    <w:rsid w:val="499C12C5"/>
    <w:rsid w:val="49B126B5"/>
    <w:rsid w:val="49D243CE"/>
    <w:rsid w:val="49D64D80"/>
    <w:rsid w:val="49DC7715"/>
    <w:rsid w:val="4A023139"/>
    <w:rsid w:val="4A207B27"/>
    <w:rsid w:val="4A215F63"/>
    <w:rsid w:val="4A4831FA"/>
    <w:rsid w:val="4A69389D"/>
    <w:rsid w:val="4A7B576F"/>
    <w:rsid w:val="4A8248B3"/>
    <w:rsid w:val="4A98226A"/>
    <w:rsid w:val="4AA43B12"/>
    <w:rsid w:val="4AA5064D"/>
    <w:rsid w:val="4AA541A9"/>
    <w:rsid w:val="4AAA7AC8"/>
    <w:rsid w:val="4AAE5336"/>
    <w:rsid w:val="4AB80380"/>
    <w:rsid w:val="4ABE640E"/>
    <w:rsid w:val="4ABF170F"/>
    <w:rsid w:val="4ACF7499"/>
    <w:rsid w:val="4AD243CC"/>
    <w:rsid w:val="4AD84FED"/>
    <w:rsid w:val="4AE04BFC"/>
    <w:rsid w:val="4AE271AB"/>
    <w:rsid w:val="4AF1059A"/>
    <w:rsid w:val="4AF313EF"/>
    <w:rsid w:val="4AF561A9"/>
    <w:rsid w:val="4AFE1776"/>
    <w:rsid w:val="4AFF5FAF"/>
    <w:rsid w:val="4B0E46A4"/>
    <w:rsid w:val="4B290261"/>
    <w:rsid w:val="4B2B30F2"/>
    <w:rsid w:val="4B4C0AC8"/>
    <w:rsid w:val="4B4D50EA"/>
    <w:rsid w:val="4B5E36D8"/>
    <w:rsid w:val="4B5F6A4E"/>
    <w:rsid w:val="4B603FED"/>
    <w:rsid w:val="4B6C4CC7"/>
    <w:rsid w:val="4B72052F"/>
    <w:rsid w:val="4B727D63"/>
    <w:rsid w:val="4B773D97"/>
    <w:rsid w:val="4B9318F2"/>
    <w:rsid w:val="4B9D2E9A"/>
    <w:rsid w:val="4BA01EC9"/>
    <w:rsid w:val="4BCC02DD"/>
    <w:rsid w:val="4BDB6F16"/>
    <w:rsid w:val="4BEB73D9"/>
    <w:rsid w:val="4C1067CB"/>
    <w:rsid w:val="4C150901"/>
    <w:rsid w:val="4C1E2513"/>
    <w:rsid w:val="4C1F4BED"/>
    <w:rsid w:val="4C4A0649"/>
    <w:rsid w:val="4C5900BC"/>
    <w:rsid w:val="4C7E5ECA"/>
    <w:rsid w:val="4C7F2BE8"/>
    <w:rsid w:val="4C876AA5"/>
    <w:rsid w:val="4C96649F"/>
    <w:rsid w:val="4C9A10B6"/>
    <w:rsid w:val="4C9D5033"/>
    <w:rsid w:val="4CBB52F2"/>
    <w:rsid w:val="4CCE3E8B"/>
    <w:rsid w:val="4CF803E4"/>
    <w:rsid w:val="4D081D6E"/>
    <w:rsid w:val="4D0E00FB"/>
    <w:rsid w:val="4D0F5E59"/>
    <w:rsid w:val="4D176606"/>
    <w:rsid w:val="4D1B2D86"/>
    <w:rsid w:val="4D1C61CC"/>
    <w:rsid w:val="4D21045F"/>
    <w:rsid w:val="4D31126A"/>
    <w:rsid w:val="4D422183"/>
    <w:rsid w:val="4D600EC9"/>
    <w:rsid w:val="4D751E5F"/>
    <w:rsid w:val="4D7A7831"/>
    <w:rsid w:val="4D9549A9"/>
    <w:rsid w:val="4D9F2BEE"/>
    <w:rsid w:val="4DA0155B"/>
    <w:rsid w:val="4DA150FB"/>
    <w:rsid w:val="4DA31497"/>
    <w:rsid w:val="4DA846DC"/>
    <w:rsid w:val="4DAF4A9D"/>
    <w:rsid w:val="4DBC03F5"/>
    <w:rsid w:val="4DBE4E9F"/>
    <w:rsid w:val="4DC37D93"/>
    <w:rsid w:val="4DC91F90"/>
    <w:rsid w:val="4DCA4E22"/>
    <w:rsid w:val="4DEC4FB0"/>
    <w:rsid w:val="4DED1DF1"/>
    <w:rsid w:val="4DEE6A00"/>
    <w:rsid w:val="4DF41132"/>
    <w:rsid w:val="4E075D8A"/>
    <w:rsid w:val="4E092F93"/>
    <w:rsid w:val="4E102281"/>
    <w:rsid w:val="4E13043A"/>
    <w:rsid w:val="4E1A4EAE"/>
    <w:rsid w:val="4E1D15E7"/>
    <w:rsid w:val="4E2108CE"/>
    <w:rsid w:val="4E351DED"/>
    <w:rsid w:val="4E3C74E1"/>
    <w:rsid w:val="4E3E579B"/>
    <w:rsid w:val="4E3F120B"/>
    <w:rsid w:val="4E460957"/>
    <w:rsid w:val="4E5E7912"/>
    <w:rsid w:val="4E636E2D"/>
    <w:rsid w:val="4E7E543D"/>
    <w:rsid w:val="4E82359A"/>
    <w:rsid w:val="4E89332C"/>
    <w:rsid w:val="4E8D4D85"/>
    <w:rsid w:val="4EA33BAD"/>
    <w:rsid w:val="4EAE0DF1"/>
    <w:rsid w:val="4EBD3383"/>
    <w:rsid w:val="4EC00FAD"/>
    <w:rsid w:val="4EC93958"/>
    <w:rsid w:val="4ECC090C"/>
    <w:rsid w:val="4EFB714D"/>
    <w:rsid w:val="4F0F27D9"/>
    <w:rsid w:val="4F1C4DB7"/>
    <w:rsid w:val="4F2953A8"/>
    <w:rsid w:val="4F2A173E"/>
    <w:rsid w:val="4F2C69BD"/>
    <w:rsid w:val="4F35580D"/>
    <w:rsid w:val="4F3A3E9A"/>
    <w:rsid w:val="4F3C308A"/>
    <w:rsid w:val="4F4302F4"/>
    <w:rsid w:val="4F4849CA"/>
    <w:rsid w:val="4F524F43"/>
    <w:rsid w:val="4F8C3DE9"/>
    <w:rsid w:val="4F9843DC"/>
    <w:rsid w:val="4F992F0D"/>
    <w:rsid w:val="4FA14080"/>
    <w:rsid w:val="4FA82E05"/>
    <w:rsid w:val="4FB235F0"/>
    <w:rsid w:val="4FB51215"/>
    <w:rsid w:val="4FBC1593"/>
    <w:rsid w:val="4FC41835"/>
    <w:rsid w:val="4FC62A8C"/>
    <w:rsid w:val="4FCE41A2"/>
    <w:rsid w:val="4FD64F3B"/>
    <w:rsid w:val="4FE20F0D"/>
    <w:rsid w:val="4FE51552"/>
    <w:rsid w:val="4FEA0478"/>
    <w:rsid w:val="4FED5938"/>
    <w:rsid w:val="4FF2334F"/>
    <w:rsid w:val="4FFE1899"/>
    <w:rsid w:val="501E2A33"/>
    <w:rsid w:val="50202F14"/>
    <w:rsid w:val="502E4D77"/>
    <w:rsid w:val="503164FD"/>
    <w:rsid w:val="50461F8A"/>
    <w:rsid w:val="5049427A"/>
    <w:rsid w:val="50504C4B"/>
    <w:rsid w:val="509C6E7C"/>
    <w:rsid w:val="50AE2F5D"/>
    <w:rsid w:val="50B2591B"/>
    <w:rsid w:val="50B44353"/>
    <w:rsid w:val="50B77C63"/>
    <w:rsid w:val="50CD2328"/>
    <w:rsid w:val="50E87D2E"/>
    <w:rsid w:val="50F37E80"/>
    <w:rsid w:val="510C31D4"/>
    <w:rsid w:val="5118442F"/>
    <w:rsid w:val="512D6CA6"/>
    <w:rsid w:val="5139564B"/>
    <w:rsid w:val="51497F84"/>
    <w:rsid w:val="51593DFB"/>
    <w:rsid w:val="5162104E"/>
    <w:rsid w:val="51624BA2"/>
    <w:rsid w:val="516A1CA8"/>
    <w:rsid w:val="516E1798"/>
    <w:rsid w:val="51916A1A"/>
    <w:rsid w:val="51976F41"/>
    <w:rsid w:val="519E14F8"/>
    <w:rsid w:val="51A554F3"/>
    <w:rsid w:val="51B82A14"/>
    <w:rsid w:val="51BF0246"/>
    <w:rsid w:val="51CE0489"/>
    <w:rsid w:val="51D35A9F"/>
    <w:rsid w:val="51D63AA0"/>
    <w:rsid w:val="51E91D0D"/>
    <w:rsid w:val="51EE7D82"/>
    <w:rsid w:val="51F36742"/>
    <w:rsid w:val="51F50FE4"/>
    <w:rsid w:val="51F7632C"/>
    <w:rsid w:val="51FA127E"/>
    <w:rsid w:val="522C3116"/>
    <w:rsid w:val="522D51B0"/>
    <w:rsid w:val="52302D39"/>
    <w:rsid w:val="5248734D"/>
    <w:rsid w:val="52570A07"/>
    <w:rsid w:val="525C69BE"/>
    <w:rsid w:val="525F51BE"/>
    <w:rsid w:val="52657399"/>
    <w:rsid w:val="528154FB"/>
    <w:rsid w:val="52A27B39"/>
    <w:rsid w:val="52C5188C"/>
    <w:rsid w:val="52CF406F"/>
    <w:rsid w:val="52D42503"/>
    <w:rsid w:val="52DE1FA8"/>
    <w:rsid w:val="52E27856"/>
    <w:rsid w:val="52F46924"/>
    <w:rsid w:val="531225F7"/>
    <w:rsid w:val="531776E2"/>
    <w:rsid w:val="5322283B"/>
    <w:rsid w:val="53275E79"/>
    <w:rsid w:val="53281E1B"/>
    <w:rsid w:val="532E32A8"/>
    <w:rsid w:val="53392574"/>
    <w:rsid w:val="53426A39"/>
    <w:rsid w:val="534E4149"/>
    <w:rsid w:val="53533E1E"/>
    <w:rsid w:val="53562641"/>
    <w:rsid w:val="536E52F7"/>
    <w:rsid w:val="53795FD6"/>
    <w:rsid w:val="53982AFD"/>
    <w:rsid w:val="539F44B7"/>
    <w:rsid w:val="53A039CC"/>
    <w:rsid w:val="53A1505A"/>
    <w:rsid w:val="53C06F8D"/>
    <w:rsid w:val="53D121AB"/>
    <w:rsid w:val="53E31ABA"/>
    <w:rsid w:val="53E41BA2"/>
    <w:rsid w:val="53EA60DF"/>
    <w:rsid w:val="53F046E7"/>
    <w:rsid w:val="53F11524"/>
    <w:rsid w:val="54063E08"/>
    <w:rsid w:val="54150726"/>
    <w:rsid w:val="5415414D"/>
    <w:rsid w:val="541B1471"/>
    <w:rsid w:val="542425E2"/>
    <w:rsid w:val="543437E8"/>
    <w:rsid w:val="544E739D"/>
    <w:rsid w:val="545B0CC0"/>
    <w:rsid w:val="54703D0D"/>
    <w:rsid w:val="548206B4"/>
    <w:rsid w:val="548E0657"/>
    <w:rsid w:val="54903F11"/>
    <w:rsid w:val="54930906"/>
    <w:rsid w:val="54985910"/>
    <w:rsid w:val="54995525"/>
    <w:rsid w:val="54997C8E"/>
    <w:rsid w:val="54B23B9D"/>
    <w:rsid w:val="54B40FBF"/>
    <w:rsid w:val="54CA318A"/>
    <w:rsid w:val="54CD4A28"/>
    <w:rsid w:val="54D83E2F"/>
    <w:rsid w:val="54E41D5E"/>
    <w:rsid w:val="54E50057"/>
    <w:rsid w:val="54F73313"/>
    <w:rsid w:val="54F80955"/>
    <w:rsid w:val="54F94593"/>
    <w:rsid w:val="54FC70BB"/>
    <w:rsid w:val="5502647E"/>
    <w:rsid w:val="550A17D8"/>
    <w:rsid w:val="55125D7D"/>
    <w:rsid w:val="55140A29"/>
    <w:rsid w:val="55142657"/>
    <w:rsid w:val="5516017D"/>
    <w:rsid w:val="55256612"/>
    <w:rsid w:val="553B1FA5"/>
    <w:rsid w:val="553C395C"/>
    <w:rsid w:val="554A2BF0"/>
    <w:rsid w:val="555125D3"/>
    <w:rsid w:val="555170A7"/>
    <w:rsid w:val="556C3183"/>
    <w:rsid w:val="556F379B"/>
    <w:rsid w:val="557A7BB5"/>
    <w:rsid w:val="5587536D"/>
    <w:rsid w:val="558A0B6B"/>
    <w:rsid w:val="558E225D"/>
    <w:rsid w:val="558F1CDD"/>
    <w:rsid w:val="559B174B"/>
    <w:rsid w:val="559F6E09"/>
    <w:rsid w:val="55AD0983"/>
    <w:rsid w:val="55B64251"/>
    <w:rsid w:val="55BF00BC"/>
    <w:rsid w:val="55C8590C"/>
    <w:rsid w:val="55CE0CF4"/>
    <w:rsid w:val="55D07F94"/>
    <w:rsid w:val="55EF3C03"/>
    <w:rsid w:val="56186177"/>
    <w:rsid w:val="56382375"/>
    <w:rsid w:val="56384328"/>
    <w:rsid w:val="56466840"/>
    <w:rsid w:val="565F3DA6"/>
    <w:rsid w:val="5670375B"/>
    <w:rsid w:val="5676035B"/>
    <w:rsid w:val="56A95021"/>
    <w:rsid w:val="56AB602E"/>
    <w:rsid w:val="56B22A9C"/>
    <w:rsid w:val="56D2411D"/>
    <w:rsid w:val="56DA167E"/>
    <w:rsid w:val="56EA7B13"/>
    <w:rsid w:val="56F269C8"/>
    <w:rsid w:val="56FC4C6F"/>
    <w:rsid w:val="572823EA"/>
    <w:rsid w:val="57342B3C"/>
    <w:rsid w:val="573F0BFC"/>
    <w:rsid w:val="57431178"/>
    <w:rsid w:val="57537389"/>
    <w:rsid w:val="57767B4A"/>
    <w:rsid w:val="577D2735"/>
    <w:rsid w:val="577F3F12"/>
    <w:rsid w:val="57825788"/>
    <w:rsid w:val="578640A7"/>
    <w:rsid w:val="578F06BB"/>
    <w:rsid w:val="579016B1"/>
    <w:rsid w:val="57A75A04"/>
    <w:rsid w:val="57B40121"/>
    <w:rsid w:val="57B72A76"/>
    <w:rsid w:val="57BB636D"/>
    <w:rsid w:val="57C3426C"/>
    <w:rsid w:val="57CE1F93"/>
    <w:rsid w:val="57DE4FB3"/>
    <w:rsid w:val="57EA304B"/>
    <w:rsid w:val="57EB6EA3"/>
    <w:rsid w:val="57F44D0E"/>
    <w:rsid w:val="57FE5B87"/>
    <w:rsid w:val="58106307"/>
    <w:rsid w:val="58107A06"/>
    <w:rsid w:val="581F722A"/>
    <w:rsid w:val="583225CE"/>
    <w:rsid w:val="58405511"/>
    <w:rsid w:val="5844243E"/>
    <w:rsid w:val="58481E95"/>
    <w:rsid w:val="585E21AC"/>
    <w:rsid w:val="586C6C71"/>
    <w:rsid w:val="587D49B7"/>
    <w:rsid w:val="58816255"/>
    <w:rsid w:val="588743D1"/>
    <w:rsid w:val="5887701A"/>
    <w:rsid w:val="58977827"/>
    <w:rsid w:val="58A75590"/>
    <w:rsid w:val="58AE2DC2"/>
    <w:rsid w:val="58B31C0C"/>
    <w:rsid w:val="58B66F88"/>
    <w:rsid w:val="58B9082E"/>
    <w:rsid w:val="58B92AE1"/>
    <w:rsid w:val="58C250A1"/>
    <w:rsid w:val="58C72A40"/>
    <w:rsid w:val="58C80256"/>
    <w:rsid w:val="58D565A1"/>
    <w:rsid w:val="58DD0FB2"/>
    <w:rsid w:val="58EB1921"/>
    <w:rsid w:val="58FC4002"/>
    <w:rsid w:val="58FD3402"/>
    <w:rsid w:val="5915699E"/>
    <w:rsid w:val="592F5CB1"/>
    <w:rsid w:val="59310850"/>
    <w:rsid w:val="593E5EF4"/>
    <w:rsid w:val="596F60AE"/>
    <w:rsid w:val="599B4817"/>
    <w:rsid w:val="59A044B9"/>
    <w:rsid w:val="59B14918"/>
    <w:rsid w:val="59C0439F"/>
    <w:rsid w:val="59C2164D"/>
    <w:rsid w:val="59C665F5"/>
    <w:rsid w:val="59CE258C"/>
    <w:rsid w:val="59DE3233"/>
    <w:rsid w:val="59E92304"/>
    <w:rsid w:val="59E95E90"/>
    <w:rsid w:val="59F63C1A"/>
    <w:rsid w:val="59FE5F53"/>
    <w:rsid w:val="59FF38D6"/>
    <w:rsid w:val="5A1B4488"/>
    <w:rsid w:val="5A3317D1"/>
    <w:rsid w:val="5A3F7A02"/>
    <w:rsid w:val="5A4D19F6"/>
    <w:rsid w:val="5A5359CF"/>
    <w:rsid w:val="5A6A37E1"/>
    <w:rsid w:val="5A7476F4"/>
    <w:rsid w:val="5A78478C"/>
    <w:rsid w:val="5A7D6400"/>
    <w:rsid w:val="5A8B3713"/>
    <w:rsid w:val="5A9009D2"/>
    <w:rsid w:val="5AB24AA8"/>
    <w:rsid w:val="5ABE2233"/>
    <w:rsid w:val="5AC4321E"/>
    <w:rsid w:val="5AC93B09"/>
    <w:rsid w:val="5AF27680"/>
    <w:rsid w:val="5AF43CEB"/>
    <w:rsid w:val="5AF54CD9"/>
    <w:rsid w:val="5B0C0525"/>
    <w:rsid w:val="5B123195"/>
    <w:rsid w:val="5B165B90"/>
    <w:rsid w:val="5B1A0F7E"/>
    <w:rsid w:val="5B2612F0"/>
    <w:rsid w:val="5B33135D"/>
    <w:rsid w:val="5B336D03"/>
    <w:rsid w:val="5B414E12"/>
    <w:rsid w:val="5B4812AC"/>
    <w:rsid w:val="5B482182"/>
    <w:rsid w:val="5B4B62F3"/>
    <w:rsid w:val="5B5B5903"/>
    <w:rsid w:val="5B5C4D58"/>
    <w:rsid w:val="5B61511B"/>
    <w:rsid w:val="5B6854AA"/>
    <w:rsid w:val="5B7E226B"/>
    <w:rsid w:val="5BC621D1"/>
    <w:rsid w:val="5BCA1CC1"/>
    <w:rsid w:val="5BCF4247"/>
    <w:rsid w:val="5BD7618C"/>
    <w:rsid w:val="5BDF5D95"/>
    <w:rsid w:val="5BE356F1"/>
    <w:rsid w:val="5BE42536"/>
    <w:rsid w:val="5BF653CE"/>
    <w:rsid w:val="5BFE7528"/>
    <w:rsid w:val="5C0F1DCA"/>
    <w:rsid w:val="5C1839E4"/>
    <w:rsid w:val="5C1A7DA7"/>
    <w:rsid w:val="5C5E3175"/>
    <w:rsid w:val="5C71038F"/>
    <w:rsid w:val="5C7F0CFE"/>
    <w:rsid w:val="5C91458D"/>
    <w:rsid w:val="5CB10FE2"/>
    <w:rsid w:val="5CB14C2F"/>
    <w:rsid w:val="5CB81BBB"/>
    <w:rsid w:val="5CBA3203"/>
    <w:rsid w:val="5CBE606B"/>
    <w:rsid w:val="5CE46DB3"/>
    <w:rsid w:val="5CFA7B59"/>
    <w:rsid w:val="5CFF1A74"/>
    <w:rsid w:val="5D442C9B"/>
    <w:rsid w:val="5D456BE5"/>
    <w:rsid w:val="5D52304E"/>
    <w:rsid w:val="5D59154F"/>
    <w:rsid w:val="5D5F468B"/>
    <w:rsid w:val="5D7B6548"/>
    <w:rsid w:val="5D8F6D1E"/>
    <w:rsid w:val="5D9205BD"/>
    <w:rsid w:val="5D97594A"/>
    <w:rsid w:val="5DA56542"/>
    <w:rsid w:val="5DA75422"/>
    <w:rsid w:val="5DB46785"/>
    <w:rsid w:val="5DE3706A"/>
    <w:rsid w:val="5E084D23"/>
    <w:rsid w:val="5E176D14"/>
    <w:rsid w:val="5E1969A3"/>
    <w:rsid w:val="5E23397E"/>
    <w:rsid w:val="5E2467F1"/>
    <w:rsid w:val="5E2E29DB"/>
    <w:rsid w:val="5E3635AB"/>
    <w:rsid w:val="5E4915C3"/>
    <w:rsid w:val="5E4E141F"/>
    <w:rsid w:val="5E524C74"/>
    <w:rsid w:val="5E5937C0"/>
    <w:rsid w:val="5E757AFE"/>
    <w:rsid w:val="5E7A3CAE"/>
    <w:rsid w:val="5E7A5C21"/>
    <w:rsid w:val="5E802B0B"/>
    <w:rsid w:val="5E8343A9"/>
    <w:rsid w:val="5E8479ED"/>
    <w:rsid w:val="5E8605ED"/>
    <w:rsid w:val="5EA22A81"/>
    <w:rsid w:val="5EA35BEA"/>
    <w:rsid w:val="5EC96260"/>
    <w:rsid w:val="5ED961F2"/>
    <w:rsid w:val="5EE17A4E"/>
    <w:rsid w:val="5EE46A0E"/>
    <w:rsid w:val="5EF13A09"/>
    <w:rsid w:val="5EFC5B5B"/>
    <w:rsid w:val="5F0415E0"/>
    <w:rsid w:val="5F0C439F"/>
    <w:rsid w:val="5F105E39"/>
    <w:rsid w:val="5F117C07"/>
    <w:rsid w:val="5F1A2B43"/>
    <w:rsid w:val="5F2648CE"/>
    <w:rsid w:val="5F28567D"/>
    <w:rsid w:val="5F294F51"/>
    <w:rsid w:val="5F376634"/>
    <w:rsid w:val="5F4104EC"/>
    <w:rsid w:val="5F410F87"/>
    <w:rsid w:val="5F4571B2"/>
    <w:rsid w:val="5F4955F3"/>
    <w:rsid w:val="5F4E009D"/>
    <w:rsid w:val="5F5A7800"/>
    <w:rsid w:val="5F660529"/>
    <w:rsid w:val="5F793330"/>
    <w:rsid w:val="5F802A46"/>
    <w:rsid w:val="5F8B1768"/>
    <w:rsid w:val="5F957E76"/>
    <w:rsid w:val="5FA07D52"/>
    <w:rsid w:val="5FA357B7"/>
    <w:rsid w:val="5FB837BB"/>
    <w:rsid w:val="5FBE7D8F"/>
    <w:rsid w:val="5FD7624B"/>
    <w:rsid w:val="5FE53EA7"/>
    <w:rsid w:val="5FE64BF0"/>
    <w:rsid w:val="5FFB4C31"/>
    <w:rsid w:val="5FFE018B"/>
    <w:rsid w:val="60007EAA"/>
    <w:rsid w:val="6011690C"/>
    <w:rsid w:val="60156E7F"/>
    <w:rsid w:val="601654D5"/>
    <w:rsid w:val="605E50CE"/>
    <w:rsid w:val="60627DEA"/>
    <w:rsid w:val="607641C6"/>
    <w:rsid w:val="60917251"/>
    <w:rsid w:val="609603C4"/>
    <w:rsid w:val="60AD570E"/>
    <w:rsid w:val="60B84098"/>
    <w:rsid w:val="60CC405A"/>
    <w:rsid w:val="60CD19D3"/>
    <w:rsid w:val="60DB675D"/>
    <w:rsid w:val="60F80961"/>
    <w:rsid w:val="60FA4F03"/>
    <w:rsid w:val="61051544"/>
    <w:rsid w:val="611B30E3"/>
    <w:rsid w:val="61317188"/>
    <w:rsid w:val="613508B0"/>
    <w:rsid w:val="61354563"/>
    <w:rsid w:val="614147D4"/>
    <w:rsid w:val="61903065"/>
    <w:rsid w:val="61923281"/>
    <w:rsid w:val="61971D3A"/>
    <w:rsid w:val="61A058FE"/>
    <w:rsid w:val="61A14776"/>
    <w:rsid w:val="61A42FB4"/>
    <w:rsid w:val="61BF394A"/>
    <w:rsid w:val="61DF3FED"/>
    <w:rsid w:val="61E215D8"/>
    <w:rsid w:val="61F36218"/>
    <w:rsid w:val="620624A5"/>
    <w:rsid w:val="620B4DE2"/>
    <w:rsid w:val="621619FB"/>
    <w:rsid w:val="621974FF"/>
    <w:rsid w:val="621B3775"/>
    <w:rsid w:val="621D2333"/>
    <w:rsid w:val="621F0559"/>
    <w:rsid w:val="62207A0C"/>
    <w:rsid w:val="622C5209"/>
    <w:rsid w:val="62364782"/>
    <w:rsid w:val="623E44AD"/>
    <w:rsid w:val="623E7839"/>
    <w:rsid w:val="624452BB"/>
    <w:rsid w:val="624A311F"/>
    <w:rsid w:val="62567317"/>
    <w:rsid w:val="62586279"/>
    <w:rsid w:val="626F3D2D"/>
    <w:rsid w:val="62712E97"/>
    <w:rsid w:val="628D567D"/>
    <w:rsid w:val="62964612"/>
    <w:rsid w:val="62A50D92"/>
    <w:rsid w:val="62B01EC0"/>
    <w:rsid w:val="62B65BDB"/>
    <w:rsid w:val="62D52C9D"/>
    <w:rsid w:val="62D90271"/>
    <w:rsid w:val="62DB47B4"/>
    <w:rsid w:val="62DF2184"/>
    <w:rsid w:val="62E46D98"/>
    <w:rsid w:val="62EA40C6"/>
    <w:rsid w:val="62FB33E9"/>
    <w:rsid w:val="6311467A"/>
    <w:rsid w:val="631D301E"/>
    <w:rsid w:val="63242E70"/>
    <w:rsid w:val="63371D21"/>
    <w:rsid w:val="63553701"/>
    <w:rsid w:val="635B09CB"/>
    <w:rsid w:val="635F53E5"/>
    <w:rsid w:val="63624ED5"/>
    <w:rsid w:val="636F07CE"/>
    <w:rsid w:val="63862972"/>
    <w:rsid w:val="63892CD6"/>
    <w:rsid w:val="638D69A9"/>
    <w:rsid w:val="6394356A"/>
    <w:rsid w:val="639F57E1"/>
    <w:rsid w:val="63BB0188"/>
    <w:rsid w:val="63BF7C1B"/>
    <w:rsid w:val="63C61B2C"/>
    <w:rsid w:val="63D40BE9"/>
    <w:rsid w:val="63D731CD"/>
    <w:rsid w:val="63DC4C88"/>
    <w:rsid w:val="63E15E83"/>
    <w:rsid w:val="63F91396"/>
    <w:rsid w:val="64046E46"/>
    <w:rsid w:val="64047D3A"/>
    <w:rsid w:val="64102431"/>
    <w:rsid w:val="641937E6"/>
    <w:rsid w:val="643F0D73"/>
    <w:rsid w:val="64524F4A"/>
    <w:rsid w:val="645760BC"/>
    <w:rsid w:val="646031C3"/>
    <w:rsid w:val="647A6C66"/>
    <w:rsid w:val="649E3CEB"/>
    <w:rsid w:val="64A5243A"/>
    <w:rsid w:val="64AE7D48"/>
    <w:rsid w:val="64B47494"/>
    <w:rsid w:val="64C910DD"/>
    <w:rsid w:val="64D70FAB"/>
    <w:rsid w:val="64D911C7"/>
    <w:rsid w:val="64DF4A2F"/>
    <w:rsid w:val="64E470EF"/>
    <w:rsid w:val="64F531DE"/>
    <w:rsid w:val="64FB738F"/>
    <w:rsid w:val="65041DB0"/>
    <w:rsid w:val="650F4BE9"/>
    <w:rsid w:val="65113876"/>
    <w:rsid w:val="651560C3"/>
    <w:rsid w:val="6530475E"/>
    <w:rsid w:val="65373578"/>
    <w:rsid w:val="654F297D"/>
    <w:rsid w:val="65530F79"/>
    <w:rsid w:val="65576DCB"/>
    <w:rsid w:val="655B590E"/>
    <w:rsid w:val="655D7702"/>
    <w:rsid w:val="656A1E1F"/>
    <w:rsid w:val="658721A6"/>
    <w:rsid w:val="658C3EE2"/>
    <w:rsid w:val="659A4307"/>
    <w:rsid w:val="65A34D46"/>
    <w:rsid w:val="65B25CA0"/>
    <w:rsid w:val="65C533E2"/>
    <w:rsid w:val="65C7197A"/>
    <w:rsid w:val="65D55A08"/>
    <w:rsid w:val="65F11B63"/>
    <w:rsid w:val="65F312B5"/>
    <w:rsid w:val="65FC6F1B"/>
    <w:rsid w:val="6603474E"/>
    <w:rsid w:val="661029C7"/>
    <w:rsid w:val="661C75BD"/>
    <w:rsid w:val="663D6D19"/>
    <w:rsid w:val="663F2D53"/>
    <w:rsid w:val="66482160"/>
    <w:rsid w:val="66515005"/>
    <w:rsid w:val="666920D7"/>
    <w:rsid w:val="666C5113"/>
    <w:rsid w:val="666F3B91"/>
    <w:rsid w:val="66A57D3E"/>
    <w:rsid w:val="66B323A5"/>
    <w:rsid w:val="66B66ED6"/>
    <w:rsid w:val="66B81491"/>
    <w:rsid w:val="66CA0BF5"/>
    <w:rsid w:val="66CD2EA6"/>
    <w:rsid w:val="66DA7067"/>
    <w:rsid w:val="66DF5748"/>
    <w:rsid w:val="66E624F0"/>
    <w:rsid w:val="66ED0ACD"/>
    <w:rsid w:val="670075BA"/>
    <w:rsid w:val="670F2B35"/>
    <w:rsid w:val="671169F6"/>
    <w:rsid w:val="671F124A"/>
    <w:rsid w:val="67304B97"/>
    <w:rsid w:val="6739419F"/>
    <w:rsid w:val="673C5696"/>
    <w:rsid w:val="67762345"/>
    <w:rsid w:val="677A33C6"/>
    <w:rsid w:val="679E3106"/>
    <w:rsid w:val="67A1616C"/>
    <w:rsid w:val="67A86BC4"/>
    <w:rsid w:val="67B34906"/>
    <w:rsid w:val="67BF7FBB"/>
    <w:rsid w:val="67C27CF0"/>
    <w:rsid w:val="67C659CC"/>
    <w:rsid w:val="67D404BB"/>
    <w:rsid w:val="67D85766"/>
    <w:rsid w:val="67DB7004"/>
    <w:rsid w:val="67EA1667"/>
    <w:rsid w:val="68075729"/>
    <w:rsid w:val="68096080"/>
    <w:rsid w:val="681808A1"/>
    <w:rsid w:val="681F6961"/>
    <w:rsid w:val="683000C2"/>
    <w:rsid w:val="68420E31"/>
    <w:rsid w:val="685D609D"/>
    <w:rsid w:val="68610A2F"/>
    <w:rsid w:val="68671BC6"/>
    <w:rsid w:val="68681C2A"/>
    <w:rsid w:val="686A367F"/>
    <w:rsid w:val="687469A7"/>
    <w:rsid w:val="68805514"/>
    <w:rsid w:val="688276A6"/>
    <w:rsid w:val="688443D5"/>
    <w:rsid w:val="689D08FA"/>
    <w:rsid w:val="68B83031"/>
    <w:rsid w:val="68BE12F2"/>
    <w:rsid w:val="68C74AF8"/>
    <w:rsid w:val="68CD1043"/>
    <w:rsid w:val="68F47BF7"/>
    <w:rsid w:val="68F760C0"/>
    <w:rsid w:val="69095BB9"/>
    <w:rsid w:val="690A04E9"/>
    <w:rsid w:val="690E1A3B"/>
    <w:rsid w:val="691D1E8A"/>
    <w:rsid w:val="69316E2F"/>
    <w:rsid w:val="69432511"/>
    <w:rsid w:val="694E2071"/>
    <w:rsid w:val="695C192A"/>
    <w:rsid w:val="695D6686"/>
    <w:rsid w:val="6966737E"/>
    <w:rsid w:val="69766163"/>
    <w:rsid w:val="697A3B33"/>
    <w:rsid w:val="69894F6A"/>
    <w:rsid w:val="698F641D"/>
    <w:rsid w:val="69A10C8D"/>
    <w:rsid w:val="69D44760"/>
    <w:rsid w:val="69D60A9D"/>
    <w:rsid w:val="69DA0351"/>
    <w:rsid w:val="69E62F37"/>
    <w:rsid w:val="69EF6000"/>
    <w:rsid w:val="6A006484"/>
    <w:rsid w:val="6A0101B8"/>
    <w:rsid w:val="6A010D09"/>
    <w:rsid w:val="6A0171F6"/>
    <w:rsid w:val="6A08122F"/>
    <w:rsid w:val="6A0C1B0B"/>
    <w:rsid w:val="6A152CA1"/>
    <w:rsid w:val="6A1F3F21"/>
    <w:rsid w:val="6A215711"/>
    <w:rsid w:val="6A225B47"/>
    <w:rsid w:val="6A2E789D"/>
    <w:rsid w:val="6A4F18F3"/>
    <w:rsid w:val="6A520EC7"/>
    <w:rsid w:val="6A7D0039"/>
    <w:rsid w:val="6A935287"/>
    <w:rsid w:val="6A960C73"/>
    <w:rsid w:val="6AA31A73"/>
    <w:rsid w:val="6AA5700A"/>
    <w:rsid w:val="6AA638F9"/>
    <w:rsid w:val="6AB57FE0"/>
    <w:rsid w:val="6ABC22D7"/>
    <w:rsid w:val="6AC37C5D"/>
    <w:rsid w:val="6ACB26CD"/>
    <w:rsid w:val="6AD76462"/>
    <w:rsid w:val="6AF84AC0"/>
    <w:rsid w:val="6AF87E20"/>
    <w:rsid w:val="6AFE3F61"/>
    <w:rsid w:val="6B000147"/>
    <w:rsid w:val="6B097810"/>
    <w:rsid w:val="6B1E41C0"/>
    <w:rsid w:val="6B2044D4"/>
    <w:rsid w:val="6B322639"/>
    <w:rsid w:val="6B393020"/>
    <w:rsid w:val="6B3C600C"/>
    <w:rsid w:val="6B4B5D7A"/>
    <w:rsid w:val="6B5B46E4"/>
    <w:rsid w:val="6B766DE4"/>
    <w:rsid w:val="6B805F0A"/>
    <w:rsid w:val="6B8C2AEF"/>
    <w:rsid w:val="6B9809FC"/>
    <w:rsid w:val="6BA81CC8"/>
    <w:rsid w:val="6BB169FA"/>
    <w:rsid w:val="6BBD0EFB"/>
    <w:rsid w:val="6BD56BFB"/>
    <w:rsid w:val="6BD72639"/>
    <w:rsid w:val="6BF07522"/>
    <w:rsid w:val="6C13106C"/>
    <w:rsid w:val="6C137C7E"/>
    <w:rsid w:val="6C1B3E73"/>
    <w:rsid w:val="6C274593"/>
    <w:rsid w:val="6C2D17F0"/>
    <w:rsid w:val="6C2E004A"/>
    <w:rsid w:val="6C2E0D38"/>
    <w:rsid w:val="6C3062DB"/>
    <w:rsid w:val="6C622A54"/>
    <w:rsid w:val="6C636C38"/>
    <w:rsid w:val="6C68355C"/>
    <w:rsid w:val="6C6D0FB3"/>
    <w:rsid w:val="6C7F6A38"/>
    <w:rsid w:val="6C8F16D4"/>
    <w:rsid w:val="6CA468E0"/>
    <w:rsid w:val="6CBD7B94"/>
    <w:rsid w:val="6CDA1355"/>
    <w:rsid w:val="6CDE381E"/>
    <w:rsid w:val="6CFF3F38"/>
    <w:rsid w:val="6D01750D"/>
    <w:rsid w:val="6D093DD5"/>
    <w:rsid w:val="6D0A4613"/>
    <w:rsid w:val="6D57537F"/>
    <w:rsid w:val="6D611D5A"/>
    <w:rsid w:val="6D6C5409"/>
    <w:rsid w:val="6D77157D"/>
    <w:rsid w:val="6D8139EF"/>
    <w:rsid w:val="6D8C5F0D"/>
    <w:rsid w:val="6D9B2C1A"/>
    <w:rsid w:val="6DB13A0B"/>
    <w:rsid w:val="6DB34098"/>
    <w:rsid w:val="6DB545B6"/>
    <w:rsid w:val="6DDB1B0C"/>
    <w:rsid w:val="6DE02FB4"/>
    <w:rsid w:val="6DE86C68"/>
    <w:rsid w:val="6DFE7342"/>
    <w:rsid w:val="6E081D3E"/>
    <w:rsid w:val="6E0A4958"/>
    <w:rsid w:val="6E133582"/>
    <w:rsid w:val="6E18189D"/>
    <w:rsid w:val="6E182DD1"/>
    <w:rsid w:val="6E1C5142"/>
    <w:rsid w:val="6E1F4433"/>
    <w:rsid w:val="6E2E60E0"/>
    <w:rsid w:val="6E31797E"/>
    <w:rsid w:val="6E3F02ED"/>
    <w:rsid w:val="6E3F511A"/>
    <w:rsid w:val="6E44037E"/>
    <w:rsid w:val="6E452FD8"/>
    <w:rsid w:val="6E4B1009"/>
    <w:rsid w:val="6E514CED"/>
    <w:rsid w:val="6E573888"/>
    <w:rsid w:val="6E626C6F"/>
    <w:rsid w:val="6E647D53"/>
    <w:rsid w:val="6E677B50"/>
    <w:rsid w:val="6E75506E"/>
    <w:rsid w:val="6E755580"/>
    <w:rsid w:val="6E811881"/>
    <w:rsid w:val="6E890338"/>
    <w:rsid w:val="6E8C3373"/>
    <w:rsid w:val="6E8D1344"/>
    <w:rsid w:val="6E8D7C01"/>
    <w:rsid w:val="6EAA303F"/>
    <w:rsid w:val="6EB3022A"/>
    <w:rsid w:val="6EB563D5"/>
    <w:rsid w:val="6EC2160D"/>
    <w:rsid w:val="6EC24A7A"/>
    <w:rsid w:val="6EC425A0"/>
    <w:rsid w:val="6ED92677"/>
    <w:rsid w:val="6EF103BD"/>
    <w:rsid w:val="6EF47961"/>
    <w:rsid w:val="6F225983"/>
    <w:rsid w:val="6F3123FF"/>
    <w:rsid w:val="6F346D51"/>
    <w:rsid w:val="6F50191F"/>
    <w:rsid w:val="6FA36101"/>
    <w:rsid w:val="6FAA3E8C"/>
    <w:rsid w:val="6FBD596D"/>
    <w:rsid w:val="6FCB642F"/>
    <w:rsid w:val="6FCD14BC"/>
    <w:rsid w:val="6FD26F3F"/>
    <w:rsid w:val="6FEA7BEB"/>
    <w:rsid w:val="6FEB4470"/>
    <w:rsid w:val="6FEF6742"/>
    <w:rsid w:val="6FF670D1"/>
    <w:rsid w:val="6FFC5590"/>
    <w:rsid w:val="701646C9"/>
    <w:rsid w:val="70184662"/>
    <w:rsid w:val="701D01BA"/>
    <w:rsid w:val="70205B1C"/>
    <w:rsid w:val="702146D3"/>
    <w:rsid w:val="70393240"/>
    <w:rsid w:val="703E786B"/>
    <w:rsid w:val="704A185F"/>
    <w:rsid w:val="70512AD7"/>
    <w:rsid w:val="705F1AB1"/>
    <w:rsid w:val="706D1DD0"/>
    <w:rsid w:val="706E1685"/>
    <w:rsid w:val="70706EF9"/>
    <w:rsid w:val="70730722"/>
    <w:rsid w:val="7073644F"/>
    <w:rsid w:val="70856B87"/>
    <w:rsid w:val="70934920"/>
    <w:rsid w:val="709D0D25"/>
    <w:rsid w:val="70A84D4C"/>
    <w:rsid w:val="70D527EE"/>
    <w:rsid w:val="70D867D7"/>
    <w:rsid w:val="710918F3"/>
    <w:rsid w:val="711465D7"/>
    <w:rsid w:val="71170EBD"/>
    <w:rsid w:val="71186BD3"/>
    <w:rsid w:val="71306613"/>
    <w:rsid w:val="71347A99"/>
    <w:rsid w:val="7141437C"/>
    <w:rsid w:val="71535E5D"/>
    <w:rsid w:val="71536443"/>
    <w:rsid w:val="715B5300"/>
    <w:rsid w:val="715B7111"/>
    <w:rsid w:val="717A3C13"/>
    <w:rsid w:val="71844269"/>
    <w:rsid w:val="71870C0A"/>
    <w:rsid w:val="718D5070"/>
    <w:rsid w:val="719646C8"/>
    <w:rsid w:val="719F25AA"/>
    <w:rsid w:val="71A35C41"/>
    <w:rsid w:val="71CC4217"/>
    <w:rsid w:val="71D27F8A"/>
    <w:rsid w:val="71EE33C0"/>
    <w:rsid w:val="71F633B8"/>
    <w:rsid w:val="7205184D"/>
    <w:rsid w:val="720F141E"/>
    <w:rsid w:val="72113D4E"/>
    <w:rsid w:val="721F3278"/>
    <w:rsid w:val="721F5CC8"/>
    <w:rsid w:val="72553024"/>
    <w:rsid w:val="7258372B"/>
    <w:rsid w:val="72673B98"/>
    <w:rsid w:val="72880D09"/>
    <w:rsid w:val="728D1118"/>
    <w:rsid w:val="72A050D2"/>
    <w:rsid w:val="72CB03A1"/>
    <w:rsid w:val="72D22A04"/>
    <w:rsid w:val="72DA46DB"/>
    <w:rsid w:val="72ED47BB"/>
    <w:rsid w:val="73122968"/>
    <w:rsid w:val="731F5D5E"/>
    <w:rsid w:val="73203AF8"/>
    <w:rsid w:val="73337CF4"/>
    <w:rsid w:val="73440153"/>
    <w:rsid w:val="734B2FC2"/>
    <w:rsid w:val="73510E47"/>
    <w:rsid w:val="73681199"/>
    <w:rsid w:val="73793C45"/>
    <w:rsid w:val="739F399D"/>
    <w:rsid w:val="73BD3BCD"/>
    <w:rsid w:val="73C51AD5"/>
    <w:rsid w:val="73D51E47"/>
    <w:rsid w:val="73E359C2"/>
    <w:rsid w:val="73E443B6"/>
    <w:rsid w:val="73E6120B"/>
    <w:rsid w:val="73F14C13"/>
    <w:rsid w:val="74031DBD"/>
    <w:rsid w:val="740527B3"/>
    <w:rsid w:val="740666B5"/>
    <w:rsid w:val="74074506"/>
    <w:rsid w:val="740F3EFE"/>
    <w:rsid w:val="741627F4"/>
    <w:rsid w:val="741E793C"/>
    <w:rsid w:val="74210666"/>
    <w:rsid w:val="74213D80"/>
    <w:rsid w:val="74291CA1"/>
    <w:rsid w:val="743C7011"/>
    <w:rsid w:val="743E2DF5"/>
    <w:rsid w:val="74431671"/>
    <w:rsid w:val="745E3944"/>
    <w:rsid w:val="747C37AD"/>
    <w:rsid w:val="74944B6B"/>
    <w:rsid w:val="7496138D"/>
    <w:rsid w:val="749A44CF"/>
    <w:rsid w:val="74A92964"/>
    <w:rsid w:val="74B80DF9"/>
    <w:rsid w:val="74B9247B"/>
    <w:rsid w:val="74BC74C1"/>
    <w:rsid w:val="74BD640F"/>
    <w:rsid w:val="74C663A2"/>
    <w:rsid w:val="74D53759"/>
    <w:rsid w:val="74E11460"/>
    <w:rsid w:val="74E52213"/>
    <w:rsid w:val="74F914CC"/>
    <w:rsid w:val="751758C7"/>
    <w:rsid w:val="751F2C26"/>
    <w:rsid w:val="751F68AF"/>
    <w:rsid w:val="75267B11"/>
    <w:rsid w:val="7530098F"/>
    <w:rsid w:val="75332E27"/>
    <w:rsid w:val="75474882"/>
    <w:rsid w:val="75691C2A"/>
    <w:rsid w:val="75693F49"/>
    <w:rsid w:val="757A2CA0"/>
    <w:rsid w:val="757C5983"/>
    <w:rsid w:val="757F36C5"/>
    <w:rsid w:val="758111EB"/>
    <w:rsid w:val="75874327"/>
    <w:rsid w:val="758779A3"/>
    <w:rsid w:val="75894543"/>
    <w:rsid w:val="759753ED"/>
    <w:rsid w:val="759A4F95"/>
    <w:rsid w:val="75A35605"/>
    <w:rsid w:val="75A57FD7"/>
    <w:rsid w:val="75A831F6"/>
    <w:rsid w:val="75AA4F5D"/>
    <w:rsid w:val="75AF2B30"/>
    <w:rsid w:val="75BE243F"/>
    <w:rsid w:val="75BE3E29"/>
    <w:rsid w:val="75CB565F"/>
    <w:rsid w:val="75E654F2"/>
    <w:rsid w:val="75EA44A4"/>
    <w:rsid w:val="76142BC8"/>
    <w:rsid w:val="761E6A3A"/>
    <w:rsid w:val="76285972"/>
    <w:rsid w:val="762D3121"/>
    <w:rsid w:val="7635099D"/>
    <w:rsid w:val="764426F3"/>
    <w:rsid w:val="764C6630"/>
    <w:rsid w:val="765161AB"/>
    <w:rsid w:val="76587637"/>
    <w:rsid w:val="765A3983"/>
    <w:rsid w:val="76650B0D"/>
    <w:rsid w:val="76655D42"/>
    <w:rsid w:val="766D4FAF"/>
    <w:rsid w:val="768D3AB6"/>
    <w:rsid w:val="76956494"/>
    <w:rsid w:val="769B1281"/>
    <w:rsid w:val="76A02D14"/>
    <w:rsid w:val="76A02FD8"/>
    <w:rsid w:val="76B13D52"/>
    <w:rsid w:val="76B8788F"/>
    <w:rsid w:val="76D14B6E"/>
    <w:rsid w:val="76DB492B"/>
    <w:rsid w:val="76DC3481"/>
    <w:rsid w:val="76FB7139"/>
    <w:rsid w:val="7701609E"/>
    <w:rsid w:val="770846A3"/>
    <w:rsid w:val="77171247"/>
    <w:rsid w:val="771A36A5"/>
    <w:rsid w:val="772269FE"/>
    <w:rsid w:val="773055AF"/>
    <w:rsid w:val="77361421"/>
    <w:rsid w:val="77364AA7"/>
    <w:rsid w:val="77470A20"/>
    <w:rsid w:val="774B7D02"/>
    <w:rsid w:val="775A32F8"/>
    <w:rsid w:val="77640DC4"/>
    <w:rsid w:val="77762421"/>
    <w:rsid w:val="77810BAF"/>
    <w:rsid w:val="77933457"/>
    <w:rsid w:val="77980A6E"/>
    <w:rsid w:val="77A669D3"/>
    <w:rsid w:val="77B56B1F"/>
    <w:rsid w:val="77DE2925"/>
    <w:rsid w:val="77EC5A31"/>
    <w:rsid w:val="77F40D33"/>
    <w:rsid w:val="780F09F4"/>
    <w:rsid w:val="78146F6B"/>
    <w:rsid w:val="78197E01"/>
    <w:rsid w:val="783123B6"/>
    <w:rsid w:val="78393FFF"/>
    <w:rsid w:val="783B1178"/>
    <w:rsid w:val="78595D96"/>
    <w:rsid w:val="78760522"/>
    <w:rsid w:val="787D3381"/>
    <w:rsid w:val="78806606"/>
    <w:rsid w:val="788314D1"/>
    <w:rsid w:val="7885662A"/>
    <w:rsid w:val="788B3859"/>
    <w:rsid w:val="78921CE6"/>
    <w:rsid w:val="78A0530C"/>
    <w:rsid w:val="78A10331"/>
    <w:rsid w:val="78A90480"/>
    <w:rsid w:val="78AD29AA"/>
    <w:rsid w:val="78AF1007"/>
    <w:rsid w:val="78B22312"/>
    <w:rsid w:val="78CE0BEB"/>
    <w:rsid w:val="78CF4603"/>
    <w:rsid w:val="78D4668F"/>
    <w:rsid w:val="78E21FA1"/>
    <w:rsid w:val="78E26444"/>
    <w:rsid w:val="78E308B2"/>
    <w:rsid w:val="78EA1D10"/>
    <w:rsid w:val="78EB765C"/>
    <w:rsid w:val="7915717A"/>
    <w:rsid w:val="79273628"/>
    <w:rsid w:val="792946BC"/>
    <w:rsid w:val="793B5B55"/>
    <w:rsid w:val="794C18BD"/>
    <w:rsid w:val="794E3D68"/>
    <w:rsid w:val="795066F2"/>
    <w:rsid w:val="79520409"/>
    <w:rsid w:val="79690914"/>
    <w:rsid w:val="796B643A"/>
    <w:rsid w:val="796D4FCB"/>
    <w:rsid w:val="79820456"/>
    <w:rsid w:val="79870D9A"/>
    <w:rsid w:val="79A13C0A"/>
    <w:rsid w:val="79AA44D9"/>
    <w:rsid w:val="79B85053"/>
    <w:rsid w:val="79BF1862"/>
    <w:rsid w:val="79CB2FD0"/>
    <w:rsid w:val="79CB512B"/>
    <w:rsid w:val="79CD2C51"/>
    <w:rsid w:val="79DD09BA"/>
    <w:rsid w:val="79E72CAE"/>
    <w:rsid w:val="79E84010"/>
    <w:rsid w:val="7A0314C0"/>
    <w:rsid w:val="7A083C89"/>
    <w:rsid w:val="7A291E51"/>
    <w:rsid w:val="7A355FBD"/>
    <w:rsid w:val="7A364017"/>
    <w:rsid w:val="7A717A45"/>
    <w:rsid w:val="7A8265E1"/>
    <w:rsid w:val="7A8A6D94"/>
    <w:rsid w:val="7A8F221B"/>
    <w:rsid w:val="7A982578"/>
    <w:rsid w:val="7AA16381"/>
    <w:rsid w:val="7AAB0B74"/>
    <w:rsid w:val="7ACD2225"/>
    <w:rsid w:val="7AD87AFF"/>
    <w:rsid w:val="7AF20B30"/>
    <w:rsid w:val="7B081184"/>
    <w:rsid w:val="7B087CB8"/>
    <w:rsid w:val="7B1A0118"/>
    <w:rsid w:val="7B315461"/>
    <w:rsid w:val="7B340AAD"/>
    <w:rsid w:val="7B670E83"/>
    <w:rsid w:val="7B686D42"/>
    <w:rsid w:val="7B841746"/>
    <w:rsid w:val="7B914152"/>
    <w:rsid w:val="7B9A1258"/>
    <w:rsid w:val="7BA44C96"/>
    <w:rsid w:val="7BB06DF9"/>
    <w:rsid w:val="7BB340C8"/>
    <w:rsid w:val="7BC46AC8"/>
    <w:rsid w:val="7BC96F14"/>
    <w:rsid w:val="7C0F2859"/>
    <w:rsid w:val="7C1032C9"/>
    <w:rsid w:val="7C2B3597"/>
    <w:rsid w:val="7C3100A6"/>
    <w:rsid w:val="7C442F72"/>
    <w:rsid w:val="7C502A98"/>
    <w:rsid w:val="7C572CA5"/>
    <w:rsid w:val="7C605FFE"/>
    <w:rsid w:val="7C660512"/>
    <w:rsid w:val="7C66738C"/>
    <w:rsid w:val="7C6C5AC7"/>
    <w:rsid w:val="7C773348"/>
    <w:rsid w:val="7C7F3FAA"/>
    <w:rsid w:val="7C806D20"/>
    <w:rsid w:val="7CA20701"/>
    <w:rsid w:val="7CAD4FBB"/>
    <w:rsid w:val="7CC6544B"/>
    <w:rsid w:val="7CCA791B"/>
    <w:rsid w:val="7CD51E1C"/>
    <w:rsid w:val="7CD75B94"/>
    <w:rsid w:val="7CDB518C"/>
    <w:rsid w:val="7CEB19F1"/>
    <w:rsid w:val="7CF21BF9"/>
    <w:rsid w:val="7CFE5817"/>
    <w:rsid w:val="7D0239FF"/>
    <w:rsid w:val="7D1574F5"/>
    <w:rsid w:val="7D166046"/>
    <w:rsid w:val="7D17393E"/>
    <w:rsid w:val="7D1A43E4"/>
    <w:rsid w:val="7D250FF6"/>
    <w:rsid w:val="7D254B52"/>
    <w:rsid w:val="7D337B48"/>
    <w:rsid w:val="7D42533E"/>
    <w:rsid w:val="7D4274B2"/>
    <w:rsid w:val="7D445EF3"/>
    <w:rsid w:val="7D4A6307"/>
    <w:rsid w:val="7D502CB8"/>
    <w:rsid w:val="7D50755D"/>
    <w:rsid w:val="7D5E40CD"/>
    <w:rsid w:val="7D6F531D"/>
    <w:rsid w:val="7D844273"/>
    <w:rsid w:val="7D8646FD"/>
    <w:rsid w:val="7D893B04"/>
    <w:rsid w:val="7D8E0E77"/>
    <w:rsid w:val="7D9677FD"/>
    <w:rsid w:val="7DB10B6B"/>
    <w:rsid w:val="7DB2034D"/>
    <w:rsid w:val="7DBC3708"/>
    <w:rsid w:val="7DC02175"/>
    <w:rsid w:val="7DCD56F2"/>
    <w:rsid w:val="7DDA2F1B"/>
    <w:rsid w:val="7DE17050"/>
    <w:rsid w:val="7E0A2F97"/>
    <w:rsid w:val="7E2F0D1B"/>
    <w:rsid w:val="7E307C52"/>
    <w:rsid w:val="7E3B088B"/>
    <w:rsid w:val="7E404433"/>
    <w:rsid w:val="7E417769"/>
    <w:rsid w:val="7E4B3655"/>
    <w:rsid w:val="7E5E1A52"/>
    <w:rsid w:val="7E6A3164"/>
    <w:rsid w:val="7E765661"/>
    <w:rsid w:val="7E775881"/>
    <w:rsid w:val="7E7C2E97"/>
    <w:rsid w:val="7E8458A8"/>
    <w:rsid w:val="7E90608B"/>
    <w:rsid w:val="7E977CD1"/>
    <w:rsid w:val="7EB238CB"/>
    <w:rsid w:val="7EB97C47"/>
    <w:rsid w:val="7EBE0DBA"/>
    <w:rsid w:val="7EC5549F"/>
    <w:rsid w:val="7ECA189C"/>
    <w:rsid w:val="7ED24E1B"/>
    <w:rsid w:val="7EE24762"/>
    <w:rsid w:val="7EE43CD7"/>
    <w:rsid w:val="7EE460FC"/>
    <w:rsid w:val="7EFA1A28"/>
    <w:rsid w:val="7F001CE7"/>
    <w:rsid w:val="7F0368F6"/>
    <w:rsid w:val="7F141322"/>
    <w:rsid w:val="7F3379FA"/>
    <w:rsid w:val="7F632B3F"/>
    <w:rsid w:val="7F65392B"/>
    <w:rsid w:val="7F7A3DEC"/>
    <w:rsid w:val="7F7E49ED"/>
    <w:rsid w:val="7F9935D5"/>
    <w:rsid w:val="7F9C3130"/>
    <w:rsid w:val="7FB9499D"/>
    <w:rsid w:val="7FD34D39"/>
    <w:rsid w:val="7FE02FB2"/>
    <w:rsid w:val="7FE47E50"/>
    <w:rsid w:val="7FE51E58"/>
    <w:rsid w:val="7FF12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1.5pt" color="#FF0000"/>
    </o:shapedefaults>
    <o:shapelayout v:ext="edit">
      <o:idmap v:ext="edit" data="2,3,4,5,6,7,8,9"/>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sdException w:qFormat="1" w:unhideWhenUsed="0" w:uiPriority="0" w:semiHidden="0" w:name="heading 4" w:locked="1"/>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qFormat="1" w:uiPriority="0" w:semiHidden="0" w:name="index 2" w:locked="1"/>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ocked="1"/>
    <w:lsdException w:qFormat="1" w:unhideWhenUsed="0" w:uiPriority="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ocked="1"/>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ocked="1"/>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ocked="1"/>
    <w:lsdException w:unhideWhenUsed="0" w:uiPriority="0" w:semiHidden="0" w:name="List 4"/>
    <w:lsdException w:unhideWhenUsed="0" w:uiPriority="0" w:semiHidden="0" w:name="List 5"/>
    <w:lsdException w:qFormat="1" w:uiPriority="0" w:semiHidden="0" w:name="List Bullet 2" w:locked="1"/>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ocked="1"/>
    <w:lsdException w:qFormat="1" w:unhideWhenUsed="0" w:uiPriority="0" w:semiHidden="0" w:name="Body Text Indent 3"/>
    <w:lsdException w:qFormat="1" w:unhideWhenUsed="0" w:uiPriority="0" w:semiHidden="0" w:name="Block Text"/>
    <w:lsdException w:qFormat="1" w:uiPriority="0" w:semiHidden="0" w:name="Hyperlink" w:locked="1"/>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ocked="1"/>
    <w:lsdException w:qFormat="1" w:unhideWhenUsed="0" w:uiPriority="0" w:semiHidden="0" w:name="Plain Text" w:locked="1"/>
    <w:lsdException w:qFormat="1" w:uiPriority="0" w:semiHidden="0" w:name="E-mail Signature" w:locked="1"/>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0" w:lineRule="atLeast"/>
    </w:pPr>
    <w:rPr>
      <w:rFonts w:ascii="Times New Roman" w:hAnsi="Times New Roman" w:eastAsia="宋体" w:cs="Times New Roman"/>
      <w:kern w:val="2"/>
      <w:sz w:val="21"/>
      <w:szCs w:val="24"/>
      <w:lang w:val="en-US" w:eastAsia="zh-CN" w:bidi="ar-SA"/>
    </w:rPr>
  </w:style>
  <w:style w:type="paragraph" w:styleId="2">
    <w:name w:val="heading 1"/>
    <w:basedOn w:val="1"/>
    <w:next w:val="1"/>
    <w:link w:val="56"/>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link w:val="57"/>
    <w:qFormat/>
    <w:locked/>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qFormat/>
    <w:uiPriority w:val="0"/>
    <w:pPr>
      <w:spacing w:line="360" w:lineRule="auto"/>
      <w:ind w:left="1008"/>
      <w:outlineLvl w:val="4"/>
    </w:pPr>
    <w:rPr>
      <w:bCs/>
      <w:iCs/>
      <w:kern w:val="0"/>
      <w:sz w:val="24"/>
      <w:szCs w:val="26"/>
    </w:rPr>
  </w:style>
  <w:style w:type="paragraph" w:styleId="7">
    <w:name w:val="heading 6"/>
    <w:basedOn w:val="1"/>
    <w:next w:val="1"/>
    <w:qFormat/>
    <w:uiPriority w:val="0"/>
    <w:pPr>
      <w:spacing w:before="240" w:after="60" w:line="360" w:lineRule="auto"/>
      <w:ind w:left="1152"/>
      <w:outlineLvl w:val="5"/>
    </w:pPr>
    <w:rPr>
      <w:b/>
      <w:bCs/>
      <w:kern w:val="0"/>
      <w:sz w:val="20"/>
      <w:szCs w:val="20"/>
    </w:rPr>
  </w:style>
  <w:style w:type="character" w:default="1" w:styleId="44">
    <w:name w:val="Default Paragraph Font"/>
    <w:semiHidden/>
    <w:qFormat/>
    <w:uiPriority w:val="0"/>
  </w:style>
  <w:style w:type="table" w:default="1" w:styleId="42">
    <w:name w:val="Normal Table"/>
    <w:semiHidden/>
    <w:qFormat/>
    <w:uiPriority w:val="0"/>
    <w:tblPr>
      <w:tblCellMar>
        <w:top w:w="0" w:type="dxa"/>
        <w:left w:w="108" w:type="dxa"/>
        <w:bottom w:w="0" w:type="dxa"/>
        <w:right w:w="108" w:type="dxa"/>
      </w:tblCellMar>
    </w:tblPr>
  </w:style>
  <w:style w:type="paragraph" w:styleId="8">
    <w:name w:val="List 3"/>
    <w:basedOn w:val="1"/>
    <w:qFormat/>
    <w:locked/>
    <w:uiPriority w:val="0"/>
    <w:pPr>
      <w:autoSpaceDE w:val="0"/>
      <w:autoSpaceDN w:val="0"/>
      <w:spacing w:line="288" w:lineRule="auto"/>
      <w:ind w:left="1260" w:hanging="420"/>
    </w:pPr>
    <w:rPr>
      <w:sz w:val="24"/>
    </w:rPr>
  </w:style>
  <w:style w:type="paragraph" w:styleId="9">
    <w:name w:val="E-mail Signature"/>
    <w:basedOn w:val="1"/>
    <w:next w:val="10"/>
    <w:link w:val="58"/>
    <w:unhideWhenUsed/>
    <w:qFormat/>
    <w:locked/>
    <w:uiPriority w:val="0"/>
    <w:pPr>
      <w:spacing w:line="460" w:lineRule="exact"/>
      <w:ind w:firstLine="200"/>
    </w:pPr>
  </w:style>
  <w:style w:type="paragraph" w:customStyle="1" w:styleId="10">
    <w:name w:val="文章"/>
    <w:basedOn w:val="11"/>
    <w:next w:val="12"/>
    <w:qFormat/>
    <w:uiPriority w:val="0"/>
    <w:pPr>
      <w:ind w:firstLine="480"/>
      <w:jc w:val="center"/>
    </w:pPr>
    <w:rPr>
      <w:rFonts w:eastAsia="宋?"/>
      <w:kern w:val="2"/>
      <w:sz w:val="26"/>
      <w:szCs w:val="22"/>
    </w:rPr>
  </w:style>
  <w:style w:type="paragraph" w:styleId="11">
    <w:name w:val="Body Text Indent"/>
    <w:basedOn w:val="1"/>
    <w:link w:val="59"/>
    <w:qFormat/>
    <w:uiPriority w:val="0"/>
    <w:pPr>
      <w:spacing w:after="120"/>
      <w:ind w:left="420" w:leftChars="200"/>
    </w:pPr>
    <w:rPr>
      <w:kern w:val="0"/>
      <w:sz w:val="24"/>
      <w:szCs w:val="20"/>
    </w:rPr>
  </w:style>
  <w:style w:type="paragraph" w:styleId="12">
    <w:name w:val="List"/>
    <w:basedOn w:val="1"/>
    <w:next w:val="13"/>
    <w:qFormat/>
    <w:uiPriority w:val="0"/>
    <w:pPr>
      <w:ind w:left="200" w:hanging="200" w:hangingChars="200"/>
    </w:pPr>
  </w:style>
  <w:style w:type="paragraph" w:styleId="13">
    <w:name w:val="List Bullet 2"/>
    <w:basedOn w:val="1"/>
    <w:next w:val="14"/>
    <w:unhideWhenUsed/>
    <w:qFormat/>
    <w:locked/>
    <w:uiPriority w:val="0"/>
    <w:pPr>
      <w:numPr>
        <w:ilvl w:val="0"/>
        <w:numId w:val="1"/>
      </w:numPr>
    </w:pPr>
  </w:style>
  <w:style w:type="paragraph" w:customStyle="1" w:styleId="14">
    <w:name w:val="xl70"/>
    <w:basedOn w:val="1"/>
    <w:next w:val="15"/>
    <w:qFormat/>
    <w:uiPriority w:val="0"/>
    <w:pPr>
      <w:spacing w:before="280" w:after="280"/>
    </w:pPr>
    <w:rPr>
      <w:rFonts w:ascii="宋体"/>
    </w:rPr>
  </w:style>
  <w:style w:type="paragraph" w:customStyle="1" w:styleId="15">
    <w:name w:val="正文缩进1"/>
    <w:basedOn w:val="16"/>
    <w:next w:val="17"/>
    <w:link w:val="60"/>
    <w:qFormat/>
    <w:uiPriority w:val="0"/>
    <w:pPr>
      <w:spacing w:line="312" w:lineRule="atLeast"/>
      <w:textAlignment w:val="baseline"/>
    </w:pPr>
    <w:rPr>
      <w:kern w:val="0"/>
      <w:sz w:val="28"/>
    </w:rPr>
  </w:style>
  <w:style w:type="paragraph" w:styleId="16">
    <w:name w:val="Normal Indent"/>
    <w:basedOn w:val="1"/>
    <w:link w:val="55"/>
    <w:qFormat/>
    <w:locked/>
    <w:uiPriority w:val="0"/>
    <w:pPr>
      <w:ind w:firstLine="420"/>
    </w:pPr>
    <w:rPr>
      <w:szCs w:val="20"/>
    </w:rPr>
  </w:style>
  <w:style w:type="paragraph" w:customStyle="1" w:styleId="17">
    <w:name w:val="td1"/>
    <w:basedOn w:val="1"/>
    <w:next w:val="1"/>
    <w:qFormat/>
    <w:uiPriority w:val="0"/>
    <w:pPr>
      <w:tabs>
        <w:tab w:val="left" w:pos="480"/>
      </w:tabs>
      <w:spacing w:before="280" w:after="280" w:line="300" w:lineRule="atLeast"/>
      <w:ind w:firstLine="200"/>
    </w:pPr>
    <w:rPr>
      <w:color w:val="000000"/>
      <w:sz w:val="18"/>
    </w:rPr>
  </w:style>
  <w:style w:type="paragraph" w:styleId="18">
    <w:name w:val="caption"/>
    <w:basedOn w:val="1"/>
    <w:next w:val="1"/>
    <w:qFormat/>
    <w:uiPriority w:val="0"/>
    <w:rPr>
      <w:rFonts w:ascii="Arial" w:hAnsi="Arial" w:eastAsia="黑体" w:cs="Arial"/>
      <w:sz w:val="20"/>
      <w:szCs w:val="20"/>
    </w:rPr>
  </w:style>
  <w:style w:type="paragraph" w:styleId="19">
    <w:name w:val="Document Map"/>
    <w:basedOn w:val="1"/>
    <w:semiHidden/>
    <w:qFormat/>
    <w:locked/>
    <w:uiPriority w:val="0"/>
    <w:pPr>
      <w:shd w:val="clear" w:color="auto" w:fill="000080"/>
    </w:pPr>
  </w:style>
  <w:style w:type="paragraph" w:styleId="20">
    <w:name w:val="annotation text"/>
    <w:basedOn w:val="1"/>
    <w:link w:val="61"/>
    <w:semiHidden/>
    <w:qFormat/>
    <w:uiPriority w:val="0"/>
    <w:rPr>
      <w:kern w:val="0"/>
      <w:sz w:val="24"/>
      <w:szCs w:val="20"/>
    </w:rPr>
  </w:style>
  <w:style w:type="paragraph" w:styleId="21">
    <w:name w:val="Body Text"/>
    <w:basedOn w:val="1"/>
    <w:link w:val="62"/>
    <w:qFormat/>
    <w:uiPriority w:val="0"/>
    <w:pPr>
      <w:snapToGrid w:val="0"/>
      <w:spacing w:before="60" w:after="160" w:line="259" w:lineRule="auto"/>
      <w:ind w:right="113"/>
    </w:pPr>
    <w:rPr>
      <w:kern w:val="0"/>
      <w:sz w:val="18"/>
      <w:szCs w:val="20"/>
    </w:rPr>
  </w:style>
  <w:style w:type="paragraph" w:styleId="22">
    <w:name w:val="Block Text"/>
    <w:basedOn w:val="1"/>
    <w:qFormat/>
    <w:uiPriority w:val="0"/>
    <w:pPr>
      <w:snapToGrid w:val="0"/>
      <w:spacing w:before="180" w:line="380" w:lineRule="atLeast"/>
      <w:ind w:left="142" w:right="170" w:firstLine="476"/>
    </w:pPr>
    <w:rPr>
      <w:sz w:val="24"/>
      <w:szCs w:val="20"/>
    </w:rPr>
  </w:style>
  <w:style w:type="paragraph" w:styleId="23">
    <w:name w:val="toc 5"/>
    <w:basedOn w:val="1"/>
    <w:next w:val="1"/>
    <w:qFormat/>
    <w:uiPriority w:val="0"/>
    <w:pPr>
      <w:ind w:left="1680" w:leftChars="800"/>
    </w:pPr>
  </w:style>
  <w:style w:type="paragraph" w:styleId="24">
    <w:name w:val="Plain Text"/>
    <w:basedOn w:val="1"/>
    <w:next w:val="25"/>
    <w:link w:val="63"/>
    <w:qFormat/>
    <w:locked/>
    <w:uiPriority w:val="0"/>
    <w:rPr>
      <w:rFonts w:ascii="宋体" w:hAnsi="Courier New" w:cs="Courier New"/>
      <w:szCs w:val="21"/>
    </w:rPr>
  </w:style>
  <w:style w:type="paragraph" w:styleId="25">
    <w:name w:val="toc 1"/>
    <w:basedOn w:val="1"/>
    <w:next w:val="1"/>
    <w:qFormat/>
    <w:locked/>
    <w:uiPriority w:val="0"/>
    <w:pPr>
      <w:tabs>
        <w:tab w:val="right" w:leader="dot" w:pos="9289"/>
      </w:tabs>
      <w:spacing w:line="480" w:lineRule="auto"/>
    </w:pPr>
    <w:rPr>
      <w:sz w:val="24"/>
    </w:rPr>
  </w:style>
  <w:style w:type="paragraph" w:styleId="26">
    <w:name w:val="Date"/>
    <w:basedOn w:val="1"/>
    <w:next w:val="1"/>
    <w:link w:val="64"/>
    <w:qFormat/>
    <w:uiPriority w:val="0"/>
    <w:pPr>
      <w:ind w:left="100" w:leftChars="2500"/>
    </w:pPr>
    <w:rPr>
      <w:kern w:val="0"/>
      <w:sz w:val="24"/>
      <w:szCs w:val="20"/>
    </w:rPr>
  </w:style>
  <w:style w:type="paragraph" w:styleId="27">
    <w:name w:val="Body Text Indent 2"/>
    <w:basedOn w:val="1"/>
    <w:next w:val="1"/>
    <w:qFormat/>
    <w:locked/>
    <w:uiPriority w:val="0"/>
    <w:pPr>
      <w:spacing w:after="120" w:line="480" w:lineRule="auto"/>
      <w:ind w:left="420" w:leftChars="200"/>
    </w:pPr>
  </w:style>
  <w:style w:type="paragraph" w:styleId="28">
    <w:name w:val="Balloon Text"/>
    <w:basedOn w:val="1"/>
    <w:link w:val="65"/>
    <w:semiHidden/>
    <w:qFormat/>
    <w:uiPriority w:val="0"/>
    <w:rPr>
      <w:kern w:val="0"/>
      <w:sz w:val="18"/>
      <w:szCs w:val="20"/>
    </w:rPr>
  </w:style>
  <w:style w:type="paragraph" w:styleId="29">
    <w:name w:val="footer"/>
    <w:basedOn w:val="1"/>
    <w:link w:val="66"/>
    <w:qFormat/>
    <w:uiPriority w:val="99"/>
    <w:pPr>
      <w:tabs>
        <w:tab w:val="center" w:pos="4153"/>
        <w:tab w:val="right" w:pos="8306"/>
      </w:tabs>
      <w:snapToGrid w:val="0"/>
    </w:pPr>
    <w:rPr>
      <w:kern w:val="0"/>
      <w:sz w:val="18"/>
      <w:szCs w:val="20"/>
    </w:rPr>
  </w:style>
  <w:style w:type="paragraph" w:styleId="30">
    <w:name w:val="header"/>
    <w:basedOn w:val="1"/>
    <w:link w:val="67"/>
    <w:qFormat/>
    <w:uiPriority w:val="0"/>
    <w:pPr>
      <w:pBdr>
        <w:bottom w:val="single" w:color="auto" w:sz="6" w:space="1"/>
      </w:pBdr>
      <w:tabs>
        <w:tab w:val="center" w:pos="4153"/>
        <w:tab w:val="right" w:pos="8306"/>
      </w:tabs>
      <w:snapToGrid w:val="0"/>
      <w:jc w:val="center"/>
    </w:pPr>
    <w:rPr>
      <w:kern w:val="0"/>
      <w:sz w:val="18"/>
      <w:szCs w:val="20"/>
    </w:rPr>
  </w:style>
  <w:style w:type="paragraph" w:styleId="31">
    <w:name w:val="Subtitle"/>
    <w:basedOn w:val="1"/>
    <w:next w:val="1"/>
    <w:link w:val="68"/>
    <w:qFormat/>
    <w:locked/>
    <w:uiPriority w:val="0"/>
    <w:pPr>
      <w:spacing w:before="240" w:after="60" w:line="312" w:lineRule="auto"/>
      <w:jc w:val="center"/>
      <w:outlineLvl w:val="1"/>
    </w:pPr>
    <w:rPr>
      <w:rFonts w:ascii="等线 Light" w:hAnsi="等线 Light"/>
      <w:b/>
      <w:bCs/>
      <w:kern w:val="28"/>
      <w:sz w:val="32"/>
      <w:szCs w:val="32"/>
    </w:rPr>
  </w:style>
  <w:style w:type="paragraph" w:styleId="32">
    <w:name w:val="Body Text Indent 3"/>
    <w:basedOn w:val="1"/>
    <w:qFormat/>
    <w:uiPriority w:val="0"/>
    <w:pPr>
      <w:spacing w:after="120"/>
      <w:ind w:left="420" w:leftChars="200"/>
    </w:pPr>
    <w:rPr>
      <w:sz w:val="16"/>
      <w:szCs w:val="16"/>
    </w:rPr>
  </w:style>
  <w:style w:type="paragraph" w:styleId="33">
    <w:name w:val="toc 2"/>
    <w:basedOn w:val="1"/>
    <w:next w:val="9"/>
    <w:semiHidden/>
    <w:qFormat/>
    <w:uiPriority w:val="0"/>
    <w:pPr>
      <w:ind w:left="420" w:leftChars="200"/>
    </w:pPr>
  </w:style>
  <w:style w:type="paragraph" w:styleId="34">
    <w:name w:val="Body Text 2"/>
    <w:basedOn w:val="1"/>
    <w:qFormat/>
    <w:uiPriority w:val="0"/>
    <w:pPr>
      <w:spacing w:after="120" w:line="480" w:lineRule="auto"/>
    </w:pPr>
  </w:style>
  <w:style w:type="paragraph" w:styleId="35">
    <w:name w:val="HTML Preformatted"/>
    <w:basedOn w:val="1"/>
    <w:link w:val="69"/>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pPr>
    <w:rPr>
      <w:rFonts w:ascii="Arial" w:hAnsi="Arial"/>
      <w:kern w:val="0"/>
      <w:szCs w:val="21"/>
    </w:rPr>
  </w:style>
  <w:style w:type="paragraph" w:styleId="36">
    <w:name w:val="Normal (Web)"/>
    <w:basedOn w:val="1"/>
    <w:link w:val="70"/>
    <w:qFormat/>
    <w:uiPriority w:val="0"/>
    <w:pPr>
      <w:spacing w:before="100" w:beforeAutospacing="1" w:after="100" w:afterAutospacing="1"/>
    </w:pPr>
    <w:rPr>
      <w:rFonts w:ascii="宋体" w:hAnsi="宋体"/>
      <w:kern w:val="0"/>
      <w:sz w:val="24"/>
      <w:szCs w:val="20"/>
    </w:rPr>
  </w:style>
  <w:style w:type="paragraph" w:styleId="37">
    <w:name w:val="index 2"/>
    <w:basedOn w:val="1"/>
    <w:next w:val="1"/>
    <w:unhideWhenUsed/>
    <w:qFormat/>
    <w:locked/>
    <w:uiPriority w:val="0"/>
    <w:pPr>
      <w:ind w:left="200" w:leftChars="200"/>
    </w:pPr>
  </w:style>
  <w:style w:type="paragraph" w:styleId="38">
    <w:name w:val="Title"/>
    <w:basedOn w:val="1"/>
    <w:next w:val="1"/>
    <w:link w:val="71"/>
    <w:qFormat/>
    <w:locked/>
    <w:uiPriority w:val="0"/>
    <w:pPr>
      <w:spacing w:before="240" w:after="60"/>
      <w:jc w:val="center"/>
      <w:outlineLvl w:val="0"/>
    </w:pPr>
    <w:rPr>
      <w:rFonts w:ascii="Cambria" w:hAnsi="Cambria"/>
      <w:b/>
      <w:bCs/>
      <w:sz w:val="32"/>
      <w:szCs w:val="32"/>
    </w:rPr>
  </w:style>
  <w:style w:type="paragraph" w:styleId="39">
    <w:name w:val="annotation subject"/>
    <w:basedOn w:val="20"/>
    <w:next w:val="20"/>
    <w:link w:val="72"/>
    <w:semiHidden/>
    <w:qFormat/>
    <w:uiPriority w:val="0"/>
    <w:rPr>
      <w:b/>
      <w:kern w:val="2"/>
    </w:rPr>
  </w:style>
  <w:style w:type="paragraph" w:styleId="40">
    <w:name w:val="Body Text First Indent"/>
    <w:basedOn w:val="21"/>
    <w:qFormat/>
    <w:uiPriority w:val="0"/>
    <w:pPr>
      <w:adjustRightInd w:val="0"/>
      <w:spacing w:after="0" w:line="336" w:lineRule="auto"/>
      <w:ind w:firstLine="480" w:firstLineChars="200"/>
    </w:pPr>
    <w:rPr>
      <w:rFonts w:ascii="宋体" w:hAnsi="宋体"/>
      <w:sz w:val="24"/>
    </w:rPr>
  </w:style>
  <w:style w:type="paragraph" w:styleId="41">
    <w:name w:val="Body Text First Indent 2"/>
    <w:basedOn w:val="11"/>
    <w:qFormat/>
    <w:uiPriority w:val="0"/>
    <w:pPr>
      <w:ind w:firstLine="420" w:firstLineChars="200"/>
    </w:pPr>
    <w:rPr>
      <w:rFonts w:eastAsia="Times New Roman"/>
      <w:kern w:val="2"/>
      <w:sz w:val="21"/>
      <w:lang w:val="en-US" w:eastAsia="zh-CN"/>
    </w:rPr>
  </w:style>
  <w:style w:type="table" w:styleId="43">
    <w:name w:val="Table Grid"/>
    <w:basedOn w:val="4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0"/>
    <w:rPr>
      <w:b/>
      <w:bCs/>
    </w:rPr>
  </w:style>
  <w:style w:type="character" w:styleId="46">
    <w:name w:val="page number"/>
    <w:qFormat/>
    <w:locked/>
    <w:uiPriority w:val="0"/>
  </w:style>
  <w:style w:type="character" w:styleId="47">
    <w:name w:val="Emphasis"/>
    <w:qFormat/>
    <w:uiPriority w:val="0"/>
    <w:rPr>
      <w:i/>
      <w:iCs/>
    </w:rPr>
  </w:style>
  <w:style w:type="character" w:styleId="48">
    <w:name w:val="Hyperlink"/>
    <w:unhideWhenUsed/>
    <w:qFormat/>
    <w:locked/>
    <w:uiPriority w:val="0"/>
    <w:rPr>
      <w:color w:val="0000FF"/>
      <w:u w:val="single"/>
    </w:rPr>
  </w:style>
  <w:style w:type="character" w:styleId="49">
    <w:name w:val="annotation reference"/>
    <w:semiHidden/>
    <w:qFormat/>
    <w:uiPriority w:val="0"/>
    <w:rPr>
      <w:sz w:val="21"/>
    </w:rPr>
  </w:style>
  <w:style w:type="paragraph" w:customStyle="1" w:styleId="50">
    <w:name w:val="Default"/>
    <w:basedOn w:val="51"/>
    <w:next w:val="52"/>
    <w:link w:val="73"/>
    <w:qFormat/>
    <w:uiPriority w:val="0"/>
    <w:pPr>
      <w:widowControl w:val="0"/>
      <w:autoSpaceDE w:val="0"/>
      <w:autoSpaceDN w:val="0"/>
    </w:pPr>
    <w:rPr>
      <w:rFonts w:cs="宋体"/>
      <w:color w:val="000000"/>
      <w:sz w:val="24"/>
      <w:szCs w:val="24"/>
    </w:rPr>
  </w:style>
  <w:style w:type="paragraph" w:customStyle="1" w:styleId="51">
    <w:name w:val="纯文本1"/>
    <w:basedOn w:val="1"/>
    <w:qFormat/>
    <w:uiPriority w:val="0"/>
    <w:pPr>
      <w:adjustRightInd w:val="0"/>
    </w:pPr>
    <w:rPr>
      <w:rFonts w:ascii="宋体" w:hAnsi="Courier New"/>
      <w:szCs w:val="20"/>
    </w:rPr>
  </w:style>
  <w:style w:type="paragraph" w:customStyle="1" w:styleId="52">
    <w:name w:val="样式35"/>
    <w:basedOn w:val="53"/>
    <w:next w:val="54"/>
    <w:qFormat/>
    <w:uiPriority w:val="0"/>
    <w:pPr>
      <w:tabs>
        <w:tab w:val="left" w:pos="0"/>
        <w:tab w:val="left" w:pos="360"/>
        <w:tab w:val="left" w:pos="540"/>
        <w:tab w:val="left" w:pos="567"/>
        <w:tab w:val="left" w:pos="1729"/>
        <w:tab w:val="left" w:pos="3600"/>
        <w:tab w:val="left" w:pos="4140"/>
      </w:tabs>
      <w:spacing w:line="312" w:lineRule="auto"/>
      <w:ind w:firstLine="567"/>
    </w:pPr>
    <w:rPr>
      <w:rFonts w:ascii="宋?" w:hAnsi="Calibri" w:eastAsia="宋?" w:cs="黑体"/>
      <w:kern w:val="0"/>
      <w:sz w:val="28"/>
      <w:szCs w:val="22"/>
    </w:rPr>
  </w:style>
  <w:style w:type="paragraph" w:customStyle="1" w:styleId="53">
    <w:name w:val="表 内容"/>
    <w:basedOn w:val="1"/>
    <w:link w:val="74"/>
    <w:qFormat/>
    <w:uiPriority w:val="0"/>
    <w:pPr>
      <w:adjustRightInd w:val="0"/>
      <w:snapToGrid w:val="0"/>
      <w:spacing w:beforeLines="15" w:afterLines="15"/>
      <w:jc w:val="center"/>
    </w:pPr>
    <w:rPr>
      <w:szCs w:val="21"/>
    </w:rPr>
  </w:style>
  <w:style w:type="paragraph" w:customStyle="1" w:styleId="54">
    <w:name w:val="font6"/>
    <w:next w:val="33"/>
    <w:qFormat/>
    <w:uiPriority w:val="0"/>
    <w:pPr>
      <w:spacing w:line="0" w:lineRule="atLeast"/>
      <w:jc w:val="both"/>
    </w:pPr>
    <w:rPr>
      <w:rFonts w:ascii="Times New Roman" w:hAnsi="Times New Roman" w:eastAsia="宋?" w:cs="Times New Roman"/>
      <w:kern w:val="2"/>
      <w:sz w:val="21"/>
      <w:szCs w:val="22"/>
      <w:lang w:val="en-US" w:eastAsia="zh-CN" w:bidi="ar-SA"/>
    </w:rPr>
  </w:style>
  <w:style w:type="character" w:customStyle="1" w:styleId="55">
    <w:name w:val="正文缩进 字符"/>
    <w:link w:val="16"/>
    <w:qFormat/>
    <w:uiPriority w:val="0"/>
    <w:rPr>
      <w:rFonts w:eastAsia="宋体"/>
      <w:kern w:val="2"/>
      <w:sz w:val="21"/>
      <w:lang w:val="en-US" w:eastAsia="zh-CN" w:bidi="ar-SA"/>
    </w:rPr>
  </w:style>
  <w:style w:type="character" w:customStyle="1" w:styleId="56">
    <w:name w:val="标题 1 字符"/>
    <w:link w:val="2"/>
    <w:qFormat/>
    <w:uiPriority w:val="0"/>
    <w:rPr>
      <w:rFonts w:eastAsia="黑体"/>
      <w:b/>
      <w:bCs/>
      <w:color w:val="000000"/>
      <w:kern w:val="44"/>
      <w:sz w:val="30"/>
      <w:szCs w:val="30"/>
      <w:lang w:val="en-US" w:eastAsia="zh-CN" w:bidi="ar-SA"/>
    </w:rPr>
  </w:style>
  <w:style w:type="character" w:customStyle="1" w:styleId="57">
    <w:name w:val="标题 4 字符"/>
    <w:link w:val="5"/>
    <w:qFormat/>
    <w:uiPriority w:val="0"/>
    <w:rPr>
      <w:rFonts w:ascii="Arial" w:hAnsi="Arial" w:eastAsia="黑体"/>
      <w:b/>
      <w:bCs/>
      <w:kern w:val="2"/>
      <w:sz w:val="28"/>
      <w:szCs w:val="28"/>
      <w:lang w:val="en-US" w:eastAsia="zh-CN" w:bidi="ar-SA"/>
    </w:rPr>
  </w:style>
  <w:style w:type="character" w:customStyle="1" w:styleId="58">
    <w:name w:val="电子邮件签名 字符"/>
    <w:link w:val="9"/>
    <w:semiHidden/>
    <w:qFormat/>
    <w:locked/>
    <w:uiPriority w:val="0"/>
    <w:rPr>
      <w:rFonts w:eastAsia="宋体"/>
      <w:kern w:val="2"/>
      <w:sz w:val="21"/>
      <w:szCs w:val="24"/>
      <w:lang w:val="en-US" w:eastAsia="zh-CN" w:bidi="ar-SA"/>
    </w:rPr>
  </w:style>
  <w:style w:type="character" w:customStyle="1" w:styleId="59">
    <w:name w:val="正文文本缩进 字符"/>
    <w:link w:val="11"/>
    <w:semiHidden/>
    <w:qFormat/>
    <w:locked/>
    <w:uiPriority w:val="0"/>
    <w:rPr>
      <w:rFonts w:ascii="Times New Roman" w:hAnsi="Times New Roman" w:eastAsia="宋体"/>
      <w:sz w:val="24"/>
    </w:rPr>
  </w:style>
  <w:style w:type="character" w:customStyle="1" w:styleId="60">
    <w:name w:val="正文缩进 Char2"/>
    <w:link w:val="15"/>
    <w:qFormat/>
    <w:uiPriority w:val="0"/>
    <w:rPr>
      <w:sz w:val="28"/>
      <w:lang w:bidi="ar-SA"/>
    </w:rPr>
  </w:style>
  <w:style w:type="character" w:customStyle="1" w:styleId="61">
    <w:name w:val="批注文字 字符"/>
    <w:link w:val="20"/>
    <w:qFormat/>
    <w:locked/>
    <w:uiPriority w:val="0"/>
    <w:rPr>
      <w:rFonts w:ascii="Times New Roman" w:hAnsi="Times New Roman" w:eastAsia="宋体"/>
      <w:sz w:val="24"/>
    </w:rPr>
  </w:style>
  <w:style w:type="character" w:customStyle="1" w:styleId="62">
    <w:name w:val="正文文本 字符"/>
    <w:link w:val="21"/>
    <w:qFormat/>
    <w:locked/>
    <w:uiPriority w:val="0"/>
    <w:rPr>
      <w:sz w:val="18"/>
    </w:rPr>
  </w:style>
  <w:style w:type="character" w:customStyle="1" w:styleId="63">
    <w:name w:val="纯文本 字符"/>
    <w:link w:val="24"/>
    <w:semiHidden/>
    <w:qFormat/>
    <w:locked/>
    <w:uiPriority w:val="0"/>
    <w:rPr>
      <w:rFonts w:ascii="宋体" w:hAnsi="Courier New" w:eastAsia="宋体" w:cs="Courier New"/>
      <w:kern w:val="2"/>
      <w:sz w:val="21"/>
      <w:szCs w:val="21"/>
      <w:lang w:val="en-US" w:eastAsia="zh-CN" w:bidi="ar-SA"/>
    </w:rPr>
  </w:style>
  <w:style w:type="character" w:customStyle="1" w:styleId="64">
    <w:name w:val="日期 字符1"/>
    <w:link w:val="26"/>
    <w:qFormat/>
    <w:locked/>
    <w:uiPriority w:val="0"/>
    <w:rPr>
      <w:rFonts w:ascii="Times New Roman" w:hAnsi="Times New Roman" w:eastAsia="宋体"/>
      <w:sz w:val="24"/>
    </w:rPr>
  </w:style>
  <w:style w:type="character" w:customStyle="1" w:styleId="65">
    <w:name w:val="批注框文本 字符"/>
    <w:link w:val="28"/>
    <w:semiHidden/>
    <w:qFormat/>
    <w:locked/>
    <w:uiPriority w:val="0"/>
    <w:rPr>
      <w:rFonts w:ascii="Times New Roman" w:hAnsi="Times New Roman" w:eastAsia="宋体"/>
      <w:sz w:val="18"/>
    </w:rPr>
  </w:style>
  <w:style w:type="character" w:customStyle="1" w:styleId="66">
    <w:name w:val="页脚 字符1"/>
    <w:link w:val="29"/>
    <w:qFormat/>
    <w:locked/>
    <w:uiPriority w:val="99"/>
    <w:rPr>
      <w:sz w:val="18"/>
    </w:rPr>
  </w:style>
  <w:style w:type="character" w:customStyle="1" w:styleId="67">
    <w:name w:val="页眉 字符"/>
    <w:link w:val="30"/>
    <w:qFormat/>
    <w:locked/>
    <w:uiPriority w:val="0"/>
    <w:rPr>
      <w:sz w:val="18"/>
    </w:rPr>
  </w:style>
  <w:style w:type="character" w:customStyle="1" w:styleId="68">
    <w:name w:val="副标题 字符"/>
    <w:link w:val="31"/>
    <w:qFormat/>
    <w:uiPriority w:val="0"/>
    <w:rPr>
      <w:rFonts w:ascii="等线 Light" w:hAnsi="等线 Light"/>
      <w:b/>
      <w:bCs/>
      <w:kern w:val="28"/>
      <w:sz w:val="32"/>
      <w:szCs w:val="32"/>
      <w:lang w:bidi="ar-SA"/>
    </w:rPr>
  </w:style>
  <w:style w:type="character" w:customStyle="1" w:styleId="69">
    <w:name w:val="HTML 预设格式 字符"/>
    <w:link w:val="35"/>
    <w:qFormat/>
    <w:uiPriority w:val="0"/>
    <w:rPr>
      <w:rFonts w:ascii="Arial" w:hAnsi="Arial"/>
      <w:sz w:val="21"/>
      <w:szCs w:val="21"/>
      <w:lang w:bidi="ar-SA"/>
    </w:rPr>
  </w:style>
  <w:style w:type="character" w:customStyle="1" w:styleId="70">
    <w:name w:val="普通(网站) 字符"/>
    <w:link w:val="36"/>
    <w:qFormat/>
    <w:locked/>
    <w:uiPriority w:val="0"/>
    <w:rPr>
      <w:rFonts w:ascii="宋体" w:hAnsi="宋体" w:eastAsia="宋体"/>
      <w:sz w:val="24"/>
    </w:rPr>
  </w:style>
  <w:style w:type="character" w:customStyle="1" w:styleId="71">
    <w:name w:val="标题 字符"/>
    <w:link w:val="38"/>
    <w:qFormat/>
    <w:uiPriority w:val="0"/>
    <w:rPr>
      <w:rFonts w:ascii="Cambria" w:hAnsi="Cambria"/>
      <w:b/>
      <w:bCs/>
      <w:kern w:val="2"/>
      <w:sz w:val="32"/>
      <w:szCs w:val="32"/>
      <w:lang w:bidi="ar-SA"/>
    </w:rPr>
  </w:style>
  <w:style w:type="character" w:customStyle="1" w:styleId="72">
    <w:name w:val="批注主题 字符"/>
    <w:link w:val="39"/>
    <w:semiHidden/>
    <w:qFormat/>
    <w:locked/>
    <w:uiPriority w:val="0"/>
    <w:rPr>
      <w:rFonts w:ascii="Times New Roman" w:hAnsi="Times New Roman" w:eastAsia="宋体"/>
      <w:b/>
      <w:kern w:val="2"/>
      <w:sz w:val="24"/>
    </w:rPr>
  </w:style>
  <w:style w:type="character" w:customStyle="1" w:styleId="73">
    <w:name w:val="Default Char Char"/>
    <w:link w:val="50"/>
    <w:qFormat/>
    <w:uiPriority w:val="0"/>
    <w:rPr>
      <w:rFonts w:ascii="宋体" w:cs="宋体"/>
      <w:color w:val="000000"/>
      <w:sz w:val="24"/>
      <w:szCs w:val="24"/>
      <w:lang w:val="en-US" w:eastAsia="zh-CN" w:bidi="ar-SA"/>
    </w:rPr>
  </w:style>
  <w:style w:type="character" w:customStyle="1" w:styleId="74">
    <w:name w:val="表 内容 Char"/>
    <w:link w:val="53"/>
    <w:qFormat/>
    <w:uiPriority w:val="0"/>
    <w:rPr>
      <w:rFonts w:eastAsia="宋体"/>
      <w:kern w:val="2"/>
      <w:sz w:val="21"/>
      <w:szCs w:val="21"/>
      <w:lang w:bidi="ar-SA"/>
    </w:rPr>
  </w:style>
  <w:style w:type="paragraph" w:customStyle="1" w:styleId="75">
    <w:name w:val="正文文字 6"/>
    <w:basedOn w:val="76"/>
    <w:next w:val="1"/>
    <w:qFormat/>
    <w:uiPriority w:val="0"/>
    <w:pPr>
      <w:ind w:left="240"/>
    </w:pPr>
    <w:rPr>
      <w:rFonts w:ascii="宋体"/>
      <w:b w:val="0"/>
      <w:bCs/>
      <w:sz w:val="32"/>
      <w:szCs w:val="32"/>
    </w:rPr>
  </w:style>
  <w:style w:type="paragraph" w:customStyle="1" w:styleId="76">
    <w:name w:val="TT标题"/>
    <w:basedOn w:val="1"/>
    <w:qFormat/>
    <w:uiPriority w:val="0"/>
    <w:pPr>
      <w:jc w:val="center"/>
    </w:pPr>
    <w:rPr>
      <w:rFonts w:cs="宋体"/>
      <w:b/>
      <w:szCs w:val="20"/>
    </w:rPr>
  </w:style>
  <w:style w:type="paragraph" w:customStyle="1" w:styleId="77">
    <w:name w:val="样式26"/>
    <w:basedOn w:val="78"/>
    <w:qFormat/>
    <w:uiPriority w:val="0"/>
    <w:pPr>
      <w:tabs>
        <w:tab w:val="left" w:pos="0"/>
        <w:tab w:val="left" w:pos="360"/>
        <w:tab w:val="left" w:pos="480"/>
        <w:tab w:val="left" w:pos="540"/>
        <w:tab w:val="left" w:pos="567"/>
        <w:tab w:val="left" w:pos="1729"/>
        <w:tab w:val="left" w:pos="3600"/>
        <w:tab w:val="left" w:pos="4140"/>
      </w:tabs>
    </w:pPr>
  </w:style>
  <w:style w:type="paragraph" w:customStyle="1" w:styleId="78">
    <w:name w:val="样式21"/>
    <w:basedOn w:val="79"/>
    <w:qFormat/>
    <w:uiPriority w:val="0"/>
    <w:pPr>
      <w:tabs>
        <w:tab w:val="left" w:pos="360"/>
        <w:tab w:val="left" w:pos="480"/>
        <w:tab w:val="left" w:pos="567"/>
        <w:tab w:val="left" w:pos="1729"/>
        <w:tab w:val="left" w:pos="3600"/>
        <w:tab w:val="left" w:pos="4140"/>
      </w:tabs>
      <w:spacing w:before="120" w:beforeLines="0" w:after="120" w:afterLines="0"/>
      <w:ind w:hanging="992"/>
    </w:pPr>
  </w:style>
  <w:style w:type="paragraph" w:customStyle="1" w:styleId="79">
    <w:name w:val="样式5"/>
    <w:basedOn w:val="80"/>
    <w:qFormat/>
    <w:uiPriority w:val="0"/>
    <w:pPr>
      <w:numPr>
        <w:ilvl w:val="4"/>
        <w:numId w:val="2"/>
      </w:numPr>
      <w:tabs>
        <w:tab w:val="left" w:pos="360"/>
        <w:tab w:val="left" w:pos="480"/>
        <w:tab w:val="left" w:pos="1729"/>
        <w:tab w:val="left" w:pos="4140"/>
      </w:tabs>
      <w:ind w:left="482" w:firstLine="0"/>
      <w:outlineLvl w:val="4"/>
    </w:pPr>
    <w:rPr>
      <w:rFonts w:eastAsia="仿宋_GB2312"/>
      <w:bCs w:val="0"/>
      <w:iCs/>
    </w:rPr>
  </w:style>
  <w:style w:type="paragraph" w:customStyle="1" w:styleId="80">
    <w:name w:val="样式12"/>
    <w:basedOn w:val="81"/>
    <w:qFormat/>
    <w:uiPriority w:val="0"/>
    <w:pPr>
      <w:tabs>
        <w:tab w:val="left" w:pos="360"/>
        <w:tab w:val="left" w:pos="1729"/>
        <w:tab w:val="left" w:pos="4140"/>
      </w:tabs>
      <w:spacing w:before="156" w:beforeLines="50" w:after="156" w:afterLines="50" w:line="360" w:lineRule="auto"/>
      <w:ind w:left="567" w:hanging="567"/>
      <w:outlineLvl w:val="1"/>
    </w:pPr>
    <w:rPr>
      <w:rFonts w:eastAsia="MS PGothic"/>
      <w:kern w:val="0"/>
      <w:sz w:val="28"/>
      <w:szCs w:val="28"/>
    </w:rPr>
  </w:style>
  <w:style w:type="paragraph" w:customStyle="1" w:styleId="81">
    <w:name w:val="样式 标题 3标题 3 Char标题3H3h33rd level第二层条三级标题ReHead 3 WSA头..."/>
    <w:basedOn w:val="4"/>
    <w:qFormat/>
    <w:uiPriority w:val="0"/>
    <w:pPr>
      <w:tabs>
        <w:tab w:val="left" w:pos="1729"/>
        <w:tab w:val="left" w:pos="4140"/>
      </w:tabs>
      <w:ind w:left="4140" w:hanging="720"/>
    </w:pPr>
    <w:rPr>
      <w:color w:val="FF0000"/>
    </w:rPr>
  </w:style>
  <w:style w:type="character" w:customStyle="1" w:styleId="82">
    <w:name w:val="Body Text Char"/>
    <w:semiHidden/>
    <w:qFormat/>
    <w:locked/>
    <w:uiPriority w:val="0"/>
    <w:rPr>
      <w:rFonts w:ascii="Calibri" w:hAnsi="Calibri" w:cs="黑体"/>
    </w:rPr>
  </w:style>
  <w:style w:type="character" w:customStyle="1" w:styleId="83">
    <w:name w:val="表格字体 Char Char"/>
    <w:link w:val="84"/>
    <w:qFormat/>
    <w:uiPriority w:val="0"/>
    <w:rPr>
      <w:color w:val="000000"/>
      <w:lang w:bidi="ar-SA"/>
    </w:rPr>
  </w:style>
  <w:style w:type="paragraph" w:customStyle="1" w:styleId="84">
    <w:name w:val="表格字体"/>
    <w:basedOn w:val="1"/>
    <w:link w:val="83"/>
    <w:qFormat/>
    <w:uiPriority w:val="0"/>
    <w:pPr>
      <w:ind w:left="-25" w:leftChars="-12" w:firstLine="40" w:firstLineChars="19"/>
      <w:jc w:val="center"/>
    </w:pPr>
    <w:rPr>
      <w:color w:val="000000"/>
      <w:kern w:val="0"/>
      <w:sz w:val="20"/>
      <w:szCs w:val="20"/>
    </w:rPr>
  </w:style>
  <w:style w:type="character" w:customStyle="1" w:styleId="85">
    <w:name w:val=" Char Char14"/>
    <w:qFormat/>
    <w:uiPriority w:val="0"/>
    <w:rPr>
      <w:rFonts w:eastAsia="宋体"/>
      <w:sz w:val="28"/>
      <w:lang w:val="en-US" w:eastAsia="zh-CN" w:bidi="ar-SA"/>
    </w:rPr>
  </w:style>
  <w:style w:type="character" w:customStyle="1" w:styleId="86">
    <w:name w:val="表格文字 Char Char"/>
    <w:link w:val="87"/>
    <w:qFormat/>
    <w:uiPriority w:val="0"/>
    <w:rPr>
      <w:rFonts w:ascii="宋体" w:hAnsi="宋体" w:eastAsia="宋体"/>
      <w:snapToGrid w:val="0"/>
      <w:color w:val="000000"/>
      <w:kern w:val="2"/>
      <w:sz w:val="18"/>
      <w:szCs w:val="21"/>
      <w:lang w:val="en-US" w:eastAsia="zh-CN" w:bidi="ar-SA"/>
    </w:rPr>
  </w:style>
  <w:style w:type="paragraph" w:customStyle="1" w:styleId="87">
    <w:name w:val="表格文字"/>
    <w:basedOn w:val="24"/>
    <w:link w:val="86"/>
    <w:qFormat/>
    <w:uiPriority w:val="0"/>
    <w:pPr>
      <w:adjustRightInd w:val="0"/>
      <w:snapToGrid w:val="0"/>
      <w:spacing w:line="300" w:lineRule="auto"/>
      <w:jc w:val="center"/>
    </w:pPr>
    <w:rPr>
      <w:rFonts w:hAnsi="宋体"/>
      <w:snapToGrid w:val="0"/>
      <w:color w:val="000000"/>
      <w:sz w:val="18"/>
    </w:rPr>
  </w:style>
  <w:style w:type="paragraph" w:customStyle="1" w:styleId="88">
    <w:name w:val="表格表头"/>
    <w:basedOn w:val="89"/>
    <w:qFormat/>
    <w:uiPriority w:val="0"/>
    <w:rPr>
      <w:rFonts w:ascii="Times New Roman" w:hAnsi="Times New Roman"/>
      <w:sz w:val="21"/>
    </w:rPr>
  </w:style>
  <w:style w:type="paragraph" w:customStyle="1" w:styleId="89">
    <w:name w:val="表格标题"/>
    <w:basedOn w:val="40"/>
    <w:next w:val="1"/>
    <w:qFormat/>
    <w:uiPriority w:val="0"/>
    <w:pPr>
      <w:spacing w:line="0" w:lineRule="atLeast"/>
      <w:jc w:val="center"/>
    </w:pPr>
    <w:rPr>
      <w:rFonts w:ascii="黑体" w:eastAsia="黑体"/>
      <w:b/>
    </w:rPr>
  </w:style>
  <w:style w:type="character" w:customStyle="1" w:styleId="90">
    <w:name w:val=" Char Char2"/>
    <w:qFormat/>
    <w:uiPriority w:val="0"/>
    <w:rPr>
      <w:kern w:val="2"/>
      <w:sz w:val="18"/>
      <w:szCs w:val="18"/>
    </w:rPr>
  </w:style>
  <w:style w:type="character" w:customStyle="1" w:styleId="91">
    <w:name w:val="正 文 Char Char"/>
    <w:link w:val="92"/>
    <w:qFormat/>
    <w:uiPriority w:val="0"/>
    <w:rPr>
      <w:rFonts w:eastAsia="Times New Roman"/>
      <w:kern w:val="2"/>
      <w:sz w:val="24"/>
      <w:szCs w:val="21"/>
      <w:lang w:val="en-US" w:eastAsia="zh-CN" w:bidi="ar-SA"/>
    </w:rPr>
  </w:style>
  <w:style w:type="paragraph" w:customStyle="1" w:styleId="92">
    <w:name w:val="正 文"/>
    <w:link w:val="91"/>
    <w:qFormat/>
    <w:uiPriority w:val="0"/>
    <w:pPr>
      <w:widowControl w:val="0"/>
      <w:spacing w:line="480" w:lineRule="exact"/>
      <w:ind w:firstLine="471"/>
      <w:jc w:val="both"/>
    </w:pPr>
    <w:rPr>
      <w:rFonts w:ascii="Times New Roman" w:hAnsi="Times New Roman" w:eastAsia="Times New Roman" w:cs="Times New Roman"/>
      <w:kern w:val="2"/>
      <w:sz w:val="24"/>
      <w:szCs w:val="21"/>
      <w:lang w:val="en-US" w:eastAsia="zh-CN" w:bidi="ar-SA"/>
    </w:rPr>
  </w:style>
  <w:style w:type="character" w:customStyle="1" w:styleId="93">
    <w:name w:val="表文 Char Char"/>
    <w:link w:val="94"/>
    <w:qFormat/>
    <w:uiPriority w:val="0"/>
    <w:rPr>
      <w:rFonts w:eastAsia="宋体"/>
      <w:sz w:val="21"/>
      <w:lang w:val="en-US" w:eastAsia="zh-CN" w:bidi="ar-SA"/>
    </w:rPr>
  </w:style>
  <w:style w:type="paragraph" w:customStyle="1" w:styleId="94">
    <w:name w:val="表文"/>
    <w:basedOn w:val="1"/>
    <w:link w:val="93"/>
    <w:qFormat/>
    <w:uiPriority w:val="0"/>
    <w:pPr>
      <w:autoSpaceDE w:val="0"/>
      <w:autoSpaceDN w:val="0"/>
      <w:adjustRightInd w:val="0"/>
      <w:spacing w:line="360" w:lineRule="atLeast"/>
      <w:jc w:val="center"/>
      <w:textAlignment w:val="baseline"/>
    </w:pPr>
    <w:rPr>
      <w:kern w:val="0"/>
      <w:szCs w:val="20"/>
    </w:rPr>
  </w:style>
  <w:style w:type="character" w:customStyle="1" w:styleId="95">
    <w:name w:val="日期 字符"/>
    <w:semiHidden/>
    <w:qFormat/>
    <w:uiPriority w:val="0"/>
    <w:rPr>
      <w:rFonts w:ascii="Times New Roman" w:hAnsi="Times New Roman" w:eastAsia="宋体"/>
      <w:sz w:val="24"/>
    </w:rPr>
  </w:style>
  <w:style w:type="character" w:customStyle="1" w:styleId="96">
    <w:name w:val="表格内容样式 Char"/>
    <w:link w:val="97"/>
    <w:qFormat/>
    <w:locked/>
    <w:uiPriority w:val="0"/>
    <w:rPr>
      <w:sz w:val="24"/>
      <w:lang w:bidi="ar-SA"/>
    </w:rPr>
  </w:style>
  <w:style w:type="paragraph" w:customStyle="1" w:styleId="97">
    <w:name w:val="表格内容样式"/>
    <w:basedOn w:val="1"/>
    <w:link w:val="96"/>
    <w:qFormat/>
    <w:uiPriority w:val="0"/>
    <w:pPr>
      <w:jc w:val="center"/>
    </w:pPr>
    <w:rPr>
      <w:kern w:val="0"/>
      <w:sz w:val="24"/>
      <w:szCs w:val="20"/>
    </w:rPr>
  </w:style>
  <w:style w:type="character" w:customStyle="1" w:styleId="98">
    <w:name w:val="表格内 Char"/>
    <w:link w:val="99"/>
    <w:qFormat/>
    <w:locked/>
    <w:uiPriority w:val="0"/>
    <w:rPr>
      <w:sz w:val="24"/>
      <w:lang w:bidi="ar-SA"/>
    </w:rPr>
  </w:style>
  <w:style w:type="paragraph" w:customStyle="1" w:styleId="99">
    <w:name w:val="表格内"/>
    <w:basedOn w:val="31"/>
    <w:link w:val="98"/>
    <w:qFormat/>
    <w:uiPriority w:val="0"/>
    <w:pPr>
      <w:spacing w:before="0" w:after="0" w:line="240" w:lineRule="auto"/>
      <w:outlineLvl w:val="9"/>
    </w:pPr>
    <w:rPr>
      <w:rFonts w:ascii="Times New Roman" w:hAnsi="Times New Roman"/>
      <w:b w:val="0"/>
      <w:bCs w:val="0"/>
      <w:kern w:val="0"/>
      <w:sz w:val="24"/>
      <w:szCs w:val="20"/>
    </w:rPr>
  </w:style>
  <w:style w:type="character" w:customStyle="1" w:styleId="100">
    <w:name w:val="表内5 Char1"/>
    <w:qFormat/>
    <w:uiPriority w:val="0"/>
    <w:rPr>
      <w:rFonts w:ascii="宋体" w:hAnsi="宋体" w:eastAsia="宋体" w:cs="宋体"/>
      <w:szCs w:val="20"/>
    </w:rPr>
  </w:style>
  <w:style w:type="character" w:customStyle="1" w:styleId="101">
    <w:name w:val="无间隔 字符"/>
    <w:link w:val="102"/>
    <w:qFormat/>
    <w:uiPriority w:val="0"/>
    <w:rPr>
      <w:rFonts w:ascii="Calibri" w:hAnsi="Calibri" w:eastAsia="Times New Roman"/>
      <w:sz w:val="22"/>
      <w:szCs w:val="22"/>
      <w:lang w:val="en-US" w:eastAsia="zh-CN" w:bidi="ar-SA"/>
    </w:rPr>
  </w:style>
  <w:style w:type="paragraph" w:styleId="102">
    <w:name w:val="No Spacing"/>
    <w:link w:val="101"/>
    <w:qFormat/>
    <w:uiPriority w:val="0"/>
    <w:pPr>
      <w:spacing w:line="0" w:lineRule="atLeast"/>
    </w:pPr>
    <w:rPr>
      <w:rFonts w:ascii="Calibri" w:hAnsi="Calibri" w:eastAsia="Times New Roman" w:cs="Times New Roman"/>
      <w:sz w:val="22"/>
      <w:szCs w:val="22"/>
      <w:lang w:val="en-US" w:eastAsia="zh-CN" w:bidi="ar-SA"/>
    </w:rPr>
  </w:style>
  <w:style w:type="character" w:customStyle="1" w:styleId="103">
    <w:name w:val="报告表  段 Char"/>
    <w:link w:val="104"/>
    <w:qFormat/>
    <w:uiPriority w:val="0"/>
    <w:rPr>
      <w:rFonts w:ascii="宋体"/>
      <w:sz w:val="24"/>
      <w:lang w:bidi="ar-SA"/>
    </w:rPr>
  </w:style>
  <w:style w:type="paragraph" w:customStyle="1" w:styleId="104">
    <w:name w:val="报告表  段"/>
    <w:basedOn w:val="1"/>
    <w:link w:val="103"/>
    <w:qFormat/>
    <w:uiPriority w:val="0"/>
    <w:pPr>
      <w:spacing w:line="360" w:lineRule="auto"/>
      <w:ind w:firstLine="505"/>
    </w:pPr>
    <w:rPr>
      <w:rFonts w:ascii="宋体"/>
      <w:kern w:val="0"/>
      <w:sz w:val="24"/>
      <w:szCs w:val="20"/>
    </w:rPr>
  </w:style>
  <w:style w:type="character" w:customStyle="1" w:styleId="105">
    <w:name w:val="Default Char"/>
    <w:qFormat/>
    <w:locked/>
    <w:uiPriority w:val="0"/>
    <w:rPr>
      <w:rFonts w:ascii="宋体"/>
      <w:color w:val="000000"/>
      <w:sz w:val="24"/>
    </w:rPr>
  </w:style>
  <w:style w:type="character" w:customStyle="1" w:styleId="106">
    <w:name w:val="标题 2 Char"/>
    <w:link w:val="107"/>
    <w:qFormat/>
    <w:uiPriority w:val="0"/>
    <w:rPr>
      <w:rFonts w:ascii="Arial" w:hAnsi="Arial" w:eastAsia="黑体"/>
      <w:b/>
      <w:bCs/>
      <w:kern w:val="2"/>
      <w:sz w:val="32"/>
      <w:szCs w:val="32"/>
      <w:lang w:val="en-US" w:eastAsia="zh-CN" w:bidi="ar-SA"/>
    </w:rPr>
  </w:style>
  <w:style w:type="paragraph" w:customStyle="1" w:styleId="107">
    <w:name w:val="标题 21"/>
    <w:basedOn w:val="1"/>
    <w:next w:val="1"/>
    <w:link w:val="106"/>
    <w:qFormat/>
    <w:uiPriority w:val="0"/>
    <w:pPr>
      <w:keepNext/>
      <w:keepLines/>
      <w:spacing w:before="260" w:after="260" w:line="416" w:lineRule="auto"/>
      <w:outlineLvl w:val="1"/>
    </w:pPr>
    <w:rPr>
      <w:rFonts w:ascii="Arial" w:hAnsi="Arial" w:eastAsia="黑体"/>
      <w:b/>
      <w:bCs/>
      <w:sz w:val="32"/>
      <w:szCs w:val="32"/>
    </w:rPr>
  </w:style>
  <w:style w:type="character" w:customStyle="1" w:styleId="108">
    <w:name w:val="p9"/>
    <w:qFormat/>
    <w:uiPriority w:val="0"/>
  </w:style>
  <w:style w:type="character" w:customStyle="1" w:styleId="109">
    <w:name w:val="我的正文 Char"/>
    <w:link w:val="110"/>
    <w:qFormat/>
    <w:uiPriority w:val="0"/>
    <w:rPr>
      <w:rFonts w:ascii="宋体" w:hAnsi="宋体"/>
      <w:color w:val="000000"/>
      <w:kern w:val="2"/>
      <w:sz w:val="28"/>
      <w:szCs w:val="24"/>
      <w:lang w:bidi="ar-SA"/>
    </w:rPr>
  </w:style>
  <w:style w:type="paragraph" w:customStyle="1" w:styleId="110">
    <w:name w:val="我的正文"/>
    <w:basedOn w:val="1"/>
    <w:link w:val="109"/>
    <w:qFormat/>
    <w:uiPriority w:val="0"/>
    <w:pPr>
      <w:spacing w:line="360" w:lineRule="exact"/>
      <w:ind w:firstLine="420" w:firstLineChars="150"/>
    </w:pPr>
    <w:rPr>
      <w:rFonts w:ascii="宋体" w:hAnsi="宋体"/>
      <w:color w:val="000000"/>
      <w:sz w:val="28"/>
    </w:rPr>
  </w:style>
  <w:style w:type="character" w:customStyle="1" w:styleId="111">
    <w:name w:val="图题注 Char Char"/>
    <w:qFormat/>
    <w:uiPriority w:val="0"/>
    <w:rPr>
      <w:rFonts w:ascii="黑体" w:hAnsi="Arial" w:eastAsia="黑体"/>
      <w:b/>
      <w:bCs/>
      <w:sz w:val="24"/>
      <w:szCs w:val="24"/>
      <w:lang w:bidi="ar-SA"/>
    </w:rPr>
  </w:style>
  <w:style w:type="character" w:customStyle="1" w:styleId="112">
    <w:name w:val="font21"/>
    <w:basedOn w:val="44"/>
    <w:qFormat/>
    <w:uiPriority w:val="0"/>
    <w:rPr>
      <w:rFonts w:hint="eastAsia" w:ascii="宋体" w:hAnsi="宋体" w:eastAsia="宋体" w:cs="宋体"/>
      <w:color w:val="000000"/>
      <w:sz w:val="21"/>
      <w:szCs w:val="21"/>
      <w:u w:val="none"/>
    </w:rPr>
  </w:style>
  <w:style w:type="character" w:customStyle="1" w:styleId="113">
    <w:name w:val="页脚 字符"/>
    <w:qFormat/>
    <w:uiPriority w:val="99"/>
  </w:style>
  <w:style w:type="character" w:customStyle="1" w:styleId="114">
    <w:name w:val="表格 Char"/>
    <w:link w:val="115"/>
    <w:qFormat/>
    <w:locked/>
    <w:uiPriority w:val="0"/>
    <w:rPr>
      <w:rFonts w:ascii="宋体"/>
      <w:sz w:val="21"/>
    </w:rPr>
  </w:style>
  <w:style w:type="paragraph" w:customStyle="1" w:styleId="115">
    <w:name w:val="表格"/>
    <w:basedOn w:val="16"/>
    <w:link w:val="114"/>
    <w:qFormat/>
    <w:uiPriority w:val="0"/>
    <w:pPr>
      <w:adjustRightInd w:val="0"/>
      <w:snapToGrid w:val="0"/>
      <w:spacing w:beforeLines="10" w:afterLines="10" w:line="259" w:lineRule="auto"/>
      <w:jc w:val="center"/>
    </w:pPr>
    <w:rPr>
      <w:rFonts w:ascii="宋体"/>
      <w:kern w:val="0"/>
    </w:rPr>
  </w:style>
  <w:style w:type="paragraph" w:customStyle="1" w:styleId="116">
    <w:name w:val="列表1"/>
    <w:basedOn w:val="1"/>
    <w:qFormat/>
    <w:uiPriority w:val="0"/>
    <w:pPr>
      <w:ind w:left="200" w:hanging="200" w:hangingChars="200"/>
    </w:pPr>
  </w:style>
  <w:style w:type="character" w:customStyle="1" w:styleId="117">
    <w:name w:val="Footer Char"/>
    <w:semiHidden/>
    <w:qFormat/>
    <w:locked/>
    <w:uiPriority w:val="0"/>
    <w:rPr>
      <w:rFonts w:ascii="Calibri" w:hAnsi="Calibri" w:cs="黑体"/>
      <w:sz w:val="18"/>
      <w:szCs w:val="18"/>
    </w:rPr>
  </w:style>
  <w:style w:type="character" w:customStyle="1" w:styleId="118">
    <w:name w:val="表格题名 Char"/>
    <w:link w:val="119"/>
    <w:qFormat/>
    <w:uiPriority w:val="0"/>
    <w:rPr>
      <w:rFonts w:eastAsia="宋体"/>
      <w:b/>
      <w:sz w:val="21"/>
      <w:lang w:val="en-US" w:eastAsia="zh-CN" w:bidi="ar-SA"/>
    </w:rPr>
  </w:style>
  <w:style w:type="paragraph" w:customStyle="1" w:styleId="119">
    <w:name w:val="表格题名"/>
    <w:basedOn w:val="1"/>
    <w:link w:val="118"/>
    <w:qFormat/>
    <w:uiPriority w:val="0"/>
    <w:pPr>
      <w:adjustRightInd w:val="0"/>
      <w:snapToGrid w:val="0"/>
      <w:spacing w:line="360" w:lineRule="auto"/>
      <w:jc w:val="center"/>
      <w:textAlignment w:val="baseline"/>
    </w:pPr>
    <w:rPr>
      <w:b/>
      <w:kern w:val="0"/>
      <w:szCs w:val="20"/>
    </w:rPr>
  </w:style>
  <w:style w:type="character" w:customStyle="1" w:styleId="120">
    <w:name w:val="Plain Text Char"/>
    <w:semiHidden/>
    <w:qFormat/>
    <w:locked/>
    <w:uiPriority w:val="0"/>
    <w:rPr>
      <w:rFonts w:ascii="宋体" w:hAnsi="Courier New" w:eastAsia="宋体" w:cs="Courier New"/>
      <w:sz w:val="21"/>
      <w:szCs w:val="21"/>
    </w:rPr>
  </w:style>
  <w:style w:type="character" w:customStyle="1" w:styleId="121">
    <w:name w:val="font41"/>
    <w:basedOn w:val="44"/>
    <w:qFormat/>
    <w:uiPriority w:val="0"/>
    <w:rPr>
      <w:rFonts w:hint="eastAsia" w:ascii="宋体" w:hAnsi="宋体" w:eastAsia="宋体" w:cs="宋体"/>
      <w:color w:val="000000"/>
      <w:sz w:val="21"/>
      <w:szCs w:val="21"/>
      <w:u w:val="none"/>
    </w:rPr>
  </w:style>
  <w:style w:type="character" w:customStyle="1" w:styleId="122">
    <w:name w:val=" Char Char11"/>
    <w:qFormat/>
    <w:locked/>
    <w:uiPriority w:val="0"/>
    <w:rPr>
      <w:rFonts w:ascii="宋体" w:hAnsi="宋体" w:eastAsia="宋体"/>
      <w:sz w:val="24"/>
      <w:szCs w:val="24"/>
      <w:lang w:val="en-US" w:eastAsia="zh-CN" w:bidi="ar-SA"/>
    </w:rPr>
  </w:style>
  <w:style w:type="character" w:customStyle="1" w:styleId="123">
    <w:name w:val="正文文本 字符1"/>
    <w:semiHidden/>
    <w:qFormat/>
    <w:uiPriority w:val="0"/>
    <w:rPr>
      <w:rFonts w:ascii="Times New Roman" w:hAnsi="Times New Roman" w:eastAsia="宋体"/>
      <w:sz w:val="24"/>
    </w:rPr>
  </w:style>
  <w:style w:type="character" w:customStyle="1" w:styleId="124">
    <w:name w:val="正文缩进 Char"/>
    <w:qFormat/>
    <w:uiPriority w:val="0"/>
    <w:rPr>
      <w:rFonts w:eastAsia="宋体"/>
      <w:kern w:val="2"/>
      <w:sz w:val="21"/>
      <w:lang w:val="en-US" w:eastAsia="zh-CN" w:bidi="ar-SA"/>
    </w:rPr>
  </w:style>
  <w:style w:type="character" w:customStyle="1" w:styleId="125">
    <w:name w:val="批注文字 字符1"/>
    <w:semiHidden/>
    <w:qFormat/>
    <w:uiPriority w:val="0"/>
    <w:rPr>
      <w:rFonts w:ascii="Times New Roman" w:hAnsi="Times New Roman" w:eastAsia="宋体"/>
      <w:sz w:val="24"/>
    </w:rPr>
  </w:style>
  <w:style w:type="character" w:customStyle="1" w:styleId="126">
    <w:name w:val="表格 Char Char"/>
    <w:qFormat/>
    <w:uiPriority w:val="0"/>
    <w:rPr>
      <w:rFonts w:ascii="宋体" w:hAnsi="宋体" w:eastAsia="宋体"/>
      <w:snapToGrid w:val="0"/>
      <w:sz w:val="21"/>
      <w:szCs w:val="24"/>
      <w:lang w:val="en-US" w:eastAsia="zh-CN" w:bidi="ar-SA"/>
    </w:rPr>
  </w:style>
  <w:style w:type="character" w:customStyle="1" w:styleId="127">
    <w:name w:val=" Char Char12"/>
    <w:qFormat/>
    <w:uiPriority w:val="0"/>
    <w:rPr>
      <w:rFonts w:eastAsia="宋体"/>
      <w:sz w:val="28"/>
      <w:lang w:val="en-US" w:eastAsia="zh-CN" w:bidi="ar-SA"/>
    </w:rPr>
  </w:style>
  <w:style w:type="character" w:customStyle="1" w:styleId="128">
    <w:name w:val="批注文字 Char"/>
    <w:qFormat/>
    <w:locked/>
    <w:uiPriority w:val="0"/>
    <w:rPr>
      <w:rFonts w:ascii="Times New Roman" w:hAnsi="Times New Roman" w:eastAsia="宋体"/>
      <w:sz w:val="24"/>
    </w:rPr>
  </w:style>
  <w:style w:type="character" w:customStyle="1" w:styleId="129">
    <w:name w:val=" Char Char7"/>
    <w:qFormat/>
    <w:uiPriority w:val="0"/>
    <w:rPr>
      <w:rFonts w:ascii="宋体" w:hAnsi="Courier New"/>
      <w:kern w:val="2"/>
    </w:rPr>
  </w:style>
  <w:style w:type="character" w:customStyle="1" w:styleId="130">
    <w:name w:val=" Char Char6"/>
    <w:qFormat/>
    <w:uiPriority w:val="0"/>
    <w:rPr>
      <w:kern w:val="2"/>
      <w:sz w:val="24"/>
      <w:szCs w:val="24"/>
    </w:rPr>
  </w:style>
  <w:style w:type="character" w:customStyle="1" w:styleId="131">
    <w:name w:val="图标题2 Char"/>
    <w:link w:val="132"/>
    <w:qFormat/>
    <w:uiPriority w:val="0"/>
    <w:rPr>
      <w:b/>
      <w:color w:val="000000"/>
      <w:kern w:val="2"/>
      <w:sz w:val="21"/>
      <w:szCs w:val="24"/>
      <w:lang w:bidi="ar-SA"/>
    </w:rPr>
  </w:style>
  <w:style w:type="paragraph" w:customStyle="1" w:styleId="132">
    <w:name w:val="图标题2"/>
    <w:basedOn w:val="115"/>
    <w:link w:val="131"/>
    <w:qFormat/>
    <w:uiPriority w:val="0"/>
    <w:pPr>
      <w:autoSpaceDE w:val="0"/>
      <w:autoSpaceDN w:val="0"/>
      <w:spacing w:beforeLines="0" w:afterLines="0" w:line="240" w:lineRule="auto"/>
      <w:textAlignment w:val="baseline"/>
    </w:pPr>
    <w:rPr>
      <w:rFonts w:ascii="Times New Roman"/>
      <w:b/>
      <w:color w:val="000000"/>
      <w:kern w:val="2"/>
      <w:szCs w:val="24"/>
    </w:rPr>
  </w:style>
  <w:style w:type="character" w:customStyle="1" w:styleId="133">
    <w:name w:val="占位符文本1"/>
    <w:qFormat/>
    <w:uiPriority w:val="0"/>
    <w:rPr>
      <w:rFonts w:cs="Times New Roman"/>
      <w:color w:val="808080"/>
    </w:rPr>
  </w:style>
  <w:style w:type="character" w:customStyle="1" w:styleId="134">
    <w:name w:val=" Char Char5"/>
    <w:semiHidden/>
    <w:qFormat/>
    <w:uiPriority w:val="0"/>
    <w:rPr>
      <w:kern w:val="2"/>
      <w:sz w:val="18"/>
      <w:szCs w:val="18"/>
    </w:rPr>
  </w:style>
  <w:style w:type="character" w:customStyle="1" w:styleId="135">
    <w:name w:val="font31"/>
    <w:basedOn w:val="44"/>
    <w:qFormat/>
    <w:uiPriority w:val="0"/>
    <w:rPr>
      <w:rFonts w:hint="eastAsia" w:ascii="宋体" w:hAnsi="宋体" w:eastAsia="宋体" w:cs="宋体"/>
      <w:color w:val="000000"/>
      <w:sz w:val="21"/>
      <w:szCs w:val="21"/>
      <w:u w:val="none"/>
    </w:rPr>
  </w:style>
  <w:style w:type="paragraph" w:customStyle="1" w:styleId="136">
    <w:name w:val="xl25"/>
    <w:basedOn w:val="1"/>
    <w:qFormat/>
    <w:uiPriority w:val="0"/>
    <w:pPr>
      <w:spacing w:before="100" w:beforeAutospacing="1" w:after="100" w:afterAutospacing="1"/>
      <w:jc w:val="center"/>
      <w:textAlignment w:val="center"/>
    </w:pPr>
    <w:rPr>
      <w:rFonts w:ascii="宋体" w:hAnsi="宋体"/>
      <w:kern w:val="0"/>
      <w:sz w:val="24"/>
    </w:rPr>
  </w:style>
  <w:style w:type="paragraph" w:customStyle="1" w:styleId="137">
    <w:name w:val="样式 方正仿宋_GBK 三号 行距: 固定值 28 磅"/>
    <w:basedOn w:val="1"/>
    <w:qFormat/>
    <w:uiPriority w:val="0"/>
    <w:pPr>
      <w:spacing w:line="360" w:lineRule="auto"/>
      <w:ind w:firstLine="200" w:firstLineChars="200"/>
    </w:pPr>
    <w:rPr>
      <w:rFonts w:ascii="方正仿宋_GBK" w:hAnsi="方正仿宋_GBK" w:eastAsia="宋?" w:cs="宋?"/>
      <w:sz w:val="28"/>
      <w:szCs w:val="20"/>
    </w:rPr>
  </w:style>
  <w:style w:type="paragraph" w:customStyle="1" w:styleId="138">
    <w:name w:val="表格正文"/>
    <w:next w:val="1"/>
    <w:qFormat/>
    <w:uiPriority w:val="0"/>
    <w:pPr>
      <w:spacing w:line="0" w:lineRule="atLeast"/>
      <w:jc w:val="center"/>
    </w:pPr>
    <w:rPr>
      <w:rFonts w:ascii="等?" w:hAnsi="等?" w:eastAsia="等?" w:cs="Times New Roman"/>
      <w:sz w:val="21"/>
      <w:szCs w:val="24"/>
      <w:lang w:val="en-US" w:eastAsia="zh-CN" w:bidi="ar-SA"/>
    </w:rPr>
  </w:style>
  <w:style w:type="paragraph" w:customStyle="1" w:styleId="139">
    <w:name w:val="表头，图名"/>
    <w:basedOn w:val="1"/>
    <w:qFormat/>
    <w:uiPriority w:val="0"/>
    <w:pPr>
      <w:jc w:val="center"/>
    </w:pPr>
    <w:rPr>
      <w:rFonts w:ascii="Calibri" w:hAnsi="Calibri"/>
      <w:b/>
    </w:rPr>
  </w:style>
  <w:style w:type="paragraph" w:customStyle="1" w:styleId="140">
    <w:name w:val="正文1"/>
    <w:basedOn w:val="1"/>
    <w:qFormat/>
    <w:uiPriority w:val="0"/>
    <w:pPr>
      <w:adjustRightInd w:val="0"/>
    </w:pPr>
    <w:rPr>
      <w:rFonts w:ascii="Calibri" w:hAnsi="Calibri" w:eastAsia="楷体_GB2312" w:cs="黑体"/>
      <w:sz w:val="24"/>
      <w:szCs w:val="22"/>
    </w:rPr>
  </w:style>
  <w:style w:type="paragraph" w:customStyle="1" w:styleId="141">
    <w:name w:val="表中"/>
    <w:basedOn w:val="1"/>
    <w:qFormat/>
    <w:uiPriority w:val="0"/>
    <w:pPr>
      <w:suppressAutoHyphens/>
      <w:spacing w:line="280" w:lineRule="exact"/>
      <w:jc w:val="center"/>
    </w:pPr>
    <w:rPr>
      <w:kern w:val="1"/>
      <w:sz w:val="24"/>
      <w:lang w:val="en-US" w:eastAsia="he-IL" w:bidi="he-IL"/>
    </w:rPr>
  </w:style>
  <w:style w:type="paragraph" w:customStyle="1" w:styleId="142">
    <w:name w:val="Default1"/>
    <w:basedOn w:val="143"/>
    <w:next w:val="144"/>
    <w:unhideWhenUsed/>
    <w:qFormat/>
    <w:uiPriority w:val="0"/>
    <w:pPr>
      <w:autoSpaceDE w:val="0"/>
      <w:autoSpaceDN w:val="0"/>
    </w:pPr>
    <w:rPr>
      <w:rFonts w:hint="eastAsia" w:ascii="黑体" w:hAnsi="Times New Roman" w:eastAsia="黑体"/>
      <w:sz w:val="24"/>
      <w:szCs w:val="24"/>
      <w:lang w:eastAsia="en-US"/>
    </w:rPr>
  </w:style>
  <w:style w:type="paragraph" w:customStyle="1" w:styleId="143">
    <w:name w:val="表格文字01"/>
    <w:basedOn w:val="1"/>
    <w:qFormat/>
    <w:uiPriority w:val="0"/>
    <w:pPr>
      <w:wordWrap w:val="0"/>
      <w:overflowPunct w:val="0"/>
      <w:topLinePunct/>
      <w:jc w:val="center"/>
    </w:pPr>
    <w:rPr>
      <w:rFonts w:ascii="Arial" w:hAnsi="Arial"/>
      <w:snapToGrid w:val="0"/>
      <w:color w:val="000000"/>
      <w:szCs w:val="20"/>
    </w:rPr>
  </w:style>
  <w:style w:type="paragraph" w:customStyle="1" w:styleId="144">
    <w:name w:val="正文样式1"/>
    <w:basedOn w:val="1"/>
    <w:next w:val="1"/>
    <w:qFormat/>
    <w:uiPriority w:val="0"/>
    <w:pPr>
      <w:adjustRightInd w:val="0"/>
      <w:spacing w:line="360" w:lineRule="auto"/>
      <w:ind w:firstLine="360" w:firstLineChars="150"/>
      <w:textAlignment w:val="baseline"/>
    </w:pPr>
    <w:rPr>
      <w:rFonts w:ascii="宋体" w:hAnsi="宋体"/>
      <w:color w:val="FF0000"/>
      <w:kern w:val="0"/>
      <w:sz w:val="24"/>
      <w:szCs w:val="20"/>
    </w:rPr>
  </w:style>
  <w:style w:type="paragraph" w:customStyle="1" w:styleId="145">
    <w:name w:val="（1）项目四至"/>
    <w:basedOn w:val="1"/>
    <w:qFormat/>
    <w:uiPriority w:val="0"/>
    <w:pPr>
      <w:spacing w:line="360" w:lineRule="auto"/>
      <w:ind w:left="420" w:leftChars="200"/>
    </w:pPr>
    <w:rPr>
      <w:b/>
      <w:sz w:val="24"/>
    </w:rPr>
  </w:style>
  <w:style w:type="paragraph" w:customStyle="1" w:styleId="146">
    <w:name w:val="List Paragraph"/>
    <w:basedOn w:val="1"/>
    <w:qFormat/>
    <w:uiPriority w:val="0"/>
    <w:pPr>
      <w:ind w:firstLine="420" w:firstLineChars="200"/>
    </w:pPr>
    <w:rPr>
      <w:rFonts w:ascii="Calibri" w:hAnsi="Calibri" w:eastAsia="宋?" w:cs="黑体"/>
      <w:szCs w:val="22"/>
    </w:rPr>
  </w:style>
  <w:style w:type="paragraph" w:customStyle="1" w:styleId="147">
    <w:name w:val="Table Paragraph"/>
    <w:basedOn w:val="1"/>
    <w:qFormat/>
    <w:uiPriority w:val="0"/>
    <w:pPr>
      <w:autoSpaceDE w:val="0"/>
      <w:autoSpaceDN w:val="0"/>
      <w:adjustRightInd w:val="0"/>
    </w:pPr>
    <w:rPr>
      <w:kern w:val="0"/>
      <w:sz w:val="24"/>
    </w:rPr>
  </w:style>
  <w:style w:type="paragraph" w:customStyle="1" w:styleId="148">
    <w:name w:val="Date1"/>
    <w:basedOn w:val="1"/>
    <w:next w:val="1"/>
    <w:qFormat/>
    <w:uiPriority w:val="0"/>
    <w:pPr>
      <w:adjustRightInd w:val="0"/>
      <w:textAlignment w:val="baseline"/>
    </w:pPr>
    <w:rPr>
      <w:rFonts w:ascii="Calibri" w:hAnsi="Calibri"/>
      <w:sz w:val="24"/>
      <w:szCs w:val="20"/>
    </w:rPr>
  </w:style>
  <w:style w:type="paragraph" w:customStyle="1" w:styleId="149">
    <w:name w:val=" Char Char10 Char Char Char Char Char Char Char Char"/>
    <w:basedOn w:val="19"/>
    <w:qFormat/>
    <w:uiPriority w:val="0"/>
    <w:pPr>
      <w:adjustRightInd w:val="0"/>
      <w:spacing w:line="240" w:lineRule="exact"/>
      <w:ind w:left="357"/>
      <w:outlineLvl w:val="3"/>
    </w:pPr>
    <w:rPr>
      <w:rFonts w:ascii="隶书" w:hAnsi="隶书" w:cs="隶书"/>
      <w:kern w:val="0"/>
      <w:sz w:val="24"/>
    </w:rPr>
  </w:style>
  <w:style w:type="paragraph" w:customStyle="1" w:styleId="150">
    <w:name w:val="报告书表格"/>
    <w:basedOn w:val="1"/>
    <w:qFormat/>
    <w:uiPriority w:val="0"/>
    <w:pPr>
      <w:adjustRightInd w:val="0"/>
      <w:spacing w:before="60" w:after="60" w:line="240" w:lineRule="atLeast"/>
      <w:jc w:val="center"/>
      <w:textAlignment w:val="baseline"/>
    </w:pPr>
    <w:rPr>
      <w:kern w:val="0"/>
      <w:szCs w:val="20"/>
    </w:rPr>
  </w:style>
  <w:style w:type="paragraph" w:customStyle="1" w:styleId="151">
    <w:name w:val="05表头-报告书"/>
    <w:basedOn w:val="1"/>
    <w:qFormat/>
    <w:uiPriority w:val="0"/>
    <w:pPr>
      <w:tabs>
        <w:tab w:val="left" w:pos="0"/>
      </w:tabs>
      <w:adjustRightInd w:val="0"/>
      <w:snapToGrid w:val="0"/>
      <w:spacing w:line="360" w:lineRule="auto"/>
      <w:ind w:firstLine="482" w:firstLineChars="200"/>
      <w:jc w:val="center"/>
    </w:pPr>
    <w:rPr>
      <w:b/>
      <w:kern w:val="0"/>
      <w:sz w:val="24"/>
      <w:szCs w:val="20"/>
    </w:rPr>
  </w:style>
  <w:style w:type="paragraph" w:customStyle="1" w:styleId="152">
    <w:name w:val="section1"/>
    <w:basedOn w:val="1"/>
    <w:qFormat/>
    <w:uiPriority w:val="0"/>
    <w:pPr>
      <w:spacing w:before="100" w:beforeAutospacing="1" w:after="100" w:afterAutospacing="1"/>
    </w:pPr>
    <w:rPr>
      <w:rFonts w:ascii="Arial Unicode MS" w:hAnsi="Arial Unicode MS" w:eastAsia="Arial Unicode MS" w:cs="Arial Unicode MS"/>
      <w:kern w:val="0"/>
      <w:sz w:val="24"/>
    </w:rPr>
  </w:style>
  <w:style w:type="paragraph" w:customStyle="1" w:styleId="153">
    <w:name w:val="04正文-报告书"/>
    <w:basedOn w:val="1"/>
    <w:qFormat/>
    <w:uiPriority w:val="0"/>
    <w:pPr>
      <w:tabs>
        <w:tab w:val="left" w:pos="0"/>
      </w:tabs>
      <w:adjustRightInd w:val="0"/>
      <w:snapToGrid w:val="0"/>
      <w:spacing w:line="360" w:lineRule="auto"/>
      <w:ind w:firstLine="480" w:firstLineChars="200"/>
    </w:pPr>
    <w:rPr>
      <w:kern w:val="0"/>
      <w:sz w:val="24"/>
      <w:szCs w:val="20"/>
    </w:rPr>
  </w:style>
  <w:style w:type="paragraph" w:customStyle="1" w:styleId="154">
    <w:name w:val="样式 样式 (中文) 仿宋_GB2312 居中1 + 小四"/>
    <w:basedOn w:val="1"/>
    <w:qFormat/>
    <w:uiPriority w:val="0"/>
    <w:pPr>
      <w:ind w:firstLine="480" w:firstLineChars="200"/>
    </w:pPr>
    <w:rPr>
      <w:rFonts w:ascii="宋?" w:hAnsi="Calibri" w:eastAsia="宋?" w:cs="黑体"/>
      <w:sz w:val="24"/>
      <w:szCs w:val="22"/>
    </w:rPr>
  </w:style>
  <w:style w:type="paragraph" w:customStyle="1" w:styleId="155">
    <w:name w:val="表标题"/>
    <w:basedOn w:val="156"/>
    <w:next w:val="1"/>
    <w:qFormat/>
    <w:uiPriority w:val="0"/>
    <w:pPr>
      <w:spacing w:line="240" w:lineRule="auto"/>
      <w:ind w:firstLine="0" w:firstLineChars="0"/>
      <w:jc w:val="center"/>
    </w:pPr>
    <w:rPr>
      <w:rFonts w:eastAsia="宋?"/>
      <w:b/>
      <w:kern w:val="0"/>
      <w:sz w:val="21"/>
      <w:szCs w:val="24"/>
    </w:rPr>
  </w:style>
  <w:style w:type="paragraph" w:customStyle="1" w:styleId="156">
    <w:name w:val="正文内容"/>
    <w:basedOn w:val="1"/>
    <w:qFormat/>
    <w:uiPriority w:val="0"/>
    <w:pPr>
      <w:spacing w:line="360" w:lineRule="auto"/>
      <w:ind w:firstLine="200" w:firstLineChars="200"/>
    </w:pPr>
    <w:rPr>
      <w:sz w:val="24"/>
      <w:szCs w:val="20"/>
    </w:rPr>
  </w:style>
  <w:style w:type="paragraph" w:customStyle="1" w:styleId="157">
    <w:name w:val="表内容"/>
    <w:basedOn w:val="1"/>
    <w:qFormat/>
    <w:uiPriority w:val="0"/>
    <w:pPr>
      <w:jc w:val="center"/>
    </w:pPr>
    <w:rPr>
      <w:rFonts w:ascii="Calibri" w:hAnsi="Calibri" w:eastAsia="宋?" w:cs="黑体"/>
      <w:kern w:val="0"/>
      <w:szCs w:val="20"/>
    </w:rPr>
  </w:style>
  <w:style w:type="paragraph" w:customStyle="1" w:styleId="158">
    <w:name w:val="正文 New"/>
    <w:qFormat/>
    <w:uiPriority w:val="0"/>
    <w:pPr>
      <w:widowControl w:val="0"/>
      <w:spacing w:line="0" w:lineRule="atLeast"/>
      <w:jc w:val="both"/>
    </w:pPr>
    <w:rPr>
      <w:rFonts w:ascii="Calibri" w:hAnsi="Calibri" w:eastAsia="宋体" w:cs="Times New Roman"/>
      <w:kern w:val="2"/>
      <w:sz w:val="21"/>
      <w:szCs w:val="24"/>
      <w:lang w:val="en-US" w:eastAsia="zh-CN" w:bidi="ar-SA"/>
    </w:rPr>
  </w:style>
  <w:style w:type="paragraph" w:customStyle="1" w:styleId="159">
    <w:name w:val="样式 小四 行距: 1.5 倍行距"/>
    <w:basedOn w:val="5"/>
    <w:qFormat/>
    <w:uiPriority w:val="0"/>
    <w:pPr>
      <w:spacing w:line="360" w:lineRule="auto"/>
    </w:pPr>
    <w:rPr>
      <w:rFonts w:eastAsia="宋体" w:cs="宋体"/>
      <w:sz w:val="24"/>
      <w:szCs w:val="20"/>
    </w:rPr>
  </w:style>
  <w:style w:type="paragraph" w:customStyle="1" w:styleId="160">
    <w:name w:val="正文(首行缩进两字)"/>
    <w:basedOn w:val="1"/>
    <w:next w:val="1"/>
    <w:qFormat/>
    <w:uiPriority w:val="0"/>
    <w:pPr>
      <w:tabs>
        <w:tab w:val="left" w:pos="945"/>
        <w:tab w:val="right" w:leader="dot" w:pos="1155"/>
        <w:tab w:val="left" w:pos="8715"/>
      </w:tabs>
      <w:adjustRightInd w:val="0"/>
      <w:snapToGrid w:val="0"/>
      <w:spacing w:line="360" w:lineRule="auto"/>
      <w:ind w:firstLine="480" w:firstLineChars="200"/>
    </w:pPr>
    <w:rPr>
      <w:rFonts w:ascii="宋体" w:hAnsi="宋体" w:cs="宋体"/>
      <w:kern w:val="0"/>
      <w:sz w:val="24"/>
    </w:rPr>
  </w:style>
  <w:style w:type="paragraph" w:customStyle="1" w:styleId="161">
    <w:name w:val="表格内容"/>
    <w:basedOn w:val="1"/>
    <w:qFormat/>
    <w:uiPriority w:val="0"/>
    <w:pPr>
      <w:jc w:val="center"/>
    </w:pPr>
    <w:rPr>
      <w:sz w:val="22"/>
      <w:szCs w:val="22"/>
      <w:lang w:val="zh-CN"/>
    </w:rPr>
  </w:style>
  <w:style w:type="paragraph" w:customStyle="1" w:styleId="162">
    <w:name w:val="表1表2"/>
    <w:basedOn w:val="1"/>
    <w:qFormat/>
    <w:uiPriority w:val="0"/>
    <w:pPr>
      <w:overflowPunct w:val="0"/>
      <w:autoSpaceDE w:val="0"/>
      <w:autoSpaceDN w:val="0"/>
      <w:adjustRightInd w:val="0"/>
      <w:jc w:val="center"/>
      <w:textAlignment w:val="baseline"/>
    </w:pPr>
    <w:rPr>
      <w:rFonts w:ascii="仿宋体" w:hAnsi="Tms Rmn" w:eastAsia="仿宋体"/>
      <w:kern w:val="0"/>
      <w:sz w:val="24"/>
      <w:szCs w:val="20"/>
    </w:rPr>
  </w:style>
  <w:style w:type="paragraph" w:customStyle="1" w:styleId="163">
    <w:name w:val="文本框样式"/>
    <w:basedOn w:val="1"/>
    <w:qFormat/>
    <w:uiPriority w:val="0"/>
    <w:pPr>
      <w:jc w:val="center"/>
    </w:pPr>
  </w:style>
  <w:style w:type="paragraph" w:customStyle="1" w:styleId="164">
    <w:name w:val="正文（改）"/>
    <w:basedOn w:val="145"/>
    <w:qFormat/>
    <w:uiPriority w:val="0"/>
    <w:pPr>
      <w:ind w:left="0" w:leftChars="0" w:firstLine="562" w:firstLineChars="200"/>
    </w:pPr>
    <w:rPr>
      <w:b w:val="0"/>
    </w:rPr>
  </w:style>
  <w:style w:type="paragraph" w:customStyle="1" w:styleId="165">
    <w:name w:val="表格标题样式1"/>
    <w:basedOn w:val="1"/>
    <w:qFormat/>
    <w:uiPriority w:val="0"/>
    <w:pPr>
      <w:numPr>
        <w:ilvl w:val="0"/>
        <w:numId w:val="2"/>
      </w:numPr>
      <w:spacing w:before="50" w:beforeLines="50"/>
      <w:jc w:val="center"/>
    </w:pPr>
    <w:rPr>
      <w:rFonts w:ascii="黑体" w:eastAsia="黑体"/>
      <w:bCs/>
    </w:rPr>
  </w:style>
  <w:style w:type="paragraph" w:customStyle="1" w:styleId="166">
    <w:name w:val="节3级标题"/>
    <w:basedOn w:val="1"/>
    <w:next w:val="156"/>
    <w:qFormat/>
    <w:uiPriority w:val="0"/>
    <w:pPr>
      <w:outlineLvl w:val="2"/>
    </w:pPr>
    <w:rPr>
      <w:rFonts w:ascii="Calibri" w:hAnsi="Calibri" w:eastAsia="宋?" w:cs="黑体"/>
      <w:sz w:val="24"/>
    </w:rPr>
  </w:style>
  <w:style w:type="paragraph" w:customStyle="1" w:styleId="167">
    <w:name w:val="表格内容居中"/>
    <w:qFormat/>
    <w:uiPriority w:val="0"/>
    <w:pPr>
      <w:adjustRightInd w:val="0"/>
      <w:snapToGrid w:val="0"/>
      <w:spacing w:line="0" w:lineRule="atLeast"/>
      <w:jc w:val="center"/>
    </w:pPr>
    <w:rPr>
      <w:rFonts w:ascii="Times New Roman" w:hAnsi="Times New Roman" w:eastAsia="宋体" w:cs="Times New Roman"/>
      <w:snapToGrid w:val="0"/>
      <w:sz w:val="21"/>
      <w:szCs w:val="21"/>
      <w:lang w:val="en-US" w:eastAsia="zh-CN" w:bidi="ar-SA"/>
    </w:rPr>
  </w:style>
  <w:style w:type="paragraph" w:customStyle="1" w:styleId="168">
    <w:name w:val="p15"/>
    <w:basedOn w:val="1"/>
    <w:qFormat/>
    <w:uiPriority w:val="0"/>
    <w:pPr>
      <w:spacing w:line="360" w:lineRule="auto"/>
      <w:ind w:firstLine="1440" w:firstLineChars="200"/>
    </w:pPr>
    <w:rPr>
      <w:rFonts w:ascii="Calibri" w:hAnsi="Calibri"/>
      <w:kern w:val="0"/>
      <w:sz w:val="24"/>
      <w:szCs w:val="21"/>
    </w:rPr>
  </w:style>
  <w:style w:type="paragraph" w:customStyle="1" w:styleId="169">
    <w:name w:val="表头"/>
    <w:basedOn w:val="18"/>
    <w:qFormat/>
    <w:uiPriority w:val="0"/>
    <w:pPr>
      <w:adjustRightInd w:val="0"/>
      <w:snapToGrid w:val="0"/>
      <w:jc w:val="center"/>
    </w:pPr>
    <w:rPr>
      <w:rFonts w:ascii="宋?" w:hAnsi="宋?" w:cs="Times New Roman"/>
      <w:sz w:val="28"/>
      <w:szCs w:val="28"/>
    </w:rPr>
  </w:style>
  <w:style w:type="paragraph" w:customStyle="1" w:styleId="170">
    <w:name w:val="0正文"/>
    <w:basedOn w:val="1"/>
    <w:qFormat/>
    <w:uiPriority w:val="0"/>
    <w:pPr>
      <w:spacing w:line="360" w:lineRule="auto"/>
      <w:ind w:firstLine="482"/>
    </w:pPr>
    <w:rPr>
      <w:rFonts w:ascii="Calibri" w:hAnsi="Calibri" w:eastAsia="宋?" w:cs="黑体"/>
      <w:kern w:val="0"/>
      <w:sz w:val="24"/>
      <w:szCs w:val="20"/>
    </w:rPr>
  </w:style>
  <w:style w:type="paragraph" w:customStyle="1" w:styleId="171">
    <w:name w:val="xl23"/>
    <w:basedOn w:val="1"/>
    <w:qFormat/>
    <w:uiPriority w:val="0"/>
    <w:pPr>
      <w:spacing w:before="100" w:beforeAutospacing="1" w:after="100" w:afterAutospacing="1"/>
      <w:jc w:val="center"/>
    </w:pPr>
    <w:rPr>
      <w:rFonts w:ascii="Calibri" w:hAnsi="Calibri" w:eastAsia="Arial Unicode MS"/>
      <w:kern w:val="0"/>
      <w:sz w:val="24"/>
    </w:rPr>
  </w:style>
  <w:style w:type="paragraph" w:customStyle="1" w:styleId="172">
    <w:name w:val="7表格(治)"/>
    <w:basedOn w:val="1"/>
    <w:qFormat/>
    <w:uiPriority w:val="0"/>
    <w:pPr>
      <w:spacing w:line="276" w:lineRule="auto"/>
      <w:jc w:val="center"/>
    </w:pPr>
    <w:rPr>
      <w:rFonts w:cs="Calibri"/>
      <w:kern w:val="0"/>
    </w:rPr>
  </w:style>
  <w:style w:type="paragraph" w:customStyle="1" w:styleId="173">
    <w:name w:val="Char2"/>
    <w:basedOn w:val="1"/>
    <w:qFormat/>
    <w:uiPriority w:val="0"/>
    <w:pPr>
      <w:spacing w:line="360" w:lineRule="auto"/>
      <w:ind w:firstLine="200" w:firstLineChars="200"/>
    </w:pPr>
    <w:rPr>
      <w:rFonts w:cs="宋体"/>
    </w:rPr>
  </w:style>
  <w:style w:type="paragraph" w:customStyle="1" w:styleId="174">
    <w:name w:val="TT正文"/>
    <w:qFormat/>
    <w:uiPriority w:val="0"/>
    <w:pPr>
      <w:spacing w:line="360" w:lineRule="auto"/>
      <w:ind w:firstLine="200" w:firstLineChars="200"/>
    </w:pPr>
    <w:rPr>
      <w:rFonts w:ascii="Times New Roman" w:hAnsi="Times New Roman" w:eastAsia="宋?" w:cs="宋?"/>
      <w:color w:val="000000"/>
      <w:sz w:val="24"/>
      <w:lang w:val="en-US" w:eastAsia="zh-CN" w:bidi="ar-SA"/>
    </w:rPr>
  </w:style>
  <w:style w:type="paragraph" w:customStyle="1" w:styleId="175">
    <w:name w:val="报告表 段"/>
    <w:basedOn w:val="1"/>
    <w:qFormat/>
    <w:uiPriority w:val="0"/>
    <w:pPr>
      <w:spacing w:line="360" w:lineRule="auto"/>
      <w:ind w:firstLine="470" w:firstLineChars="196"/>
    </w:pPr>
    <w:rPr>
      <w:rFonts w:ascii="宋体" w:hAnsi="宋体"/>
      <w:bCs/>
      <w:sz w:val="24"/>
    </w:rPr>
  </w:style>
  <w:style w:type="paragraph" w:customStyle="1" w:styleId="176">
    <w:name w:val="报告表正文"/>
    <w:basedOn w:val="1"/>
    <w:qFormat/>
    <w:uiPriority w:val="0"/>
    <w:pPr>
      <w:adjustRightInd w:val="0"/>
      <w:jc w:val="center"/>
      <w:textAlignment w:val="baseline"/>
    </w:pPr>
    <w:rPr>
      <w:rFonts w:ascii="Calibri" w:hAnsi="Calibri" w:eastAsia="宋?" w:cs="黑体"/>
      <w:kern w:val="0"/>
      <w:szCs w:val="22"/>
    </w:rPr>
  </w:style>
  <w:style w:type="paragraph" w:customStyle="1" w:styleId="177">
    <w:name w:val="无间隔1"/>
    <w:qFormat/>
    <w:uiPriority w:val="0"/>
    <w:pPr>
      <w:widowControl w:val="0"/>
      <w:spacing w:line="0" w:lineRule="atLeast"/>
      <w:jc w:val="both"/>
    </w:pPr>
    <w:rPr>
      <w:rFonts w:ascii="Calibri" w:hAnsi="Calibri" w:eastAsia="宋?" w:cs="Times New Roman"/>
      <w:kern w:val="2"/>
      <w:sz w:val="24"/>
      <w:szCs w:val="24"/>
      <w:lang w:val="en-US" w:eastAsia="zh-CN" w:bidi="ar-SA"/>
    </w:rPr>
  </w:style>
  <w:style w:type="paragraph" w:customStyle="1" w:styleId="178">
    <w:name w:val="样式 表格 32 + 首行缩进:  2 字符"/>
    <w:basedOn w:val="1"/>
    <w:qFormat/>
    <w:uiPriority w:val="0"/>
    <w:pPr>
      <w:widowControl w:val="0"/>
      <w:autoSpaceDE w:val="0"/>
      <w:autoSpaceDN w:val="0"/>
      <w:adjustRightInd w:val="0"/>
      <w:jc w:val="center"/>
      <w:textAlignment w:val="baseline"/>
    </w:pPr>
    <w:rPr>
      <w:kern w:val="0"/>
      <w:szCs w:val="20"/>
      <w:lang w:val="en-US" w:eastAsia="zh-CN"/>
    </w:rPr>
  </w:style>
  <w:style w:type="paragraph" w:customStyle="1" w:styleId="179">
    <w:name w:val="报告正文"/>
    <w:basedOn w:val="1"/>
    <w:qFormat/>
    <w:uiPriority w:val="0"/>
    <w:pPr>
      <w:spacing w:line="360" w:lineRule="auto"/>
      <w:ind w:firstLine="200" w:firstLineChars="200"/>
    </w:pPr>
    <w:rPr>
      <w:rFonts w:ascii="Calibri" w:hAnsi="Calibri" w:eastAsia="宋?" w:cs="黑体"/>
      <w:kern w:val="0"/>
      <w:sz w:val="24"/>
      <w:szCs w:val="22"/>
    </w:rPr>
  </w:style>
  <w:style w:type="paragraph" w:customStyle="1" w:styleId="180">
    <w:name w:val="表格、图片"/>
    <w:qFormat/>
    <w:uiPriority w:val="0"/>
    <w:pPr>
      <w:adjustRightInd w:val="0"/>
      <w:snapToGrid w:val="0"/>
      <w:spacing w:line="0" w:lineRule="atLeast"/>
      <w:jc w:val="center"/>
    </w:pPr>
    <w:rPr>
      <w:rFonts w:ascii="Calibri" w:hAnsi="Calibri" w:eastAsia="宋体" w:cs="Times New Roman"/>
      <w:kern w:val="2"/>
      <w:sz w:val="21"/>
      <w:szCs w:val="22"/>
      <w:lang w:val="en-US" w:eastAsia="zh-CN" w:bidi="ar-SA"/>
    </w:rPr>
  </w:style>
  <w:style w:type="paragraph" w:customStyle="1" w:styleId="181">
    <w:name w:val="小四 间距1.5 缩进2"/>
    <w:basedOn w:val="1"/>
    <w:qFormat/>
    <w:uiPriority w:val="0"/>
    <w:pPr>
      <w:spacing w:line="360" w:lineRule="auto"/>
      <w:ind w:firstLine="415" w:firstLineChars="173"/>
    </w:pPr>
    <w:rPr>
      <w:rFonts w:ascii="Calibri" w:hAnsi="Calibri" w:eastAsia="宋?" w:cs="黑体"/>
      <w:sz w:val="24"/>
    </w:rPr>
  </w:style>
  <w:style w:type="paragraph" w:customStyle="1" w:styleId="182">
    <w:name w:val="y表格"/>
    <w:basedOn w:val="21"/>
    <w:qFormat/>
    <w:uiPriority w:val="0"/>
    <w:pPr>
      <w:adjustRightInd w:val="0"/>
      <w:spacing w:before="0" w:after="0" w:line="240" w:lineRule="auto"/>
      <w:ind w:right="0"/>
      <w:jc w:val="center"/>
      <w:textAlignment w:val="baseline"/>
    </w:pPr>
    <w:rPr>
      <w:rFonts w:hint="eastAsia" w:ascii="宋体" w:hAnsi="宋体"/>
      <w:sz w:val="24"/>
    </w:rPr>
  </w:style>
  <w:style w:type="paragraph" w:customStyle="1" w:styleId="183">
    <w:name w:val="普通(网站)2"/>
    <w:basedOn w:val="1"/>
    <w:qFormat/>
    <w:uiPriority w:val="0"/>
    <w:pPr>
      <w:spacing w:before="100" w:beforeAutospacing="1" w:after="100" w:afterAutospacing="1"/>
    </w:pPr>
    <w:rPr>
      <w:rFonts w:ascii="宋体" w:hAnsi="宋体"/>
      <w:sz w:val="24"/>
      <w:szCs w:val="20"/>
    </w:rPr>
  </w:style>
  <w:style w:type="paragraph" w:customStyle="1" w:styleId="184">
    <w:name w:val="正文_10"/>
    <w:qFormat/>
    <w:uiPriority w:val="0"/>
    <w:pPr>
      <w:widowControl w:val="0"/>
      <w:spacing w:line="0" w:lineRule="atLeast"/>
      <w:jc w:val="both"/>
    </w:pPr>
    <w:rPr>
      <w:rFonts w:ascii="Times New Roman" w:hAnsi="Times New Roman" w:eastAsia="宋体" w:cs="Times New Roman"/>
      <w:kern w:val="2"/>
      <w:sz w:val="21"/>
      <w:szCs w:val="22"/>
      <w:lang w:val="en-US" w:eastAsia="zh-CN" w:bidi="ar-SA"/>
    </w:rPr>
  </w:style>
  <w:style w:type="paragraph" w:customStyle="1" w:styleId="185">
    <w:name w:val="表格 32"/>
    <w:basedOn w:val="1"/>
    <w:qFormat/>
    <w:uiPriority w:val="0"/>
    <w:pPr>
      <w:autoSpaceDE w:val="0"/>
      <w:autoSpaceDN w:val="0"/>
      <w:adjustRightInd w:val="0"/>
      <w:jc w:val="center"/>
      <w:textAlignment w:val="baseline"/>
    </w:pPr>
    <w:rPr>
      <w:rFonts w:ascii="宋?" w:hAnsi="Impact" w:eastAsia="宋?" w:cs="黑体"/>
      <w:kern w:val="24"/>
      <w:sz w:val="24"/>
      <w:szCs w:val="22"/>
    </w:rPr>
  </w:style>
  <w:style w:type="paragraph" w:customStyle="1" w:styleId="186">
    <w:name w:val="表格填充1"/>
    <w:basedOn w:val="1"/>
    <w:qFormat/>
    <w:uiPriority w:val="0"/>
    <w:pPr>
      <w:adjustRightInd w:val="0"/>
      <w:snapToGrid w:val="0"/>
      <w:spacing w:line="400" w:lineRule="exact"/>
      <w:jc w:val="center"/>
    </w:pPr>
    <w:rPr>
      <w:rFonts w:ascii="Calibri" w:hAnsi="Calibri"/>
      <w:snapToGrid w:val="0"/>
      <w:kern w:val="0"/>
      <w:szCs w:val="18"/>
    </w:rPr>
  </w:style>
  <w:style w:type="paragraph" w:customStyle="1" w:styleId="187">
    <w:name w:val="电子邮件签名1"/>
    <w:basedOn w:val="1"/>
    <w:next w:val="10"/>
    <w:qFormat/>
    <w:uiPriority w:val="0"/>
    <w:pPr>
      <w:spacing w:line="460" w:lineRule="exact"/>
      <w:ind w:firstLine="200"/>
    </w:pPr>
  </w:style>
  <w:style w:type="character" w:customStyle="1" w:styleId="188">
    <w:name w:val="font11"/>
    <w:basedOn w:val="44"/>
    <w:qFormat/>
    <w:uiPriority w:val="0"/>
    <w:rPr>
      <w:rFonts w:hint="eastAsia" w:ascii="宋体" w:hAnsi="宋体" w:eastAsia="宋体" w:cs="宋体"/>
      <w:color w:val="000000"/>
      <w:sz w:val="20"/>
      <w:szCs w:val="20"/>
      <w:u w:val="none"/>
    </w:rPr>
  </w:style>
  <w:style w:type="paragraph" w:customStyle="1" w:styleId="189">
    <w:name w:val="mm正文"/>
    <w:basedOn w:val="1"/>
    <w:qFormat/>
    <w:uiPriority w:val="0"/>
    <w:pPr>
      <w:spacing w:line="480" w:lineRule="exact"/>
      <w:ind w:firstLine="200" w:firstLineChars="200"/>
    </w:pPr>
    <w:rPr>
      <w:color w:val="000000"/>
    </w:rPr>
  </w:style>
  <w:style w:type="paragraph" w:customStyle="1" w:styleId="190">
    <w:name w:val="文章正文普通"/>
    <w:qFormat/>
    <w:uiPriority w:val="0"/>
    <w:pPr>
      <w:widowControl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191">
    <w:name w:val="宝安表文"/>
    <w:basedOn w:val="1"/>
    <w:qFormat/>
    <w:uiPriority w:val="0"/>
    <w:pPr>
      <w:tabs>
        <w:tab w:val="left" w:pos="2880"/>
      </w:tabs>
      <w:spacing w:line="360" w:lineRule="auto"/>
      <w:ind w:firstLine="480" w:firstLineChars="200"/>
    </w:pPr>
    <w:rPr>
      <w:sz w:val="24"/>
    </w:rPr>
  </w:style>
  <w:style w:type="paragraph" w:customStyle="1" w:styleId="192">
    <w:name w:val="Body text|2"/>
    <w:basedOn w:val="1"/>
    <w:qFormat/>
    <w:uiPriority w:val="0"/>
    <w:rPr>
      <w:rFonts w:ascii="宋体" w:hAnsi="宋体" w:cs="宋体"/>
      <w:b/>
      <w:bCs/>
      <w:sz w:val="20"/>
      <w:szCs w:val="20"/>
      <w:lang w:val="zh-TW" w:eastAsia="zh-TW" w:bidi="zh-TW"/>
    </w:rPr>
  </w:style>
  <w:style w:type="paragraph" w:customStyle="1" w:styleId="193">
    <w:name w:val="蓝森正文"/>
    <w:basedOn w:val="1"/>
    <w:qFormat/>
    <w:uiPriority w:val="0"/>
    <w:pPr>
      <w:adjustRightInd w:val="0"/>
      <w:snapToGrid w:val="0"/>
      <w:spacing w:line="520" w:lineRule="exact"/>
      <w:ind w:firstLine="480" w:firstLineChars="200"/>
    </w:pPr>
    <w:rPr>
      <w:rFonts w:ascii="宋体" w:hAnsi="宋体"/>
      <w:bCs/>
    </w:rPr>
  </w:style>
  <w:style w:type="paragraph" w:customStyle="1" w:styleId="194">
    <w:name w:val="蓝森表格内容"/>
    <w:basedOn w:val="1"/>
    <w:qFormat/>
    <w:uiPriority w:val="0"/>
    <w:pPr>
      <w:spacing w:line="360" w:lineRule="exact"/>
      <w:jc w:val="center"/>
    </w:pPr>
    <w:rPr>
      <w:bCs/>
      <w:szCs w:val="21"/>
    </w:rPr>
  </w:style>
  <w:style w:type="paragraph" w:customStyle="1" w:styleId="195">
    <w:name w:val="Table Text"/>
    <w:basedOn w:val="1"/>
    <w:semiHidden/>
    <w:qFormat/>
    <w:uiPriority w:val="0"/>
    <w:rPr>
      <w:rFonts w:ascii="宋体" w:hAnsi="宋体" w:cs="宋体"/>
      <w:sz w:val="24"/>
      <w:lang w:eastAsia="en-US"/>
    </w:rPr>
  </w:style>
  <w:style w:type="table" w:customStyle="1" w:styleId="196">
    <w:name w:val="Table Normal"/>
    <w:unhideWhenUsed/>
    <w:qFormat/>
    <w:uiPriority w:val="0"/>
    <w:tblPr>
      <w:tblCellMar>
        <w:top w:w="0" w:type="dxa"/>
        <w:left w:w="0" w:type="dxa"/>
        <w:bottom w:w="0" w:type="dxa"/>
        <w:right w:w="0" w:type="dxa"/>
      </w:tblCellMar>
    </w:tblPr>
  </w:style>
  <w:style w:type="paragraph" w:customStyle="1" w:styleId="197">
    <w:name w:val="正文HP"/>
    <w:basedOn w:val="1"/>
    <w:qFormat/>
    <w:uiPriority w:val="2"/>
    <w:pPr>
      <w:spacing w:line="360" w:lineRule="auto"/>
      <w:ind w:firstLine="480" w:firstLineChars="200"/>
    </w:pPr>
    <w:rPr>
      <w:sz w:val="24"/>
    </w:rPr>
  </w:style>
  <w:style w:type="paragraph" w:customStyle="1" w:styleId="198">
    <w:name w:val="正文 首行缩进:  2 字符"/>
    <w:basedOn w:val="1"/>
    <w:qFormat/>
    <w:uiPriority w:val="0"/>
    <w:pPr>
      <w:suppressAutoHyphens/>
      <w:ind w:firstLine="579" w:firstLineChars="200"/>
    </w:pPr>
    <w:rPr>
      <w:rFonts w:cs="宋体"/>
      <w:kern w:val="1"/>
      <w:lang w:eastAsia="ar-SA"/>
    </w:rPr>
  </w:style>
  <w:style w:type="paragraph" w:customStyle="1" w:styleId="199">
    <w:name w:val="表内文字"/>
    <w:basedOn w:val="1"/>
    <w:qFormat/>
    <w:uiPriority w:val="0"/>
    <w:pPr>
      <w:spacing w:line="360" w:lineRule="exact"/>
      <w:jc w:val="center"/>
    </w:pPr>
    <w:rPr>
      <w:szCs w:val="21"/>
    </w:rPr>
  </w:style>
  <w:style w:type="paragraph" w:customStyle="1" w:styleId="200">
    <w:name w:val="No Spacing1"/>
    <w:qFormat/>
    <w:uiPriority w:val="99"/>
    <w:pPr>
      <w:widowControl w:val="0"/>
      <w:jc w:val="both"/>
    </w:pPr>
    <w:rPr>
      <w:rFonts w:ascii="Times New Roman" w:hAnsi="Times New Roman" w:eastAsia="宋体" w:cs="Times New Roman"/>
      <w:kern w:val="2"/>
      <w:sz w:val="24"/>
      <w:szCs w:val="24"/>
      <w:lang w:val="en-US" w:eastAsia="zh-CN" w:bidi="ar-SA"/>
    </w:rPr>
  </w:style>
  <w:style w:type="paragraph" w:customStyle="1" w:styleId="201">
    <w:name w:val="Huo 表内文字 小五"/>
    <w:basedOn w:val="1"/>
    <w:qFormat/>
    <w:uiPriority w:val="0"/>
    <w:pPr>
      <w:spacing w:line="300" w:lineRule="exact"/>
      <w:jc w:val="center"/>
    </w:pPr>
    <w:rPr>
      <w:bCs/>
      <w:sz w:val="18"/>
      <w:szCs w:val="21"/>
    </w:rPr>
  </w:style>
  <w:style w:type="paragraph" w:customStyle="1" w:styleId="202">
    <w:name w:val="列出段落2"/>
    <w:basedOn w:val="1"/>
    <w:qFormat/>
    <w:uiPriority w:val="0"/>
    <w:pPr>
      <w:ind w:firstLine="420" w:firstLineChars="200"/>
    </w:pPr>
    <w:rPr>
      <w:rFonts w:ascii="Calibri" w:hAnsi="Calibri"/>
      <w:szCs w:val="22"/>
    </w:rPr>
  </w:style>
  <w:style w:type="paragraph" w:customStyle="1" w:styleId="203">
    <w:name w:val="表格通用"/>
    <w:basedOn w:val="1"/>
    <w:next w:val="1"/>
    <w:qFormat/>
    <w:uiPriority w:val="0"/>
    <w:pPr>
      <w:jc w:val="center"/>
    </w:pPr>
  </w:style>
  <w:style w:type="paragraph" w:customStyle="1" w:styleId="204">
    <w:name w:val="正文 32"/>
    <w:basedOn w:val="1"/>
    <w:qFormat/>
    <w:uiPriority w:val="0"/>
    <w:pPr>
      <w:autoSpaceDE w:val="0"/>
      <w:autoSpaceDN w:val="0"/>
      <w:adjustRightInd w:val="0"/>
      <w:spacing w:line="360" w:lineRule="auto"/>
      <w:ind w:firstLine="567"/>
      <w:textAlignment w:val="baseline"/>
    </w:pPr>
    <w:rPr>
      <w:rFonts w:ascii="Calibri" w:hAnsi="Calibri" w:eastAsia="楷体"/>
      <w:kern w:val="0"/>
      <w:sz w:val="24"/>
      <w:szCs w:val="20"/>
    </w:rPr>
  </w:style>
  <w:style w:type="paragraph" w:customStyle="1" w:styleId="205">
    <w:name w:val="表文字"/>
    <w:basedOn w:val="1"/>
    <w:qFormat/>
    <w:uiPriority w:val="0"/>
    <w:pPr>
      <w:jc w:val="center"/>
    </w:pPr>
    <w:rPr>
      <w:kern w:val="44"/>
      <w:szCs w:val="20"/>
    </w:rPr>
  </w:style>
  <w:style w:type="paragraph" w:customStyle="1" w:styleId="206">
    <w:name w:val="文本"/>
    <w:basedOn w:val="1"/>
    <w:next w:val="16"/>
    <w:semiHidden/>
    <w:qFormat/>
    <w:uiPriority w:val="0"/>
    <w:pPr>
      <w:spacing w:line="480" w:lineRule="exact"/>
      <w:ind w:firstLine="642" w:firstLineChars="214"/>
    </w:pPr>
    <w:rPr>
      <w:rFonts w:eastAsia="仿宋_GB2312"/>
      <w:sz w:val="30"/>
    </w:rPr>
  </w:style>
  <w:style w:type="paragraph" w:customStyle="1" w:styleId="207">
    <w:name w:val="表格样式"/>
    <w:basedOn w:val="1"/>
    <w:qFormat/>
    <w:uiPriority w:val="0"/>
    <w:pPr>
      <w:spacing w:line="240" w:lineRule="auto"/>
      <w:jc w:val="left"/>
    </w:pPr>
    <w:rPr>
      <w:rFonts w:cs="Times New Roman"/>
      <w:snapToGrid w:val="0"/>
      <w:color w:val="FF0000"/>
      <w:sz w:val="21"/>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header" Target="header1.xml"/><Relationship Id="rId49" Type="http://schemas.openxmlformats.org/officeDocument/2006/relationships/customXml" Target="../customXml/item1.xml"/><Relationship Id="rId48" Type="http://schemas.openxmlformats.org/officeDocument/2006/relationships/image" Target="media/image20.png"/><Relationship Id="rId47" Type="http://schemas.openxmlformats.org/officeDocument/2006/relationships/image" Target="media/image19.png"/><Relationship Id="rId46" Type="http://schemas.openxmlformats.org/officeDocument/2006/relationships/image" Target="media/image18.wmf"/><Relationship Id="rId45" Type="http://schemas.openxmlformats.org/officeDocument/2006/relationships/oleObject" Target="embeddings/oleObject15.bin"/><Relationship Id="rId44" Type="http://schemas.openxmlformats.org/officeDocument/2006/relationships/image" Target="media/image17.wmf"/><Relationship Id="rId43" Type="http://schemas.openxmlformats.org/officeDocument/2006/relationships/oleObject" Target="embeddings/oleObject14.bin"/><Relationship Id="rId42" Type="http://schemas.openxmlformats.org/officeDocument/2006/relationships/image" Target="media/image16.wmf"/><Relationship Id="rId41" Type="http://schemas.openxmlformats.org/officeDocument/2006/relationships/oleObject" Target="embeddings/oleObject13.bin"/><Relationship Id="rId40" Type="http://schemas.openxmlformats.org/officeDocument/2006/relationships/image" Target="media/image15.png"/><Relationship Id="rId4" Type="http://schemas.openxmlformats.org/officeDocument/2006/relationships/endnotes" Target="endnotes.xml"/><Relationship Id="rId39" Type="http://schemas.openxmlformats.org/officeDocument/2006/relationships/image" Target="media/image14.wmf"/><Relationship Id="rId38" Type="http://schemas.openxmlformats.org/officeDocument/2006/relationships/oleObject" Target="embeddings/oleObject12.bin"/><Relationship Id="rId37" Type="http://schemas.openxmlformats.org/officeDocument/2006/relationships/image" Target="media/image13.emf"/><Relationship Id="rId36" Type="http://schemas.openxmlformats.org/officeDocument/2006/relationships/oleObject" Target="embeddings/oleObject11.bin"/><Relationship Id="rId35" Type="http://schemas.openxmlformats.org/officeDocument/2006/relationships/image" Target="media/image12.emf"/><Relationship Id="rId34" Type="http://schemas.openxmlformats.org/officeDocument/2006/relationships/oleObject" Target="embeddings/oleObject10.bin"/><Relationship Id="rId33" Type="http://schemas.openxmlformats.org/officeDocument/2006/relationships/image" Target="media/image11.emf"/><Relationship Id="rId32" Type="http://schemas.openxmlformats.org/officeDocument/2006/relationships/oleObject" Target="embeddings/oleObject9.bin"/><Relationship Id="rId31" Type="http://schemas.openxmlformats.org/officeDocument/2006/relationships/image" Target="media/image10.emf"/><Relationship Id="rId30" Type="http://schemas.openxmlformats.org/officeDocument/2006/relationships/oleObject" Target="embeddings/oleObject8.bin"/><Relationship Id="rId3" Type="http://schemas.openxmlformats.org/officeDocument/2006/relationships/footnotes" Target="footnotes.xml"/><Relationship Id="rId29" Type="http://schemas.openxmlformats.org/officeDocument/2006/relationships/image" Target="media/image9.emf"/><Relationship Id="rId28" Type="http://schemas.openxmlformats.org/officeDocument/2006/relationships/oleObject" Target="embeddings/oleObject7.bin"/><Relationship Id="rId27" Type="http://schemas.openxmlformats.org/officeDocument/2006/relationships/image" Target="media/image8.emf"/><Relationship Id="rId26" Type="http://schemas.openxmlformats.org/officeDocument/2006/relationships/oleObject" Target="embeddings/oleObject6.bin"/><Relationship Id="rId25" Type="http://schemas.openxmlformats.org/officeDocument/2006/relationships/image" Target="media/image7.emf"/><Relationship Id="rId24" Type="http://schemas.openxmlformats.org/officeDocument/2006/relationships/oleObject" Target="embeddings/oleObject5.bin"/><Relationship Id="rId23" Type="http://schemas.openxmlformats.org/officeDocument/2006/relationships/image" Target="media/image6.emf"/><Relationship Id="rId22" Type="http://schemas.openxmlformats.org/officeDocument/2006/relationships/oleObject" Target="embeddings/oleObject4.bin"/><Relationship Id="rId21" Type="http://schemas.openxmlformats.org/officeDocument/2006/relationships/image" Target="media/image5.e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4.emf"/><Relationship Id="rId18" Type="http://schemas.openxmlformats.org/officeDocument/2006/relationships/oleObject" Target="embeddings/oleObject2.bin"/><Relationship Id="rId17" Type="http://schemas.openxmlformats.org/officeDocument/2006/relationships/image" Target="media/image3.emf"/><Relationship Id="rId16" Type="http://schemas.openxmlformats.org/officeDocument/2006/relationships/oleObject" Target="embeddings/oleObject1.bin"/><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106</Pages>
  <Words>1019</Words>
  <Characters>1196</Characters>
  <Lines>2090</Lines>
  <Paragraphs>4645</Paragraphs>
  <TotalTime>1</TotalTime>
  <ScaleCrop>false</ScaleCrop>
  <LinksUpToDate>false</LinksUpToDate>
  <CharactersWithSpaces>1346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2026-06-18T04:21:00Z</dcterms:created>
  <dc:creator>lhj</dc:creator>
  <cp:lastModifiedBy>WPS_1635772389</cp:lastModifiedBy>
  <cp:lastPrinted>2025-12-03T09:05:00Z</cp:lastPrinted>
  <dcterms:modified xsi:type="dcterms:W3CDTF">2026-08-26T08:01:34Z</dcterms:modified>
  <dc:title>附件2</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69BEE52063874029B03C8041D2F2A7E1_13</vt:lpwstr>
  </property>
  <property fmtid="{D5CDD505-2E9C-101B-9397-08002B2CF9AE}" pid="4" name="commondata">
    <vt:lpwstr>eyJoZGlkIjoiODQ4Y2QzMzI5ZWFkMjUzMDVlYzM4NTM5YWRkMTkxNzcifQ==</vt:lpwstr>
  </property>
  <property fmtid="{D5CDD505-2E9C-101B-9397-08002B2CF9AE}" pid="5" name="KSOTemplateDocerSaveRecord">
    <vt:lpwstr>eyJoZGlkIjoiNzI0OGY3MmQ5ZDI3YzUzZTZmNTRmYzEyOTNhZTRhNDYiLCJ1c2VySWQiOiIxMjkwOTQ1NzM5In0=</vt:lpwstr>
  </property>
</Properties>
</file>