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B158AE">
      <w:pPr>
        <w:adjustRightInd w:val="0"/>
        <w:snapToGrid w:val="0"/>
        <w:spacing w:before="240" w:beforeLines="100" w:after="240" w:afterLines="100"/>
        <w:jc w:val="center"/>
        <w:rPr>
          <w:color w:val="auto"/>
          <w:sz w:val="24"/>
          <w:highlight w:val="none"/>
        </w:rPr>
      </w:pPr>
      <w:bookmarkStart w:id="106" w:name="_GoBack"/>
      <w:bookmarkEnd w:id="106"/>
    </w:p>
    <w:p w14:paraId="2329B5C6">
      <w:pPr>
        <w:pStyle w:val="2"/>
        <w:rPr>
          <w:color w:val="auto"/>
          <w:sz w:val="24"/>
          <w:highlight w:val="none"/>
        </w:rPr>
      </w:pPr>
    </w:p>
    <w:p w14:paraId="690BE735">
      <w:pPr>
        <w:rPr>
          <w:color w:val="auto"/>
        </w:rPr>
      </w:pPr>
    </w:p>
    <w:p w14:paraId="27522028">
      <w:pPr>
        <w:widowControl/>
        <w:adjustRightInd w:val="0"/>
        <w:snapToGrid w:val="0"/>
        <w:spacing w:before="240" w:beforeLines="100" w:after="240" w:afterLines="100"/>
        <w:rPr>
          <w:b/>
          <w:color w:val="auto"/>
          <w:kern w:val="0"/>
          <w:sz w:val="48"/>
          <w:szCs w:val="48"/>
          <w:highlight w:val="none"/>
        </w:rPr>
      </w:pPr>
    </w:p>
    <w:p w14:paraId="79689D03">
      <w:pPr>
        <w:widowControl/>
        <w:adjustRightInd w:val="0"/>
        <w:snapToGrid w:val="0"/>
        <w:spacing w:before="240" w:beforeLines="100" w:after="240" w:afterLines="100"/>
        <w:jc w:val="center"/>
        <w:rPr>
          <w:rFonts w:hint="eastAsia"/>
          <w:b/>
          <w:color w:val="auto"/>
          <w:kern w:val="0"/>
          <w:sz w:val="48"/>
          <w:szCs w:val="48"/>
          <w:highlight w:val="none"/>
          <w:lang w:val="en-US" w:eastAsia="zh-CN"/>
        </w:rPr>
      </w:pPr>
      <w:bookmarkStart w:id="0" w:name="OLE_LINK2"/>
      <w:r>
        <w:rPr>
          <w:rFonts w:hint="eastAsia"/>
          <w:b/>
          <w:color w:val="auto"/>
          <w:kern w:val="0"/>
          <w:sz w:val="48"/>
          <w:szCs w:val="48"/>
          <w:highlight w:val="none"/>
          <w:lang w:eastAsia="zh-CN"/>
        </w:rPr>
        <w:t>阳东区大八镇污水处理厂</w:t>
      </w:r>
      <w:r>
        <w:rPr>
          <w:rFonts w:hint="eastAsia"/>
          <w:b/>
          <w:color w:val="auto"/>
          <w:kern w:val="0"/>
          <w:sz w:val="48"/>
          <w:szCs w:val="48"/>
          <w:highlight w:val="none"/>
          <w:lang w:val="en-US" w:eastAsia="zh-CN"/>
        </w:rPr>
        <w:t>入河排污口</w:t>
      </w:r>
    </w:p>
    <w:p w14:paraId="453DC624">
      <w:pPr>
        <w:widowControl/>
        <w:adjustRightInd w:val="0"/>
        <w:snapToGrid w:val="0"/>
        <w:spacing w:before="240" w:beforeLines="100" w:after="240" w:afterLines="100"/>
        <w:jc w:val="center"/>
        <w:rPr>
          <w:rFonts w:hint="default"/>
          <w:b/>
          <w:color w:val="auto"/>
          <w:kern w:val="0"/>
          <w:sz w:val="48"/>
          <w:szCs w:val="48"/>
          <w:highlight w:val="none"/>
          <w:lang w:val="en-US" w:eastAsia="zh-CN"/>
        </w:rPr>
      </w:pPr>
      <w:r>
        <w:rPr>
          <w:rFonts w:hint="eastAsia"/>
          <w:b/>
          <w:color w:val="auto"/>
          <w:kern w:val="0"/>
          <w:sz w:val="48"/>
          <w:szCs w:val="48"/>
          <w:highlight w:val="none"/>
          <w:lang w:val="en-US" w:eastAsia="zh-CN"/>
        </w:rPr>
        <w:t>设置论证报告</w:t>
      </w:r>
    </w:p>
    <w:bookmarkEnd w:id="0"/>
    <w:p w14:paraId="5361A044">
      <w:pPr>
        <w:widowControl/>
        <w:adjustRightInd w:val="0"/>
        <w:snapToGrid w:val="0"/>
        <w:spacing w:before="240" w:beforeLines="100" w:after="240" w:afterLines="100"/>
        <w:jc w:val="center"/>
        <w:rPr>
          <w:rFonts w:hint="default"/>
          <w:b/>
          <w:color w:val="auto"/>
          <w:kern w:val="0"/>
          <w:sz w:val="48"/>
          <w:szCs w:val="48"/>
          <w:highlight w:val="none"/>
          <w:lang w:val="en-US" w:eastAsia="zh-CN"/>
        </w:rPr>
      </w:pPr>
      <w:r>
        <w:rPr>
          <w:rFonts w:hint="eastAsia"/>
          <w:b/>
          <w:color w:val="auto"/>
          <w:kern w:val="0"/>
          <w:sz w:val="48"/>
          <w:szCs w:val="48"/>
          <w:highlight w:val="none"/>
          <w:lang w:val="en-US" w:eastAsia="zh-CN"/>
        </w:rPr>
        <w:t>（报批稿）</w:t>
      </w:r>
    </w:p>
    <w:p w14:paraId="16B558BF">
      <w:pPr>
        <w:rPr>
          <w:color w:val="auto"/>
          <w:highlight w:val="none"/>
        </w:rPr>
      </w:pPr>
    </w:p>
    <w:p w14:paraId="3A18DA77">
      <w:pPr>
        <w:rPr>
          <w:color w:val="auto"/>
          <w:highlight w:val="none"/>
        </w:rPr>
      </w:pPr>
    </w:p>
    <w:p w14:paraId="62F8CDDD">
      <w:pPr>
        <w:rPr>
          <w:color w:val="auto"/>
          <w:highlight w:val="none"/>
        </w:rPr>
      </w:pPr>
    </w:p>
    <w:p w14:paraId="31502F38">
      <w:pPr>
        <w:rPr>
          <w:color w:val="auto"/>
          <w:highlight w:val="none"/>
        </w:rPr>
      </w:pPr>
    </w:p>
    <w:p w14:paraId="15580CBF">
      <w:pPr>
        <w:rPr>
          <w:color w:val="auto"/>
          <w:highlight w:val="none"/>
        </w:rPr>
      </w:pPr>
    </w:p>
    <w:p w14:paraId="24C0FD19">
      <w:pPr>
        <w:rPr>
          <w:color w:val="auto"/>
          <w:highlight w:val="none"/>
        </w:rPr>
      </w:pPr>
    </w:p>
    <w:p w14:paraId="6AE53229">
      <w:pPr>
        <w:pStyle w:val="2"/>
        <w:rPr>
          <w:rFonts w:ascii="Times New Roman" w:hAnsi="Times New Roman"/>
          <w:color w:val="auto"/>
          <w:highlight w:val="none"/>
        </w:rPr>
      </w:pPr>
    </w:p>
    <w:p w14:paraId="258E4045">
      <w:pPr>
        <w:rPr>
          <w:color w:val="auto"/>
          <w:highlight w:val="none"/>
        </w:rPr>
      </w:pPr>
    </w:p>
    <w:p w14:paraId="541D9330">
      <w:pPr>
        <w:pStyle w:val="2"/>
        <w:rPr>
          <w:rFonts w:ascii="Times New Roman" w:hAnsi="Times New Roman"/>
          <w:color w:val="auto"/>
          <w:highlight w:val="none"/>
        </w:rPr>
      </w:pPr>
    </w:p>
    <w:p w14:paraId="5E885A47">
      <w:pPr>
        <w:rPr>
          <w:color w:val="auto"/>
          <w:highlight w:val="none"/>
        </w:rPr>
      </w:pPr>
    </w:p>
    <w:p w14:paraId="4CBE13B6">
      <w:pPr>
        <w:pStyle w:val="2"/>
        <w:rPr>
          <w:rFonts w:ascii="Times New Roman" w:hAnsi="Times New Roman"/>
          <w:color w:val="auto"/>
          <w:highlight w:val="none"/>
        </w:rPr>
      </w:pPr>
    </w:p>
    <w:p w14:paraId="3FF7CFC7">
      <w:pPr>
        <w:rPr>
          <w:color w:val="auto"/>
          <w:highlight w:val="none"/>
        </w:rPr>
      </w:pPr>
    </w:p>
    <w:p w14:paraId="04A16EA1">
      <w:pPr>
        <w:pStyle w:val="2"/>
        <w:rPr>
          <w:rFonts w:ascii="Times New Roman" w:hAnsi="Times New Roman"/>
          <w:color w:val="auto"/>
          <w:highlight w:val="none"/>
        </w:rPr>
      </w:pPr>
    </w:p>
    <w:p w14:paraId="4216B8A9">
      <w:pPr>
        <w:rPr>
          <w:color w:val="auto"/>
          <w:highlight w:val="none"/>
        </w:rPr>
      </w:pPr>
    </w:p>
    <w:p w14:paraId="75CA659A">
      <w:pPr>
        <w:pStyle w:val="2"/>
        <w:rPr>
          <w:rFonts w:ascii="Times New Roman" w:hAnsi="Times New Roman"/>
          <w:color w:val="auto"/>
          <w:highlight w:val="none"/>
        </w:rPr>
      </w:pPr>
    </w:p>
    <w:p w14:paraId="6F3F46CD">
      <w:pPr>
        <w:rPr>
          <w:color w:val="auto"/>
          <w:highlight w:val="none"/>
        </w:rPr>
      </w:pPr>
    </w:p>
    <w:p w14:paraId="160FB9A0">
      <w:pPr>
        <w:rPr>
          <w:color w:val="auto"/>
          <w:highlight w:val="none"/>
        </w:rPr>
      </w:pPr>
    </w:p>
    <w:p w14:paraId="33C51348">
      <w:pPr>
        <w:rPr>
          <w:color w:val="auto"/>
          <w:highlight w:val="none"/>
        </w:rPr>
      </w:pPr>
    </w:p>
    <w:p w14:paraId="13D66D36">
      <w:pPr>
        <w:widowControl/>
        <w:spacing w:line="360" w:lineRule="auto"/>
        <w:ind w:firstLine="739" w:firstLineChars="200"/>
        <w:jc w:val="both"/>
        <w:rPr>
          <w:rFonts w:hint="eastAsia" w:eastAsia="宋体"/>
          <w:b/>
          <w:color w:val="auto"/>
          <w:sz w:val="28"/>
          <w:highlight w:val="none"/>
          <w:lang w:eastAsia="zh-CN"/>
        </w:rPr>
      </w:pPr>
      <w:r>
        <w:rPr>
          <w:b/>
          <w:bCs/>
          <w:snapToGrid w:val="0"/>
          <w:color w:val="auto"/>
          <w:spacing w:val="24"/>
          <w:sz w:val="32"/>
          <w:szCs w:val="32"/>
          <w:highlight w:val="none"/>
        </w:rPr>
        <w:t>建设单位：</w:t>
      </w:r>
      <w:r>
        <w:rPr>
          <w:rFonts w:hint="eastAsia"/>
          <w:b/>
          <w:bCs/>
          <w:snapToGrid w:val="0"/>
          <w:color w:val="auto"/>
          <w:spacing w:val="24"/>
          <w:sz w:val="32"/>
          <w:szCs w:val="32"/>
          <w:highlight w:val="none"/>
          <w:lang w:eastAsia="zh-CN"/>
        </w:rPr>
        <w:t>阳江市阳东区住房和城乡建设局</w:t>
      </w:r>
    </w:p>
    <w:p w14:paraId="5CB7E910">
      <w:pPr>
        <w:widowControl/>
        <w:spacing w:line="360" w:lineRule="auto"/>
        <w:ind w:firstLine="739" w:firstLineChars="200"/>
        <w:jc w:val="both"/>
        <w:rPr>
          <w:rFonts w:hint="eastAsia" w:ascii="Times New Roman" w:hAnsi="Times New Roman" w:eastAsia="宋体" w:cs="Times New Roman"/>
          <w:b/>
          <w:bCs/>
          <w:snapToGrid w:val="0"/>
          <w:color w:val="auto"/>
          <w:spacing w:val="24"/>
          <w:sz w:val="32"/>
          <w:szCs w:val="32"/>
          <w:highlight w:val="none"/>
          <w:lang w:eastAsia="zh-CN"/>
        </w:rPr>
      </w:pPr>
      <w:r>
        <w:rPr>
          <w:rFonts w:ascii="Times New Roman" w:hAnsi="Times New Roman" w:cs="Times New Roman"/>
          <w:b/>
          <w:bCs/>
          <w:snapToGrid w:val="0"/>
          <w:color w:val="auto"/>
          <w:spacing w:val="24"/>
          <w:sz w:val="32"/>
          <w:szCs w:val="32"/>
          <w:highlight w:val="none"/>
        </w:rPr>
        <w:t>编制单位：</w:t>
      </w:r>
      <w:r>
        <w:rPr>
          <w:rFonts w:hint="eastAsia" w:cs="Times New Roman"/>
          <w:b/>
          <w:bCs/>
          <w:snapToGrid w:val="0"/>
          <w:color w:val="auto"/>
          <w:spacing w:val="24"/>
          <w:sz w:val="32"/>
          <w:szCs w:val="32"/>
          <w:highlight w:val="none"/>
          <w:lang w:eastAsia="zh-CN"/>
        </w:rPr>
        <w:t>广东省华源环境工程有限公司</w:t>
      </w:r>
    </w:p>
    <w:p w14:paraId="2474C119">
      <w:pPr>
        <w:widowControl/>
        <w:spacing w:line="360" w:lineRule="auto"/>
        <w:ind w:firstLine="739" w:firstLineChars="200"/>
        <w:jc w:val="both"/>
        <w:rPr>
          <w:rFonts w:ascii="Times New Roman" w:hAnsi="Times New Roman" w:cs="Times New Roman"/>
          <w:b/>
          <w:bCs/>
          <w:snapToGrid w:val="0"/>
          <w:color w:val="auto"/>
          <w:spacing w:val="24"/>
          <w:sz w:val="32"/>
          <w:szCs w:val="32"/>
          <w:highlight w:val="none"/>
        </w:rPr>
      </w:pPr>
      <w:r>
        <w:rPr>
          <w:rFonts w:ascii="Times New Roman" w:hAnsi="Times New Roman" w:cs="Times New Roman"/>
          <w:b/>
          <w:bCs/>
          <w:snapToGrid w:val="0"/>
          <w:color w:val="auto"/>
          <w:spacing w:val="24"/>
          <w:sz w:val="32"/>
          <w:szCs w:val="32"/>
          <w:highlight w:val="none"/>
        </w:rPr>
        <w:t>编制日期：</w:t>
      </w:r>
      <w:r>
        <w:rPr>
          <w:rFonts w:hint="eastAsia"/>
          <w:b/>
          <w:bCs/>
          <w:color w:val="auto"/>
          <w:kern w:val="44"/>
          <w:sz w:val="32"/>
          <w:szCs w:val="32"/>
          <w:lang w:val="en-US" w:eastAsia="zh-CN"/>
        </w:rPr>
        <w:t>2026年2月</w:t>
      </w:r>
    </w:p>
    <w:p w14:paraId="1B858463">
      <w:pPr>
        <w:rPr>
          <w:color w:val="auto"/>
        </w:rPr>
      </w:pPr>
    </w:p>
    <w:p w14:paraId="4EC0FF09">
      <w:pPr>
        <w:rPr>
          <w:color w:val="auto"/>
        </w:rPr>
        <w:sectPr>
          <w:headerReference r:id="rId3" w:type="first"/>
          <w:footerReference r:id="rId4" w:type="default"/>
          <w:pgSz w:w="11906" w:h="16838"/>
          <w:pgMar w:top="1440" w:right="1800" w:bottom="1440" w:left="1800" w:header="624" w:footer="992" w:gutter="0"/>
          <w:pgNumType w:fmt="decimal" w:start="1"/>
          <w:cols w:space="720" w:num="1"/>
          <w:titlePg/>
          <w:docGrid w:linePitch="312" w:charSpace="0"/>
        </w:sectPr>
      </w:pPr>
    </w:p>
    <w:sdt>
      <w:sdtPr>
        <w:rPr>
          <w:rFonts w:ascii="宋体" w:hAnsi="宋体" w:eastAsia="宋体" w:cs="Times New Roman"/>
          <w:color w:val="auto"/>
          <w:kern w:val="2"/>
          <w:sz w:val="21"/>
          <w:szCs w:val="21"/>
          <w:lang w:val="en-US" w:eastAsia="zh-CN" w:bidi="ar-SA"/>
        </w:rPr>
        <w:id w:val="147480403"/>
        <w15:color w:val="DBDBDB"/>
        <w:docPartObj>
          <w:docPartGallery w:val="Table of Contents"/>
          <w:docPartUnique/>
        </w:docPartObj>
      </w:sdtPr>
      <w:sdtEndPr>
        <w:rPr>
          <w:rFonts w:ascii="Calibri" w:hAnsi="Calibri" w:eastAsia="宋体" w:cs="Times New Roman"/>
          <w:b/>
          <w:color w:val="auto"/>
          <w:kern w:val="2"/>
          <w:sz w:val="21"/>
          <w:szCs w:val="20"/>
          <w:lang w:val="en-US" w:eastAsia="zh-CN" w:bidi="ar-SA"/>
        </w:rPr>
      </w:sdtEndPr>
      <w:sdtContent>
        <w:p w14:paraId="61115959">
          <w:pPr>
            <w:spacing w:before="0" w:beforeLines="0" w:after="0" w:afterLines="0" w:line="240" w:lineRule="auto"/>
            <w:ind w:left="0" w:leftChars="0" w:right="0" w:rightChars="0" w:firstLine="0" w:firstLineChars="0"/>
            <w:jc w:val="center"/>
            <w:rPr>
              <w:color w:val="auto"/>
            </w:rPr>
          </w:pPr>
          <w:r>
            <w:rPr>
              <w:rFonts w:ascii="宋体" w:hAnsi="宋体" w:eastAsia="宋体"/>
              <w:color w:val="auto"/>
              <w:sz w:val="28"/>
              <w:szCs w:val="28"/>
            </w:rPr>
            <w:t>目录</w:t>
          </w:r>
        </w:p>
        <w:p w14:paraId="7F8269FF">
          <w:pPr>
            <w:pStyle w:val="25"/>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TOC \o "1-2" \h \u </w:instrText>
          </w:r>
          <w:r>
            <w:rPr>
              <w:color w:val="auto"/>
              <w:sz w:val="21"/>
              <w:szCs w:val="21"/>
            </w:rPr>
            <w:fldChar w:fldCharType="separate"/>
          </w:r>
          <w:r>
            <w:rPr>
              <w:color w:val="auto"/>
              <w:sz w:val="21"/>
              <w:szCs w:val="21"/>
            </w:rPr>
            <w:fldChar w:fldCharType="begin"/>
          </w:r>
          <w:r>
            <w:rPr>
              <w:color w:val="auto"/>
              <w:sz w:val="21"/>
              <w:szCs w:val="21"/>
            </w:rPr>
            <w:instrText xml:space="preserve"> HYPERLINK \l _Toc2938 </w:instrText>
          </w:r>
          <w:r>
            <w:rPr>
              <w:color w:val="auto"/>
              <w:sz w:val="21"/>
              <w:szCs w:val="21"/>
            </w:rPr>
            <w:fldChar w:fldCharType="separate"/>
          </w:r>
          <w:r>
            <w:rPr>
              <w:rFonts w:hint="default" w:eastAsia="宋体"/>
              <w:i w:val="0"/>
              <w:color w:val="auto"/>
              <w:sz w:val="21"/>
              <w:szCs w:val="21"/>
            </w:rPr>
            <w:t xml:space="preserve">1 </w:t>
          </w:r>
          <w:r>
            <w:rPr>
              <w:color w:val="auto"/>
              <w:sz w:val="21"/>
              <w:szCs w:val="21"/>
              <w:highlight w:val="none"/>
            </w:rPr>
            <w:t>总则</w:t>
          </w:r>
          <w:r>
            <w:rPr>
              <w:color w:val="auto"/>
              <w:sz w:val="21"/>
              <w:szCs w:val="21"/>
            </w:rPr>
            <w:tab/>
          </w:r>
          <w:r>
            <w:rPr>
              <w:color w:val="auto"/>
              <w:sz w:val="21"/>
              <w:szCs w:val="21"/>
            </w:rPr>
            <w:fldChar w:fldCharType="begin"/>
          </w:r>
          <w:r>
            <w:rPr>
              <w:color w:val="auto"/>
              <w:sz w:val="21"/>
              <w:szCs w:val="21"/>
            </w:rPr>
            <w:instrText xml:space="preserve"> PAGEREF _Toc2938 \h </w:instrText>
          </w:r>
          <w:r>
            <w:rPr>
              <w:color w:val="auto"/>
              <w:sz w:val="21"/>
              <w:szCs w:val="21"/>
            </w:rPr>
            <w:fldChar w:fldCharType="separate"/>
          </w:r>
          <w:r>
            <w:rPr>
              <w:color w:val="auto"/>
              <w:sz w:val="21"/>
              <w:szCs w:val="21"/>
            </w:rPr>
            <w:t>1</w:t>
          </w:r>
          <w:r>
            <w:rPr>
              <w:color w:val="auto"/>
              <w:sz w:val="21"/>
              <w:szCs w:val="21"/>
            </w:rPr>
            <w:fldChar w:fldCharType="end"/>
          </w:r>
          <w:r>
            <w:rPr>
              <w:color w:val="auto"/>
              <w:sz w:val="21"/>
              <w:szCs w:val="21"/>
            </w:rPr>
            <w:fldChar w:fldCharType="end"/>
          </w:r>
        </w:p>
        <w:p w14:paraId="7379CB56">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_Toc12802 </w:instrText>
          </w:r>
          <w:r>
            <w:rPr>
              <w:color w:val="auto"/>
              <w:sz w:val="21"/>
              <w:szCs w:val="21"/>
            </w:rPr>
            <w:fldChar w:fldCharType="separate"/>
          </w:r>
          <w:r>
            <w:rPr>
              <w:rFonts w:hint="default" w:ascii="宋体" w:hAnsi="宋体" w:eastAsia="宋体" w:cs="宋体"/>
              <w:color w:val="auto"/>
              <w:sz w:val="21"/>
              <w:szCs w:val="21"/>
              <w:lang w:val="en-US" w:eastAsia="zh-CN"/>
            </w:rPr>
            <w:t xml:space="preserve">1.1 </w:t>
          </w:r>
          <w:r>
            <w:rPr>
              <w:rFonts w:hint="eastAsia"/>
              <w:color w:val="auto"/>
              <w:sz w:val="21"/>
              <w:szCs w:val="21"/>
              <w:lang w:val="en-US" w:eastAsia="zh-CN"/>
            </w:rPr>
            <w:t>任务由来</w:t>
          </w:r>
          <w:r>
            <w:rPr>
              <w:color w:val="auto"/>
              <w:sz w:val="21"/>
              <w:szCs w:val="21"/>
            </w:rPr>
            <w:tab/>
          </w:r>
          <w:r>
            <w:rPr>
              <w:color w:val="auto"/>
              <w:sz w:val="21"/>
              <w:szCs w:val="21"/>
            </w:rPr>
            <w:fldChar w:fldCharType="begin"/>
          </w:r>
          <w:r>
            <w:rPr>
              <w:color w:val="auto"/>
              <w:sz w:val="21"/>
              <w:szCs w:val="21"/>
            </w:rPr>
            <w:instrText xml:space="preserve"> PAGEREF _Toc12802 \h </w:instrText>
          </w:r>
          <w:r>
            <w:rPr>
              <w:color w:val="auto"/>
              <w:sz w:val="21"/>
              <w:szCs w:val="21"/>
            </w:rPr>
            <w:fldChar w:fldCharType="separate"/>
          </w:r>
          <w:r>
            <w:rPr>
              <w:color w:val="auto"/>
              <w:sz w:val="21"/>
              <w:szCs w:val="21"/>
            </w:rPr>
            <w:t>1</w:t>
          </w:r>
          <w:r>
            <w:rPr>
              <w:color w:val="auto"/>
              <w:sz w:val="21"/>
              <w:szCs w:val="21"/>
            </w:rPr>
            <w:fldChar w:fldCharType="end"/>
          </w:r>
          <w:r>
            <w:rPr>
              <w:color w:val="auto"/>
              <w:sz w:val="21"/>
              <w:szCs w:val="21"/>
            </w:rPr>
            <w:fldChar w:fldCharType="end"/>
          </w:r>
        </w:p>
        <w:p w14:paraId="2D793FF3">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_Toc22599 </w:instrText>
          </w:r>
          <w:r>
            <w:rPr>
              <w:color w:val="auto"/>
              <w:sz w:val="21"/>
              <w:szCs w:val="21"/>
            </w:rPr>
            <w:fldChar w:fldCharType="separate"/>
          </w:r>
          <w:r>
            <w:rPr>
              <w:rFonts w:hint="default" w:ascii="宋体" w:hAnsi="宋体" w:eastAsia="宋体" w:cs="宋体"/>
              <w:color w:val="auto"/>
              <w:sz w:val="21"/>
              <w:szCs w:val="21"/>
              <w:lang w:val="en-US" w:eastAsia="zh-CN"/>
            </w:rPr>
            <w:t xml:space="preserve">1.2 </w:t>
          </w:r>
          <w:r>
            <w:rPr>
              <w:rFonts w:hint="eastAsia"/>
              <w:color w:val="auto"/>
              <w:sz w:val="21"/>
              <w:szCs w:val="21"/>
              <w:lang w:val="en-US" w:eastAsia="zh-CN"/>
            </w:rPr>
            <w:t>论证目的</w:t>
          </w:r>
          <w:r>
            <w:rPr>
              <w:color w:val="auto"/>
              <w:sz w:val="21"/>
              <w:szCs w:val="21"/>
            </w:rPr>
            <w:tab/>
          </w:r>
          <w:r>
            <w:rPr>
              <w:color w:val="auto"/>
              <w:sz w:val="21"/>
              <w:szCs w:val="21"/>
            </w:rPr>
            <w:fldChar w:fldCharType="begin"/>
          </w:r>
          <w:r>
            <w:rPr>
              <w:color w:val="auto"/>
              <w:sz w:val="21"/>
              <w:szCs w:val="21"/>
            </w:rPr>
            <w:instrText xml:space="preserve"> PAGEREF _Toc22599 \h </w:instrText>
          </w:r>
          <w:r>
            <w:rPr>
              <w:color w:val="auto"/>
              <w:sz w:val="21"/>
              <w:szCs w:val="21"/>
            </w:rPr>
            <w:fldChar w:fldCharType="separate"/>
          </w:r>
          <w:r>
            <w:rPr>
              <w:color w:val="auto"/>
              <w:sz w:val="21"/>
              <w:szCs w:val="21"/>
            </w:rPr>
            <w:t>4</w:t>
          </w:r>
          <w:r>
            <w:rPr>
              <w:color w:val="auto"/>
              <w:sz w:val="21"/>
              <w:szCs w:val="21"/>
            </w:rPr>
            <w:fldChar w:fldCharType="end"/>
          </w:r>
          <w:r>
            <w:rPr>
              <w:color w:val="auto"/>
              <w:sz w:val="21"/>
              <w:szCs w:val="21"/>
            </w:rPr>
            <w:fldChar w:fldCharType="end"/>
          </w:r>
        </w:p>
        <w:p w14:paraId="76F75C23">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_Toc4047 </w:instrText>
          </w:r>
          <w:r>
            <w:rPr>
              <w:color w:val="auto"/>
              <w:sz w:val="21"/>
              <w:szCs w:val="21"/>
            </w:rPr>
            <w:fldChar w:fldCharType="separate"/>
          </w:r>
          <w:r>
            <w:rPr>
              <w:rFonts w:hint="default" w:ascii="宋体" w:hAnsi="宋体" w:eastAsia="宋体" w:cs="宋体"/>
              <w:color w:val="auto"/>
              <w:sz w:val="21"/>
              <w:szCs w:val="21"/>
              <w:lang w:val="en-US" w:eastAsia="zh-CN"/>
            </w:rPr>
            <w:t xml:space="preserve">1.3 </w:t>
          </w:r>
          <w:r>
            <w:rPr>
              <w:rFonts w:hint="eastAsia"/>
              <w:color w:val="auto"/>
              <w:sz w:val="21"/>
              <w:szCs w:val="21"/>
              <w:lang w:val="en-US" w:eastAsia="zh-CN"/>
            </w:rPr>
            <w:t>论证原则</w:t>
          </w:r>
          <w:r>
            <w:rPr>
              <w:color w:val="auto"/>
              <w:sz w:val="21"/>
              <w:szCs w:val="21"/>
            </w:rPr>
            <w:tab/>
          </w:r>
          <w:r>
            <w:rPr>
              <w:color w:val="auto"/>
              <w:sz w:val="21"/>
              <w:szCs w:val="21"/>
            </w:rPr>
            <w:fldChar w:fldCharType="begin"/>
          </w:r>
          <w:r>
            <w:rPr>
              <w:color w:val="auto"/>
              <w:sz w:val="21"/>
              <w:szCs w:val="21"/>
            </w:rPr>
            <w:instrText xml:space="preserve"> PAGEREF _Toc4047 \h </w:instrText>
          </w:r>
          <w:r>
            <w:rPr>
              <w:color w:val="auto"/>
              <w:sz w:val="21"/>
              <w:szCs w:val="21"/>
            </w:rPr>
            <w:fldChar w:fldCharType="separate"/>
          </w:r>
          <w:r>
            <w:rPr>
              <w:color w:val="auto"/>
              <w:sz w:val="21"/>
              <w:szCs w:val="21"/>
            </w:rPr>
            <w:t>5</w:t>
          </w:r>
          <w:r>
            <w:rPr>
              <w:color w:val="auto"/>
              <w:sz w:val="21"/>
              <w:szCs w:val="21"/>
            </w:rPr>
            <w:fldChar w:fldCharType="end"/>
          </w:r>
          <w:r>
            <w:rPr>
              <w:color w:val="auto"/>
              <w:sz w:val="21"/>
              <w:szCs w:val="21"/>
            </w:rPr>
            <w:fldChar w:fldCharType="end"/>
          </w:r>
        </w:p>
        <w:p w14:paraId="38B70DFA">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_Toc16989 </w:instrText>
          </w:r>
          <w:r>
            <w:rPr>
              <w:color w:val="auto"/>
              <w:sz w:val="21"/>
              <w:szCs w:val="21"/>
            </w:rPr>
            <w:fldChar w:fldCharType="separate"/>
          </w:r>
          <w:r>
            <w:rPr>
              <w:rFonts w:hint="default" w:ascii="宋体" w:hAnsi="宋体" w:eastAsia="宋体" w:cs="宋体"/>
              <w:color w:val="auto"/>
              <w:sz w:val="21"/>
              <w:szCs w:val="21"/>
              <w:lang w:val="en-US" w:eastAsia="zh-CN"/>
            </w:rPr>
            <w:t xml:space="preserve">1.4 </w:t>
          </w:r>
          <w:r>
            <w:rPr>
              <w:rFonts w:hint="eastAsia"/>
              <w:color w:val="auto"/>
              <w:sz w:val="21"/>
              <w:szCs w:val="21"/>
              <w:lang w:val="en-US" w:eastAsia="zh-CN"/>
            </w:rPr>
            <w:t>论证依据</w:t>
          </w:r>
          <w:r>
            <w:rPr>
              <w:color w:val="auto"/>
              <w:sz w:val="21"/>
              <w:szCs w:val="21"/>
            </w:rPr>
            <w:tab/>
          </w:r>
          <w:r>
            <w:rPr>
              <w:color w:val="auto"/>
              <w:sz w:val="21"/>
              <w:szCs w:val="21"/>
            </w:rPr>
            <w:fldChar w:fldCharType="begin"/>
          </w:r>
          <w:r>
            <w:rPr>
              <w:color w:val="auto"/>
              <w:sz w:val="21"/>
              <w:szCs w:val="21"/>
            </w:rPr>
            <w:instrText xml:space="preserve"> PAGEREF _Toc16989 \h </w:instrText>
          </w:r>
          <w:r>
            <w:rPr>
              <w:color w:val="auto"/>
              <w:sz w:val="21"/>
              <w:szCs w:val="21"/>
            </w:rPr>
            <w:fldChar w:fldCharType="separate"/>
          </w:r>
          <w:r>
            <w:rPr>
              <w:color w:val="auto"/>
              <w:sz w:val="21"/>
              <w:szCs w:val="21"/>
            </w:rPr>
            <w:t>5</w:t>
          </w:r>
          <w:r>
            <w:rPr>
              <w:color w:val="auto"/>
              <w:sz w:val="21"/>
              <w:szCs w:val="21"/>
            </w:rPr>
            <w:fldChar w:fldCharType="end"/>
          </w:r>
          <w:r>
            <w:rPr>
              <w:color w:val="auto"/>
              <w:sz w:val="21"/>
              <w:szCs w:val="21"/>
            </w:rPr>
            <w:fldChar w:fldCharType="end"/>
          </w:r>
        </w:p>
        <w:p w14:paraId="1DA880EA">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_Toc22191 </w:instrText>
          </w:r>
          <w:r>
            <w:rPr>
              <w:color w:val="auto"/>
              <w:sz w:val="21"/>
              <w:szCs w:val="21"/>
            </w:rPr>
            <w:fldChar w:fldCharType="separate"/>
          </w:r>
          <w:r>
            <w:rPr>
              <w:rFonts w:hint="default" w:ascii="宋体" w:hAnsi="宋体" w:eastAsia="宋体" w:cs="宋体"/>
              <w:color w:val="auto"/>
              <w:sz w:val="21"/>
              <w:szCs w:val="21"/>
              <w:lang w:val="en-US" w:eastAsia="zh-CN"/>
            </w:rPr>
            <w:t xml:space="preserve">1.5 </w:t>
          </w:r>
          <w:r>
            <w:rPr>
              <w:rFonts w:hint="eastAsia"/>
              <w:color w:val="auto"/>
              <w:sz w:val="21"/>
              <w:szCs w:val="21"/>
              <w:lang w:val="en-US" w:eastAsia="zh-CN"/>
            </w:rPr>
            <w:t>论证范围</w:t>
          </w:r>
          <w:r>
            <w:rPr>
              <w:color w:val="auto"/>
              <w:sz w:val="21"/>
              <w:szCs w:val="21"/>
            </w:rPr>
            <w:tab/>
          </w:r>
          <w:r>
            <w:rPr>
              <w:color w:val="auto"/>
              <w:sz w:val="21"/>
              <w:szCs w:val="21"/>
            </w:rPr>
            <w:fldChar w:fldCharType="begin"/>
          </w:r>
          <w:r>
            <w:rPr>
              <w:color w:val="auto"/>
              <w:sz w:val="21"/>
              <w:szCs w:val="21"/>
            </w:rPr>
            <w:instrText xml:space="preserve"> PAGEREF _Toc22191 \h </w:instrText>
          </w:r>
          <w:r>
            <w:rPr>
              <w:color w:val="auto"/>
              <w:sz w:val="21"/>
              <w:szCs w:val="21"/>
            </w:rPr>
            <w:fldChar w:fldCharType="separate"/>
          </w:r>
          <w:r>
            <w:rPr>
              <w:color w:val="auto"/>
              <w:sz w:val="21"/>
              <w:szCs w:val="21"/>
            </w:rPr>
            <w:t>7</w:t>
          </w:r>
          <w:r>
            <w:rPr>
              <w:color w:val="auto"/>
              <w:sz w:val="21"/>
              <w:szCs w:val="21"/>
            </w:rPr>
            <w:fldChar w:fldCharType="end"/>
          </w:r>
          <w:r>
            <w:rPr>
              <w:color w:val="auto"/>
              <w:sz w:val="21"/>
              <w:szCs w:val="21"/>
            </w:rPr>
            <w:fldChar w:fldCharType="end"/>
          </w:r>
        </w:p>
        <w:p w14:paraId="55B65FF1">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_Toc12153 </w:instrText>
          </w:r>
          <w:r>
            <w:rPr>
              <w:color w:val="auto"/>
              <w:sz w:val="21"/>
              <w:szCs w:val="21"/>
            </w:rPr>
            <w:fldChar w:fldCharType="separate"/>
          </w:r>
          <w:r>
            <w:rPr>
              <w:rFonts w:hint="default" w:ascii="宋体" w:hAnsi="宋体" w:eastAsia="宋体" w:cs="宋体"/>
              <w:color w:val="auto"/>
              <w:sz w:val="21"/>
              <w:szCs w:val="21"/>
              <w:lang w:val="en-US" w:eastAsia="zh-CN"/>
            </w:rPr>
            <w:t xml:space="preserve">1.6 </w:t>
          </w:r>
          <w:r>
            <w:rPr>
              <w:color w:val="auto"/>
              <w:sz w:val="21"/>
              <w:szCs w:val="21"/>
              <w:lang w:val="en-US" w:eastAsia="zh-CN"/>
            </w:rPr>
            <w:t>论证</w:t>
          </w:r>
          <w:r>
            <w:rPr>
              <w:rFonts w:hint="eastAsia"/>
              <w:color w:val="auto"/>
              <w:sz w:val="21"/>
              <w:szCs w:val="21"/>
              <w:lang w:val="en-US" w:eastAsia="zh-CN"/>
            </w:rPr>
            <w:t>水平年和论证规模</w:t>
          </w:r>
          <w:r>
            <w:rPr>
              <w:color w:val="auto"/>
              <w:sz w:val="21"/>
              <w:szCs w:val="21"/>
            </w:rPr>
            <w:tab/>
          </w:r>
          <w:r>
            <w:rPr>
              <w:color w:val="auto"/>
              <w:sz w:val="21"/>
              <w:szCs w:val="21"/>
            </w:rPr>
            <w:fldChar w:fldCharType="begin"/>
          </w:r>
          <w:r>
            <w:rPr>
              <w:color w:val="auto"/>
              <w:sz w:val="21"/>
              <w:szCs w:val="21"/>
            </w:rPr>
            <w:instrText xml:space="preserve"> PAGEREF _Toc12153 \h </w:instrText>
          </w:r>
          <w:r>
            <w:rPr>
              <w:color w:val="auto"/>
              <w:sz w:val="21"/>
              <w:szCs w:val="21"/>
            </w:rPr>
            <w:fldChar w:fldCharType="separate"/>
          </w:r>
          <w:r>
            <w:rPr>
              <w:color w:val="auto"/>
              <w:sz w:val="21"/>
              <w:szCs w:val="21"/>
            </w:rPr>
            <w:t>10</w:t>
          </w:r>
          <w:r>
            <w:rPr>
              <w:color w:val="auto"/>
              <w:sz w:val="21"/>
              <w:szCs w:val="21"/>
            </w:rPr>
            <w:fldChar w:fldCharType="end"/>
          </w:r>
          <w:r>
            <w:rPr>
              <w:color w:val="auto"/>
              <w:sz w:val="21"/>
              <w:szCs w:val="21"/>
            </w:rPr>
            <w:fldChar w:fldCharType="end"/>
          </w:r>
        </w:p>
        <w:p w14:paraId="3FC3B10D">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_Toc22220 </w:instrText>
          </w:r>
          <w:r>
            <w:rPr>
              <w:color w:val="auto"/>
              <w:sz w:val="21"/>
              <w:szCs w:val="21"/>
            </w:rPr>
            <w:fldChar w:fldCharType="separate"/>
          </w:r>
          <w:r>
            <w:rPr>
              <w:rFonts w:hint="default" w:ascii="宋体" w:hAnsi="宋体" w:eastAsia="宋体" w:cs="宋体"/>
              <w:color w:val="auto"/>
              <w:sz w:val="21"/>
              <w:szCs w:val="21"/>
              <w:lang w:val="en-US" w:eastAsia="zh-CN"/>
            </w:rPr>
            <w:t xml:space="preserve">1.7 </w:t>
          </w:r>
          <w:r>
            <w:rPr>
              <w:color w:val="auto"/>
              <w:sz w:val="21"/>
              <w:szCs w:val="21"/>
              <w:lang w:val="en-US" w:eastAsia="zh-CN"/>
            </w:rPr>
            <w:t>论证工作程序</w:t>
          </w:r>
          <w:r>
            <w:rPr>
              <w:color w:val="auto"/>
              <w:sz w:val="21"/>
              <w:szCs w:val="21"/>
            </w:rPr>
            <w:tab/>
          </w:r>
          <w:r>
            <w:rPr>
              <w:color w:val="auto"/>
              <w:sz w:val="21"/>
              <w:szCs w:val="21"/>
            </w:rPr>
            <w:fldChar w:fldCharType="begin"/>
          </w:r>
          <w:r>
            <w:rPr>
              <w:color w:val="auto"/>
              <w:sz w:val="21"/>
              <w:szCs w:val="21"/>
            </w:rPr>
            <w:instrText xml:space="preserve"> PAGEREF _Toc22220 \h </w:instrText>
          </w:r>
          <w:r>
            <w:rPr>
              <w:color w:val="auto"/>
              <w:sz w:val="21"/>
              <w:szCs w:val="21"/>
            </w:rPr>
            <w:fldChar w:fldCharType="separate"/>
          </w:r>
          <w:r>
            <w:rPr>
              <w:color w:val="auto"/>
              <w:sz w:val="21"/>
              <w:szCs w:val="21"/>
            </w:rPr>
            <w:t>10</w:t>
          </w:r>
          <w:r>
            <w:rPr>
              <w:color w:val="auto"/>
              <w:sz w:val="21"/>
              <w:szCs w:val="21"/>
            </w:rPr>
            <w:fldChar w:fldCharType="end"/>
          </w:r>
          <w:r>
            <w:rPr>
              <w:color w:val="auto"/>
              <w:sz w:val="21"/>
              <w:szCs w:val="21"/>
            </w:rPr>
            <w:fldChar w:fldCharType="end"/>
          </w:r>
        </w:p>
        <w:p w14:paraId="06A7B09A">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_Toc13043 </w:instrText>
          </w:r>
          <w:r>
            <w:rPr>
              <w:color w:val="auto"/>
              <w:sz w:val="21"/>
              <w:szCs w:val="21"/>
            </w:rPr>
            <w:fldChar w:fldCharType="separate"/>
          </w:r>
          <w:r>
            <w:rPr>
              <w:rFonts w:hint="default" w:ascii="宋体" w:hAnsi="宋体" w:eastAsia="宋体" w:cs="宋体"/>
              <w:color w:val="auto"/>
              <w:sz w:val="21"/>
              <w:szCs w:val="21"/>
              <w:lang w:val="en-US" w:eastAsia="zh-CN"/>
            </w:rPr>
            <w:t xml:space="preserve">1.8 </w:t>
          </w:r>
          <w:r>
            <w:rPr>
              <w:color w:val="auto"/>
              <w:sz w:val="21"/>
              <w:szCs w:val="21"/>
              <w:lang w:val="en-US" w:eastAsia="zh-CN"/>
            </w:rPr>
            <w:t>论证的主要内容</w:t>
          </w:r>
          <w:r>
            <w:rPr>
              <w:color w:val="auto"/>
              <w:sz w:val="21"/>
              <w:szCs w:val="21"/>
            </w:rPr>
            <w:tab/>
          </w:r>
          <w:r>
            <w:rPr>
              <w:color w:val="auto"/>
              <w:sz w:val="21"/>
              <w:szCs w:val="21"/>
            </w:rPr>
            <w:fldChar w:fldCharType="begin"/>
          </w:r>
          <w:r>
            <w:rPr>
              <w:color w:val="auto"/>
              <w:sz w:val="21"/>
              <w:szCs w:val="21"/>
            </w:rPr>
            <w:instrText xml:space="preserve"> PAGEREF _Toc13043 \h </w:instrText>
          </w:r>
          <w:r>
            <w:rPr>
              <w:color w:val="auto"/>
              <w:sz w:val="21"/>
              <w:szCs w:val="21"/>
            </w:rPr>
            <w:fldChar w:fldCharType="separate"/>
          </w:r>
          <w:r>
            <w:rPr>
              <w:color w:val="auto"/>
              <w:sz w:val="21"/>
              <w:szCs w:val="21"/>
            </w:rPr>
            <w:t>11</w:t>
          </w:r>
          <w:r>
            <w:rPr>
              <w:color w:val="auto"/>
              <w:sz w:val="21"/>
              <w:szCs w:val="21"/>
            </w:rPr>
            <w:fldChar w:fldCharType="end"/>
          </w:r>
          <w:r>
            <w:rPr>
              <w:color w:val="auto"/>
              <w:sz w:val="21"/>
              <w:szCs w:val="21"/>
            </w:rPr>
            <w:fldChar w:fldCharType="end"/>
          </w:r>
        </w:p>
        <w:p w14:paraId="28C2AA17">
          <w:pPr>
            <w:pStyle w:val="25"/>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_Toc12942 </w:instrText>
          </w:r>
          <w:r>
            <w:rPr>
              <w:color w:val="auto"/>
              <w:sz w:val="21"/>
              <w:szCs w:val="21"/>
            </w:rPr>
            <w:fldChar w:fldCharType="separate"/>
          </w:r>
          <w:r>
            <w:rPr>
              <w:rFonts w:hint="default" w:ascii="宋体" w:hAnsi="宋体" w:eastAsia="宋体" w:cs="宋体"/>
              <w:i w:val="0"/>
              <w:color w:val="auto"/>
              <w:sz w:val="21"/>
              <w:szCs w:val="21"/>
              <w:lang w:val="en-US" w:eastAsia="zh-CN"/>
            </w:rPr>
            <w:t xml:space="preserve">2 </w:t>
          </w:r>
          <w:r>
            <w:rPr>
              <w:color w:val="auto"/>
              <w:sz w:val="21"/>
              <w:szCs w:val="21"/>
              <w:lang w:val="en-US" w:eastAsia="zh-CN"/>
            </w:rPr>
            <w:t>项目概况</w:t>
          </w:r>
          <w:r>
            <w:rPr>
              <w:color w:val="auto"/>
              <w:sz w:val="21"/>
              <w:szCs w:val="21"/>
            </w:rPr>
            <w:tab/>
          </w:r>
          <w:r>
            <w:rPr>
              <w:color w:val="auto"/>
              <w:sz w:val="21"/>
              <w:szCs w:val="21"/>
            </w:rPr>
            <w:fldChar w:fldCharType="begin"/>
          </w:r>
          <w:r>
            <w:rPr>
              <w:color w:val="auto"/>
              <w:sz w:val="21"/>
              <w:szCs w:val="21"/>
            </w:rPr>
            <w:instrText xml:space="preserve"> PAGEREF _Toc12942 \h </w:instrText>
          </w:r>
          <w:r>
            <w:rPr>
              <w:color w:val="auto"/>
              <w:sz w:val="21"/>
              <w:szCs w:val="21"/>
            </w:rPr>
            <w:fldChar w:fldCharType="separate"/>
          </w:r>
          <w:r>
            <w:rPr>
              <w:color w:val="auto"/>
              <w:sz w:val="21"/>
              <w:szCs w:val="21"/>
            </w:rPr>
            <w:t>13</w:t>
          </w:r>
          <w:r>
            <w:rPr>
              <w:color w:val="auto"/>
              <w:sz w:val="21"/>
              <w:szCs w:val="21"/>
            </w:rPr>
            <w:fldChar w:fldCharType="end"/>
          </w:r>
          <w:r>
            <w:rPr>
              <w:color w:val="auto"/>
              <w:sz w:val="21"/>
              <w:szCs w:val="21"/>
            </w:rPr>
            <w:fldChar w:fldCharType="end"/>
          </w:r>
        </w:p>
        <w:p w14:paraId="18AD3062">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_Toc6203 </w:instrText>
          </w:r>
          <w:r>
            <w:rPr>
              <w:color w:val="auto"/>
              <w:sz w:val="21"/>
              <w:szCs w:val="21"/>
            </w:rPr>
            <w:fldChar w:fldCharType="separate"/>
          </w:r>
          <w:r>
            <w:rPr>
              <w:rFonts w:hint="default" w:ascii="宋体" w:hAnsi="宋体" w:eastAsia="宋体" w:cs="宋体"/>
              <w:color w:val="auto"/>
              <w:sz w:val="21"/>
              <w:szCs w:val="21"/>
              <w:lang w:val="en-US" w:eastAsia="zh-CN"/>
            </w:rPr>
            <w:t xml:space="preserve">2.1 </w:t>
          </w:r>
          <w:r>
            <w:rPr>
              <w:rFonts w:hint="eastAsia"/>
              <w:color w:val="auto"/>
              <w:sz w:val="21"/>
              <w:szCs w:val="21"/>
              <w:lang w:val="en-US" w:eastAsia="zh-CN"/>
            </w:rPr>
            <w:t>入河排污口基本情况</w:t>
          </w:r>
          <w:r>
            <w:rPr>
              <w:color w:val="auto"/>
              <w:sz w:val="21"/>
              <w:szCs w:val="21"/>
            </w:rPr>
            <w:tab/>
          </w:r>
          <w:r>
            <w:rPr>
              <w:color w:val="auto"/>
              <w:sz w:val="21"/>
              <w:szCs w:val="21"/>
            </w:rPr>
            <w:fldChar w:fldCharType="begin"/>
          </w:r>
          <w:r>
            <w:rPr>
              <w:color w:val="auto"/>
              <w:sz w:val="21"/>
              <w:szCs w:val="21"/>
            </w:rPr>
            <w:instrText xml:space="preserve"> PAGEREF _Toc6203 \h </w:instrText>
          </w:r>
          <w:r>
            <w:rPr>
              <w:color w:val="auto"/>
              <w:sz w:val="21"/>
              <w:szCs w:val="21"/>
            </w:rPr>
            <w:fldChar w:fldCharType="separate"/>
          </w:r>
          <w:r>
            <w:rPr>
              <w:color w:val="auto"/>
              <w:sz w:val="21"/>
              <w:szCs w:val="21"/>
            </w:rPr>
            <w:t>13</w:t>
          </w:r>
          <w:r>
            <w:rPr>
              <w:color w:val="auto"/>
              <w:sz w:val="21"/>
              <w:szCs w:val="21"/>
            </w:rPr>
            <w:fldChar w:fldCharType="end"/>
          </w:r>
          <w:r>
            <w:rPr>
              <w:color w:val="auto"/>
              <w:sz w:val="21"/>
              <w:szCs w:val="21"/>
            </w:rPr>
            <w:fldChar w:fldCharType="end"/>
          </w:r>
        </w:p>
        <w:p w14:paraId="0A51FBCA">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_Toc6056 </w:instrText>
          </w:r>
          <w:r>
            <w:rPr>
              <w:color w:val="auto"/>
              <w:sz w:val="21"/>
              <w:szCs w:val="21"/>
            </w:rPr>
            <w:fldChar w:fldCharType="separate"/>
          </w:r>
          <w:r>
            <w:rPr>
              <w:rFonts w:hint="default" w:ascii="宋体" w:hAnsi="宋体" w:eastAsia="宋体" w:cs="宋体"/>
              <w:color w:val="auto"/>
              <w:sz w:val="21"/>
              <w:szCs w:val="21"/>
              <w:lang w:val="en-US" w:eastAsia="zh-CN"/>
            </w:rPr>
            <w:t xml:space="preserve">2.2 </w:t>
          </w:r>
          <w:r>
            <w:rPr>
              <w:rFonts w:hint="eastAsia"/>
              <w:color w:val="auto"/>
              <w:sz w:val="21"/>
              <w:szCs w:val="21"/>
              <w:lang w:val="en-US" w:eastAsia="zh-CN"/>
            </w:rPr>
            <w:t>项目建设的必要性</w:t>
          </w:r>
          <w:r>
            <w:rPr>
              <w:color w:val="auto"/>
              <w:sz w:val="21"/>
              <w:szCs w:val="21"/>
            </w:rPr>
            <w:tab/>
          </w:r>
          <w:r>
            <w:rPr>
              <w:color w:val="auto"/>
              <w:sz w:val="21"/>
              <w:szCs w:val="21"/>
            </w:rPr>
            <w:fldChar w:fldCharType="begin"/>
          </w:r>
          <w:r>
            <w:rPr>
              <w:color w:val="auto"/>
              <w:sz w:val="21"/>
              <w:szCs w:val="21"/>
            </w:rPr>
            <w:instrText xml:space="preserve"> PAGEREF _Toc6056 \h </w:instrText>
          </w:r>
          <w:r>
            <w:rPr>
              <w:color w:val="auto"/>
              <w:sz w:val="21"/>
              <w:szCs w:val="21"/>
            </w:rPr>
            <w:fldChar w:fldCharType="separate"/>
          </w:r>
          <w:r>
            <w:rPr>
              <w:color w:val="auto"/>
              <w:sz w:val="21"/>
              <w:szCs w:val="21"/>
            </w:rPr>
            <w:t>13</w:t>
          </w:r>
          <w:r>
            <w:rPr>
              <w:color w:val="auto"/>
              <w:sz w:val="21"/>
              <w:szCs w:val="21"/>
            </w:rPr>
            <w:fldChar w:fldCharType="end"/>
          </w:r>
          <w:r>
            <w:rPr>
              <w:color w:val="auto"/>
              <w:sz w:val="21"/>
              <w:szCs w:val="21"/>
            </w:rPr>
            <w:fldChar w:fldCharType="end"/>
          </w:r>
        </w:p>
        <w:p w14:paraId="18666DB3">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_Toc11830 </w:instrText>
          </w:r>
          <w:r>
            <w:rPr>
              <w:color w:val="auto"/>
              <w:sz w:val="21"/>
              <w:szCs w:val="21"/>
            </w:rPr>
            <w:fldChar w:fldCharType="separate"/>
          </w:r>
          <w:r>
            <w:rPr>
              <w:rFonts w:hint="default" w:ascii="宋体" w:hAnsi="宋体" w:eastAsia="宋体" w:cs="宋体"/>
              <w:color w:val="auto"/>
              <w:sz w:val="21"/>
              <w:szCs w:val="21"/>
              <w:lang w:val="en-US" w:eastAsia="zh-CN"/>
            </w:rPr>
            <w:t xml:space="preserve">2.3 </w:t>
          </w:r>
          <w:r>
            <w:rPr>
              <w:rFonts w:hint="eastAsia"/>
              <w:color w:val="auto"/>
              <w:sz w:val="21"/>
              <w:szCs w:val="21"/>
              <w:lang w:val="en-US" w:eastAsia="zh-CN"/>
            </w:rPr>
            <w:t>污水处理厂工程概况</w:t>
          </w:r>
          <w:r>
            <w:rPr>
              <w:color w:val="auto"/>
              <w:sz w:val="21"/>
              <w:szCs w:val="21"/>
            </w:rPr>
            <w:tab/>
          </w:r>
          <w:r>
            <w:rPr>
              <w:color w:val="auto"/>
              <w:sz w:val="21"/>
              <w:szCs w:val="21"/>
            </w:rPr>
            <w:fldChar w:fldCharType="begin"/>
          </w:r>
          <w:r>
            <w:rPr>
              <w:color w:val="auto"/>
              <w:sz w:val="21"/>
              <w:szCs w:val="21"/>
            </w:rPr>
            <w:instrText xml:space="preserve"> PAGEREF _Toc11830 \h </w:instrText>
          </w:r>
          <w:r>
            <w:rPr>
              <w:color w:val="auto"/>
              <w:sz w:val="21"/>
              <w:szCs w:val="21"/>
            </w:rPr>
            <w:fldChar w:fldCharType="separate"/>
          </w:r>
          <w:r>
            <w:rPr>
              <w:color w:val="auto"/>
              <w:sz w:val="21"/>
              <w:szCs w:val="21"/>
            </w:rPr>
            <w:t>16</w:t>
          </w:r>
          <w:r>
            <w:rPr>
              <w:color w:val="auto"/>
              <w:sz w:val="21"/>
              <w:szCs w:val="21"/>
            </w:rPr>
            <w:fldChar w:fldCharType="end"/>
          </w:r>
          <w:r>
            <w:rPr>
              <w:color w:val="auto"/>
              <w:sz w:val="21"/>
              <w:szCs w:val="21"/>
            </w:rPr>
            <w:fldChar w:fldCharType="end"/>
          </w:r>
        </w:p>
        <w:p w14:paraId="2760CBCB">
          <w:pPr>
            <w:pStyle w:val="25"/>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_Toc31100 </w:instrText>
          </w:r>
          <w:r>
            <w:rPr>
              <w:color w:val="auto"/>
              <w:sz w:val="21"/>
              <w:szCs w:val="21"/>
            </w:rPr>
            <w:fldChar w:fldCharType="separate"/>
          </w:r>
          <w:r>
            <w:rPr>
              <w:rFonts w:hint="default" w:ascii="宋体" w:hAnsi="宋体" w:eastAsia="宋体" w:cs="宋体"/>
              <w:i w:val="0"/>
              <w:color w:val="auto"/>
              <w:sz w:val="21"/>
              <w:szCs w:val="21"/>
              <w:lang w:val="en-US" w:eastAsia="zh-CN"/>
            </w:rPr>
            <w:t xml:space="preserve">3 </w:t>
          </w:r>
          <w:r>
            <w:rPr>
              <w:color w:val="auto"/>
              <w:sz w:val="21"/>
              <w:szCs w:val="21"/>
              <w:lang w:val="en-US" w:eastAsia="zh-CN"/>
            </w:rPr>
            <w:t>项目所在区域概况</w:t>
          </w:r>
          <w:r>
            <w:rPr>
              <w:color w:val="auto"/>
              <w:sz w:val="21"/>
              <w:szCs w:val="21"/>
            </w:rPr>
            <w:tab/>
          </w:r>
          <w:r>
            <w:rPr>
              <w:color w:val="auto"/>
              <w:sz w:val="21"/>
              <w:szCs w:val="21"/>
            </w:rPr>
            <w:fldChar w:fldCharType="begin"/>
          </w:r>
          <w:r>
            <w:rPr>
              <w:color w:val="auto"/>
              <w:sz w:val="21"/>
              <w:szCs w:val="21"/>
            </w:rPr>
            <w:instrText xml:space="preserve"> PAGEREF _Toc31100 \h </w:instrText>
          </w:r>
          <w:r>
            <w:rPr>
              <w:color w:val="auto"/>
              <w:sz w:val="21"/>
              <w:szCs w:val="21"/>
            </w:rPr>
            <w:fldChar w:fldCharType="separate"/>
          </w:r>
          <w:r>
            <w:rPr>
              <w:color w:val="auto"/>
              <w:sz w:val="21"/>
              <w:szCs w:val="21"/>
            </w:rPr>
            <w:t>24</w:t>
          </w:r>
          <w:r>
            <w:rPr>
              <w:color w:val="auto"/>
              <w:sz w:val="21"/>
              <w:szCs w:val="21"/>
            </w:rPr>
            <w:fldChar w:fldCharType="end"/>
          </w:r>
          <w:r>
            <w:rPr>
              <w:color w:val="auto"/>
              <w:sz w:val="21"/>
              <w:szCs w:val="21"/>
            </w:rPr>
            <w:fldChar w:fldCharType="end"/>
          </w:r>
        </w:p>
        <w:p w14:paraId="708756FE">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_Toc17029 </w:instrText>
          </w:r>
          <w:r>
            <w:rPr>
              <w:color w:val="auto"/>
              <w:sz w:val="21"/>
              <w:szCs w:val="21"/>
            </w:rPr>
            <w:fldChar w:fldCharType="separate"/>
          </w:r>
          <w:r>
            <w:rPr>
              <w:rFonts w:hint="default" w:ascii="宋体" w:hAnsi="宋体" w:eastAsia="宋体" w:cs="宋体"/>
              <w:color w:val="auto"/>
              <w:sz w:val="21"/>
              <w:szCs w:val="21"/>
              <w:lang w:val="en-US" w:eastAsia="zh-CN"/>
            </w:rPr>
            <w:t xml:space="preserve">3.1 </w:t>
          </w:r>
          <w:r>
            <w:rPr>
              <w:rFonts w:hint="eastAsia"/>
              <w:color w:val="auto"/>
              <w:sz w:val="21"/>
              <w:szCs w:val="21"/>
              <w:lang w:val="en-US" w:eastAsia="zh-CN"/>
            </w:rPr>
            <w:t>自然地理概况</w:t>
          </w:r>
          <w:r>
            <w:rPr>
              <w:color w:val="auto"/>
              <w:sz w:val="21"/>
              <w:szCs w:val="21"/>
            </w:rPr>
            <w:tab/>
          </w:r>
          <w:r>
            <w:rPr>
              <w:color w:val="auto"/>
              <w:sz w:val="21"/>
              <w:szCs w:val="21"/>
            </w:rPr>
            <w:fldChar w:fldCharType="begin"/>
          </w:r>
          <w:r>
            <w:rPr>
              <w:color w:val="auto"/>
              <w:sz w:val="21"/>
              <w:szCs w:val="21"/>
            </w:rPr>
            <w:instrText xml:space="preserve"> PAGEREF _Toc17029 \h </w:instrText>
          </w:r>
          <w:r>
            <w:rPr>
              <w:color w:val="auto"/>
              <w:sz w:val="21"/>
              <w:szCs w:val="21"/>
            </w:rPr>
            <w:fldChar w:fldCharType="separate"/>
          </w:r>
          <w:r>
            <w:rPr>
              <w:color w:val="auto"/>
              <w:sz w:val="21"/>
              <w:szCs w:val="21"/>
            </w:rPr>
            <w:t>24</w:t>
          </w:r>
          <w:r>
            <w:rPr>
              <w:color w:val="auto"/>
              <w:sz w:val="21"/>
              <w:szCs w:val="21"/>
            </w:rPr>
            <w:fldChar w:fldCharType="end"/>
          </w:r>
          <w:r>
            <w:rPr>
              <w:color w:val="auto"/>
              <w:sz w:val="21"/>
              <w:szCs w:val="21"/>
            </w:rPr>
            <w:fldChar w:fldCharType="end"/>
          </w:r>
        </w:p>
        <w:p w14:paraId="1FE83C6A">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_Toc8142 </w:instrText>
          </w:r>
          <w:r>
            <w:rPr>
              <w:color w:val="auto"/>
              <w:sz w:val="21"/>
              <w:szCs w:val="21"/>
            </w:rPr>
            <w:fldChar w:fldCharType="separate"/>
          </w:r>
          <w:r>
            <w:rPr>
              <w:rFonts w:hint="default" w:ascii="宋体" w:hAnsi="宋体" w:eastAsia="宋体" w:cs="宋体"/>
              <w:color w:val="auto"/>
              <w:sz w:val="21"/>
              <w:szCs w:val="21"/>
              <w:lang w:val="en-US" w:eastAsia="zh-CN"/>
            </w:rPr>
            <w:t xml:space="preserve">3.2 </w:t>
          </w:r>
          <w:r>
            <w:rPr>
              <w:rFonts w:hint="eastAsia"/>
              <w:color w:val="auto"/>
              <w:sz w:val="21"/>
              <w:szCs w:val="21"/>
              <w:lang w:val="en-US" w:eastAsia="zh-CN"/>
            </w:rPr>
            <w:t>自然条件</w:t>
          </w:r>
          <w:r>
            <w:rPr>
              <w:color w:val="auto"/>
              <w:sz w:val="21"/>
              <w:szCs w:val="21"/>
            </w:rPr>
            <w:tab/>
          </w:r>
          <w:r>
            <w:rPr>
              <w:color w:val="auto"/>
              <w:sz w:val="21"/>
              <w:szCs w:val="21"/>
            </w:rPr>
            <w:fldChar w:fldCharType="begin"/>
          </w:r>
          <w:r>
            <w:rPr>
              <w:color w:val="auto"/>
              <w:sz w:val="21"/>
              <w:szCs w:val="21"/>
            </w:rPr>
            <w:instrText xml:space="preserve"> PAGEREF _Toc8142 \h </w:instrText>
          </w:r>
          <w:r>
            <w:rPr>
              <w:color w:val="auto"/>
              <w:sz w:val="21"/>
              <w:szCs w:val="21"/>
            </w:rPr>
            <w:fldChar w:fldCharType="separate"/>
          </w:r>
          <w:r>
            <w:rPr>
              <w:color w:val="auto"/>
              <w:sz w:val="21"/>
              <w:szCs w:val="21"/>
            </w:rPr>
            <w:t>26</w:t>
          </w:r>
          <w:r>
            <w:rPr>
              <w:color w:val="auto"/>
              <w:sz w:val="21"/>
              <w:szCs w:val="21"/>
            </w:rPr>
            <w:fldChar w:fldCharType="end"/>
          </w:r>
          <w:r>
            <w:rPr>
              <w:color w:val="auto"/>
              <w:sz w:val="21"/>
              <w:szCs w:val="21"/>
            </w:rPr>
            <w:fldChar w:fldCharType="end"/>
          </w:r>
        </w:p>
        <w:p w14:paraId="69BF9AC8">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_Toc29688 </w:instrText>
          </w:r>
          <w:r>
            <w:rPr>
              <w:color w:val="auto"/>
              <w:sz w:val="21"/>
              <w:szCs w:val="21"/>
            </w:rPr>
            <w:fldChar w:fldCharType="separate"/>
          </w:r>
          <w:r>
            <w:rPr>
              <w:rFonts w:hint="default" w:ascii="宋体" w:hAnsi="宋体" w:eastAsia="宋体" w:cs="宋体"/>
              <w:color w:val="auto"/>
              <w:sz w:val="21"/>
              <w:szCs w:val="21"/>
              <w:lang w:val="en-US" w:eastAsia="zh-CN"/>
            </w:rPr>
            <w:t xml:space="preserve">3.3 </w:t>
          </w:r>
          <w:r>
            <w:rPr>
              <w:rFonts w:hint="eastAsia"/>
              <w:color w:val="auto"/>
              <w:sz w:val="21"/>
              <w:szCs w:val="21"/>
              <w:lang w:val="en-US" w:eastAsia="zh-CN"/>
            </w:rPr>
            <w:t>大八镇现状排水</w:t>
          </w:r>
          <w:r>
            <w:rPr>
              <w:color w:val="auto"/>
              <w:sz w:val="21"/>
              <w:szCs w:val="21"/>
            </w:rPr>
            <w:tab/>
          </w:r>
          <w:r>
            <w:rPr>
              <w:color w:val="auto"/>
              <w:sz w:val="21"/>
              <w:szCs w:val="21"/>
            </w:rPr>
            <w:fldChar w:fldCharType="begin"/>
          </w:r>
          <w:r>
            <w:rPr>
              <w:color w:val="auto"/>
              <w:sz w:val="21"/>
              <w:szCs w:val="21"/>
            </w:rPr>
            <w:instrText xml:space="preserve"> PAGEREF _Toc29688 \h </w:instrText>
          </w:r>
          <w:r>
            <w:rPr>
              <w:color w:val="auto"/>
              <w:sz w:val="21"/>
              <w:szCs w:val="21"/>
            </w:rPr>
            <w:fldChar w:fldCharType="separate"/>
          </w:r>
          <w:r>
            <w:rPr>
              <w:color w:val="auto"/>
              <w:sz w:val="21"/>
              <w:szCs w:val="21"/>
            </w:rPr>
            <w:t>28</w:t>
          </w:r>
          <w:r>
            <w:rPr>
              <w:color w:val="auto"/>
              <w:sz w:val="21"/>
              <w:szCs w:val="21"/>
            </w:rPr>
            <w:fldChar w:fldCharType="end"/>
          </w:r>
          <w:r>
            <w:rPr>
              <w:color w:val="auto"/>
              <w:sz w:val="21"/>
              <w:szCs w:val="21"/>
            </w:rPr>
            <w:fldChar w:fldCharType="end"/>
          </w:r>
        </w:p>
        <w:p w14:paraId="20A39701">
          <w:pPr>
            <w:pStyle w:val="25"/>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_Toc32195 </w:instrText>
          </w:r>
          <w:r>
            <w:rPr>
              <w:color w:val="auto"/>
              <w:sz w:val="21"/>
              <w:szCs w:val="21"/>
            </w:rPr>
            <w:fldChar w:fldCharType="separate"/>
          </w:r>
          <w:r>
            <w:rPr>
              <w:rFonts w:hint="default" w:ascii="宋体" w:hAnsi="宋体" w:eastAsia="宋体" w:cs="宋体"/>
              <w:i w:val="0"/>
              <w:color w:val="auto"/>
              <w:sz w:val="21"/>
              <w:szCs w:val="21"/>
            </w:rPr>
            <w:t xml:space="preserve">4 </w:t>
          </w:r>
          <w:r>
            <w:rPr>
              <w:rFonts w:hint="eastAsia"/>
              <w:color w:val="auto"/>
              <w:sz w:val="21"/>
              <w:szCs w:val="21"/>
              <w:lang w:val="en-US" w:eastAsia="zh-CN"/>
            </w:rPr>
            <w:t>拟建入河排污口所在水功能区水质现状及纳污状况</w:t>
          </w:r>
          <w:r>
            <w:rPr>
              <w:color w:val="auto"/>
              <w:sz w:val="21"/>
              <w:szCs w:val="21"/>
            </w:rPr>
            <w:tab/>
          </w:r>
          <w:r>
            <w:rPr>
              <w:color w:val="auto"/>
              <w:sz w:val="21"/>
              <w:szCs w:val="21"/>
            </w:rPr>
            <w:fldChar w:fldCharType="begin"/>
          </w:r>
          <w:r>
            <w:rPr>
              <w:color w:val="auto"/>
              <w:sz w:val="21"/>
              <w:szCs w:val="21"/>
            </w:rPr>
            <w:instrText xml:space="preserve"> PAGEREF _Toc32195 \h </w:instrText>
          </w:r>
          <w:r>
            <w:rPr>
              <w:color w:val="auto"/>
              <w:sz w:val="21"/>
              <w:szCs w:val="21"/>
            </w:rPr>
            <w:fldChar w:fldCharType="separate"/>
          </w:r>
          <w:r>
            <w:rPr>
              <w:color w:val="auto"/>
              <w:sz w:val="21"/>
              <w:szCs w:val="21"/>
            </w:rPr>
            <w:t>30</w:t>
          </w:r>
          <w:r>
            <w:rPr>
              <w:color w:val="auto"/>
              <w:sz w:val="21"/>
              <w:szCs w:val="21"/>
            </w:rPr>
            <w:fldChar w:fldCharType="end"/>
          </w:r>
          <w:r>
            <w:rPr>
              <w:color w:val="auto"/>
              <w:sz w:val="21"/>
              <w:szCs w:val="21"/>
            </w:rPr>
            <w:fldChar w:fldCharType="end"/>
          </w:r>
        </w:p>
        <w:p w14:paraId="31AFAA33">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_Toc1863 </w:instrText>
          </w:r>
          <w:r>
            <w:rPr>
              <w:color w:val="auto"/>
              <w:sz w:val="21"/>
              <w:szCs w:val="21"/>
            </w:rPr>
            <w:fldChar w:fldCharType="separate"/>
          </w:r>
          <w:r>
            <w:rPr>
              <w:rFonts w:hint="default" w:ascii="宋体" w:hAnsi="宋体" w:eastAsia="宋体" w:cs="宋体"/>
              <w:color w:val="auto"/>
              <w:sz w:val="21"/>
              <w:szCs w:val="21"/>
              <w:lang w:val="en-US" w:eastAsia="zh-CN"/>
            </w:rPr>
            <w:t xml:space="preserve">4.1 </w:t>
          </w:r>
          <w:r>
            <w:rPr>
              <w:rFonts w:hint="eastAsia"/>
              <w:color w:val="auto"/>
              <w:sz w:val="21"/>
              <w:szCs w:val="21"/>
              <w:lang w:val="en-US" w:eastAsia="zh-CN"/>
            </w:rPr>
            <w:t>水功能区</w:t>
          </w:r>
          <w:r>
            <w:rPr>
              <w:color w:val="auto"/>
              <w:sz w:val="21"/>
              <w:szCs w:val="21"/>
            </w:rPr>
            <w:tab/>
          </w:r>
          <w:r>
            <w:rPr>
              <w:color w:val="auto"/>
              <w:sz w:val="21"/>
              <w:szCs w:val="21"/>
            </w:rPr>
            <w:fldChar w:fldCharType="begin"/>
          </w:r>
          <w:r>
            <w:rPr>
              <w:color w:val="auto"/>
              <w:sz w:val="21"/>
              <w:szCs w:val="21"/>
            </w:rPr>
            <w:instrText xml:space="preserve"> PAGEREF _Toc1863 \h </w:instrText>
          </w:r>
          <w:r>
            <w:rPr>
              <w:color w:val="auto"/>
              <w:sz w:val="21"/>
              <w:szCs w:val="21"/>
            </w:rPr>
            <w:fldChar w:fldCharType="separate"/>
          </w:r>
          <w:r>
            <w:rPr>
              <w:color w:val="auto"/>
              <w:sz w:val="21"/>
              <w:szCs w:val="21"/>
            </w:rPr>
            <w:t>30</w:t>
          </w:r>
          <w:r>
            <w:rPr>
              <w:color w:val="auto"/>
              <w:sz w:val="21"/>
              <w:szCs w:val="21"/>
            </w:rPr>
            <w:fldChar w:fldCharType="end"/>
          </w:r>
          <w:r>
            <w:rPr>
              <w:color w:val="auto"/>
              <w:sz w:val="21"/>
              <w:szCs w:val="21"/>
            </w:rPr>
            <w:fldChar w:fldCharType="end"/>
          </w:r>
        </w:p>
        <w:p w14:paraId="396B8442">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_Toc26927 </w:instrText>
          </w:r>
          <w:r>
            <w:rPr>
              <w:color w:val="auto"/>
              <w:sz w:val="21"/>
              <w:szCs w:val="21"/>
            </w:rPr>
            <w:fldChar w:fldCharType="separate"/>
          </w:r>
          <w:r>
            <w:rPr>
              <w:rFonts w:hint="default" w:ascii="宋体" w:hAnsi="宋体" w:eastAsia="宋体" w:cs="宋体"/>
              <w:color w:val="auto"/>
              <w:sz w:val="21"/>
              <w:szCs w:val="21"/>
              <w:lang w:val="en-US" w:eastAsia="zh-CN"/>
            </w:rPr>
            <w:t xml:space="preserve">4.2 </w:t>
          </w:r>
          <w:r>
            <w:rPr>
              <w:rFonts w:hint="eastAsia"/>
              <w:color w:val="auto"/>
              <w:sz w:val="21"/>
              <w:szCs w:val="21"/>
              <w:lang w:val="en-US" w:eastAsia="zh-CN"/>
            </w:rPr>
            <w:t>水功能区水质现状</w:t>
          </w:r>
          <w:r>
            <w:rPr>
              <w:color w:val="auto"/>
              <w:sz w:val="21"/>
              <w:szCs w:val="21"/>
            </w:rPr>
            <w:tab/>
          </w:r>
          <w:r>
            <w:rPr>
              <w:color w:val="auto"/>
              <w:sz w:val="21"/>
              <w:szCs w:val="21"/>
            </w:rPr>
            <w:fldChar w:fldCharType="begin"/>
          </w:r>
          <w:r>
            <w:rPr>
              <w:color w:val="auto"/>
              <w:sz w:val="21"/>
              <w:szCs w:val="21"/>
            </w:rPr>
            <w:instrText xml:space="preserve"> PAGEREF _Toc26927 \h </w:instrText>
          </w:r>
          <w:r>
            <w:rPr>
              <w:color w:val="auto"/>
              <w:sz w:val="21"/>
              <w:szCs w:val="21"/>
            </w:rPr>
            <w:fldChar w:fldCharType="separate"/>
          </w:r>
          <w:r>
            <w:rPr>
              <w:color w:val="auto"/>
              <w:sz w:val="21"/>
              <w:szCs w:val="21"/>
            </w:rPr>
            <w:t>30</w:t>
          </w:r>
          <w:r>
            <w:rPr>
              <w:color w:val="auto"/>
              <w:sz w:val="21"/>
              <w:szCs w:val="21"/>
            </w:rPr>
            <w:fldChar w:fldCharType="end"/>
          </w:r>
          <w:r>
            <w:rPr>
              <w:color w:val="auto"/>
              <w:sz w:val="21"/>
              <w:szCs w:val="21"/>
            </w:rPr>
            <w:fldChar w:fldCharType="end"/>
          </w:r>
        </w:p>
        <w:p w14:paraId="79536EF6">
          <w:pPr>
            <w:pStyle w:val="25"/>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_Toc27537 </w:instrText>
          </w:r>
          <w:r>
            <w:rPr>
              <w:color w:val="auto"/>
              <w:sz w:val="21"/>
              <w:szCs w:val="21"/>
            </w:rPr>
            <w:fldChar w:fldCharType="separate"/>
          </w:r>
          <w:r>
            <w:rPr>
              <w:rFonts w:hint="default" w:ascii="宋体" w:hAnsi="宋体" w:eastAsia="宋体" w:cs="宋体"/>
              <w:i w:val="0"/>
              <w:color w:val="auto"/>
              <w:sz w:val="21"/>
              <w:szCs w:val="21"/>
            </w:rPr>
            <w:t xml:space="preserve">5 </w:t>
          </w:r>
          <w:r>
            <w:rPr>
              <w:color w:val="auto"/>
              <w:sz w:val="21"/>
              <w:szCs w:val="21"/>
              <w:lang w:val="en-US" w:eastAsia="zh-CN"/>
            </w:rPr>
            <w:t>水功能区</w:t>
          </w:r>
          <w:r>
            <w:rPr>
              <w:rFonts w:hint="eastAsia"/>
              <w:color w:val="auto"/>
              <w:sz w:val="21"/>
              <w:szCs w:val="21"/>
              <w:lang w:val="en-US" w:eastAsia="zh-CN"/>
            </w:rPr>
            <w:t>管理要求和现有取排水状况</w:t>
          </w:r>
          <w:r>
            <w:rPr>
              <w:color w:val="auto"/>
              <w:sz w:val="21"/>
              <w:szCs w:val="21"/>
            </w:rPr>
            <w:tab/>
          </w:r>
          <w:r>
            <w:rPr>
              <w:color w:val="auto"/>
              <w:sz w:val="21"/>
              <w:szCs w:val="21"/>
            </w:rPr>
            <w:fldChar w:fldCharType="begin"/>
          </w:r>
          <w:r>
            <w:rPr>
              <w:color w:val="auto"/>
              <w:sz w:val="21"/>
              <w:szCs w:val="21"/>
            </w:rPr>
            <w:instrText xml:space="preserve"> PAGEREF _Toc27537 \h </w:instrText>
          </w:r>
          <w:r>
            <w:rPr>
              <w:color w:val="auto"/>
              <w:sz w:val="21"/>
              <w:szCs w:val="21"/>
            </w:rPr>
            <w:fldChar w:fldCharType="separate"/>
          </w:r>
          <w:r>
            <w:rPr>
              <w:color w:val="auto"/>
              <w:sz w:val="21"/>
              <w:szCs w:val="21"/>
            </w:rPr>
            <w:t>36</w:t>
          </w:r>
          <w:r>
            <w:rPr>
              <w:color w:val="auto"/>
              <w:sz w:val="21"/>
              <w:szCs w:val="21"/>
            </w:rPr>
            <w:fldChar w:fldCharType="end"/>
          </w:r>
          <w:r>
            <w:rPr>
              <w:color w:val="auto"/>
              <w:sz w:val="21"/>
              <w:szCs w:val="21"/>
            </w:rPr>
            <w:fldChar w:fldCharType="end"/>
          </w:r>
        </w:p>
        <w:p w14:paraId="3E6F259A">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_Toc16847 </w:instrText>
          </w:r>
          <w:r>
            <w:rPr>
              <w:color w:val="auto"/>
              <w:sz w:val="21"/>
              <w:szCs w:val="21"/>
            </w:rPr>
            <w:fldChar w:fldCharType="separate"/>
          </w:r>
          <w:r>
            <w:rPr>
              <w:rFonts w:hint="default" w:ascii="宋体" w:hAnsi="宋体" w:eastAsia="宋体" w:cs="宋体"/>
              <w:color w:val="auto"/>
              <w:sz w:val="21"/>
              <w:szCs w:val="21"/>
              <w:lang w:val="en-US" w:eastAsia="zh-CN"/>
            </w:rPr>
            <w:t xml:space="preserve">5.1 </w:t>
          </w:r>
          <w:r>
            <w:rPr>
              <w:rFonts w:hint="eastAsia"/>
              <w:color w:val="auto"/>
              <w:sz w:val="21"/>
              <w:szCs w:val="21"/>
              <w:lang w:val="en-US" w:eastAsia="zh-CN"/>
            </w:rPr>
            <w:t>水功能区保护水质管理目标与要求</w:t>
          </w:r>
          <w:r>
            <w:rPr>
              <w:color w:val="auto"/>
              <w:sz w:val="21"/>
              <w:szCs w:val="21"/>
            </w:rPr>
            <w:tab/>
          </w:r>
          <w:r>
            <w:rPr>
              <w:color w:val="auto"/>
              <w:sz w:val="21"/>
              <w:szCs w:val="21"/>
            </w:rPr>
            <w:fldChar w:fldCharType="begin"/>
          </w:r>
          <w:r>
            <w:rPr>
              <w:color w:val="auto"/>
              <w:sz w:val="21"/>
              <w:szCs w:val="21"/>
            </w:rPr>
            <w:instrText xml:space="preserve"> PAGEREF _Toc16847 \h </w:instrText>
          </w:r>
          <w:r>
            <w:rPr>
              <w:color w:val="auto"/>
              <w:sz w:val="21"/>
              <w:szCs w:val="21"/>
            </w:rPr>
            <w:fldChar w:fldCharType="separate"/>
          </w:r>
          <w:r>
            <w:rPr>
              <w:color w:val="auto"/>
              <w:sz w:val="21"/>
              <w:szCs w:val="21"/>
            </w:rPr>
            <w:t>36</w:t>
          </w:r>
          <w:r>
            <w:rPr>
              <w:color w:val="auto"/>
              <w:sz w:val="21"/>
              <w:szCs w:val="21"/>
            </w:rPr>
            <w:fldChar w:fldCharType="end"/>
          </w:r>
          <w:r>
            <w:rPr>
              <w:color w:val="auto"/>
              <w:sz w:val="21"/>
              <w:szCs w:val="21"/>
            </w:rPr>
            <w:fldChar w:fldCharType="end"/>
          </w:r>
        </w:p>
        <w:p w14:paraId="65D153D3">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_Toc26075 </w:instrText>
          </w:r>
          <w:r>
            <w:rPr>
              <w:color w:val="auto"/>
              <w:sz w:val="21"/>
              <w:szCs w:val="21"/>
            </w:rPr>
            <w:fldChar w:fldCharType="separate"/>
          </w:r>
          <w:r>
            <w:rPr>
              <w:rFonts w:hint="default" w:ascii="宋体" w:hAnsi="宋体" w:eastAsia="宋体" w:cs="宋体"/>
              <w:color w:val="auto"/>
              <w:sz w:val="21"/>
              <w:szCs w:val="21"/>
              <w:lang w:val="en-US" w:eastAsia="zh-CN"/>
            </w:rPr>
            <w:t xml:space="preserve">5.2 </w:t>
          </w:r>
          <w:r>
            <w:rPr>
              <w:rFonts w:hint="eastAsia"/>
              <w:color w:val="auto"/>
              <w:sz w:val="21"/>
              <w:szCs w:val="21"/>
              <w:lang w:val="en-US" w:eastAsia="zh-CN"/>
            </w:rPr>
            <w:t>水功能区纳污能力及限制排污总量</w:t>
          </w:r>
          <w:r>
            <w:rPr>
              <w:color w:val="auto"/>
              <w:sz w:val="21"/>
              <w:szCs w:val="21"/>
            </w:rPr>
            <w:tab/>
          </w:r>
          <w:r>
            <w:rPr>
              <w:color w:val="auto"/>
              <w:sz w:val="21"/>
              <w:szCs w:val="21"/>
            </w:rPr>
            <w:fldChar w:fldCharType="begin"/>
          </w:r>
          <w:r>
            <w:rPr>
              <w:color w:val="auto"/>
              <w:sz w:val="21"/>
              <w:szCs w:val="21"/>
            </w:rPr>
            <w:instrText xml:space="preserve"> PAGEREF _Toc26075 \h </w:instrText>
          </w:r>
          <w:r>
            <w:rPr>
              <w:color w:val="auto"/>
              <w:sz w:val="21"/>
              <w:szCs w:val="21"/>
            </w:rPr>
            <w:fldChar w:fldCharType="separate"/>
          </w:r>
          <w:r>
            <w:rPr>
              <w:color w:val="auto"/>
              <w:sz w:val="21"/>
              <w:szCs w:val="21"/>
            </w:rPr>
            <w:t>36</w:t>
          </w:r>
          <w:r>
            <w:rPr>
              <w:color w:val="auto"/>
              <w:sz w:val="21"/>
              <w:szCs w:val="21"/>
            </w:rPr>
            <w:fldChar w:fldCharType="end"/>
          </w:r>
          <w:r>
            <w:rPr>
              <w:color w:val="auto"/>
              <w:sz w:val="21"/>
              <w:szCs w:val="21"/>
            </w:rPr>
            <w:fldChar w:fldCharType="end"/>
          </w:r>
        </w:p>
        <w:p w14:paraId="318C25A3">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_Toc2192 </w:instrText>
          </w:r>
          <w:r>
            <w:rPr>
              <w:color w:val="auto"/>
              <w:sz w:val="21"/>
              <w:szCs w:val="21"/>
            </w:rPr>
            <w:fldChar w:fldCharType="separate"/>
          </w:r>
          <w:r>
            <w:rPr>
              <w:rFonts w:hint="default" w:ascii="宋体" w:hAnsi="宋体" w:eastAsia="宋体" w:cs="宋体"/>
              <w:color w:val="auto"/>
              <w:sz w:val="21"/>
              <w:szCs w:val="21"/>
              <w:lang w:val="en-US" w:eastAsia="zh-CN"/>
            </w:rPr>
            <w:t xml:space="preserve">5.3 </w:t>
          </w:r>
          <w:r>
            <w:rPr>
              <w:rFonts w:hint="eastAsia"/>
              <w:color w:val="auto"/>
              <w:sz w:val="21"/>
              <w:szCs w:val="21"/>
              <w:lang w:val="en-US" w:eastAsia="zh-CN"/>
            </w:rPr>
            <w:t>论证水功能区现有取、排水状况</w:t>
          </w:r>
          <w:r>
            <w:rPr>
              <w:color w:val="auto"/>
              <w:sz w:val="21"/>
              <w:szCs w:val="21"/>
            </w:rPr>
            <w:tab/>
          </w:r>
          <w:r>
            <w:rPr>
              <w:color w:val="auto"/>
              <w:sz w:val="21"/>
              <w:szCs w:val="21"/>
            </w:rPr>
            <w:fldChar w:fldCharType="begin"/>
          </w:r>
          <w:r>
            <w:rPr>
              <w:color w:val="auto"/>
              <w:sz w:val="21"/>
              <w:szCs w:val="21"/>
            </w:rPr>
            <w:instrText xml:space="preserve"> PAGEREF _Toc2192 \h </w:instrText>
          </w:r>
          <w:r>
            <w:rPr>
              <w:color w:val="auto"/>
              <w:sz w:val="21"/>
              <w:szCs w:val="21"/>
            </w:rPr>
            <w:fldChar w:fldCharType="separate"/>
          </w:r>
          <w:r>
            <w:rPr>
              <w:color w:val="auto"/>
              <w:sz w:val="21"/>
              <w:szCs w:val="21"/>
            </w:rPr>
            <w:t>38</w:t>
          </w:r>
          <w:r>
            <w:rPr>
              <w:color w:val="auto"/>
              <w:sz w:val="21"/>
              <w:szCs w:val="21"/>
            </w:rPr>
            <w:fldChar w:fldCharType="end"/>
          </w:r>
          <w:r>
            <w:rPr>
              <w:color w:val="auto"/>
              <w:sz w:val="21"/>
              <w:szCs w:val="21"/>
            </w:rPr>
            <w:fldChar w:fldCharType="end"/>
          </w:r>
        </w:p>
        <w:p w14:paraId="57DC54B5">
          <w:pPr>
            <w:pStyle w:val="25"/>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_Toc10834 </w:instrText>
          </w:r>
          <w:r>
            <w:rPr>
              <w:color w:val="auto"/>
              <w:sz w:val="21"/>
              <w:szCs w:val="21"/>
            </w:rPr>
            <w:fldChar w:fldCharType="separate"/>
          </w:r>
          <w:r>
            <w:rPr>
              <w:rFonts w:hint="default" w:ascii="宋体" w:hAnsi="宋体" w:eastAsia="宋体" w:cs="宋体"/>
              <w:i w:val="0"/>
              <w:color w:val="auto"/>
              <w:sz w:val="21"/>
              <w:szCs w:val="21"/>
              <w:lang w:val="en-US" w:eastAsia="zh-CN"/>
            </w:rPr>
            <w:t xml:space="preserve">6 </w:t>
          </w:r>
          <w:r>
            <w:rPr>
              <w:rFonts w:hint="eastAsia" w:ascii="Times New Roman" w:hAnsi="Times New Roman" w:cs="Times New Roman"/>
              <w:color w:val="auto"/>
              <w:sz w:val="21"/>
              <w:szCs w:val="21"/>
              <w:lang w:val="en-US" w:eastAsia="zh-CN"/>
            </w:rPr>
            <w:t>拟建入河排污口设置可行性分析论证及设置情况</w:t>
          </w:r>
          <w:r>
            <w:rPr>
              <w:color w:val="auto"/>
              <w:sz w:val="21"/>
              <w:szCs w:val="21"/>
            </w:rPr>
            <w:tab/>
          </w:r>
          <w:r>
            <w:rPr>
              <w:color w:val="auto"/>
              <w:sz w:val="21"/>
              <w:szCs w:val="21"/>
            </w:rPr>
            <w:fldChar w:fldCharType="begin"/>
          </w:r>
          <w:r>
            <w:rPr>
              <w:color w:val="auto"/>
              <w:sz w:val="21"/>
              <w:szCs w:val="21"/>
            </w:rPr>
            <w:instrText xml:space="preserve"> PAGEREF _Toc10834 \h </w:instrText>
          </w:r>
          <w:r>
            <w:rPr>
              <w:color w:val="auto"/>
              <w:sz w:val="21"/>
              <w:szCs w:val="21"/>
            </w:rPr>
            <w:fldChar w:fldCharType="separate"/>
          </w:r>
          <w:r>
            <w:rPr>
              <w:color w:val="auto"/>
              <w:sz w:val="21"/>
              <w:szCs w:val="21"/>
            </w:rPr>
            <w:t>41</w:t>
          </w:r>
          <w:r>
            <w:rPr>
              <w:color w:val="auto"/>
              <w:sz w:val="21"/>
              <w:szCs w:val="21"/>
            </w:rPr>
            <w:fldChar w:fldCharType="end"/>
          </w:r>
          <w:r>
            <w:rPr>
              <w:color w:val="auto"/>
              <w:sz w:val="21"/>
              <w:szCs w:val="21"/>
            </w:rPr>
            <w:fldChar w:fldCharType="end"/>
          </w:r>
        </w:p>
        <w:p w14:paraId="40959014">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_Toc17436 </w:instrText>
          </w:r>
          <w:r>
            <w:rPr>
              <w:color w:val="auto"/>
              <w:sz w:val="21"/>
              <w:szCs w:val="21"/>
            </w:rPr>
            <w:fldChar w:fldCharType="separate"/>
          </w:r>
          <w:r>
            <w:rPr>
              <w:rFonts w:hint="default" w:ascii="宋体" w:hAnsi="宋体" w:eastAsia="宋体" w:cs="宋体"/>
              <w:color w:val="auto"/>
              <w:sz w:val="21"/>
              <w:szCs w:val="21"/>
              <w:lang w:val="en-US" w:eastAsia="zh-CN"/>
            </w:rPr>
            <w:t xml:space="preserve">6.1 </w:t>
          </w:r>
          <w:r>
            <w:rPr>
              <w:rFonts w:hint="eastAsia"/>
              <w:color w:val="auto"/>
              <w:sz w:val="21"/>
              <w:szCs w:val="21"/>
              <w:lang w:val="en-US" w:eastAsia="zh-CN"/>
            </w:rPr>
            <w:t>废污水来源及构成</w:t>
          </w:r>
          <w:r>
            <w:rPr>
              <w:color w:val="auto"/>
              <w:sz w:val="21"/>
              <w:szCs w:val="21"/>
            </w:rPr>
            <w:tab/>
          </w:r>
          <w:r>
            <w:rPr>
              <w:color w:val="auto"/>
              <w:sz w:val="21"/>
              <w:szCs w:val="21"/>
            </w:rPr>
            <w:fldChar w:fldCharType="begin"/>
          </w:r>
          <w:r>
            <w:rPr>
              <w:color w:val="auto"/>
              <w:sz w:val="21"/>
              <w:szCs w:val="21"/>
            </w:rPr>
            <w:instrText xml:space="preserve"> PAGEREF _Toc17436 \h </w:instrText>
          </w:r>
          <w:r>
            <w:rPr>
              <w:color w:val="auto"/>
              <w:sz w:val="21"/>
              <w:szCs w:val="21"/>
            </w:rPr>
            <w:fldChar w:fldCharType="separate"/>
          </w:r>
          <w:r>
            <w:rPr>
              <w:color w:val="auto"/>
              <w:sz w:val="21"/>
              <w:szCs w:val="21"/>
            </w:rPr>
            <w:t>41</w:t>
          </w:r>
          <w:r>
            <w:rPr>
              <w:color w:val="auto"/>
              <w:sz w:val="21"/>
              <w:szCs w:val="21"/>
            </w:rPr>
            <w:fldChar w:fldCharType="end"/>
          </w:r>
          <w:r>
            <w:rPr>
              <w:color w:val="auto"/>
              <w:sz w:val="21"/>
              <w:szCs w:val="21"/>
            </w:rPr>
            <w:fldChar w:fldCharType="end"/>
          </w:r>
        </w:p>
        <w:p w14:paraId="209623C4">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_Toc25466 </w:instrText>
          </w:r>
          <w:r>
            <w:rPr>
              <w:color w:val="auto"/>
              <w:sz w:val="21"/>
              <w:szCs w:val="21"/>
            </w:rPr>
            <w:fldChar w:fldCharType="separate"/>
          </w:r>
          <w:r>
            <w:rPr>
              <w:rFonts w:hint="default" w:ascii="宋体" w:hAnsi="宋体" w:eastAsia="宋体" w:cs="宋体"/>
              <w:color w:val="auto"/>
              <w:sz w:val="21"/>
              <w:szCs w:val="21"/>
              <w:lang w:val="en-US" w:eastAsia="zh-CN"/>
            </w:rPr>
            <w:t xml:space="preserve">6.2 </w:t>
          </w:r>
          <w:r>
            <w:rPr>
              <w:rFonts w:hint="eastAsia"/>
              <w:color w:val="auto"/>
              <w:sz w:val="21"/>
              <w:szCs w:val="21"/>
              <w:lang w:val="en-US" w:eastAsia="zh-CN"/>
            </w:rPr>
            <w:t>废污水所含主要污染物种类及其排放浓度、总量</w:t>
          </w:r>
          <w:r>
            <w:rPr>
              <w:color w:val="auto"/>
              <w:sz w:val="21"/>
              <w:szCs w:val="21"/>
            </w:rPr>
            <w:tab/>
          </w:r>
          <w:r>
            <w:rPr>
              <w:color w:val="auto"/>
              <w:sz w:val="21"/>
              <w:szCs w:val="21"/>
            </w:rPr>
            <w:fldChar w:fldCharType="begin"/>
          </w:r>
          <w:r>
            <w:rPr>
              <w:color w:val="auto"/>
              <w:sz w:val="21"/>
              <w:szCs w:val="21"/>
            </w:rPr>
            <w:instrText xml:space="preserve"> PAGEREF _Toc25466 \h </w:instrText>
          </w:r>
          <w:r>
            <w:rPr>
              <w:color w:val="auto"/>
              <w:sz w:val="21"/>
              <w:szCs w:val="21"/>
            </w:rPr>
            <w:fldChar w:fldCharType="separate"/>
          </w:r>
          <w:r>
            <w:rPr>
              <w:color w:val="auto"/>
              <w:sz w:val="21"/>
              <w:szCs w:val="21"/>
            </w:rPr>
            <w:t>42</w:t>
          </w:r>
          <w:r>
            <w:rPr>
              <w:color w:val="auto"/>
              <w:sz w:val="21"/>
              <w:szCs w:val="21"/>
            </w:rPr>
            <w:fldChar w:fldCharType="end"/>
          </w:r>
          <w:r>
            <w:rPr>
              <w:color w:val="auto"/>
              <w:sz w:val="21"/>
              <w:szCs w:val="21"/>
            </w:rPr>
            <w:fldChar w:fldCharType="end"/>
          </w:r>
        </w:p>
        <w:p w14:paraId="4815A94B">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_Toc16735 </w:instrText>
          </w:r>
          <w:r>
            <w:rPr>
              <w:color w:val="auto"/>
              <w:sz w:val="21"/>
              <w:szCs w:val="21"/>
            </w:rPr>
            <w:fldChar w:fldCharType="separate"/>
          </w:r>
          <w:r>
            <w:rPr>
              <w:rFonts w:hint="default" w:ascii="宋体" w:hAnsi="宋体" w:eastAsia="宋体" w:cs="宋体"/>
              <w:color w:val="auto"/>
              <w:sz w:val="21"/>
              <w:szCs w:val="21"/>
              <w:lang w:val="en-US" w:eastAsia="zh-CN"/>
            </w:rPr>
            <w:t xml:space="preserve">6.3 </w:t>
          </w:r>
          <w:r>
            <w:rPr>
              <w:rFonts w:hint="eastAsia"/>
              <w:color w:val="auto"/>
              <w:sz w:val="21"/>
              <w:szCs w:val="21"/>
              <w:lang w:val="en-US" w:eastAsia="zh-CN"/>
            </w:rPr>
            <w:t>入河排污口设置可行性分析论证</w:t>
          </w:r>
          <w:r>
            <w:rPr>
              <w:color w:val="auto"/>
              <w:sz w:val="21"/>
              <w:szCs w:val="21"/>
            </w:rPr>
            <w:tab/>
          </w:r>
          <w:r>
            <w:rPr>
              <w:color w:val="auto"/>
              <w:sz w:val="21"/>
              <w:szCs w:val="21"/>
            </w:rPr>
            <w:fldChar w:fldCharType="begin"/>
          </w:r>
          <w:r>
            <w:rPr>
              <w:color w:val="auto"/>
              <w:sz w:val="21"/>
              <w:szCs w:val="21"/>
            </w:rPr>
            <w:instrText xml:space="preserve"> PAGEREF _Toc16735 \h </w:instrText>
          </w:r>
          <w:r>
            <w:rPr>
              <w:color w:val="auto"/>
              <w:sz w:val="21"/>
              <w:szCs w:val="21"/>
            </w:rPr>
            <w:fldChar w:fldCharType="separate"/>
          </w:r>
          <w:r>
            <w:rPr>
              <w:color w:val="auto"/>
              <w:sz w:val="21"/>
              <w:szCs w:val="21"/>
            </w:rPr>
            <w:t>43</w:t>
          </w:r>
          <w:r>
            <w:rPr>
              <w:color w:val="auto"/>
              <w:sz w:val="21"/>
              <w:szCs w:val="21"/>
            </w:rPr>
            <w:fldChar w:fldCharType="end"/>
          </w:r>
          <w:r>
            <w:rPr>
              <w:color w:val="auto"/>
              <w:sz w:val="21"/>
              <w:szCs w:val="21"/>
            </w:rPr>
            <w:fldChar w:fldCharType="end"/>
          </w:r>
        </w:p>
        <w:p w14:paraId="25010637">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_Toc11555 </w:instrText>
          </w:r>
          <w:r>
            <w:rPr>
              <w:color w:val="auto"/>
              <w:sz w:val="21"/>
              <w:szCs w:val="21"/>
            </w:rPr>
            <w:fldChar w:fldCharType="separate"/>
          </w:r>
          <w:r>
            <w:rPr>
              <w:rFonts w:hint="default" w:ascii="宋体" w:hAnsi="宋体" w:eastAsia="宋体" w:cs="宋体"/>
              <w:color w:val="auto"/>
              <w:sz w:val="21"/>
              <w:szCs w:val="21"/>
              <w:lang w:val="en-US" w:eastAsia="zh-CN"/>
            </w:rPr>
            <w:t xml:space="preserve">6.4 </w:t>
          </w:r>
          <w:r>
            <w:rPr>
              <w:rFonts w:hint="eastAsia"/>
              <w:color w:val="auto"/>
              <w:sz w:val="21"/>
              <w:szCs w:val="21"/>
              <w:lang w:val="en-US" w:eastAsia="zh-CN"/>
            </w:rPr>
            <w:t>入河排污口设置方案</w:t>
          </w:r>
          <w:r>
            <w:rPr>
              <w:color w:val="auto"/>
              <w:sz w:val="21"/>
              <w:szCs w:val="21"/>
            </w:rPr>
            <w:tab/>
          </w:r>
          <w:r>
            <w:rPr>
              <w:color w:val="auto"/>
              <w:sz w:val="21"/>
              <w:szCs w:val="21"/>
            </w:rPr>
            <w:fldChar w:fldCharType="begin"/>
          </w:r>
          <w:r>
            <w:rPr>
              <w:color w:val="auto"/>
              <w:sz w:val="21"/>
              <w:szCs w:val="21"/>
            </w:rPr>
            <w:instrText xml:space="preserve"> PAGEREF _Toc11555 \h </w:instrText>
          </w:r>
          <w:r>
            <w:rPr>
              <w:color w:val="auto"/>
              <w:sz w:val="21"/>
              <w:szCs w:val="21"/>
            </w:rPr>
            <w:fldChar w:fldCharType="separate"/>
          </w:r>
          <w:r>
            <w:rPr>
              <w:color w:val="auto"/>
              <w:sz w:val="21"/>
              <w:szCs w:val="21"/>
            </w:rPr>
            <w:t>45</w:t>
          </w:r>
          <w:r>
            <w:rPr>
              <w:color w:val="auto"/>
              <w:sz w:val="21"/>
              <w:szCs w:val="21"/>
            </w:rPr>
            <w:fldChar w:fldCharType="end"/>
          </w:r>
          <w:r>
            <w:rPr>
              <w:color w:val="auto"/>
              <w:sz w:val="21"/>
              <w:szCs w:val="21"/>
            </w:rPr>
            <w:fldChar w:fldCharType="end"/>
          </w:r>
        </w:p>
        <w:p w14:paraId="50366129">
          <w:pPr>
            <w:pStyle w:val="25"/>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_Toc27956 </w:instrText>
          </w:r>
          <w:r>
            <w:rPr>
              <w:color w:val="auto"/>
              <w:sz w:val="21"/>
              <w:szCs w:val="21"/>
            </w:rPr>
            <w:fldChar w:fldCharType="separate"/>
          </w:r>
          <w:r>
            <w:rPr>
              <w:rFonts w:hint="default" w:ascii="宋体" w:hAnsi="宋体" w:eastAsia="宋体" w:cs="宋体"/>
              <w:i w:val="0"/>
              <w:color w:val="auto"/>
              <w:sz w:val="21"/>
              <w:szCs w:val="21"/>
              <w:lang w:val="en-US" w:eastAsia="zh-CN"/>
            </w:rPr>
            <w:t xml:space="preserve">7 </w:t>
          </w:r>
          <w:r>
            <w:rPr>
              <w:rFonts w:hint="eastAsia"/>
              <w:color w:val="auto"/>
              <w:sz w:val="21"/>
              <w:szCs w:val="21"/>
              <w:lang w:val="en-US" w:eastAsia="zh-CN"/>
            </w:rPr>
            <w:t>入河排污口设置对水功能区水质和水生态影响分析</w:t>
          </w:r>
          <w:r>
            <w:rPr>
              <w:color w:val="auto"/>
              <w:sz w:val="21"/>
              <w:szCs w:val="21"/>
            </w:rPr>
            <w:tab/>
          </w:r>
          <w:r>
            <w:rPr>
              <w:color w:val="auto"/>
              <w:sz w:val="21"/>
              <w:szCs w:val="21"/>
            </w:rPr>
            <w:fldChar w:fldCharType="begin"/>
          </w:r>
          <w:r>
            <w:rPr>
              <w:color w:val="auto"/>
              <w:sz w:val="21"/>
              <w:szCs w:val="21"/>
            </w:rPr>
            <w:instrText xml:space="preserve"> PAGEREF _Toc27956 \h </w:instrText>
          </w:r>
          <w:r>
            <w:rPr>
              <w:color w:val="auto"/>
              <w:sz w:val="21"/>
              <w:szCs w:val="21"/>
            </w:rPr>
            <w:fldChar w:fldCharType="separate"/>
          </w:r>
          <w:r>
            <w:rPr>
              <w:color w:val="auto"/>
              <w:sz w:val="21"/>
              <w:szCs w:val="21"/>
            </w:rPr>
            <w:t>46</w:t>
          </w:r>
          <w:r>
            <w:rPr>
              <w:color w:val="auto"/>
              <w:sz w:val="21"/>
              <w:szCs w:val="21"/>
            </w:rPr>
            <w:fldChar w:fldCharType="end"/>
          </w:r>
          <w:r>
            <w:rPr>
              <w:color w:val="auto"/>
              <w:sz w:val="21"/>
              <w:szCs w:val="21"/>
            </w:rPr>
            <w:fldChar w:fldCharType="end"/>
          </w:r>
        </w:p>
        <w:p w14:paraId="5DAF91C9">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_Toc10203 </w:instrText>
          </w:r>
          <w:r>
            <w:rPr>
              <w:color w:val="auto"/>
              <w:sz w:val="21"/>
              <w:szCs w:val="21"/>
            </w:rPr>
            <w:fldChar w:fldCharType="separate"/>
          </w:r>
          <w:r>
            <w:rPr>
              <w:rFonts w:hint="default" w:ascii="宋体" w:hAnsi="宋体" w:eastAsia="宋体" w:cs="宋体"/>
              <w:color w:val="auto"/>
              <w:sz w:val="21"/>
              <w:szCs w:val="21"/>
              <w:lang w:val="en-US" w:eastAsia="zh-CN"/>
            </w:rPr>
            <w:t xml:space="preserve">7.1 </w:t>
          </w:r>
          <w:r>
            <w:rPr>
              <w:rFonts w:hint="eastAsia"/>
              <w:color w:val="auto"/>
              <w:sz w:val="21"/>
              <w:szCs w:val="21"/>
              <w:lang w:val="en-US" w:eastAsia="zh-CN"/>
            </w:rPr>
            <w:t>影响范围</w:t>
          </w:r>
          <w:r>
            <w:rPr>
              <w:color w:val="auto"/>
              <w:sz w:val="21"/>
              <w:szCs w:val="21"/>
            </w:rPr>
            <w:tab/>
          </w:r>
          <w:r>
            <w:rPr>
              <w:color w:val="auto"/>
              <w:sz w:val="21"/>
              <w:szCs w:val="21"/>
            </w:rPr>
            <w:fldChar w:fldCharType="begin"/>
          </w:r>
          <w:r>
            <w:rPr>
              <w:color w:val="auto"/>
              <w:sz w:val="21"/>
              <w:szCs w:val="21"/>
            </w:rPr>
            <w:instrText xml:space="preserve"> PAGEREF _Toc10203 \h </w:instrText>
          </w:r>
          <w:r>
            <w:rPr>
              <w:color w:val="auto"/>
              <w:sz w:val="21"/>
              <w:szCs w:val="21"/>
            </w:rPr>
            <w:fldChar w:fldCharType="separate"/>
          </w:r>
          <w:r>
            <w:rPr>
              <w:color w:val="auto"/>
              <w:sz w:val="21"/>
              <w:szCs w:val="21"/>
            </w:rPr>
            <w:t>46</w:t>
          </w:r>
          <w:r>
            <w:rPr>
              <w:color w:val="auto"/>
              <w:sz w:val="21"/>
              <w:szCs w:val="21"/>
            </w:rPr>
            <w:fldChar w:fldCharType="end"/>
          </w:r>
          <w:r>
            <w:rPr>
              <w:color w:val="auto"/>
              <w:sz w:val="21"/>
              <w:szCs w:val="21"/>
            </w:rPr>
            <w:fldChar w:fldCharType="end"/>
          </w:r>
        </w:p>
        <w:p w14:paraId="200245DB">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_Toc14469 </w:instrText>
          </w:r>
          <w:r>
            <w:rPr>
              <w:color w:val="auto"/>
              <w:sz w:val="21"/>
              <w:szCs w:val="21"/>
            </w:rPr>
            <w:fldChar w:fldCharType="separate"/>
          </w:r>
          <w:r>
            <w:rPr>
              <w:rFonts w:hint="default" w:ascii="宋体" w:hAnsi="宋体" w:eastAsia="宋体" w:cs="宋体"/>
              <w:color w:val="auto"/>
              <w:sz w:val="21"/>
              <w:szCs w:val="21"/>
              <w:lang w:val="en-US" w:eastAsia="zh-CN"/>
            </w:rPr>
            <w:t xml:space="preserve">7.2 </w:t>
          </w:r>
          <w:r>
            <w:rPr>
              <w:rFonts w:hint="eastAsia"/>
              <w:color w:val="auto"/>
              <w:sz w:val="21"/>
              <w:szCs w:val="21"/>
              <w:lang w:val="en-US" w:eastAsia="zh-CN"/>
            </w:rPr>
            <w:t>地表水影响预测</w:t>
          </w:r>
          <w:r>
            <w:rPr>
              <w:color w:val="auto"/>
              <w:sz w:val="21"/>
              <w:szCs w:val="21"/>
            </w:rPr>
            <w:tab/>
          </w:r>
          <w:r>
            <w:rPr>
              <w:color w:val="auto"/>
              <w:sz w:val="21"/>
              <w:szCs w:val="21"/>
            </w:rPr>
            <w:fldChar w:fldCharType="begin"/>
          </w:r>
          <w:r>
            <w:rPr>
              <w:color w:val="auto"/>
              <w:sz w:val="21"/>
              <w:szCs w:val="21"/>
            </w:rPr>
            <w:instrText xml:space="preserve"> PAGEREF _Toc14469 \h </w:instrText>
          </w:r>
          <w:r>
            <w:rPr>
              <w:color w:val="auto"/>
              <w:sz w:val="21"/>
              <w:szCs w:val="21"/>
            </w:rPr>
            <w:fldChar w:fldCharType="separate"/>
          </w:r>
          <w:r>
            <w:rPr>
              <w:color w:val="auto"/>
              <w:sz w:val="21"/>
              <w:szCs w:val="21"/>
            </w:rPr>
            <w:t>46</w:t>
          </w:r>
          <w:r>
            <w:rPr>
              <w:color w:val="auto"/>
              <w:sz w:val="21"/>
              <w:szCs w:val="21"/>
            </w:rPr>
            <w:fldChar w:fldCharType="end"/>
          </w:r>
          <w:r>
            <w:rPr>
              <w:color w:val="auto"/>
              <w:sz w:val="21"/>
              <w:szCs w:val="21"/>
            </w:rPr>
            <w:fldChar w:fldCharType="end"/>
          </w:r>
        </w:p>
        <w:p w14:paraId="6AB29C9E">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_Toc28951 </w:instrText>
          </w:r>
          <w:r>
            <w:rPr>
              <w:color w:val="auto"/>
              <w:sz w:val="21"/>
              <w:szCs w:val="21"/>
            </w:rPr>
            <w:fldChar w:fldCharType="separate"/>
          </w:r>
          <w:r>
            <w:rPr>
              <w:rFonts w:hint="default" w:ascii="宋体" w:hAnsi="宋体" w:eastAsia="宋体" w:cs="宋体"/>
              <w:color w:val="auto"/>
              <w:sz w:val="21"/>
              <w:szCs w:val="21"/>
              <w:lang w:val="en-US" w:eastAsia="zh-CN"/>
            </w:rPr>
            <w:t xml:space="preserve">7.3 </w:t>
          </w:r>
          <w:r>
            <w:rPr>
              <w:rFonts w:hint="eastAsia"/>
              <w:color w:val="auto"/>
              <w:sz w:val="21"/>
              <w:szCs w:val="21"/>
              <w:lang w:val="en-US" w:eastAsia="zh-CN"/>
            </w:rPr>
            <w:t>预测结果与分析</w:t>
          </w:r>
          <w:r>
            <w:rPr>
              <w:color w:val="auto"/>
              <w:sz w:val="21"/>
              <w:szCs w:val="21"/>
            </w:rPr>
            <w:tab/>
          </w:r>
          <w:r>
            <w:rPr>
              <w:color w:val="auto"/>
              <w:sz w:val="21"/>
              <w:szCs w:val="21"/>
            </w:rPr>
            <w:fldChar w:fldCharType="begin"/>
          </w:r>
          <w:r>
            <w:rPr>
              <w:color w:val="auto"/>
              <w:sz w:val="21"/>
              <w:szCs w:val="21"/>
            </w:rPr>
            <w:instrText xml:space="preserve"> PAGEREF _Toc28951 \h </w:instrText>
          </w:r>
          <w:r>
            <w:rPr>
              <w:color w:val="auto"/>
              <w:sz w:val="21"/>
              <w:szCs w:val="21"/>
            </w:rPr>
            <w:fldChar w:fldCharType="separate"/>
          </w:r>
          <w:r>
            <w:rPr>
              <w:color w:val="auto"/>
              <w:sz w:val="21"/>
              <w:szCs w:val="21"/>
            </w:rPr>
            <w:t>49</w:t>
          </w:r>
          <w:r>
            <w:rPr>
              <w:color w:val="auto"/>
              <w:sz w:val="21"/>
              <w:szCs w:val="21"/>
            </w:rPr>
            <w:fldChar w:fldCharType="end"/>
          </w:r>
          <w:r>
            <w:rPr>
              <w:color w:val="auto"/>
              <w:sz w:val="21"/>
              <w:szCs w:val="21"/>
            </w:rPr>
            <w:fldChar w:fldCharType="end"/>
          </w:r>
        </w:p>
        <w:p w14:paraId="7A034D40">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_Toc16996 </w:instrText>
          </w:r>
          <w:r>
            <w:rPr>
              <w:color w:val="auto"/>
              <w:sz w:val="21"/>
              <w:szCs w:val="21"/>
            </w:rPr>
            <w:fldChar w:fldCharType="separate"/>
          </w:r>
          <w:r>
            <w:rPr>
              <w:rFonts w:hint="default" w:ascii="宋体" w:hAnsi="宋体" w:eastAsia="宋体" w:cs="宋体"/>
              <w:color w:val="auto"/>
              <w:sz w:val="21"/>
              <w:szCs w:val="21"/>
              <w:lang w:val="en-US" w:eastAsia="zh-CN"/>
            </w:rPr>
            <w:t xml:space="preserve">7.4 </w:t>
          </w:r>
          <w:r>
            <w:rPr>
              <w:rFonts w:hint="eastAsia"/>
              <w:color w:val="auto"/>
              <w:sz w:val="21"/>
              <w:szCs w:val="21"/>
              <w:lang w:val="en-US" w:eastAsia="zh-CN"/>
            </w:rPr>
            <w:t>对水功能区水质影响分析</w:t>
          </w:r>
          <w:r>
            <w:rPr>
              <w:color w:val="auto"/>
              <w:sz w:val="21"/>
              <w:szCs w:val="21"/>
            </w:rPr>
            <w:tab/>
          </w:r>
          <w:r>
            <w:rPr>
              <w:color w:val="auto"/>
              <w:sz w:val="21"/>
              <w:szCs w:val="21"/>
            </w:rPr>
            <w:fldChar w:fldCharType="begin"/>
          </w:r>
          <w:r>
            <w:rPr>
              <w:color w:val="auto"/>
              <w:sz w:val="21"/>
              <w:szCs w:val="21"/>
            </w:rPr>
            <w:instrText xml:space="preserve"> PAGEREF _Toc16996 \h </w:instrText>
          </w:r>
          <w:r>
            <w:rPr>
              <w:color w:val="auto"/>
              <w:sz w:val="21"/>
              <w:szCs w:val="21"/>
            </w:rPr>
            <w:fldChar w:fldCharType="separate"/>
          </w:r>
          <w:r>
            <w:rPr>
              <w:color w:val="auto"/>
              <w:sz w:val="21"/>
              <w:szCs w:val="21"/>
            </w:rPr>
            <w:t>52</w:t>
          </w:r>
          <w:r>
            <w:rPr>
              <w:color w:val="auto"/>
              <w:sz w:val="21"/>
              <w:szCs w:val="21"/>
            </w:rPr>
            <w:fldChar w:fldCharType="end"/>
          </w:r>
          <w:r>
            <w:rPr>
              <w:color w:val="auto"/>
              <w:sz w:val="21"/>
              <w:szCs w:val="21"/>
            </w:rPr>
            <w:fldChar w:fldCharType="end"/>
          </w:r>
        </w:p>
        <w:p w14:paraId="73CBE86A">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_Toc28003 </w:instrText>
          </w:r>
          <w:r>
            <w:rPr>
              <w:color w:val="auto"/>
              <w:sz w:val="21"/>
              <w:szCs w:val="21"/>
            </w:rPr>
            <w:fldChar w:fldCharType="separate"/>
          </w:r>
          <w:r>
            <w:rPr>
              <w:rFonts w:hint="default" w:ascii="宋体" w:hAnsi="宋体" w:eastAsia="宋体" w:cs="宋体"/>
              <w:color w:val="auto"/>
              <w:sz w:val="21"/>
              <w:szCs w:val="21"/>
              <w:lang w:val="en-US" w:eastAsia="zh-CN"/>
            </w:rPr>
            <w:t xml:space="preserve">7.5 </w:t>
          </w:r>
          <w:r>
            <w:rPr>
              <w:rFonts w:hint="eastAsia"/>
              <w:color w:val="auto"/>
              <w:sz w:val="21"/>
              <w:szCs w:val="21"/>
              <w:lang w:val="en-US" w:eastAsia="zh-CN"/>
            </w:rPr>
            <w:t>对水生态环境影响分析</w:t>
          </w:r>
          <w:r>
            <w:rPr>
              <w:color w:val="auto"/>
              <w:sz w:val="21"/>
              <w:szCs w:val="21"/>
            </w:rPr>
            <w:tab/>
          </w:r>
          <w:r>
            <w:rPr>
              <w:color w:val="auto"/>
              <w:sz w:val="21"/>
              <w:szCs w:val="21"/>
            </w:rPr>
            <w:fldChar w:fldCharType="begin"/>
          </w:r>
          <w:r>
            <w:rPr>
              <w:color w:val="auto"/>
              <w:sz w:val="21"/>
              <w:szCs w:val="21"/>
            </w:rPr>
            <w:instrText xml:space="preserve"> PAGEREF _Toc28003 \h </w:instrText>
          </w:r>
          <w:r>
            <w:rPr>
              <w:color w:val="auto"/>
              <w:sz w:val="21"/>
              <w:szCs w:val="21"/>
            </w:rPr>
            <w:fldChar w:fldCharType="separate"/>
          </w:r>
          <w:r>
            <w:rPr>
              <w:color w:val="auto"/>
              <w:sz w:val="21"/>
              <w:szCs w:val="21"/>
            </w:rPr>
            <w:t>52</w:t>
          </w:r>
          <w:r>
            <w:rPr>
              <w:color w:val="auto"/>
              <w:sz w:val="21"/>
              <w:szCs w:val="21"/>
            </w:rPr>
            <w:fldChar w:fldCharType="end"/>
          </w:r>
          <w:r>
            <w:rPr>
              <w:color w:val="auto"/>
              <w:sz w:val="21"/>
              <w:szCs w:val="21"/>
            </w:rPr>
            <w:fldChar w:fldCharType="end"/>
          </w:r>
        </w:p>
        <w:p w14:paraId="7E51F555">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_Toc8163 </w:instrText>
          </w:r>
          <w:r>
            <w:rPr>
              <w:color w:val="auto"/>
              <w:sz w:val="21"/>
              <w:szCs w:val="21"/>
            </w:rPr>
            <w:fldChar w:fldCharType="separate"/>
          </w:r>
          <w:r>
            <w:rPr>
              <w:rFonts w:hint="default" w:ascii="宋体" w:hAnsi="宋体" w:eastAsia="宋体" w:cs="宋体"/>
              <w:color w:val="auto"/>
              <w:sz w:val="21"/>
              <w:szCs w:val="21"/>
              <w:lang w:val="en-US" w:eastAsia="zh-CN"/>
            </w:rPr>
            <w:t xml:space="preserve">7.6 </w:t>
          </w:r>
          <w:r>
            <w:rPr>
              <w:rFonts w:hint="eastAsia"/>
              <w:color w:val="auto"/>
              <w:sz w:val="21"/>
              <w:szCs w:val="21"/>
              <w:lang w:val="en-US" w:eastAsia="zh-CN"/>
            </w:rPr>
            <w:t>对地下水影响分析</w:t>
          </w:r>
          <w:r>
            <w:rPr>
              <w:color w:val="auto"/>
              <w:sz w:val="21"/>
              <w:szCs w:val="21"/>
            </w:rPr>
            <w:tab/>
          </w:r>
          <w:r>
            <w:rPr>
              <w:color w:val="auto"/>
              <w:sz w:val="21"/>
              <w:szCs w:val="21"/>
            </w:rPr>
            <w:fldChar w:fldCharType="begin"/>
          </w:r>
          <w:r>
            <w:rPr>
              <w:color w:val="auto"/>
              <w:sz w:val="21"/>
              <w:szCs w:val="21"/>
            </w:rPr>
            <w:instrText xml:space="preserve"> PAGEREF _Toc8163 \h </w:instrText>
          </w:r>
          <w:r>
            <w:rPr>
              <w:color w:val="auto"/>
              <w:sz w:val="21"/>
              <w:szCs w:val="21"/>
            </w:rPr>
            <w:fldChar w:fldCharType="separate"/>
          </w:r>
          <w:r>
            <w:rPr>
              <w:color w:val="auto"/>
              <w:sz w:val="21"/>
              <w:szCs w:val="21"/>
            </w:rPr>
            <w:t>53</w:t>
          </w:r>
          <w:r>
            <w:rPr>
              <w:color w:val="auto"/>
              <w:sz w:val="21"/>
              <w:szCs w:val="21"/>
            </w:rPr>
            <w:fldChar w:fldCharType="end"/>
          </w:r>
          <w:r>
            <w:rPr>
              <w:color w:val="auto"/>
              <w:sz w:val="21"/>
              <w:szCs w:val="21"/>
            </w:rPr>
            <w:fldChar w:fldCharType="end"/>
          </w:r>
        </w:p>
        <w:p w14:paraId="779C63DA">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_Toc32092 </w:instrText>
          </w:r>
          <w:r>
            <w:rPr>
              <w:color w:val="auto"/>
              <w:sz w:val="21"/>
              <w:szCs w:val="21"/>
            </w:rPr>
            <w:fldChar w:fldCharType="separate"/>
          </w:r>
          <w:r>
            <w:rPr>
              <w:rFonts w:hint="default" w:ascii="宋体" w:hAnsi="宋体" w:eastAsia="宋体" w:cs="宋体"/>
              <w:color w:val="auto"/>
              <w:sz w:val="21"/>
              <w:szCs w:val="21"/>
              <w:lang w:val="en-US" w:eastAsia="zh-CN"/>
            </w:rPr>
            <w:t xml:space="preserve">7.7 </w:t>
          </w:r>
          <w:r>
            <w:rPr>
              <w:rFonts w:hint="eastAsia"/>
              <w:color w:val="auto"/>
              <w:sz w:val="21"/>
              <w:szCs w:val="21"/>
              <w:lang w:val="en-US" w:eastAsia="zh-CN"/>
            </w:rPr>
            <w:t>对第三者影响分析</w:t>
          </w:r>
          <w:r>
            <w:rPr>
              <w:color w:val="auto"/>
              <w:sz w:val="21"/>
              <w:szCs w:val="21"/>
            </w:rPr>
            <w:tab/>
          </w:r>
          <w:r>
            <w:rPr>
              <w:color w:val="auto"/>
              <w:sz w:val="21"/>
              <w:szCs w:val="21"/>
            </w:rPr>
            <w:fldChar w:fldCharType="begin"/>
          </w:r>
          <w:r>
            <w:rPr>
              <w:color w:val="auto"/>
              <w:sz w:val="21"/>
              <w:szCs w:val="21"/>
            </w:rPr>
            <w:instrText xml:space="preserve"> PAGEREF _Toc32092 \h </w:instrText>
          </w:r>
          <w:r>
            <w:rPr>
              <w:color w:val="auto"/>
              <w:sz w:val="21"/>
              <w:szCs w:val="21"/>
            </w:rPr>
            <w:fldChar w:fldCharType="separate"/>
          </w:r>
          <w:r>
            <w:rPr>
              <w:color w:val="auto"/>
              <w:sz w:val="21"/>
              <w:szCs w:val="21"/>
            </w:rPr>
            <w:t>54</w:t>
          </w:r>
          <w:r>
            <w:rPr>
              <w:color w:val="auto"/>
              <w:sz w:val="21"/>
              <w:szCs w:val="21"/>
            </w:rPr>
            <w:fldChar w:fldCharType="end"/>
          </w:r>
          <w:r>
            <w:rPr>
              <w:color w:val="auto"/>
              <w:sz w:val="21"/>
              <w:szCs w:val="21"/>
            </w:rPr>
            <w:fldChar w:fldCharType="end"/>
          </w:r>
        </w:p>
        <w:p w14:paraId="426AC1EF">
          <w:pPr>
            <w:pStyle w:val="25"/>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_Toc15176 </w:instrText>
          </w:r>
          <w:r>
            <w:rPr>
              <w:color w:val="auto"/>
              <w:sz w:val="21"/>
              <w:szCs w:val="21"/>
            </w:rPr>
            <w:fldChar w:fldCharType="separate"/>
          </w:r>
          <w:r>
            <w:rPr>
              <w:rFonts w:hint="default" w:ascii="宋体" w:hAnsi="宋体" w:eastAsia="宋体" w:cs="宋体"/>
              <w:i w:val="0"/>
              <w:color w:val="auto"/>
              <w:sz w:val="21"/>
              <w:szCs w:val="21"/>
              <w:lang w:val="en-US" w:eastAsia="zh-CN"/>
            </w:rPr>
            <w:t xml:space="preserve">8 </w:t>
          </w:r>
          <w:r>
            <w:rPr>
              <w:rFonts w:hint="eastAsia"/>
              <w:color w:val="auto"/>
              <w:sz w:val="21"/>
              <w:szCs w:val="21"/>
              <w:lang w:val="en-US" w:eastAsia="zh-CN"/>
            </w:rPr>
            <w:t>水环境保护措施</w:t>
          </w:r>
          <w:r>
            <w:rPr>
              <w:color w:val="auto"/>
              <w:sz w:val="21"/>
              <w:szCs w:val="21"/>
            </w:rPr>
            <w:tab/>
          </w:r>
          <w:r>
            <w:rPr>
              <w:color w:val="auto"/>
              <w:sz w:val="21"/>
              <w:szCs w:val="21"/>
            </w:rPr>
            <w:fldChar w:fldCharType="begin"/>
          </w:r>
          <w:r>
            <w:rPr>
              <w:color w:val="auto"/>
              <w:sz w:val="21"/>
              <w:szCs w:val="21"/>
            </w:rPr>
            <w:instrText xml:space="preserve"> PAGEREF _Toc15176 \h </w:instrText>
          </w:r>
          <w:r>
            <w:rPr>
              <w:color w:val="auto"/>
              <w:sz w:val="21"/>
              <w:szCs w:val="21"/>
            </w:rPr>
            <w:fldChar w:fldCharType="separate"/>
          </w:r>
          <w:r>
            <w:rPr>
              <w:color w:val="auto"/>
              <w:sz w:val="21"/>
              <w:szCs w:val="21"/>
            </w:rPr>
            <w:t>58</w:t>
          </w:r>
          <w:r>
            <w:rPr>
              <w:color w:val="auto"/>
              <w:sz w:val="21"/>
              <w:szCs w:val="21"/>
            </w:rPr>
            <w:fldChar w:fldCharType="end"/>
          </w:r>
          <w:r>
            <w:rPr>
              <w:color w:val="auto"/>
              <w:sz w:val="21"/>
              <w:szCs w:val="21"/>
            </w:rPr>
            <w:fldChar w:fldCharType="end"/>
          </w:r>
        </w:p>
        <w:p w14:paraId="028C11E7">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_Toc6118 </w:instrText>
          </w:r>
          <w:r>
            <w:rPr>
              <w:color w:val="auto"/>
              <w:sz w:val="21"/>
              <w:szCs w:val="21"/>
            </w:rPr>
            <w:fldChar w:fldCharType="separate"/>
          </w:r>
          <w:r>
            <w:rPr>
              <w:rFonts w:hint="default" w:ascii="宋体" w:hAnsi="宋体" w:eastAsia="宋体" w:cs="宋体"/>
              <w:color w:val="auto"/>
              <w:sz w:val="21"/>
              <w:szCs w:val="21"/>
              <w:lang w:val="en-US" w:eastAsia="zh-CN"/>
            </w:rPr>
            <w:t xml:space="preserve">8.1 </w:t>
          </w:r>
          <w:r>
            <w:rPr>
              <w:rFonts w:hint="eastAsia"/>
              <w:color w:val="auto"/>
              <w:sz w:val="21"/>
              <w:szCs w:val="21"/>
              <w:lang w:val="en-US" w:eastAsia="zh-CN"/>
            </w:rPr>
            <w:t>水生态保护措施</w:t>
          </w:r>
          <w:r>
            <w:rPr>
              <w:color w:val="auto"/>
              <w:sz w:val="21"/>
              <w:szCs w:val="21"/>
            </w:rPr>
            <w:tab/>
          </w:r>
          <w:r>
            <w:rPr>
              <w:color w:val="auto"/>
              <w:sz w:val="21"/>
              <w:szCs w:val="21"/>
            </w:rPr>
            <w:fldChar w:fldCharType="begin"/>
          </w:r>
          <w:r>
            <w:rPr>
              <w:color w:val="auto"/>
              <w:sz w:val="21"/>
              <w:szCs w:val="21"/>
            </w:rPr>
            <w:instrText xml:space="preserve"> PAGEREF _Toc6118 \h </w:instrText>
          </w:r>
          <w:r>
            <w:rPr>
              <w:color w:val="auto"/>
              <w:sz w:val="21"/>
              <w:szCs w:val="21"/>
            </w:rPr>
            <w:fldChar w:fldCharType="separate"/>
          </w:r>
          <w:r>
            <w:rPr>
              <w:color w:val="auto"/>
              <w:sz w:val="21"/>
              <w:szCs w:val="21"/>
            </w:rPr>
            <w:t>58</w:t>
          </w:r>
          <w:r>
            <w:rPr>
              <w:color w:val="auto"/>
              <w:sz w:val="21"/>
              <w:szCs w:val="21"/>
            </w:rPr>
            <w:fldChar w:fldCharType="end"/>
          </w:r>
          <w:r>
            <w:rPr>
              <w:color w:val="auto"/>
              <w:sz w:val="21"/>
              <w:szCs w:val="21"/>
            </w:rPr>
            <w:fldChar w:fldCharType="end"/>
          </w:r>
        </w:p>
        <w:p w14:paraId="5A4ECF38">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_Toc3707 </w:instrText>
          </w:r>
          <w:r>
            <w:rPr>
              <w:color w:val="auto"/>
              <w:sz w:val="21"/>
              <w:szCs w:val="21"/>
            </w:rPr>
            <w:fldChar w:fldCharType="separate"/>
          </w:r>
          <w:r>
            <w:rPr>
              <w:rFonts w:hint="default" w:ascii="宋体" w:hAnsi="宋体" w:eastAsia="宋体" w:cs="宋体"/>
              <w:color w:val="auto"/>
              <w:sz w:val="21"/>
              <w:szCs w:val="21"/>
              <w:lang w:val="en-US" w:eastAsia="zh-CN"/>
            </w:rPr>
            <w:t xml:space="preserve">8.2 </w:t>
          </w:r>
          <w:r>
            <w:rPr>
              <w:rFonts w:hint="eastAsia"/>
              <w:color w:val="auto"/>
              <w:sz w:val="21"/>
              <w:szCs w:val="21"/>
              <w:lang w:val="en-US" w:eastAsia="zh-CN"/>
            </w:rPr>
            <w:t>水环境风险及其防范措施与应急预案</w:t>
          </w:r>
          <w:r>
            <w:rPr>
              <w:color w:val="auto"/>
              <w:sz w:val="21"/>
              <w:szCs w:val="21"/>
            </w:rPr>
            <w:tab/>
          </w:r>
          <w:r>
            <w:rPr>
              <w:color w:val="auto"/>
              <w:sz w:val="21"/>
              <w:szCs w:val="21"/>
            </w:rPr>
            <w:fldChar w:fldCharType="begin"/>
          </w:r>
          <w:r>
            <w:rPr>
              <w:color w:val="auto"/>
              <w:sz w:val="21"/>
              <w:szCs w:val="21"/>
            </w:rPr>
            <w:instrText xml:space="preserve"> PAGEREF _Toc3707 \h </w:instrText>
          </w:r>
          <w:r>
            <w:rPr>
              <w:color w:val="auto"/>
              <w:sz w:val="21"/>
              <w:szCs w:val="21"/>
            </w:rPr>
            <w:fldChar w:fldCharType="separate"/>
          </w:r>
          <w:r>
            <w:rPr>
              <w:color w:val="auto"/>
              <w:sz w:val="21"/>
              <w:szCs w:val="21"/>
            </w:rPr>
            <w:t>58</w:t>
          </w:r>
          <w:r>
            <w:rPr>
              <w:color w:val="auto"/>
              <w:sz w:val="21"/>
              <w:szCs w:val="21"/>
            </w:rPr>
            <w:fldChar w:fldCharType="end"/>
          </w:r>
          <w:r>
            <w:rPr>
              <w:color w:val="auto"/>
              <w:sz w:val="21"/>
              <w:szCs w:val="21"/>
            </w:rPr>
            <w:fldChar w:fldCharType="end"/>
          </w:r>
        </w:p>
        <w:p w14:paraId="283D51C9">
          <w:pPr>
            <w:pStyle w:val="25"/>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_Toc7711 </w:instrText>
          </w:r>
          <w:r>
            <w:rPr>
              <w:color w:val="auto"/>
              <w:sz w:val="21"/>
              <w:szCs w:val="21"/>
            </w:rPr>
            <w:fldChar w:fldCharType="separate"/>
          </w:r>
          <w:r>
            <w:rPr>
              <w:rFonts w:hint="default" w:ascii="宋体" w:hAnsi="宋体" w:eastAsia="宋体" w:cs="宋体"/>
              <w:i w:val="0"/>
              <w:color w:val="auto"/>
              <w:sz w:val="21"/>
              <w:szCs w:val="21"/>
              <w:lang w:val="en-US" w:eastAsia="zh-CN"/>
            </w:rPr>
            <w:t xml:space="preserve">9 </w:t>
          </w:r>
          <w:r>
            <w:rPr>
              <w:rFonts w:hint="eastAsia"/>
              <w:color w:val="auto"/>
              <w:sz w:val="21"/>
              <w:szCs w:val="21"/>
              <w:lang w:val="en-US" w:eastAsia="zh-CN"/>
            </w:rPr>
            <w:t>入河排污口设置合理性分析</w:t>
          </w:r>
          <w:r>
            <w:rPr>
              <w:color w:val="auto"/>
              <w:sz w:val="21"/>
              <w:szCs w:val="21"/>
            </w:rPr>
            <w:tab/>
          </w:r>
          <w:r>
            <w:rPr>
              <w:color w:val="auto"/>
              <w:sz w:val="21"/>
              <w:szCs w:val="21"/>
            </w:rPr>
            <w:fldChar w:fldCharType="begin"/>
          </w:r>
          <w:r>
            <w:rPr>
              <w:color w:val="auto"/>
              <w:sz w:val="21"/>
              <w:szCs w:val="21"/>
            </w:rPr>
            <w:instrText xml:space="preserve"> PAGEREF _Toc7711 \h </w:instrText>
          </w:r>
          <w:r>
            <w:rPr>
              <w:color w:val="auto"/>
              <w:sz w:val="21"/>
              <w:szCs w:val="21"/>
            </w:rPr>
            <w:fldChar w:fldCharType="separate"/>
          </w:r>
          <w:r>
            <w:rPr>
              <w:color w:val="auto"/>
              <w:sz w:val="21"/>
              <w:szCs w:val="21"/>
            </w:rPr>
            <w:t>72</w:t>
          </w:r>
          <w:r>
            <w:rPr>
              <w:color w:val="auto"/>
              <w:sz w:val="21"/>
              <w:szCs w:val="21"/>
            </w:rPr>
            <w:fldChar w:fldCharType="end"/>
          </w:r>
          <w:r>
            <w:rPr>
              <w:color w:val="auto"/>
              <w:sz w:val="21"/>
              <w:szCs w:val="21"/>
            </w:rPr>
            <w:fldChar w:fldCharType="end"/>
          </w:r>
        </w:p>
        <w:p w14:paraId="5748F17E">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_Toc2806 </w:instrText>
          </w:r>
          <w:r>
            <w:rPr>
              <w:color w:val="auto"/>
              <w:sz w:val="21"/>
              <w:szCs w:val="21"/>
            </w:rPr>
            <w:fldChar w:fldCharType="separate"/>
          </w:r>
          <w:r>
            <w:rPr>
              <w:rFonts w:hint="default" w:ascii="宋体" w:hAnsi="宋体" w:eastAsia="宋体" w:cs="宋体"/>
              <w:color w:val="auto"/>
              <w:sz w:val="21"/>
              <w:szCs w:val="21"/>
              <w:lang w:val="en-US" w:eastAsia="zh-CN"/>
            </w:rPr>
            <w:t xml:space="preserve">9.1 </w:t>
          </w:r>
          <w:r>
            <w:rPr>
              <w:rFonts w:hint="eastAsia"/>
              <w:color w:val="auto"/>
              <w:sz w:val="21"/>
              <w:szCs w:val="21"/>
              <w:lang w:val="en-US" w:eastAsia="zh-CN"/>
            </w:rPr>
            <w:t>与法律法规、管理要求相符性分析</w:t>
          </w:r>
          <w:r>
            <w:rPr>
              <w:color w:val="auto"/>
              <w:sz w:val="21"/>
              <w:szCs w:val="21"/>
            </w:rPr>
            <w:tab/>
          </w:r>
          <w:r>
            <w:rPr>
              <w:color w:val="auto"/>
              <w:sz w:val="21"/>
              <w:szCs w:val="21"/>
            </w:rPr>
            <w:fldChar w:fldCharType="begin"/>
          </w:r>
          <w:r>
            <w:rPr>
              <w:color w:val="auto"/>
              <w:sz w:val="21"/>
              <w:szCs w:val="21"/>
            </w:rPr>
            <w:instrText xml:space="preserve"> PAGEREF _Toc2806 \h </w:instrText>
          </w:r>
          <w:r>
            <w:rPr>
              <w:color w:val="auto"/>
              <w:sz w:val="21"/>
              <w:szCs w:val="21"/>
            </w:rPr>
            <w:fldChar w:fldCharType="separate"/>
          </w:r>
          <w:r>
            <w:rPr>
              <w:color w:val="auto"/>
              <w:sz w:val="21"/>
              <w:szCs w:val="21"/>
            </w:rPr>
            <w:t>72</w:t>
          </w:r>
          <w:r>
            <w:rPr>
              <w:color w:val="auto"/>
              <w:sz w:val="21"/>
              <w:szCs w:val="21"/>
            </w:rPr>
            <w:fldChar w:fldCharType="end"/>
          </w:r>
          <w:r>
            <w:rPr>
              <w:color w:val="auto"/>
              <w:sz w:val="21"/>
              <w:szCs w:val="21"/>
            </w:rPr>
            <w:fldChar w:fldCharType="end"/>
          </w:r>
        </w:p>
        <w:p w14:paraId="5196656B">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_Toc20315 </w:instrText>
          </w:r>
          <w:r>
            <w:rPr>
              <w:color w:val="auto"/>
              <w:sz w:val="21"/>
              <w:szCs w:val="21"/>
            </w:rPr>
            <w:fldChar w:fldCharType="separate"/>
          </w:r>
          <w:r>
            <w:rPr>
              <w:rFonts w:hint="default" w:ascii="宋体" w:hAnsi="宋体" w:eastAsia="宋体" w:cs="宋体"/>
              <w:color w:val="auto"/>
              <w:sz w:val="21"/>
              <w:szCs w:val="21"/>
              <w:lang w:val="en-US" w:eastAsia="zh-CN"/>
            </w:rPr>
            <w:t xml:space="preserve">9.2 </w:t>
          </w:r>
          <w:r>
            <w:rPr>
              <w:rFonts w:hint="eastAsia"/>
              <w:color w:val="auto"/>
              <w:sz w:val="21"/>
              <w:szCs w:val="21"/>
              <w:lang w:val="en-US" w:eastAsia="zh-CN"/>
            </w:rPr>
            <w:t>项目选址环境合理合法性分析</w:t>
          </w:r>
          <w:r>
            <w:rPr>
              <w:color w:val="auto"/>
              <w:sz w:val="21"/>
              <w:szCs w:val="21"/>
            </w:rPr>
            <w:tab/>
          </w:r>
          <w:r>
            <w:rPr>
              <w:color w:val="auto"/>
              <w:sz w:val="21"/>
              <w:szCs w:val="21"/>
            </w:rPr>
            <w:fldChar w:fldCharType="begin"/>
          </w:r>
          <w:r>
            <w:rPr>
              <w:color w:val="auto"/>
              <w:sz w:val="21"/>
              <w:szCs w:val="21"/>
            </w:rPr>
            <w:instrText xml:space="preserve"> PAGEREF _Toc20315 \h </w:instrText>
          </w:r>
          <w:r>
            <w:rPr>
              <w:color w:val="auto"/>
              <w:sz w:val="21"/>
              <w:szCs w:val="21"/>
            </w:rPr>
            <w:fldChar w:fldCharType="separate"/>
          </w:r>
          <w:r>
            <w:rPr>
              <w:color w:val="auto"/>
              <w:sz w:val="21"/>
              <w:szCs w:val="21"/>
            </w:rPr>
            <w:t>73</w:t>
          </w:r>
          <w:r>
            <w:rPr>
              <w:color w:val="auto"/>
              <w:sz w:val="21"/>
              <w:szCs w:val="21"/>
            </w:rPr>
            <w:fldChar w:fldCharType="end"/>
          </w:r>
          <w:r>
            <w:rPr>
              <w:color w:val="auto"/>
              <w:sz w:val="21"/>
              <w:szCs w:val="21"/>
            </w:rPr>
            <w:fldChar w:fldCharType="end"/>
          </w:r>
        </w:p>
        <w:p w14:paraId="75E42B8F">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_Toc1756 </w:instrText>
          </w:r>
          <w:r>
            <w:rPr>
              <w:color w:val="auto"/>
              <w:sz w:val="21"/>
              <w:szCs w:val="21"/>
            </w:rPr>
            <w:fldChar w:fldCharType="separate"/>
          </w:r>
          <w:r>
            <w:rPr>
              <w:rFonts w:hint="default" w:ascii="宋体" w:hAnsi="宋体" w:eastAsia="宋体" w:cs="宋体"/>
              <w:color w:val="auto"/>
              <w:sz w:val="21"/>
              <w:szCs w:val="21"/>
              <w:lang w:val="en-US" w:eastAsia="zh-CN"/>
            </w:rPr>
            <w:t xml:space="preserve">9.3 </w:t>
          </w:r>
          <w:r>
            <w:rPr>
              <w:rFonts w:hint="eastAsia"/>
              <w:color w:val="auto"/>
              <w:sz w:val="21"/>
              <w:szCs w:val="21"/>
              <w:lang w:val="en-US" w:eastAsia="zh-CN"/>
            </w:rPr>
            <w:t>水资源保护规划相符性分析</w:t>
          </w:r>
          <w:r>
            <w:rPr>
              <w:color w:val="auto"/>
              <w:sz w:val="21"/>
              <w:szCs w:val="21"/>
            </w:rPr>
            <w:tab/>
          </w:r>
          <w:r>
            <w:rPr>
              <w:color w:val="auto"/>
              <w:sz w:val="21"/>
              <w:szCs w:val="21"/>
            </w:rPr>
            <w:fldChar w:fldCharType="begin"/>
          </w:r>
          <w:r>
            <w:rPr>
              <w:color w:val="auto"/>
              <w:sz w:val="21"/>
              <w:szCs w:val="21"/>
            </w:rPr>
            <w:instrText xml:space="preserve"> PAGEREF _Toc1756 \h </w:instrText>
          </w:r>
          <w:r>
            <w:rPr>
              <w:color w:val="auto"/>
              <w:sz w:val="21"/>
              <w:szCs w:val="21"/>
            </w:rPr>
            <w:fldChar w:fldCharType="separate"/>
          </w:r>
          <w:r>
            <w:rPr>
              <w:color w:val="auto"/>
              <w:sz w:val="21"/>
              <w:szCs w:val="21"/>
            </w:rPr>
            <w:t>75</w:t>
          </w:r>
          <w:r>
            <w:rPr>
              <w:color w:val="auto"/>
              <w:sz w:val="21"/>
              <w:szCs w:val="21"/>
            </w:rPr>
            <w:fldChar w:fldCharType="end"/>
          </w:r>
          <w:r>
            <w:rPr>
              <w:color w:val="auto"/>
              <w:sz w:val="21"/>
              <w:szCs w:val="21"/>
            </w:rPr>
            <w:fldChar w:fldCharType="end"/>
          </w:r>
        </w:p>
        <w:p w14:paraId="504E5FF0">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_Toc8698 </w:instrText>
          </w:r>
          <w:r>
            <w:rPr>
              <w:color w:val="auto"/>
              <w:sz w:val="21"/>
              <w:szCs w:val="21"/>
            </w:rPr>
            <w:fldChar w:fldCharType="separate"/>
          </w:r>
          <w:r>
            <w:rPr>
              <w:rFonts w:hint="default" w:ascii="宋体" w:hAnsi="宋体" w:eastAsia="宋体" w:cs="宋体"/>
              <w:color w:val="auto"/>
              <w:sz w:val="21"/>
              <w:szCs w:val="21"/>
              <w:lang w:val="en-US" w:eastAsia="zh-CN"/>
            </w:rPr>
            <w:t xml:space="preserve">9.4 </w:t>
          </w:r>
          <w:r>
            <w:rPr>
              <w:rFonts w:hint="eastAsia"/>
              <w:color w:val="auto"/>
              <w:sz w:val="21"/>
              <w:szCs w:val="21"/>
              <w:lang w:val="en-US" w:eastAsia="zh-CN"/>
            </w:rPr>
            <w:t>入河排污口设置合理性分析</w:t>
          </w:r>
          <w:r>
            <w:rPr>
              <w:color w:val="auto"/>
              <w:sz w:val="21"/>
              <w:szCs w:val="21"/>
            </w:rPr>
            <w:tab/>
          </w:r>
          <w:r>
            <w:rPr>
              <w:color w:val="auto"/>
              <w:sz w:val="21"/>
              <w:szCs w:val="21"/>
            </w:rPr>
            <w:fldChar w:fldCharType="begin"/>
          </w:r>
          <w:r>
            <w:rPr>
              <w:color w:val="auto"/>
              <w:sz w:val="21"/>
              <w:szCs w:val="21"/>
            </w:rPr>
            <w:instrText xml:space="preserve"> PAGEREF _Toc8698 \h </w:instrText>
          </w:r>
          <w:r>
            <w:rPr>
              <w:color w:val="auto"/>
              <w:sz w:val="21"/>
              <w:szCs w:val="21"/>
            </w:rPr>
            <w:fldChar w:fldCharType="separate"/>
          </w:r>
          <w:r>
            <w:rPr>
              <w:color w:val="auto"/>
              <w:sz w:val="21"/>
              <w:szCs w:val="21"/>
            </w:rPr>
            <w:t>76</w:t>
          </w:r>
          <w:r>
            <w:rPr>
              <w:color w:val="auto"/>
              <w:sz w:val="21"/>
              <w:szCs w:val="21"/>
            </w:rPr>
            <w:fldChar w:fldCharType="end"/>
          </w:r>
          <w:r>
            <w:rPr>
              <w:color w:val="auto"/>
              <w:sz w:val="21"/>
              <w:szCs w:val="21"/>
            </w:rPr>
            <w:fldChar w:fldCharType="end"/>
          </w:r>
        </w:p>
        <w:p w14:paraId="025BB45A">
          <w:pPr>
            <w:pStyle w:val="25"/>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_Toc23730 </w:instrText>
          </w:r>
          <w:r>
            <w:rPr>
              <w:color w:val="auto"/>
              <w:sz w:val="21"/>
              <w:szCs w:val="21"/>
            </w:rPr>
            <w:fldChar w:fldCharType="separate"/>
          </w:r>
          <w:r>
            <w:rPr>
              <w:rFonts w:hint="default" w:ascii="宋体" w:hAnsi="宋体" w:eastAsia="宋体" w:cs="宋体"/>
              <w:i w:val="0"/>
              <w:color w:val="auto"/>
              <w:sz w:val="21"/>
              <w:szCs w:val="21"/>
              <w:lang w:val="en-US" w:eastAsia="zh-CN"/>
            </w:rPr>
            <w:t xml:space="preserve">10 </w:t>
          </w:r>
          <w:r>
            <w:rPr>
              <w:rFonts w:hint="eastAsia"/>
              <w:color w:val="auto"/>
              <w:sz w:val="21"/>
              <w:szCs w:val="21"/>
              <w:lang w:val="en-US" w:eastAsia="zh-CN"/>
            </w:rPr>
            <w:t>结论与建议</w:t>
          </w:r>
          <w:r>
            <w:rPr>
              <w:color w:val="auto"/>
              <w:sz w:val="21"/>
              <w:szCs w:val="21"/>
            </w:rPr>
            <w:tab/>
          </w:r>
          <w:r>
            <w:rPr>
              <w:color w:val="auto"/>
              <w:sz w:val="21"/>
              <w:szCs w:val="21"/>
            </w:rPr>
            <w:fldChar w:fldCharType="begin"/>
          </w:r>
          <w:r>
            <w:rPr>
              <w:color w:val="auto"/>
              <w:sz w:val="21"/>
              <w:szCs w:val="21"/>
            </w:rPr>
            <w:instrText xml:space="preserve"> PAGEREF _Toc23730 \h </w:instrText>
          </w:r>
          <w:r>
            <w:rPr>
              <w:color w:val="auto"/>
              <w:sz w:val="21"/>
              <w:szCs w:val="21"/>
            </w:rPr>
            <w:fldChar w:fldCharType="separate"/>
          </w:r>
          <w:r>
            <w:rPr>
              <w:color w:val="auto"/>
              <w:sz w:val="21"/>
              <w:szCs w:val="21"/>
            </w:rPr>
            <w:t>77</w:t>
          </w:r>
          <w:r>
            <w:rPr>
              <w:color w:val="auto"/>
              <w:sz w:val="21"/>
              <w:szCs w:val="21"/>
            </w:rPr>
            <w:fldChar w:fldCharType="end"/>
          </w:r>
          <w:r>
            <w:rPr>
              <w:color w:val="auto"/>
              <w:sz w:val="21"/>
              <w:szCs w:val="21"/>
            </w:rPr>
            <w:fldChar w:fldCharType="end"/>
          </w:r>
        </w:p>
        <w:p w14:paraId="68A05AD5">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_Toc21893 </w:instrText>
          </w:r>
          <w:r>
            <w:rPr>
              <w:color w:val="auto"/>
              <w:sz w:val="21"/>
              <w:szCs w:val="21"/>
            </w:rPr>
            <w:fldChar w:fldCharType="separate"/>
          </w:r>
          <w:r>
            <w:rPr>
              <w:rFonts w:hint="default" w:ascii="宋体" w:hAnsi="宋体" w:eastAsia="宋体" w:cs="宋体"/>
              <w:color w:val="auto"/>
              <w:sz w:val="21"/>
              <w:szCs w:val="21"/>
              <w:lang w:val="en-US" w:eastAsia="zh-CN"/>
            </w:rPr>
            <w:t xml:space="preserve">10.1 </w:t>
          </w:r>
          <w:r>
            <w:rPr>
              <w:rFonts w:hint="eastAsia"/>
              <w:color w:val="auto"/>
              <w:sz w:val="21"/>
              <w:szCs w:val="21"/>
              <w:lang w:val="en-US" w:eastAsia="zh-CN"/>
            </w:rPr>
            <w:t>论证结论</w:t>
          </w:r>
          <w:r>
            <w:rPr>
              <w:color w:val="auto"/>
              <w:sz w:val="21"/>
              <w:szCs w:val="21"/>
            </w:rPr>
            <w:tab/>
          </w:r>
          <w:r>
            <w:rPr>
              <w:color w:val="auto"/>
              <w:sz w:val="21"/>
              <w:szCs w:val="21"/>
            </w:rPr>
            <w:fldChar w:fldCharType="begin"/>
          </w:r>
          <w:r>
            <w:rPr>
              <w:color w:val="auto"/>
              <w:sz w:val="21"/>
              <w:szCs w:val="21"/>
            </w:rPr>
            <w:instrText xml:space="preserve"> PAGEREF _Toc21893 \h </w:instrText>
          </w:r>
          <w:r>
            <w:rPr>
              <w:color w:val="auto"/>
              <w:sz w:val="21"/>
              <w:szCs w:val="21"/>
            </w:rPr>
            <w:fldChar w:fldCharType="separate"/>
          </w:r>
          <w:r>
            <w:rPr>
              <w:color w:val="auto"/>
              <w:sz w:val="21"/>
              <w:szCs w:val="21"/>
            </w:rPr>
            <w:t>77</w:t>
          </w:r>
          <w:r>
            <w:rPr>
              <w:color w:val="auto"/>
              <w:sz w:val="21"/>
              <w:szCs w:val="21"/>
            </w:rPr>
            <w:fldChar w:fldCharType="end"/>
          </w:r>
          <w:r>
            <w:rPr>
              <w:color w:val="auto"/>
              <w:sz w:val="21"/>
              <w:szCs w:val="21"/>
            </w:rPr>
            <w:fldChar w:fldCharType="end"/>
          </w:r>
        </w:p>
        <w:p w14:paraId="2C06FEF7">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_Toc18569 </w:instrText>
          </w:r>
          <w:r>
            <w:rPr>
              <w:color w:val="auto"/>
              <w:sz w:val="21"/>
              <w:szCs w:val="21"/>
            </w:rPr>
            <w:fldChar w:fldCharType="separate"/>
          </w:r>
          <w:r>
            <w:rPr>
              <w:rFonts w:hint="default" w:ascii="宋体" w:hAnsi="宋体" w:eastAsia="宋体" w:cs="宋体"/>
              <w:color w:val="auto"/>
              <w:sz w:val="21"/>
              <w:szCs w:val="21"/>
              <w:lang w:val="en-US" w:eastAsia="zh-CN"/>
            </w:rPr>
            <w:t xml:space="preserve">10.2 </w:t>
          </w:r>
          <w:r>
            <w:rPr>
              <w:rFonts w:hint="eastAsia"/>
              <w:color w:val="auto"/>
              <w:sz w:val="21"/>
              <w:szCs w:val="21"/>
              <w:lang w:val="en-US" w:eastAsia="zh-CN"/>
            </w:rPr>
            <w:t>建议</w:t>
          </w:r>
          <w:r>
            <w:rPr>
              <w:color w:val="auto"/>
              <w:sz w:val="21"/>
              <w:szCs w:val="21"/>
            </w:rPr>
            <w:tab/>
          </w:r>
          <w:r>
            <w:rPr>
              <w:color w:val="auto"/>
              <w:sz w:val="21"/>
              <w:szCs w:val="21"/>
            </w:rPr>
            <w:fldChar w:fldCharType="begin"/>
          </w:r>
          <w:r>
            <w:rPr>
              <w:color w:val="auto"/>
              <w:sz w:val="21"/>
              <w:szCs w:val="21"/>
            </w:rPr>
            <w:instrText xml:space="preserve"> PAGEREF _Toc18569 \h </w:instrText>
          </w:r>
          <w:r>
            <w:rPr>
              <w:color w:val="auto"/>
              <w:sz w:val="21"/>
              <w:szCs w:val="21"/>
            </w:rPr>
            <w:fldChar w:fldCharType="separate"/>
          </w:r>
          <w:r>
            <w:rPr>
              <w:color w:val="auto"/>
              <w:sz w:val="21"/>
              <w:szCs w:val="21"/>
            </w:rPr>
            <w:t>78</w:t>
          </w:r>
          <w:r>
            <w:rPr>
              <w:color w:val="auto"/>
              <w:sz w:val="21"/>
              <w:szCs w:val="21"/>
            </w:rPr>
            <w:fldChar w:fldCharType="end"/>
          </w:r>
          <w:r>
            <w:rPr>
              <w:color w:val="auto"/>
              <w:sz w:val="21"/>
              <w:szCs w:val="21"/>
            </w:rPr>
            <w:fldChar w:fldCharType="end"/>
          </w:r>
        </w:p>
        <w:p w14:paraId="320810E3">
          <w:pPr>
            <w:pStyle w:val="27"/>
            <w:tabs>
              <w:tab w:val="right" w:leader="dot" w:pos="9070"/>
            </w:tabs>
            <w:spacing w:line="360" w:lineRule="auto"/>
            <w:rPr>
              <w:color w:val="auto"/>
              <w:sz w:val="21"/>
              <w:szCs w:val="21"/>
            </w:rPr>
          </w:pPr>
          <w:r>
            <w:rPr>
              <w:color w:val="auto"/>
              <w:sz w:val="21"/>
              <w:szCs w:val="21"/>
            </w:rPr>
            <w:fldChar w:fldCharType="begin"/>
          </w:r>
          <w:r>
            <w:rPr>
              <w:color w:val="auto"/>
              <w:sz w:val="21"/>
              <w:szCs w:val="21"/>
            </w:rPr>
            <w:instrText xml:space="preserve"> HYPERLINK \l _Toc3509 </w:instrText>
          </w:r>
          <w:r>
            <w:rPr>
              <w:color w:val="auto"/>
              <w:sz w:val="21"/>
              <w:szCs w:val="21"/>
            </w:rPr>
            <w:fldChar w:fldCharType="separate"/>
          </w:r>
          <w:r>
            <w:rPr>
              <w:rFonts w:hint="eastAsia"/>
              <w:color w:val="auto"/>
              <w:sz w:val="21"/>
              <w:szCs w:val="21"/>
              <w:lang w:val="en-US" w:eastAsia="zh-CN"/>
            </w:rPr>
            <w:t>附件和附图</w:t>
          </w:r>
          <w:r>
            <w:rPr>
              <w:color w:val="auto"/>
              <w:sz w:val="21"/>
              <w:szCs w:val="21"/>
            </w:rPr>
            <w:tab/>
          </w:r>
          <w:r>
            <w:rPr>
              <w:color w:val="auto"/>
              <w:sz w:val="21"/>
              <w:szCs w:val="21"/>
            </w:rPr>
            <w:fldChar w:fldCharType="begin"/>
          </w:r>
          <w:r>
            <w:rPr>
              <w:color w:val="auto"/>
              <w:sz w:val="21"/>
              <w:szCs w:val="21"/>
            </w:rPr>
            <w:instrText xml:space="preserve"> PAGEREF _Toc3509 \h </w:instrText>
          </w:r>
          <w:r>
            <w:rPr>
              <w:color w:val="auto"/>
              <w:sz w:val="21"/>
              <w:szCs w:val="21"/>
            </w:rPr>
            <w:fldChar w:fldCharType="separate"/>
          </w:r>
          <w:r>
            <w:rPr>
              <w:color w:val="auto"/>
              <w:sz w:val="21"/>
              <w:szCs w:val="21"/>
            </w:rPr>
            <w:t>80</w:t>
          </w:r>
          <w:r>
            <w:rPr>
              <w:color w:val="auto"/>
              <w:sz w:val="21"/>
              <w:szCs w:val="21"/>
            </w:rPr>
            <w:fldChar w:fldCharType="end"/>
          </w:r>
          <w:r>
            <w:rPr>
              <w:color w:val="auto"/>
              <w:sz w:val="21"/>
              <w:szCs w:val="21"/>
            </w:rPr>
            <w:fldChar w:fldCharType="end"/>
          </w:r>
        </w:p>
        <w:p w14:paraId="1B04281D">
          <w:pPr>
            <w:pStyle w:val="2"/>
            <w:spacing w:line="360" w:lineRule="auto"/>
            <w:rPr>
              <w:color w:val="auto"/>
              <w:sz w:val="21"/>
              <w:szCs w:val="21"/>
            </w:rPr>
          </w:pPr>
          <w:r>
            <w:rPr>
              <w:color w:val="auto"/>
              <w:sz w:val="21"/>
              <w:szCs w:val="21"/>
            </w:rPr>
            <w:fldChar w:fldCharType="end"/>
          </w:r>
        </w:p>
        <w:p w14:paraId="6562BFAA">
          <w:pPr>
            <w:pStyle w:val="2"/>
            <w:rPr>
              <w:color w:val="auto"/>
            </w:rPr>
            <w:sectPr>
              <w:headerReference r:id="rId5" w:type="default"/>
              <w:footerReference r:id="rId6" w:type="default"/>
              <w:pgSz w:w="11906" w:h="16838"/>
              <w:pgMar w:top="1440" w:right="1418" w:bottom="1440" w:left="1418" w:header="624" w:footer="992" w:gutter="0"/>
              <w:pgNumType w:fmt="decimal" w:start="1"/>
              <w:cols w:space="720" w:num="1"/>
              <w:docGrid w:linePitch="312" w:charSpace="0"/>
            </w:sectPr>
          </w:pPr>
        </w:p>
      </w:sdtContent>
    </w:sdt>
    <w:p w14:paraId="411BEADE">
      <w:pPr>
        <w:pStyle w:val="3"/>
        <w:numPr>
          <w:ilvl w:val="0"/>
          <w:numId w:val="5"/>
        </w:numPr>
        <w:ind w:left="0"/>
        <w:rPr>
          <w:color w:val="auto"/>
          <w:highlight w:val="none"/>
        </w:rPr>
      </w:pPr>
      <w:bookmarkStart w:id="1" w:name="_Toc2938"/>
      <w:bookmarkStart w:id="2" w:name="_Toc15683"/>
      <w:bookmarkStart w:id="3" w:name="_Toc22872"/>
      <w:bookmarkStart w:id="4" w:name="_Toc238641785"/>
      <w:bookmarkStart w:id="5" w:name="_Toc257121465"/>
      <w:bookmarkStart w:id="6" w:name="_Toc232826501"/>
      <w:bookmarkStart w:id="7" w:name="_Toc228285085"/>
      <w:r>
        <w:rPr>
          <w:color w:val="auto"/>
          <w:highlight w:val="none"/>
        </w:rPr>
        <w:t>总则</w:t>
      </w:r>
      <w:bookmarkEnd w:id="1"/>
      <w:bookmarkEnd w:id="2"/>
      <w:bookmarkEnd w:id="3"/>
    </w:p>
    <w:bookmarkEnd w:id="4"/>
    <w:bookmarkEnd w:id="5"/>
    <w:bookmarkEnd w:id="6"/>
    <w:bookmarkEnd w:id="7"/>
    <w:p w14:paraId="26AA558D">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bookmarkStart w:id="8" w:name="_Toc12802"/>
      <w:bookmarkStart w:id="9" w:name="_Toc31090"/>
      <w:r>
        <w:rPr>
          <w:rFonts w:hint="eastAsia"/>
          <w:color w:val="auto"/>
          <w:lang w:val="en-US" w:eastAsia="zh-CN"/>
        </w:rPr>
        <w:t>任务由来</w:t>
      </w:r>
      <w:bookmarkEnd w:id="8"/>
      <w:bookmarkEnd w:id="9"/>
    </w:p>
    <w:p w14:paraId="7A6671B0">
      <w:pPr>
        <w:spacing w:line="360" w:lineRule="auto"/>
        <w:ind w:firstLine="480" w:firstLineChars="200"/>
        <w:rPr>
          <w:rFonts w:hint="eastAsia"/>
          <w:color w:val="auto"/>
          <w:sz w:val="24"/>
          <w:highlight w:val="none"/>
          <w:lang w:eastAsia="zh-CN"/>
        </w:rPr>
      </w:pPr>
      <w:r>
        <w:rPr>
          <w:rFonts w:hint="eastAsia"/>
          <w:color w:val="auto"/>
          <w:sz w:val="24"/>
          <w:highlight w:val="none"/>
          <w:lang w:eastAsia="zh-CN"/>
        </w:rPr>
        <w:t>（1）原入河排污口设置情况</w:t>
      </w:r>
    </w:p>
    <w:p w14:paraId="08421705">
      <w:pPr>
        <w:spacing w:line="360" w:lineRule="auto"/>
        <w:ind w:firstLine="480" w:firstLineChars="200"/>
        <w:rPr>
          <w:rFonts w:hint="eastAsia"/>
          <w:color w:val="auto"/>
          <w:sz w:val="24"/>
          <w:highlight w:val="none"/>
          <w:lang w:eastAsia="zh-CN"/>
        </w:rPr>
      </w:pPr>
      <w:r>
        <w:rPr>
          <w:rFonts w:hint="eastAsia"/>
          <w:color w:val="auto"/>
          <w:sz w:val="24"/>
          <w:highlight w:val="none"/>
          <w:lang w:eastAsia="zh-CN"/>
        </w:rPr>
        <w:t>阳东区大八镇污水处理厂项目于</w:t>
      </w:r>
      <w:r>
        <w:rPr>
          <w:rFonts w:hint="eastAsia"/>
          <w:color w:val="auto"/>
          <w:sz w:val="24"/>
          <w:highlight w:val="none"/>
          <w:lang w:val="en-US" w:eastAsia="zh-CN"/>
        </w:rPr>
        <w:t>2023</w:t>
      </w:r>
      <w:r>
        <w:rPr>
          <w:rFonts w:hint="eastAsia"/>
          <w:color w:val="auto"/>
          <w:sz w:val="24"/>
          <w:highlight w:val="none"/>
          <w:lang w:eastAsia="zh-CN"/>
        </w:rPr>
        <w:t>年</w:t>
      </w:r>
      <w:r>
        <w:rPr>
          <w:rFonts w:hint="eastAsia"/>
          <w:color w:val="auto"/>
          <w:sz w:val="24"/>
          <w:highlight w:val="none"/>
          <w:lang w:val="en-US" w:eastAsia="zh-CN"/>
        </w:rPr>
        <w:t>5</w:t>
      </w:r>
      <w:r>
        <w:rPr>
          <w:rFonts w:hint="eastAsia"/>
          <w:color w:val="auto"/>
          <w:sz w:val="24"/>
          <w:highlight w:val="none"/>
          <w:lang w:eastAsia="zh-CN"/>
        </w:rPr>
        <w:t>月</w:t>
      </w:r>
      <w:r>
        <w:rPr>
          <w:rFonts w:hint="eastAsia"/>
          <w:color w:val="auto"/>
          <w:sz w:val="24"/>
          <w:highlight w:val="none"/>
          <w:lang w:val="en-US" w:eastAsia="zh-CN"/>
        </w:rPr>
        <w:t>5日</w:t>
      </w:r>
      <w:r>
        <w:rPr>
          <w:rFonts w:hint="eastAsia"/>
          <w:color w:val="auto"/>
          <w:sz w:val="24"/>
          <w:highlight w:val="none"/>
          <w:lang w:eastAsia="zh-CN"/>
        </w:rPr>
        <w:t>取得</w:t>
      </w:r>
      <w:r>
        <w:rPr>
          <w:rFonts w:hint="eastAsia"/>
          <w:color w:val="auto"/>
          <w:sz w:val="24"/>
          <w:highlight w:val="none"/>
          <w:lang w:val="en-US" w:eastAsia="zh-CN"/>
        </w:rPr>
        <w:t>阳江市生态环境局阳东分局《阳江市生态环境局关于阳东区大八镇污水处理厂人河排污口设置申请行政许可决定书》，项目</w:t>
      </w:r>
      <w:r>
        <w:rPr>
          <w:rFonts w:hint="eastAsia"/>
          <w:color w:val="auto"/>
          <w:sz w:val="24"/>
          <w:highlight w:val="none"/>
          <w:lang w:eastAsia="zh-CN"/>
        </w:rPr>
        <w:t>入河排污口设置备案回执（文号：阳环(东)河口审[2023]4号），原选址位于阳江市大八镇镇区西南侧、大八河东侧，原排污口地理位置坐标为：东</w:t>
      </w:r>
      <w:r>
        <w:rPr>
          <w:rFonts w:hint="default" w:ascii="Times New Roman" w:hAnsi="Times New Roman" w:cs="Times New Roman"/>
          <w:color w:val="auto"/>
          <w:sz w:val="24"/>
          <w:szCs w:val="24"/>
          <w:highlight w:val="none"/>
          <w:lang w:eastAsia="zh-CN"/>
        </w:rPr>
        <w:t>经111°57</w:t>
      </w:r>
      <w:r>
        <w:rPr>
          <w:rFonts w:hint="default" w:ascii="Times New Roman" w:hAnsi="Times New Roman" w:cs="Times New Roman"/>
          <w:color w:val="auto"/>
          <w:sz w:val="24"/>
          <w:szCs w:val="24"/>
          <w:u w:val="none"/>
          <w:lang w:val="en-US" w:eastAsia="zh-CN"/>
        </w:rPr>
        <w:t>′</w:t>
      </w:r>
      <w:r>
        <w:rPr>
          <w:rFonts w:hint="default" w:ascii="Times New Roman" w:hAnsi="Times New Roman" w:cs="Times New Roman"/>
          <w:color w:val="auto"/>
          <w:sz w:val="24"/>
          <w:szCs w:val="24"/>
          <w:highlight w:val="none"/>
          <w:lang w:eastAsia="zh-CN"/>
        </w:rPr>
        <w:t>32.3"，北纬22°3</w:t>
      </w:r>
      <w:r>
        <w:rPr>
          <w:rFonts w:hint="default" w:ascii="Times New Roman" w:hAnsi="Times New Roman" w:cs="Times New Roman"/>
          <w:color w:val="auto"/>
          <w:sz w:val="24"/>
          <w:szCs w:val="24"/>
          <w:u w:val="none"/>
          <w:lang w:val="en-US" w:eastAsia="zh-CN"/>
        </w:rPr>
        <w:t>′</w:t>
      </w:r>
      <w:r>
        <w:rPr>
          <w:rFonts w:hint="default" w:ascii="Times New Roman" w:hAnsi="Times New Roman" w:cs="Times New Roman"/>
          <w:color w:val="auto"/>
          <w:sz w:val="24"/>
          <w:szCs w:val="24"/>
          <w:highlight w:val="none"/>
          <w:lang w:eastAsia="zh-CN"/>
        </w:rPr>
        <w:t>21.5</w:t>
      </w:r>
      <w:r>
        <w:rPr>
          <w:rFonts w:hint="default" w:ascii="Times New Roman" w:hAnsi="Times New Roman" w:cs="Times New Roman"/>
          <w:color w:val="auto"/>
          <w:sz w:val="24"/>
          <w:szCs w:val="24"/>
          <w:u w:val="none"/>
          <w:lang w:val="en-US" w:eastAsia="zh-CN"/>
        </w:rPr>
        <w:t>″</w:t>
      </w:r>
      <w:r>
        <w:rPr>
          <w:rFonts w:hint="eastAsia"/>
          <w:color w:val="auto"/>
          <w:sz w:val="24"/>
          <w:highlight w:val="none"/>
          <w:lang w:eastAsia="zh-CN"/>
        </w:rPr>
        <w:t>，</w:t>
      </w:r>
      <w:r>
        <w:rPr>
          <w:rFonts w:hint="eastAsia"/>
          <w:color w:val="auto"/>
          <w:sz w:val="24"/>
          <w:highlight w:val="none"/>
          <w:lang w:val="en-US" w:eastAsia="zh-CN"/>
        </w:rPr>
        <w:t>入河</w:t>
      </w:r>
      <w:r>
        <w:rPr>
          <w:rFonts w:hint="eastAsia"/>
          <w:color w:val="auto"/>
          <w:sz w:val="24"/>
          <w:highlight w:val="none"/>
          <w:lang w:eastAsia="zh-CN"/>
        </w:rPr>
        <w:t>排污</w:t>
      </w:r>
      <w:r>
        <w:rPr>
          <w:rFonts w:hint="eastAsia"/>
          <w:color w:val="auto"/>
          <w:sz w:val="24"/>
          <w:highlight w:val="none"/>
          <w:lang w:val="en-US" w:eastAsia="zh-CN"/>
        </w:rPr>
        <w:t>口设置在</w:t>
      </w:r>
      <w:r>
        <w:rPr>
          <w:rFonts w:hint="eastAsia"/>
          <w:color w:val="auto"/>
          <w:sz w:val="24"/>
          <w:highlight w:val="none"/>
          <w:lang w:eastAsia="zh-CN"/>
        </w:rPr>
        <w:t>大八河。</w:t>
      </w:r>
    </w:p>
    <w:p w14:paraId="21F6F6B6">
      <w:pPr>
        <w:spacing w:line="360" w:lineRule="auto"/>
        <w:ind w:firstLine="480" w:firstLineChars="200"/>
        <w:rPr>
          <w:rFonts w:hint="eastAsia"/>
          <w:color w:val="auto"/>
          <w:sz w:val="24"/>
          <w:highlight w:val="none"/>
          <w:lang w:eastAsia="zh-CN"/>
        </w:rPr>
      </w:pPr>
      <w:r>
        <w:rPr>
          <w:rFonts w:hint="eastAsia"/>
          <w:color w:val="auto"/>
          <w:sz w:val="24"/>
          <w:highlight w:val="none"/>
          <w:lang w:eastAsia="zh-CN"/>
        </w:rPr>
        <w:t>（2）原入河排污口改设原因及必要性分析</w:t>
      </w:r>
    </w:p>
    <w:p w14:paraId="22907C8D">
      <w:pPr>
        <w:spacing w:line="360" w:lineRule="auto"/>
        <w:ind w:firstLine="480" w:firstLineChars="200"/>
        <w:rPr>
          <w:rFonts w:hint="eastAsia"/>
          <w:color w:val="auto"/>
          <w:sz w:val="24"/>
          <w:highlight w:val="none"/>
          <w:lang w:eastAsia="zh-CN"/>
        </w:rPr>
      </w:pPr>
      <w:r>
        <w:rPr>
          <w:rFonts w:hint="eastAsia"/>
          <w:color w:val="auto"/>
          <w:sz w:val="24"/>
          <w:highlight w:val="none"/>
          <w:lang w:eastAsia="zh-CN"/>
        </w:rPr>
        <w:t>在项目深化设计及现场详勘阶段，建设单位对区域水环境功能区划及排污口选址方案进行了进一步复核与优化比选。经核实，原论证报告及初步设计阶段拟选用的污水处理厂排污口方案存在以下重大制约因素，不具备合法性及环境可行性，具体分析如下：</w:t>
      </w:r>
    </w:p>
    <w:p w14:paraId="21E49C51">
      <w:pPr>
        <w:spacing w:line="360" w:lineRule="auto"/>
        <w:ind w:firstLine="480" w:firstLineChars="200"/>
        <w:rPr>
          <w:rFonts w:hint="eastAsia"/>
          <w:color w:val="auto"/>
          <w:sz w:val="24"/>
          <w:szCs w:val="24"/>
          <w:highlight w:val="none"/>
          <w:lang w:eastAsia="zh-CN"/>
        </w:rPr>
      </w:pPr>
      <w:r>
        <w:rPr>
          <w:rFonts w:hint="eastAsia"/>
          <w:color w:val="auto"/>
          <w:sz w:val="24"/>
          <w:szCs w:val="24"/>
          <w:highlight w:val="none"/>
          <w:lang w:eastAsia="zh-CN"/>
        </w:rPr>
        <w:fldChar w:fldCharType="begin"/>
      </w:r>
      <w:r>
        <w:rPr>
          <w:rFonts w:hint="eastAsia"/>
          <w:color w:val="auto"/>
          <w:sz w:val="24"/>
          <w:szCs w:val="24"/>
          <w:highlight w:val="none"/>
          <w:lang w:eastAsia="zh-CN"/>
        </w:rPr>
        <w:instrText xml:space="preserve"> = 1 \* GB3 \* MERGEFORMAT </w:instrText>
      </w:r>
      <w:r>
        <w:rPr>
          <w:rFonts w:hint="eastAsia"/>
          <w:color w:val="auto"/>
          <w:sz w:val="24"/>
          <w:szCs w:val="24"/>
          <w:highlight w:val="none"/>
          <w:lang w:eastAsia="zh-CN"/>
        </w:rPr>
        <w:fldChar w:fldCharType="separate"/>
      </w:r>
      <w:r>
        <w:rPr>
          <w:color w:val="auto"/>
          <w:sz w:val="24"/>
          <w:szCs w:val="24"/>
        </w:rPr>
        <w:t>①</w:t>
      </w:r>
      <w:r>
        <w:rPr>
          <w:rFonts w:hint="eastAsia"/>
          <w:color w:val="auto"/>
          <w:sz w:val="24"/>
          <w:szCs w:val="24"/>
          <w:highlight w:val="none"/>
          <w:lang w:eastAsia="zh-CN"/>
        </w:rPr>
        <w:fldChar w:fldCharType="end"/>
      </w:r>
      <w:r>
        <w:rPr>
          <w:rFonts w:hint="eastAsia"/>
          <w:color w:val="auto"/>
          <w:sz w:val="24"/>
          <w:szCs w:val="24"/>
          <w:highlight w:val="none"/>
          <w:lang w:eastAsia="zh-CN"/>
        </w:rPr>
        <w:t>受纳水体水质目标与排污许可要求存在根本性冲突</w:t>
      </w:r>
    </w:p>
    <w:p w14:paraId="7394B35A">
      <w:pPr>
        <w:spacing w:line="360" w:lineRule="auto"/>
        <w:ind w:firstLine="480" w:firstLineChars="200"/>
        <w:rPr>
          <w:rFonts w:hint="eastAsia"/>
          <w:color w:val="auto"/>
          <w:sz w:val="24"/>
          <w:szCs w:val="24"/>
          <w:highlight w:val="none"/>
          <w:lang w:eastAsia="zh-CN"/>
        </w:rPr>
      </w:pPr>
      <w:r>
        <w:rPr>
          <w:rFonts w:hint="eastAsia"/>
          <w:color w:val="auto"/>
          <w:sz w:val="24"/>
          <w:szCs w:val="24"/>
          <w:highlight w:val="none"/>
          <w:lang w:eastAsia="zh-CN"/>
        </w:rPr>
        <w:t>原选址方案的受纳水体为大八河。根据《广东省地表水环境功能区划》（粤环〔2011〕14号）及其相关批复文件，大八河划定的水质目标为《地表水环境质量标准》（GB 3838-2002）Ⅱ类。</w:t>
      </w:r>
    </w:p>
    <w:p w14:paraId="24265ED5">
      <w:pPr>
        <w:spacing w:line="360" w:lineRule="auto"/>
        <w:ind w:firstLine="480" w:firstLineChars="200"/>
        <w:rPr>
          <w:rFonts w:hint="eastAsia"/>
          <w:color w:val="auto"/>
          <w:sz w:val="24"/>
          <w:szCs w:val="24"/>
          <w:highlight w:val="none"/>
          <w:lang w:eastAsia="zh-CN"/>
        </w:rPr>
      </w:pPr>
      <w:r>
        <w:rPr>
          <w:rFonts w:hint="eastAsia"/>
          <w:color w:val="auto"/>
          <w:sz w:val="24"/>
          <w:szCs w:val="24"/>
          <w:highlight w:val="none"/>
          <w:lang w:eastAsia="zh-CN"/>
        </w:rPr>
        <w:t>按照《中华人民共和国水污染防治法》及《入河排污口监督管理办法》（生态环境部令第35号）的规定，Ⅱ类水体主要适用于集中式生活饮用水地表水源地一级保护区、珍稀水生生物栖息地等敏感水域，属于非法定禁止新建、改设排污口的区域。在上述水体设置排污口，即使采取严格的深度处理工艺，仍存在较高的水环境风险，且与现行法律法规及水生态环境保护红线要求不符。</w:t>
      </w:r>
    </w:p>
    <w:p w14:paraId="6A23636F">
      <w:pPr>
        <w:spacing w:line="360" w:lineRule="auto"/>
        <w:ind w:firstLine="480" w:firstLineChars="200"/>
        <w:rPr>
          <w:rFonts w:hint="eastAsia"/>
          <w:color w:val="auto"/>
          <w:sz w:val="24"/>
          <w:szCs w:val="24"/>
          <w:highlight w:val="none"/>
          <w:lang w:eastAsia="zh-CN"/>
        </w:rPr>
      </w:pPr>
      <w:r>
        <w:rPr>
          <w:rFonts w:hint="eastAsia"/>
          <w:color w:val="auto"/>
          <w:sz w:val="24"/>
          <w:szCs w:val="24"/>
          <w:highlight w:val="none"/>
          <w:lang w:val="en-US" w:eastAsia="zh-CN"/>
        </w:rPr>
        <w:fldChar w:fldCharType="begin"/>
      </w:r>
      <w:r>
        <w:rPr>
          <w:rFonts w:hint="eastAsia"/>
          <w:color w:val="auto"/>
          <w:sz w:val="24"/>
          <w:szCs w:val="24"/>
          <w:highlight w:val="none"/>
          <w:lang w:val="en-US" w:eastAsia="zh-CN"/>
        </w:rPr>
        <w:instrText xml:space="preserve"> = 2 \* GB3 \* MERGEFORMAT </w:instrText>
      </w:r>
      <w:r>
        <w:rPr>
          <w:rFonts w:hint="eastAsia"/>
          <w:color w:val="auto"/>
          <w:sz w:val="24"/>
          <w:szCs w:val="24"/>
          <w:highlight w:val="none"/>
          <w:lang w:val="en-US" w:eastAsia="zh-CN"/>
        </w:rPr>
        <w:fldChar w:fldCharType="separate"/>
      </w:r>
      <w:r>
        <w:rPr>
          <w:color w:val="auto"/>
          <w:sz w:val="24"/>
          <w:szCs w:val="24"/>
        </w:rPr>
        <w:t>②</w:t>
      </w:r>
      <w:r>
        <w:rPr>
          <w:rFonts w:hint="eastAsia"/>
          <w:color w:val="auto"/>
          <w:sz w:val="24"/>
          <w:szCs w:val="24"/>
          <w:highlight w:val="none"/>
          <w:lang w:val="en-US" w:eastAsia="zh-CN"/>
        </w:rPr>
        <w:fldChar w:fldCharType="end"/>
      </w:r>
      <w:r>
        <w:rPr>
          <w:rFonts w:hint="eastAsia"/>
          <w:color w:val="auto"/>
          <w:sz w:val="24"/>
          <w:szCs w:val="24"/>
          <w:highlight w:val="none"/>
          <w:lang w:eastAsia="zh-CN"/>
        </w:rPr>
        <w:t>项目合规性与审批可行性无法保障</w:t>
      </w:r>
    </w:p>
    <w:p w14:paraId="6DFACFC1">
      <w:pPr>
        <w:spacing w:line="360" w:lineRule="auto"/>
        <w:ind w:firstLine="480" w:firstLineChars="200"/>
        <w:rPr>
          <w:rFonts w:hint="eastAsia"/>
          <w:color w:val="auto"/>
          <w:sz w:val="24"/>
          <w:szCs w:val="24"/>
          <w:highlight w:val="none"/>
          <w:lang w:eastAsia="zh-CN"/>
        </w:rPr>
      </w:pPr>
      <w:r>
        <w:rPr>
          <w:rFonts w:hint="eastAsia"/>
          <w:color w:val="auto"/>
          <w:sz w:val="24"/>
          <w:szCs w:val="24"/>
          <w:highlight w:val="none"/>
          <w:lang w:eastAsia="zh-CN"/>
        </w:rPr>
        <w:t>若坚持原选址方案，将导致入河排污口设置申请因违反禁止性规定而无法通过生态环境主管部门的审批，进而影响整个污水处理厂项目的落地实施与后续运营许可的办理。</w:t>
      </w:r>
    </w:p>
    <w:p w14:paraId="1A215FB7">
      <w:pPr>
        <w:spacing w:line="360" w:lineRule="auto"/>
        <w:ind w:firstLine="480" w:firstLineChars="200"/>
        <w:rPr>
          <w:rFonts w:hint="eastAsia"/>
          <w:color w:val="auto"/>
          <w:sz w:val="24"/>
          <w:szCs w:val="24"/>
          <w:highlight w:val="none"/>
          <w:lang w:eastAsia="zh-CN"/>
        </w:rPr>
      </w:pPr>
      <w:r>
        <w:rPr>
          <w:rFonts w:hint="eastAsia"/>
          <w:color w:val="auto"/>
          <w:sz w:val="24"/>
          <w:szCs w:val="24"/>
          <w:highlight w:val="none"/>
          <w:lang w:val="en-US" w:eastAsia="zh-CN"/>
        </w:rPr>
        <w:fldChar w:fldCharType="begin"/>
      </w:r>
      <w:r>
        <w:rPr>
          <w:rFonts w:hint="eastAsia"/>
          <w:color w:val="auto"/>
          <w:sz w:val="24"/>
          <w:szCs w:val="24"/>
          <w:highlight w:val="none"/>
          <w:lang w:val="en-US" w:eastAsia="zh-CN"/>
        </w:rPr>
        <w:instrText xml:space="preserve"> = 3 \* GB3 \* MERGEFORMAT </w:instrText>
      </w:r>
      <w:r>
        <w:rPr>
          <w:rFonts w:hint="eastAsia"/>
          <w:color w:val="auto"/>
          <w:sz w:val="24"/>
          <w:szCs w:val="24"/>
          <w:highlight w:val="none"/>
          <w:lang w:val="en-US" w:eastAsia="zh-CN"/>
        </w:rPr>
        <w:fldChar w:fldCharType="separate"/>
      </w:r>
      <w:r>
        <w:rPr>
          <w:color w:val="auto"/>
          <w:sz w:val="24"/>
          <w:szCs w:val="24"/>
        </w:rPr>
        <w:t>③</w:t>
      </w:r>
      <w:r>
        <w:rPr>
          <w:rFonts w:hint="eastAsia"/>
          <w:color w:val="auto"/>
          <w:sz w:val="24"/>
          <w:szCs w:val="24"/>
          <w:highlight w:val="none"/>
          <w:lang w:val="en-US" w:eastAsia="zh-CN"/>
        </w:rPr>
        <w:fldChar w:fldCharType="end"/>
      </w:r>
      <w:r>
        <w:rPr>
          <w:rFonts w:hint="eastAsia"/>
          <w:color w:val="auto"/>
          <w:sz w:val="24"/>
          <w:szCs w:val="24"/>
          <w:highlight w:val="none"/>
          <w:lang w:eastAsia="zh-CN"/>
        </w:rPr>
        <w:t>选址优化的必要性结论</w:t>
      </w:r>
    </w:p>
    <w:p w14:paraId="36542948">
      <w:pPr>
        <w:spacing w:line="360" w:lineRule="auto"/>
        <w:ind w:firstLine="480" w:firstLineChars="200"/>
        <w:rPr>
          <w:rFonts w:hint="eastAsia"/>
          <w:color w:val="auto"/>
          <w:sz w:val="24"/>
          <w:highlight w:val="none"/>
          <w:lang w:eastAsia="zh-CN"/>
        </w:rPr>
      </w:pPr>
      <w:r>
        <w:rPr>
          <w:rFonts w:hint="eastAsia"/>
          <w:color w:val="auto"/>
          <w:sz w:val="24"/>
          <w:highlight w:val="none"/>
          <w:lang w:eastAsia="zh-CN"/>
        </w:rPr>
        <w:t>因此，为严格遵守国家及广东省关于水环境保护的法律法规及区划管控要求，确保项目具备合法审批条件并有效降低对敏感水体的环境风险，必须对原规划的入河排污口位置进行改设。改设后的排污口应选择纳污能力相对较强、水质目标允许排污且环境影响可控的受纳水体。</w:t>
      </w:r>
    </w:p>
    <w:p w14:paraId="3D154705">
      <w:pPr>
        <w:spacing w:line="360" w:lineRule="auto"/>
        <w:ind w:firstLine="480" w:firstLineChars="200"/>
        <w:rPr>
          <w:rFonts w:hint="eastAsia"/>
          <w:color w:val="auto"/>
          <w:sz w:val="24"/>
          <w:highlight w:val="none"/>
          <w:lang w:eastAsia="zh-CN"/>
        </w:rPr>
      </w:pPr>
      <w:r>
        <w:rPr>
          <w:rFonts w:hint="eastAsia"/>
          <w:color w:val="auto"/>
          <w:sz w:val="24"/>
          <w:highlight w:val="none"/>
          <w:lang w:eastAsia="zh-CN"/>
        </w:rPr>
        <w:t>（3）新选址的优化优势</w:t>
      </w:r>
    </w:p>
    <w:p w14:paraId="51871278">
      <w:pPr>
        <w:spacing w:line="360" w:lineRule="auto"/>
        <w:ind w:firstLine="480" w:firstLineChars="200"/>
        <w:rPr>
          <w:rFonts w:hint="eastAsia"/>
          <w:color w:val="auto"/>
          <w:sz w:val="24"/>
          <w:highlight w:val="none"/>
          <w:lang w:eastAsia="zh-CN"/>
        </w:rPr>
      </w:pPr>
      <w:r>
        <w:rPr>
          <w:rFonts w:hint="eastAsia"/>
          <w:color w:val="auto"/>
          <w:sz w:val="24"/>
          <w:highlight w:val="none"/>
          <w:lang w:eastAsia="zh-CN"/>
        </w:rPr>
        <w:t>经综合比选，本次改设将排污口调整至阳江市大八镇吉水村委会吉龙坑(原镇人工地区域)，新址坐标为：</w:t>
      </w:r>
      <w:bookmarkStart w:id="10" w:name="OLE_LINK3"/>
      <w:r>
        <w:rPr>
          <w:rFonts w:hint="eastAsia"/>
          <w:color w:val="auto"/>
          <w:sz w:val="24"/>
          <w:highlight w:val="none"/>
          <w:lang w:eastAsia="zh-CN"/>
        </w:rPr>
        <w:t>东经111</w:t>
      </w:r>
      <w:r>
        <w:rPr>
          <w:rFonts w:hint="default" w:ascii="Times New Roman" w:hAnsi="Times New Roman" w:cs="Times New Roman"/>
          <w:color w:val="auto"/>
          <w:sz w:val="21"/>
          <w:szCs w:val="21"/>
          <w:u w:val="none"/>
          <w:lang w:val="en-US" w:eastAsia="zh-CN"/>
        </w:rPr>
        <w:t>°</w:t>
      </w:r>
      <w:r>
        <w:rPr>
          <w:rFonts w:hint="eastAsia"/>
          <w:color w:val="auto"/>
          <w:sz w:val="24"/>
          <w:highlight w:val="none"/>
          <w:lang w:eastAsia="zh-CN"/>
        </w:rPr>
        <w:t>57' 42.</w:t>
      </w:r>
      <w:r>
        <w:rPr>
          <w:rFonts w:hint="eastAsia"/>
          <w:color w:val="auto"/>
          <w:sz w:val="24"/>
          <w:highlight w:val="none"/>
          <w:lang w:val="en-US" w:eastAsia="zh-CN"/>
        </w:rPr>
        <w:t>083</w:t>
      </w:r>
      <w:r>
        <w:rPr>
          <w:rFonts w:hint="eastAsia"/>
          <w:color w:val="auto"/>
          <w:sz w:val="24"/>
          <w:highlight w:val="none"/>
          <w:lang w:eastAsia="zh-CN"/>
        </w:rPr>
        <w:t>"，北纬22</w:t>
      </w:r>
      <w:r>
        <w:rPr>
          <w:rFonts w:hint="default" w:ascii="Times New Roman" w:hAnsi="Times New Roman" w:cs="Times New Roman"/>
          <w:color w:val="auto"/>
          <w:sz w:val="21"/>
          <w:szCs w:val="21"/>
          <w:u w:val="none"/>
          <w:lang w:val="en-US" w:eastAsia="zh-CN"/>
        </w:rPr>
        <w:t>°</w:t>
      </w:r>
      <w:r>
        <w:rPr>
          <w:rFonts w:hint="eastAsia"/>
          <w:color w:val="auto"/>
          <w:sz w:val="24"/>
          <w:highlight w:val="none"/>
          <w:lang w:eastAsia="zh-CN"/>
        </w:rPr>
        <w:t>3' 41.3</w:t>
      </w:r>
      <w:r>
        <w:rPr>
          <w:rFonts w:hint="eastAsia"/>
          <w:color w:val="auto"/>
          <w:sz w:val="24"/>
          <w:highlight w:val="none"/>
          <w:lang w:val="en-US" w:eastAsia="zh-CN"/>
        </w:rPr>
        <w:t>02</w:t>
      </w:r>
      <w:r>
        <w:rPr>
          <w:rFonts w:hint="eastAsia"/>
          <w:color w:val="auto"/>
          <w:sz w:val="24"/>
          <w:highlight w:val="none"/>
          <w:lang w:eastAsia="zh-CN"/>
        </w:rPr>
        <w:t>"</w:t>
      </w:r>
      <w:bookmarkEnd w:id="10"/>
      <w:r>
        <w:rPr>
          <w:rFonts w:hint="eastAsia"/>
          <w:color w:val="auto"/>
          <w:sz w:val="24"/>
          <w:highlight w:val="none"/>
          <w:lang w:eastAsia="zh-CN"/>
        </w:rPr>
        <w:t>，排污去向调整为排水渠。新选址具有以下优势：</w:t>
      </w:r>
    </w:p>
    <w:p w14:paraId="11DEC3CA">
      <w:pPr>
        <w:spacing w:line="360" w:lineRule="auto"/>
        <w:ind w:firstLine="480" w:firstLineChars="200"/>
        <w:rPr>
          <w:rFonts w:hint="eastAsia"/>
          <w:color w:val="auto"/>
          <w:sz w:val="24"/>
          <w:highlight w:val="none"/>
          <w:lang w:eastAsia="zh-CN"/>
        </w:rPr>
      </w:pPr>
      <w:r>
        <w:rPr>
          <w:rFonts w:hint="eastAsia"/>
          <w:color w:val="auto"/>
          <w:sz w:val="24"/>
          <w:highlight w:val="none"/>
          <w:lang w:eastAsia="zh-CN"/>
        </w:rPr>
        <w:t>① 水功能区符合性更强：新受纳水体</w:t>
      </w:r>
      <w:r>
        <w:rPr>
          <w:rFonts w:hint="eastAsia"/>
          <w:color w:val="auto"/>
          <w:sz w:val="24"/>
          <w:highlight w:val="none"/>
          <w:lang w:val="en-US" w:eastAsia="zh-CN"/>
        </w:rPr>
        <w:t>排水渠</w:t>
      </w:r>
      <w:r>
        <w:rPr>
          <w:rFonts w:hint="eastAsia"/>
          <w:color w:val="auto"/>
          <w:sz w:val="24"/>
          <w:highlight w:val="none"/>
          <w:lang w:eastAsia="zh-CN"/>
        </w:rPr>
        <w:t>属于</w:t>
      </w:r>
      <w:r>
        <w:rPr>
          <w:rFonts w:hint="eastAsia"/>
          <w:color w:val="auto"/>
          <w:sz w:val="24"/>
          <w:highlight w:val="none"/>
          <w:lang w:val="en-US" w:eastAsia="zh-CN"/>
        </w:rPr>
        <w:fldChar w:fldCharType="begin"/>
      </w:r>
      <w:r>
        <w:rPr>
          <w:rFonts w:hint="eastAsia"/>
          <w:color w:val="auto"/>
          <w:sz w:val="24"/>
          <w:highlight w:val="none"/>
          <w:lang w:val="en-US" w:eastAsia="zh-CN"/>
        </w:rPr>
        <w:instrText xml:space="preserve"> = 3 \* ROMAN \* MERGEFORMAT </w:instrText>
      </w:r>
      <w:r>
        <w:rPr>
          <w:rFonts w:hint="eastAsia"/>
          <w:color w:val="auto"/>
          <w:sz w:val="24"/>
          <w:highlight w:val="none"/>
          <w:lang w:val="en-US" w:eastAsia="zh-CN"/>
        </w:rPr>
        <w:fldChar w:fldCharType="separate"/>
      </w:r>
      <w:r>
        <w:rPr>
          <w:color w:val="auto"/>
          <w:highlight w:val="none"/>
        </w:rPr>
        <w:t>III</w:t>
      </w:r>
      <w:r>
        <w:rPr>
          <w:rFonts w:hint="eastAsia"/>
          <w:color w:val="auto"/>
          <w:sz w:val="24"/>
          <w:highlight w:val="none"/>
          <w:lang w:val="en-US" w:eastAsia="zh-CN"/>
        </w:rPr>
        <w:fldChar w:fldCharType="end"/>
      </w:r>
      <w:r>
        <w:rPr>
          <w:rFonts w:hint="eastAsia"/>
          <w:color w:val="auto"/>
          <w:sz w:val="24"/>
          <w:highlight w:val="none"/>
          <w:lang w:eastAsia="zh-CN"/>
        </w:rPr>
        <w:t>水功能区类型，其水质目标与水环境容量更适宜作为污水处理厂尾水受纳水体，符合《入河排污口监督管理办法》中关于排污口设置应当符合水功能区划的要求。</w:t>
      </w:r>
    </w:p>
    <w:p w14:paraId="2379D7DC">
      <w:pPr>
        <w:spacing w:line="360" w:lineRule="auto"/>
        <w:ind w:firstLine="480" w:firstLineChars="200"/>
        <w:rPr>
          <w:rFonts w:hint="eastAsia"/>
          <w:color w:val="auto"/>
          <w:sz w:val="24"/>
          <w:highlight w:val="none"/>
          <w:lang w:eastAsia="zh-CN"/>
        </w:rPr>
      </w:pPr>
      <w:r>
        <w:rPr>
          <w:rFonts w:hint="eastAsia"/>
          <w:color w:val="auto"/>
          <w:sz w:val="24"/>
          <w:highlight w:val="none"/>
          <w:lang w:eastAsia="zh-CN"/>
        </w:rPr>
        <w:t>② 环境可行性更优：经初步预测，新选址下游</w:t>
      </w:r>
      <w:r>
        <w:rPr>
          <w:rFonts w:hint="eastAsia"/>
          <w:color w:val="auto"/>
          <w:sz w:val="24"/>
          <w:highlight w:val="none"/>
          <w:lang w:val="en-US" w:eastAsia="zh-CN"/>
        </w:rPr>
        <w:t>论证</w:t>
      </w:r>
      <w:r>
        <w:rPr>
          <w:rFonts w:hint="eastAsia"/>
          <w:color w:val="auto"/>
          <w:sz w:val="24"/>
          <w:highlight w:val="none"/>
          <w:lang w:eastAsia="zh-CN"/>
        </w:rPr>
        <w:t>范围内无饮用水源保护区、无自然保护区等环境敏感目标，环境风险可控。</w:t>
      </w:r>
    </w:p>
    <w:p w14:paraId="3BD5584B">
      <w:pPr>
        <w:spacing w:line="360" w:lineRule="auto"/>
        <w:ind w:firstLine="480" w:firstLineChars="200"/>
        <w:rPr>
          <w:rFonts w:hint="eastAsia"/>
          <w:color w:val="auto"/>
          <w:sz w:val="24"/>
          <w:highlight w:val="none"/>
          <w:lang w:eastAsia="zh-CN"/>
        </w:rPr>
      </w:pPr>
      <w:r>
        <w:rPr>
          <w:rFonts w:hint="eastAsia"/>
          <w:color w:val="auto"/>
          <w:sz w:val="24"/>
          <w:highlight w:val="none"/>
          <w:lang w:eastAsia="zh-CN"/>
        </w:rPr>
        <w:t>③ 不影响水质目标：根据论证预测，新设排污口也不会导致受纳水体水质降类别，满足水功能区管理要求。</w:t>
      </w:r>
    </w:p>
    <w:p w14:paraId="4D1AC35E">
      <w:pPr>
        <w:spacing w:line="360" w:lineRule="auto"/>
        <w:ind w:firstLine="480" w:firstLineChars="200"/>
        <w:rPr>
          <w:rFonts w:hint="eastAsia"/>
          <w:color w:val="auto"/>
          <w:sz w:val="24"/>
          <w:highlight w:val="none"/>
          <w:lang w:eastAsia="zh-CN"/>
        </w:rPr>
      </w:pPr>
      <w:r>
        <w:rPr>
          <w:rFonts w:hint="eastAsia"/>
          <w:color w:val="auto"/>
          <w:sz w:val="24"/>
          <w:highlight w:val="none"/>
          <w:lang w:eastAsia="zh-CN"/>
        </w:rPr>
        <w:t>（4）本次改设的合规性说明</w:t>
      </w:r>
    </w:p>
    <w:p w14:paraId="7F3954A5">
      <w:pPr>
        <w:spacing w:line="360" w:lineRule="auto"/>
        <w:ind w:firstLine="480" w:firstLineChars="200"/>
        <w:rPr>
          <w:rFonts w:hint="eastAsia"/>
          <w:color w:val="auto"/>
          <w:sz w:val="24"/>
          <w:highlight w:val="none"/>
          <w:lang w:eastAsia="zh-CN"/>
        </w:rPr>
      </w:pPr>
      <w:r>
        <w:rPr>
          <w:rFonts w:hint="eastAsia"/>
          <w:color w:val="auto"/>
          <w:sz w:val="24"/>
          <w:highlight w:val="none"/>
          <w:lang w:eastAsia="zh-CN"/>
        </w:rPr>
        <w:t>本次改设仅涉及入河排污口的地理位置变更，项目性质、处理规模、排污工艺、排放标准及主要污染物排放总量控制指标均保持不变。改设后，污水处理厂尾水严格执行《城镇污水处理厂污染物排放标准》（GB18918-2002）一级A标准（或广东省地方更严标准），确保对受纳水体影响最小化。</w:t>
      </w:r>
    </w:p>
    <w:p w14:paraId="28ADB3F0">
      <w:pPr>
        <w:spacing w:line="360" w:lineRule="auto"/>
        <w:ind w:firstLine="480" w:firstLineChars="200"/>
        <w:rPr>
          <w:rFonts w:hint="eastAsia"/>
          <w:color w:val="auto"/>
          <w:sz w:val="24"/>
          <w:highlight w:val="none"/>
          <w:lang w:eastAsia="zh-CN"/>
        </w:rPr>
      </w:pPr>
      <w:r>
        <w:rPr>
          <w:rFonts w:hint="eastAsia"/>
          <w:color w:val="auto"/>
          <w:sz w:val="24"/>
          <w:highlight w:val="none"/>
          <w:lang w:eastAsia="zh-CN"/>
        </w:rPr>
        <w:t>根据《入河排污口监督管理办法》第三条规定，本次因选址变更导致的排放位置调整，属于“已有入河排污口的排放位置重大改变”，符合“改设”的法定情形，需重新办理入河排污口设置审批手续。</w:t>
      </w:r>
    </w:p>
    <w:p w14:paraId="4E4E037A">
      <w:pPr>
        <w:spacing w:line="360" w:lineRule="auto"/>
        <w:ind w:firstLine="480" w:firstLineChars="200"/>
        <w:rPr>
          <w:rFonts w:hint="eastAsia"/>
          <w:color w:val="auto"/>
          <w:sz w:val="24"/>
          <w:highlight w:val="none"/>
          <w:lang w:eastAsia="zh-CN"/>
        </w:rPr>
      </w:pPr>
      <w:r>
        <w:rPr>
          <w:rFonts w:hint="eastAsia"/>
          <w:color w:val="auto"/>
          <w:sz w:val="24"/>
          <w:highlight w:val="none"/>
          <w:lang w:eastAsia="zh-CN"/>
        </w:rPr>
        <w:t>（</w:t>
      </w:r>
      <w:r>
        <w:rPr>
          <w:rFonts w:hint="eastAsia"/>
          <w:color w:val="auto"/>
          <w:sz w:val="24"/>
          <w:highlight w:val="none"/>
          <w:lang w:val="en-US" w:eastAsia="zh-CN"/>
        </w:rPr>
        <w:t>5</w:t>
      </w:r>
      <w:r>
        <w:rPr>
          <w:rFonts w:hint="eastAsia"/>
          <w:color w:val="auto"/>
          <w:sz w:val="24"/>
          <w:highlight w:val="none"/>
          <w:lang w:eastAsia="zh-CN"/>
        </w:rPr>
        <w:t>）本次改设内容</w:t>
      </w:r>
    </w:p>
    <w:p w14:paraId="091212CA">
      <w:pPr>
        <w:spacing w:line="360" w:lineRule="auto"/>
        <w:ind w:firstLine="480" w:firstLineChars="200"/>
        <w:rPr>
          <w:rFonts w:hint="eastAsia"/>
          <w:color w:val="auto"/>
          <w:sz w:val="24"/>
          <w:highlight w:val="none"/>
          <w:lang w:eastAsia="zh-CN"/>
        </w:rPr>
      </w:pPr>
      <w:r>
        <w:rPr>
          <w:rFonts w:hint="eastAsia"/>
          <w:color w:val="auto"/>
          <w:sz w:val="24"/>
          <w:highlight w:val="none"/>
          <w:lang w:eastAsia="zh-CN"/>
        </w:rPr>
        <w:t>本次改设仅涉及入河排污口的地理位置变更，由原址调整至</w:t>
      </w:r>
      <w:r>
        <w:rPr>
          <w:rFonts w:hint="eastAsia" w:cs="Times New Roman"/>
          <w:color w:val="auto"/>
          <w:sz w:val="24"/>
          <w:highlight w:val="none"/>
          <w:lang w:val="en-US" w:eastAsia="zh-CN"/>
        </w:rPr>
        <w:t>阳江市大八镇吉水村委会吉龙坑(原镇人工地区域)东北侧的排水渠右岸</w:t>
      </w:r>
      <w:r>
        <w:rPr>
          <w:rFonts w:hint="eastAsia"/>
          <w:color w:val="auto"/>
          <w:sz w:val="24"/>
          <w:highlight w:val="none"/>
          <w:lang w:eastAsia="zh-CN"/>
        </w:rPr>
        <w:t>，新址坐标为：东经111</w:t>
      </w:r>
      <w:r>
        <w:rPr>
          <w:rFonts w:hint="default" w:ascii="Times New Roman" w:hAnsi="Times New Roman" w:cs="Times New Roman"/>
          <w:color w:val="auto"/>
          <w:sz w:val="21"/>
          <w:szCs w:val="21"/>
          <w:u w:val="none"/>
          <w:lang w:val="en-US" w:eastAsia="zh-CN"/>
        </w:rPr>
        <w:t>°</w:t>
      </w:r>
      <w:r>
        <w:rPr>
          <w:rFonts w:hint="eastAsia"/>
          <w:color w:val="auto"/>
          <w:sz w:val="24"/>
          <w:highlight w:val="none"/>
          <w:lang w:eastAsia="zh-CN"/>
        </w:rPr>
        <w:t>57' 42.</w:t>
      </w:r>
      <w:r>
        <w:rPr>
          <w:rFonts w:hint="eastAsia"/>
          <w:color w:val="auto"/>
          <w:sz w:val="24"/>
          <w:highlight w:val="none"/>
          <w:lang w:val="en-US" w:eastAsia="zh-CN"/>
        </w:rPr>
        <w:t>083</w:t>
      </w:r>
      <w:r>
        <w:rPr>
          <w:rFonts w:hint="eastAsia"/>
          <w:color w:val="auto"/>
          <w:sz w:val="24"/>
          <w:highlight w:val="none"/>
          <w:lang w:eastAsia="zh-CN"/>
        </w:rPr>
        <w:t>"，北纬22</w:t>
      </w:r>
      <w:r>
        <w:rPr>
          <w:rFonts w:hint="default" w:ascii="Times New Roman" w:hAnsi="Times New Roman" w:cs="Times New Roman"/>
          <w:color w:val="auto"/>
          <w:sz w:val="21"/>
          <w:szCs w:val="21"/>
          <w:u w:val="none"/>
          <w:lang w:val="en-US" w:eastAsia="zh-CN"/>
        </w:rPr>
        <w:t>°</w:t>
      </w:r>
      <w:r>
        <w:rPr>
          <w:rFonts w:hint="eastAsia"/>
          <w:color w:val="auto"/>
          <w:sz w:val="24"/>
          <w:highlight w:val="none"/>
          <w:lang w:eastAsia="zh-CN"/>
        </w:rPr>
        <w:t>3' 41.3</w:t>
      </w:r>
      <w:r>
        <w:rPr>
          <w:rFonts w:hint="eastAsia"/>
          <w:color w:val="auto"/>
          <w:sz w:val="24"/>
          <w:highlight w:val="none"/>
          <w:lang w:val="en-US" w:eastAsia="zh-CN"/>
        </w:rPr>
        <w:t>02</w:t>
      </w:r>
      <w:r>
        <w:rPr>
          <w:rFonts w:hint="eastAsia"/>
          <w:color w:val="auto"/>
          <w:sz w:val="24"/>
          <w:highlight w:val="none"/>
          <w:lang w:eastAsia="zh-CN"/>
        </w:rPr>
        <w:t>"，</w:t>
      </w:r>
      <w:r>
        <w:rPr>
          <w:rFonts w:hint="eastAsia"/>
          <w:color w:val="auto"/>
          <w:sz w:val="24"/>
          <w:highlight w:val="none"/>
          <w:lang w:val="en-US" w:eastAsia="zh-CN"/>
        </w:rPr>
        <w:t>受纳水体</w:t>
      </w:r>
      <w:r>
        <w:rPr>
          <w:rFonts w:hint="eastAsia"/>
          <w:color w:val="auto"/>
          <w:sz w:val="24"/>
          <w:highlight w:val="none"/>
          <w:lang w:eastAsia="zh-CN"/>
        </w:rPr>
        <w:t>调整为</w:t>
      </w:r>
      <w:r>
        <w:rPr>
          <w:rFonts w:hint="eastAsia" w:cs="Times New Roman"/>
          <w:color w:val="auto"/>
          <w:sz w:val="24"/>
          <w:highlight w:val="none"/>
          <w:lang w:val="en-US" w:eastAsia="zh-CN"/>
        </w:rPr>
        <w:t>排水渠</w:t>
      </w:r>
      <w:r>
        <w:rPr>
          <w:rFonts w:hint="eastAsia"/>
          <w:color w:val="auto"/>
          <w:sz w:val="24"/>
          <w:highlight w:val="none"/>
          <w:lang w:eastAsia="zh-CN"/>
        </w:rPr>
        <w:t>。</w:t>
      </w:r>
    </w:p>
    <w:p w14:paraId="13234FED">
      <w:pPr>
        <w:spacing w:line="360" w:lineRule="auto"/>
        <w:ind w:firstLine="480" w:firstLineChars="200"/>
        <w:rPr>
          <w:rFonts w:hint="eastAsia"/>
          <w:color w:val="auto"/>
          <w:sz w:val="24"/>
          <w:highlight w:val="none"/>
          <w:lang w:eastAsia="zh-CN"/>
        </w:rPr>
      </w:pPr>
      <w:r>
        <w:rPr>
          <w:rFonts w:hint="eastAsia"/>
          <w:color w:val="auto"/>
          <w:sz w:val="24"/>
          <w:highlight w:val="none"/>
          <w:lang w:eastAsia="zh-CN"/>
        </w:rPr>
        <w:t>（</w:t>
      </w:r>
      <w:r>
        <w:rPr>
          <w:rFonts w:hint="eastAsia"/>
          <w:color w:val="auto"/>
          <w:sz w:val="24"/>
          <w:highlight w:val="none"/>
          <w:lang w:val="en-US" w:eastAsia="zh-CN"/>
        </w:rPr>
        <w:t>6</w:t>
      </w:r>
      <w:r>
        <w:rPr>
          <w:rFonts w:hint="eastAsia"/>
          <w:color w:val="auto"/>
          <w:sz w:val="24"/>
          <w:highlight w:val="none"/>
          <w:lang w:eastAsia="zh-CN"/>
        </w:rPr>
        <w:t>）本次改设</w:t>
      </w:r>
      <w:r>
        <w:rPr>
          <w:rFonts w:hint="eastAsia"/>
          <w:color w:val="auto"/>
          <w:sz w:val="24"/>
          <w:highlight w:val="none"/>
          <w:lang w:val="en-US" w:eastAsia="zh-CN"/>
        </w:rPr>
        <w:t>项目建设</w:t>
      </w:r>
      <w:r>
        <w:rPr>
          <w:rFonts w:hint="eastAsia"/>
          <w:color w:val="auto"/>
          <w:sz w:val="24"/>
          <w:highlight w:val="none"/>
          <w:lang w:eastAsia="zh-CN"/>
        </w:rPr>
        <w:t>内容</w:t>
      </w:r>
    </w:p>
    <w:p w14:paraId="54F1DB02">
      <w:pPr>
        <w:spacing w:line="360" w:lineRule="auto"/>
        <w:ind w:firstLine="480" w:firstLineChars="200"/>
        <w:rPr>
          <w:rFonts w:hint="eastAsia" w:eastAsia="宋体"/>
          <w:color w:val="auto"/>
          <w:sz w:val="24"/>
          <w:highlight w:val="none"/>
          <w:lang w:eastAsia="zh-CN"/>
        </w:rPr>
      </w:pPr>
      <w:r>
        <w:rPr>
          <w:rFonts w:hint="eastAsia" w:cs="Times New Roman"/>
          <w:color w:val="auto"/>
          <w:sz w:val="24"/>
          <w:highlight w:val="none"/>
          <w:lang w:val="en-US" w:eastAsia="zh-CN"/>
        </w:rPr>
        <w:t>阳东区大八镇</w:t>
      </w:r>
      <w:r>
        <w:rPr>
          <w:rFonts w:hint="eastAsia"/>
          <w:color w:val="auto"/>
          <w:sz w:val="24"/>
          <w:highlight w:val="none"/>
        </w:rPr>
        <w:t>各片区污水管网按照污水处理</w:t>
      </w:r>
      <w:r>
        <w:rPr>
          <w:rFonts w:hint="eastAsia"/>
          <w:color w:val="auto"/>
          <w:sz w:val="24"/>
          <w:highlight w:val="none"/>
          <w:lang w:eastAsia="zh-CN"/>
        </w:rPr>
        <w:t>厂</w:t>
      </w:r>
      <w:r>
        <w:rPr>
          <w:rFonts w:hint="eastAsia"/>
          <w:color w:val="auto"/>
          <w:sz w:val="24"/>
          <w:highlight w:val="none"/>
        </w:rPr>
        <w:t>的位置布设污水干管，进一步完善</w:t>
      </w:r>
      <w:r>
        <w:rPr>
          <w:rFonts w:hint="eastAsia"/>
          <w:color w:val="auto"/>
          <w:sz w:val="24"/>
          <w:highlight w:val="none"/>
          <w:lang w:eastAsia="zh-CN"/>
        </w:rPr>
        <w:t>建设</w:t>
      </w:r>
      <w:r>
        <w:rPr>
          <w:rFonts w:hint="eastAsia"/>
          <w:color w:val="auto"/>
          <w:sz w:val="24"/>
          <w:highlight w:val="none"/>
        </w:rPr>
        <w:t>排污</w:t>
      </w:r>
      <w:r>
        <w:rPr>
          <w:rFonts w:hint="eastAsia"/>
          <w:color w:val="auto"/>
          <w:sz w:val="24"/>
          <w:highlight w:val="none"/>
          <w:lang w:eastAsia="zh-CN"/>
        </w:rPr>
        <w:t>管道</w:t>
      </w:r>
      <w:r>
        <w:rPr>
          <w:rFonts w:hint="eastAsia"/>
          <w:color w:val="auto"/>
          <w:sz w:val="24"/>
          <w:highlight w:val="none"/>
        </w:rPr>
        <w:t>，</w:t>
      </w:r>
      <w:r>
        <w:rPr>
          <w:rFonts w:hint="eastAsia"/>
          <w:color w:val="auto"/>
          <w:sz w:val="24"/>
          <w:highlight w:val="none"/>
          <w:lang w:eastAsia="zh-CN"/>
        </w:rPr>
        <w:t>新建配套污水主干管 DN600</w:t>
      </w:r>
      <w:r>
        <w:rPr>
          <w:rFonts w:hint="eastAsia"/>
          <w:color w:val="auto"/>
          <w:sz w:val="24"/>
          <w:highlight w:val="none"/>
        </w:rPr>
        <w:t>网总长度</w:t>
      </w:r>
      <w:r>
        <w:rPr>
          <w:rFonts w:hint="eastAsia"/>
          <w:color w:val="auto"/>
          <w:sz w:val="24"/>
          <w:highlight w:val="none"/>
          <w:lang w:val="en-US" w:eastAsia="zh-CN"/>
        </w:rPr>
        <w:t>1000m</w:t>
      </w:r>
      <w:r>
        <w:rPr>
          <w:rFonts w:hint="eastAsia"/>
          <w:color w:val="auto"/>
          <w:sz w:val="24"/>
          <w:highlight w:val="none"/>
        </w:rPr>
        <w:t>，纳污范围</w:t>
      </w:r>
      <w:r>
        <w:rPr>
          <w:rFonts w:hint="eastAsia"/>
          <w:color w:val="auto"/>
          <w:sz w:val="24"/>
          <w:highlight w:val="none"/>
          <w:lang w:eastAsia="zh-CN"/>
        </w:rPr>
        <w:t>为</w:t>
      </w:r>
      <w:r>
        <w:rPr>
          <w:rFonts w:hint="eastAsia" w:cs="Times New Roman"/>
          <w:color w:val="auto"/>
          <w:kern w:val="0"/>
          <w:sz w:val="24"/>
          <w:szCs w:val="24"/>
          <w:lang w:val="en-US" w:eastAsia="zh-CN" w:bidi="ar-SA"/>
        </w:rPr>
        <w:t>阳江市阳东区大八镇</w:t>
      </w:r>
      <w:r>
        <w:rPr>
          <w:rFonts w:hint="eastAsia" w:ascii="Times New Roman" w:hAnsi="Times New Roman" w:cs="Times New Roman"/>
          <w:color w:val="auto"/>
          <w:kern w:val="0"/>
          <w:sz w:val="24"/>
          <w:szCs w:val="24"/>
          <w:lang w:val="en-US" w:eastAsia="zh-CN" w:bidi="ar-SA"/>
        </w:rPr>
        <w:t>区的居民生活污水</w:t>
      </w:r>
      <w:r>
        <w:rPr>
          <w:rFonts w:hint="eastAsia"/>
          <w:color w:val="auto"/>
          <w:sz w:val="24"/>
          <w:highlight w:val="none"/>
        </w:rPr>
        <w:t>，采用雨污</w:t>
      </w:r>
      <w:r>
        <w:rPr>
          <w:rFonts w:hint="eastAsia"/>
          <w:color w:val="auto"/>
          <w:sz w:val="24"/>
          <w:highlight w:val="none"/>
          <w:lang w:eastAsia="zh-CN"/>
        </w:rPr>
        <w:t>分流</w:t>
      </w:r>
      <w:r>
        <w:rPr>
          <w:rFonts w:hint="eastAsia"/>
          <w:color w:val="auto"/>
          <w:sz w:val="24"/>
          <w:highlight w:val="none"/>
        </w:rPr>
        <w:t>制，将</w:t>
      </w:r>
      <w:r>
        <w:rPr>
          <w:rFonts w:hint="eastAsia"/>
          <w:color w:val="auto"/>
          <w:sz w:val="24"/>
          <w:highlight w:val="none"/>
          <w:lang w:eastAsia="zh-CN"/>
        </w:rPr>
        <w:t>镇区</w:t>
      </w:r>
      <w:r>
        <w:rPr>
          <w:color w:val="auto"/>
          <w:sz w:val="24"/>
        </w:rPr>
        <w:t>原本未经处理直接排放到</w:t>
      </w:r>
      <w:r>
        <w:rPr>
          <w:rFonts w:hint="eastAsia"/>
          <w:color w:val="auto"/>
          <w:sz w:val="24"/>
          <w:lang w:val="en-US" w:eastAsia="zh-CN"/>
        </w:rPr>
        <w:t>吉水河和</w:t>
      </w:r>
      <w:r>
        <w:rPr>
          <w:color w:val="auto"/>
          <w:sz w:val="24"/>
        </w:rPr>
        <w:t>大八河的污水截流进入污水处理厂处理达标后排入</w:t>
      </w:r>
      <w:r>
        <w:rPr>
          <w:rFonts w:hint="eastAsia"/>
          <w:color w:val="auto"/>
          <w:sz w:val="24"/>
          <w:lang w:val="en-US" w:eastAsia="zh-CN"/>
        </w:rPr>
        <w:t>东北</w:t>
      </w:r>
      <w:r>
        <w:rPr>
          <w:rFonts w:hint="eastAsia"/>
          <w:color w:val="auto"/>
          <w:sz w:val="24"/>
          <w:highlight w:val="none"/>
          <w:lang w:eastAsia="zh-CN"/>
        </w:rPr>
        <w:t>面</w:t>
      </w:r>
      <w:r>
        <w:rPr>
          <w:rFonts w:hint="eastAsia"/>
          <w:color w:val="auto"/>
          <w:sz w:val="24"/>
          <w:lang w:eastAsia="zh-CN"/>
        </w:rPr>
        <w:t>排水渠</w:t>
      </w:r>
      <w:r>
        <w:rPr>
          <w:rFonts w:hint="eastAsia"/>
          <w:color w:val="auto"/>
          <w:sz w:val="24"/>
        </w:rPr>
        <w:t>，</w:t>
      </w:r>
      <w:r>
        <w:rPr>
          <w:rFonts w:hint="eastAsia"/>
          <w:color w:val="auto"/>
          <w:sz w:val="24"/>
          <w:lang w:val="en-US" w:eastAsia="zh-CN"/>
        </w:rPr>
        <w:t>再汇入</w:t>
      </w:r>
      <w:r>
        <w:rPr>
          <w:rFonts w:hint="eastAsia"/>
          <w:color w:val="auto"/>
          <w:sz w:val="24"/>
          <w:highlight w:val="none"/>
          <w:lang w:val="en-US" w:eastAsia="zh-CN"/>
        </w:rPr>
        <w:t>吉水河和大八河</w:t>
      </w:r>
      <w:r>
        <w:rPr>
          <w:rFonts w:hint="eastAsia"/>
          <w:color w:val="auto"/>
          <w:sz w:val="24"/>
          <w:highlight w:val="none"/>
          <w:lang w:eastAsia="zh-CN"/>
        </w:rPr>
        <w:t>，</w:t>
      </w:r>
      <w:r>
        <w:rPr>
          <w:color w:val="auto"/>
          <w:sz w:val="24"/>
        </w:rPr>
        <w:t>排放的污染物将得到明显消减，对</w:t>
      </w:r>
      <w:r>
        <w:rPr>
          <w:rFonts w:hint="eastAsia"/>
          <w:color w:val="auto"/>
          <w:sz w:val="24"/>
          <w:highlight w:val="none"/>
          <w:lang w:val="en-US" w:eastAsia="zh-CN"/>
        </w:rPr>
        <w:t>吉水河和大八河</w:t>
      </w:r>
      <w:r>
        <w:rPr>
          <w:color w:val="auto"/>
          <w:sz w:val="24"/>
        </w:rPr>
        <w:t>及下游水体的水质改善起到积极作用</w:t>
      </w:r>
      <w:r>
        <w:rPr>
          <w:rFonts w:hint="eastAsia"/>
          <w:color w:val="auto"/>
          <w:sz w:val="24"/>
          <w:lang w:eastAsia="zh-CN"/>
        </w:rPr>
        <w:t>。</w:t>
      </w:r>
    </w:p>
    <w:p w14:paraId="1B46628A">
      <w:pPr>
        <w:spacing w:line="360" w:lineRule="auto"/>
        <w:ind w:firstLine="480" w:firstLineChars="200"/>
        <w:rPr>
          <w:rFonts w:hint="eastAsia"/>
          <w:color w:val="auto"/>
          <w:sz w:val="24"/>
          <w:highlight w:val="none"/>
          <w:lang w:val="en-US" w:eastAsia="zh-CN"/>
        </w:rPr>
      </w:pPr>
      <w:r>
        <w:rPr>
          <w:rFonts w:hint="eastAsia"/>
          <w:color w:val="auto"/>
          <w:sz w:val="24"/>
          <w:highlight w:val="none"/>
          <w:lang w:eastAsia="zh-CN"/>
        </w:rPr>
        <w:t>阳东区大八镇污水处理厂</w:t>
      </w:r>
      <w:r>
        <w:rPr>
          <w:rFonts w:hint="eastAsia"/>
          <w:color w:val="auto"/>
          <w:sz w:val="24"/>
          <w:highlight w:val="none"/>
          <w:lang w:val="en-US" w:eastAsia="zh-CN"/>
        </w:rPr>
        <w:t>出水达到《城镇污水处理厂污染物排放标准》（GB18918-2002及其2006年修改单）一级A 标准及广东省地方标准《水污染物排放限值》（DB44/26-2001）第二时段一级标准中的较严者后，通过项目东北面的管道排入排水渠，经排水渠流入吉水河和大八河</w:t>
      </w:r>
      <w:r>
        <w:rPr>
          <w:rFonts w:hint="eastAsia"/>
          <w:color w:val="auto"/>
          <w:sz w:val="24"/>
          <w:highlight w:val="none"/>
        </w:rPr>
        <w:t>。</w:t>
      </w:r>
      <w:r>
        <w:rPr>
          <w:rFonts w:hint="eastAsia"/>
          <w:color w:val="auto"/>
          <w:sz w:val="24"/>
          <w:highlight w:val="none"/>
          <w:lang w:eastAsia="zh-CN"/>
        </w:rPr>
        <w:t>阳东区大八镇污水处理厂</w:t>
      </w:r>
      <w:r>
        <w:rPr>
          <w:rFonts w:hint="eastAsia"/>
          <w:color w:val="auto"/>
          <w:sz w:val="24"/>
          <w:highlight w:val="none"/>
          <w:lang w:val="en-US" w:eastAsia="zh-CN"/>
        </w:rPr>
        <w:t>需在</w:t>
      </w:r>
      <w:r>
        <w:rPr>
          <w:rFonts w:hint="eastAsia"/>
          <w:color w:val="auto"/>
          <w:sz w:val="24"/>
          <w:highlight w:val="none"/>
        </w:rPr>
        <w:t>项目</w:t>
      </w:r>
      <w:r>
        <w:rPr>
          <w:rFonts w:hint="eastAsia"/>
          <w:color w:val="auto"/>
          <w:sz w:val="24"/>
          <w:highlight w:val="none"/>
          <w:lang w:val="en-US" w:eastAsia="zh-CN"/>
        </w:rPr>
        <w:t>的东北面新建一个生活污水入河排污口，根据《入河排污口监督管理办法》和《入河入海排污口监督管理技术指南 入河排污口设置》（HJ 1386-2024），应编制入河排污口设置论证报告。</w:t>
      </w:r>
    </w:p>
    <w:p w14:paraId="2DDF2AE9">
      <w:pPr>
        <w:spacing w:line="360" w:lineRule="auto"/>
        <w:ind w:firstLine="480" w:firstLineChars="200"/>
        <w:rPr>
          <w:rFonts w:hint="eastAsia"/>
          <w:color w:val="auto"/>
          <w:sz w:val="24"/>
          <w:highlight w:val="none"/>
          <w:lang w:eastAsia="zh-CN"/>
        </w:rPr>
      </w:pPr>
      <w:r>
        <w:rPr>
          <w:rFonts w:hint="eastAsia"/>
          <w:color w:val="auto"/>
          <w:sz w:val="24"/>
          <w:highlight w:val="none"/>
          <w:lang w:eastAsia="zh-CN"/>
        </w:rPr>
        <w:t>根据广东省生态环境厅关于对《关于做好过渡期入河排污口设置管理工作的通知》在生态环境部未对入河排污口管理法规和规范性文件修改或者废止之前，现阶段仍执行《入河排污口监督管理办法》(水利部第22号令)相关内容，管理技术规范参照《入河入海排污口监督管理技术指南入河排污口设置》（HJ1386—2024）。在江河、湖泊新建、改建或者扩大排污口行政许可由各级生态环境行政主管部门受理、审批，并负责监管。入河排污口设置论证报告是入河排污口设置许可申请的主要技术材料，根据《入河排污口监督管理办法》(水利部第22号令)，排污单位可自行或者委托有关单位编制入河排污口设置论证报告。为此，阳江市阳东区住房和城乡建设局委托广东省华源环境工程有限公司对阳东区大八镇污水处理厂尾水排放工程入河排污口设置开展论证工作，并按照现行规范要求编制《阳东区大八镇污水处理厂入河排污口设置论证报告》 。</w:t>
      </w:r>
    </w:p>
    <w:p w14:paraId="455BE1B2">
      <w:pPr>
        <w:rPr>
          <w:rFonts w:hint="eastAsia" w:eastAsia="宋体"/>
          <w:color w:val="auto"/>
          <w:lang w:eastAsia="zh-CN"/>
        </w:rPr>
      </w:pPr>
      <w:r>
        <w:drawing>
          <wp:inline distT="0" distB="0" distL="114300" distR="114300">
            <wp:extent cx="5751830" cy="4277360"/>
            <wp:effectExtent l="0" t="0" r="1270" b="254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4"/>
                    <a:stretch>
                      <a:fillRect/>
                    </a:stretch>
                  </pic:blipFill>
                  <pic:spPr>
                    <a:xfrm>
                      <a:off x="0" y="0"/>
                      <a:ext cx="5751830" cy="4277360"/>
                    </a:xfrm>
                    <a:prstGeom prst="rect">
                      <a:avLst/>
                    </a:prstGeom>
                    <a:noFill/>
                    <a:ln>
                      <a:noFill/>
                    </a:ln>
                  </pic:spPr>
                </pic:pic>
              </a:graphicData>
            </a:graphic>
          </wp:inline>
        </w:drawing>
      </w:r>
    </w:p>
    <w:p w14:paraId="41A7DB50">
      <w:pPr>
        <w:spacing w:line="360" w:lineRule="auto"/>
        <w:ind w:firstLine="480" w:firstLineChars="200"/>
        <w:jc w:val="center"/>
        <w:rPr>
          <w:rFonts w:hint="default"/>
          <w:color w:val="FF0000"/>
          <w:sz w:val="24"/>
          <w:highlight w:val="none"/>
          <w:lang w:val="en-US" w:eastAsia="zh-CN"/>
        </w:rPr>
      </w:pPr>
      <w:r>
        <w:rPr>
          <w:rFonts w:hint="eastAsia"/>
          <w:color w:val="FF0000"/>
          <w:sz w:val="24"/>
          <w:highlight w:val="none"/>
          <w:lang w:val="en-US" w:eastAsia="zh-CN"/>
        </w:rPr>
        <w:t>图1.1-1 污水处理厂地理位置图</w:t>
      </w:r>
    </w:p>
    <w:p w14:paraId="04B3FEEA">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bookmarkStart w:id="11" w:name="_Toc22599"/>
      <w:bookmarkStart w:id="12" w:name="_Toc5702"/>
      <w:r>
        <w:rPr>
          <w:rFonts w:hint="eastAsia"/>
          <w:color w:val="auto"/>
          <w:lang w:val="en-US" w:eastAsia="zh-CN"/>
        </w:rPr>
        <w:t>论证目的</w:t>
      </w:r>
      <w:bookmarkEnd w:id="11"/>
      <w:bookmarkEnd w:id="12"/>
    </w:p>
    <w:p w14:paraId="11B832A9">
      <w:pPr>
        <w:spacing w:line="360" w:lineRule="auto"/>
        <w:ind w:firstLine="480" w:firstLineChars="200"/>
        <w:rPr>
          <w:rFonts w:hint="eastAsia"/>
          <w:color w:val="auto"/>
          <w:sz w:val="24"/>
          <w:highlight w:val="none"/>
        </w:rPr>
      </w:pPr>
      <w:bookmarkStart w:id="13" w:name="_Toc89611439"/>
      <w:r>
        <w:rPr>
          <w:rFonts w:hint="eastAsia"/>
          <w:color w:val="auto"/>
          <w:sz w:val="24"/>
          <w:highlight w:val="none"/>
        </w:rPr>
        <w:t>（1）实现排污口有效监督管理：根据《中华人民共和国水法》、《入河排污口监督管理办法》和《水功能区管理办法》等法律法规的要求，结合</w:t>
      </w:r>
      <w:r>
        <w:rPr>
          <w:rFonts w:hint="eastAsia"/>
          <w:color w:val="auto"/>
          <w:sz w:val="24"/>
          <w:highlight w:val="none"/>
          <w:lang w:eastAsia="zh-CN"/>
        </w:rPr>
        <w:t>大八镇</w:t>
      </w:r>
      <w:r>
        <w:rPr>
          <w:rFonts w:hint="eastAsia"/>
          <w:color w:val="auto"/>
          <w:sz w:val="24"/>
          <w:highlight w:val="none"/>
        </w:rPr>
        <w:t>污水处理厂入河排污口设置方案，在满足水功能区保护要求的前提下，充分论证入河排污口设置对水功能区水质、水生态和第三者权益的影响。</w:t>
      </w:r>
    </w:p>
    <w:p w14:paraId="78E946D6">
      <w:pPr>
        <w:spacing w:line="360" w:lineRule="auto"/>
        <w:ind w:firstLine="480" w:firstLineChars="200"/>
        <w:rPr>
          <w:rFonts w:hint="eastAsia"/>
          <w:color w:val="auto"/>
          <w:sz w:val="24"/>
          <w:highlight w:val="none"/>
        </w:rPr>
      </w:pPr>
      <w:r>
        <w:rPr>
          <w:rFonts w:hint="eastAsia"/>
          <w:color w:val="auto"/>
          <w:sz w:val="24"/>
          <w:highlight w:val="none"/>
        </w:rPr>
        <w:t>（2）保护和改善水环境：根据河段水文水资源特性、入河排污口基本信息、受纳水体纳污能力、排污总量控制、水生态保护等要求，对排污口设置的合理性进行论证分析，提出水资源保护措施，以保障所在水域生活、生产和生态用水安全。</w:t>
      </w:r>
    </w:p>
    <w:p w14:paraId="6E1F42A0">
      <w:pPr>
        <w:spacing w:line="360" w:lineRule="auto"/>
        <w:ind w:firstLine="480" w:firstLineChars="200"/>
        <w:rPr>
          <w:rFonts w:hint="eastAsia"/>
          <w:color w:val="auto"/>
          <w:sz w:val="24"/>
          <w:highlight w:val="none"/>
        </w:rPr>
      </w:pPr>
      <w:r>
        <w:rPr>
          <w:rFonts w:hint="eastAsia"/>
          <w:color w:val="auto"/>
          <w:sz w:val="24"/>
          <w:highlight w:val="none"/>
        </w:rPr>
        <w:t>（3）提供科学审批的依据</w:t>
      </w:r>
      <w:r>
        <w:rPr>
          <w:rFonts w:hint="eastAsia"/>
          <w:color w:val="auto"/>
          <w:sz w:val="24"/>
          <w:highlight w:val="none"/>
          <w:lang w:eastAsia="zh-CN"/>
        </w:rPr>
        <w:t>：</w:t>
      </w:r>
      <w:r>
        <w:rPr>
          <w:rFonts w:hint="eastAsia"/>
          <w:color w:val="auto"/>
          <w:sz w:val="24"/>
          <w:highlight w:val="none"/>
        </w:rPr>
        <w:t>通过对入河排污口设置的合理性的论证，为行政主管部门审批入河排污口以及建设单位合理设置入河排污口提供科学依据。</w:t>
      </w:r>
    </w:p>
    <w:bookmarkEnd w:id="13"/>
    <w:p w14:paraId="1FA56ED4">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bookmarkStart w:id="14" w:name="_Toc22740"/>
      <w:bookmarkStart w:id="15" w:name="_Toc4047"/>
      <w:r>
        <w:rPr>
          <w:rFonts w:hint="eastAsia"/>
          <w:color w:val="auto"/>
          <w:lang w:val="en-US" w:eastAsia="zh-CN"/>
        </w:rPr>
        <w:t>论证原则</w:t>
      </w:r>
      <w:bookmarkEnd w:id="14"/>
      <w:bookmarkEnd w:id="15"/>
    </w:p>
    <w:p w14:paraId="786F343D">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（1）符合中华人民共和国水利部令第22号文件《入河排污口监督管理办法》以及相关政策的规定，满足《入河入海排污口监督管理技术指南入河排污口设置》（HJ1386—2024）等技术规范要求；</w:t>
      </w:r>
    </w:p>
    <w:p w14:paraId="2FA4C78C">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（2）符合流域或区域的综合规划及水资源保护等专业规划；</w:t>
      </w:r>
    </w:p>
    <w:p w14:paraId="3ED56ED9">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（3）不影响第三方利益；</w:t>
      </w:r>
    </w:p>
    <w:p w14:paraId="3DDC9E47">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（4）符合水功能区管理要求。</w:t>
      </w:r>
    </w:p>
    <w:p w14:paraId="2EB589AF">
      <w:pPr>
        <w:spacing w:line="360" w:lineRule="auto"/>
        <w:ind w:firstLine="480" w:firstLineChars="200"/>
        <w:rPr>
          <w:rFonts w:hint="eastAsia"/>
          <w:color w:val="auto"/>
          <w:lang w:val="en-US" w:eastAsia="zh-CN"/>
        </w:rPr>
      </w:pPr>
      <w:r>
        <w:rPr>
          <w:rFonts w:hint="eastAsia"/>
          <w:color w:val="auto"/>
          <w:sz w:val="24"/>
          <w:highlight w:val="none"/>
          <w:lang w:val="en-US" w:eastAsia="zh-CN"/>
        </w:rPr>
        <w:t>在论证的所有环节都必须坚持工程项目所在区域水资源的优化配置和可持续利用的方针和开源节流、治污并举、节水治污优先的原则。</w:t>
      </w:r>
    </w:p>
    <w:p w14:paraId="61433AEC">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bookmarkStart w:id="16" w:name="_Toc16989"/>
      <w:bookmarkStart w:id="17" w:name="_Toc24186"/>
      <w:r>
        <w:rPr>
          <w:rFonts w:hint="eastAsia"/>
          <w:color w:val="auto"/>
          <w:lang w:val="en-US" w:eastAsia="zh-CN"/>
        </w:rPr>
        <w:t>论证依据</w:t>
      </w:r>
      <w:bookmarkEnd w:id="16"/>
      <w:bookmarkEnd w:id="17"/>
    </w:p>
    <w:p w14:paraId="39603ACC">
      <w:pPr>
        <w:spacing w:line="360" w:lineRule="auto"/>
        <w:ind w:firstLine="482" w:firstLineChars="200"/>
        <w:rPr>
          <w:rFonts w:hint="eastAsia"/>
          <w:b/>
          <w:bCs/>
          <w:color w:val="auto"/>
          <w:sz w:val="24"/>
          <w:highlight w:val="none"/>
          <w:lang w:val="en-US" w:eastAsia="zh-CN"/>
        </w:rPr>
      </w:pPr>
      <w:r>
        <w:rPr>
          <w:rFonts w:hint="eastAsia"/>
          <w:b/>
          <w:bCs/>
          <w:color w:val="auto"/>
          <w:sz w:val="24"/>
          <w:highlight w:val="none"/>
          <w:lang w:val="en-US" w:eastAsia="zh-CN"/>
        </w:rPr>
        <w:t>1、国家法律、法规、条例</w:t>
      </w:r>
    </w:p>
    <w:p w14:paraId="7F83CA75">
      <w:pPr>
        <w:spacing w:line="360" w:lineRule="auto"/>
        <w:ind w:firstLine="480" w:firstLineChars="200"/>
        <w:rPr>
          <w:color w:val="auto"/>
          <w:sz w:val="24"/>
          <w:highlight w:val="none"/>
        </w:rPr>
      </w:pPr>
      <w:r>
        <w:rPr>
          <w:rFonts w:hint="eastAsia"/>
          <w:color w:val="auto"/>
          <w:sz w:val="24"/>
          <w:highlight w:val="none"/>
          <w:lang w:val="en-US" w:eastAsia="zh-CN"/>
        </w:rPr>
        <w:t>（</w:t>
      </w:r>
      <w:r>
        <w:rPr>
          <w:color w:val="auto"/>
          <w:sz w:val="24"/>
          <w:highlight w:val="none"/>
          <w:lang w:val="en-US" w:eastAsia="zh-CN"/>
        </w:rPr>
        <w:t>1</w:t>
      </w:r>
      <w:r>
        <w:rPr>
          <w:rFonts w:hint="eastAsia"/>
          <w:color w:val="auto"/>
          <w:sz w:val="24"/>
          <w:highlight w:val="none"/>
          <w:lang w:val="en-US" w:eastAsia="zh-CN"/>
        </w:rPr>
        <w:t>）《中华人民共和国环境保护法》，</w:t>
      </w:r>
      <w:r>
        <w:rPr>
          <w:rFonts w:hint="eastAsia" w:cs="Times New Roman"/>
          <w:color w:val="auto"/>
          <w:sz w:val="24"/>
          <w:lang w:eastAsia="zh-CN"/>
        </w:rPr>
        <w:t>（</w:t>
      </w:r>
      <w:r>
        <w:rPr>
          <w:rFonts w:hint="default"/>
          <w:color w:val="auto"/>
          <w:sz w:val="24"/>
          <w:highlight w:val="none"/>
          <w:lang w:val="en-US" w:eastAsia="zh-CN"/>
        </w:rPr>
        <w:t>2015</w:t>
      </w:r>
      <w:r>
        <w:rPr>
          <w:rFonts w:hint="eastAsia"/>
          <w:color w:val="auto"/>
          <w:sz w:val="24"/>
          <w:highlight w:val="none"/>
          <w:lang w:val="en-US" w:eastAsia="zh-CN"/>
        </w:rPr>
        <w:t>年</w:t>
      </w:r>
      <w:r>
        <w:rPr>
          <w:rFonts w:hint="default"/>
          <w:color w:val="auto"/>
          <w:sz w:val="24"/>
          <w:highlight w:val="none"/>
          <w:lang w:val="en-US" w:eastAsia="zh-CN"/>
        </w:rPr>
        <w:t>1</w:t>
      </w:r>
      <w:r>
        <w:rPr>
          <w:rFonts w:hint="eastAsia"/>
          <w:color w:val="auto"/>
          <w:sz w:val="24"/>
          <w:highlight w:val="none"/>
          <w:lang w:val="en-US" w:eastAsia="zh-CN"/>
        </w:rPr>
        <w:t>月</w:t>
      </w:r>
      <w:r>
        <w:rPr>
          <w:rFonts w:hint="default"/>
          <w:color w:val="auto"/>
          <w:sz w:val="24"/>
          <w:highlight w:val="none"/>
          <w:lang w:val="en-US" w:eastAsia="zh-CN"/>
        </w:rPr>
        <w:t>1</w:t>
      </w:r>
      <w:r>
        <w:rPr>
          <w:rFonts w:hint="eastAsia"/>
          <w:color w:val="auto"/>
          <w:sz w:val="24"/>
          <w:highlight w:val="none"/>
          <w:lang w:val="en-US" w:eastAsia="zh-CN"/>
        </w:rPr>
        <w:t>日实施）；</w:t>
      </w:r>
    </w:p>
    <w:p w14:paraId="352633E5">
      <w:pPr>
        <w:spacing w:line="360" w:lineRule="auto"/>
        <w:ind w:firstLine="480" w:firstLineChars="200"/>
        <w:rPr>
          <w:color w:val="auto"/>
          <w:sz w:val="24"/>
          <w:highlight w:val="none"/>
        </w:rPr>
      </w:pPr>
      <w:r>
        <w:rPr>
          <w:rFonts w:hint="eastAsia"/>
          <w:color w:val="auto"/>
          <w:sz w:val="24"/>
          <w:highlight w:val="none"/>
          <w:lang w:val="en-US" w:eastAsia="zh-CN"/>
        </w:rPr>
        <w:t>（</w:t>
      </w:r>
      <w:r>
        <w:rPr>
          <w:rFonts w:hint="default"/>
          <w:color w:val="auto"/>
          <w:sz w:val="24"/>
          <w:highlight w:val="none"/>
          <w:lang w:val="en-US" w:eastAsia="zh-CN"/>
        </w:rPr>
        <w:t>2</w:t>
      </w:r>
      <w:r>
        <w:rPr>
          <w:rFonts w:hint="eastAsia"/>
          <w:color w:val="auto"/>
          <w:sz w:val="24"/>
          <w:highlight w:val="none"/>
          <w:lang w:val="en-US" w:eastAsia="zh-CN"/>
        </w:rPr>
        <w:t>）《中华人民共和国水污染防治法》，（2018年1月1日实施）；</w:t>
      </w:r>
    </w:p>
    <w:p w14:paraId="30163D6D">
      <w:pPr>
        <w:spacing w:line="360" w:lineRule="auto"/>
        <w:ind w:firstLine="480" w:firstLineChars="200"/>
        <w:rPr>
          <w:color w:val="auto"/>
          <w:sz w:val="24"/>
          <w:highlight w:val="none"/>
        </w:rPr>
      </w:pPr>
      <w:r>
        <w:rPr>
          <w:rFonts w:hint="eastAsia"/>
          <w:color w:val="auto"/>
          <w:sz w:val="24"/>
          <w:highlight w:val="none"/>
          <w:lang w:val="en-US" w:eastAsia="zh-CN"/>
        </w:rPr>
        <w:t>（</w:t>
      </w:r>
      <w:r>
        <w:rPr>
          <w:rFonts w:hint="default"/>
          <w:color w:val="auto"/>
          <w:sz w:val="24"/>
          <w:highlight w:val="none"/>
          <w:lang w:val="en-US" w:eastAsia="zh-CN"/>
        </w:rPr>
        <w:t>3</w:t>
      </w:r>
      <w:r>
        <w:rPr>
          <w:rFonts w:hint="eastAsia"/>
          <w:color w:val="auto"/>
          <w:sz w:val="24"/>
          <w:highlight w:val="none"/>
          <w:lang w:val="en-US" w:eastAsia="zh-CN"/>
        </w:rPr>
        <w:t>）《中华人民共和国水法》，（</w:t>
      </w:r>
      <w:r>
        <w:rPr>
          <w:rFonts w:hint="default"/>
          <w:color w:val="auto"/>
          <w:sz w:val="24"/>
          <w:highlight w:val="none"/>
          <w:lang w:val="en-US" w:eastAsia="zh-CN"/>
        </w:rPr>
        <w:t>2016</w:t>
      </w:r>
      <w:r>
        <w:rPr>
          <w:rFonts w:hint="eastAsia"/>
          <w:color w:val="auto"/>
          <w:sz w:val="24"/>
          <w:highlight w:val="none"/>
          <w:lang w:val="en-US" w:eastAsia="zh-CN"/>
        </w:rPr>
        <w:t>年</w:t>
      </w:r>
      <w:r>
        <w:rPr>
          <w:rFonts w:hint="default"/>
          <w:color w:val="auto"/>
          <w:sz w:val="24"/>
          <w:highlight w:val="none"/>
          <w:lang w:val="en-US" w:eastAsia="zh-CN"/>
        </w:rPr>
        <w:t>7</w:t>
      </w:r>
      <w:r>
        <w:rPr>
          <w:rFonts w:hint="eastAsia"/>
          <w:color w:val="auto"/>
          <w:sz w:val="24"/>
          <w:highlight w:val="none"/>
          <w:lang w:val="en-US" w:eastAsia="zh-CN"/>
        </w:rPr>
        <w:t>月</w:t>
      </w:r>
      <w:r>
        <w:rPr>
          <w:rFonts w:hint="default"/>
          <w:color w:val="auto"/>
          <w:sz w:val="24"/>
          <w:highlight w:val="none"/>
          <w:lang w:val="en-US" w:eastAsia="zh-CN"/>
        </w:rPr>
        <w:t>2</w:t>
      </w:r>
      <w:r>
        <w:rPr>
          <w:rFonts w:hint="eastAsia"/>
          <w:color w:val="auto"/>
          <w:sz w:val="24"/>
          <w:highlight w:val="none"/>
          <w:lang w:val="en-US" w:eastAsia="zh-CN"/>
        </w:rPr>
        <w:t>日实施）；</w:t>
      </w:r>
    </w:p>
    <w:p w14:paraId="4F202EB6">
      <w:pPr>
        <w:spacing w:line="360" w:lineRule="auto"/>
        <w:ind w:firstLine="480" w:firstLineChars="200"/>
        <w:rPr>
          <w:color w:val="auto"/>
          <w:sz w:val="24"/>
          <w:highlight w:val="none"/>
        </w:rPr>
      </w:pPr>
      <w:r>
        <w:rPr>
          <w:rFonts w:hint="eastAsia"/>
          <w:color w:val="auto"/>
          <w:sz w:val="24"/>
          <w:highlight w:val="none"/>
          <w:lang w:val="en-US" w:eastAsia="zh-CN"/>
        </w:rPr>
        <w:t>（</w:t>
      </w:r>
      <w:r>
        <w:rPr>
          <w:rFonts w:hint="default"/>
          <w:color w:val="auto"/>
          <w:sz w:val="24"/>
          <w:highlight w:val="none"/>
          <w:lang w:val="en-US" w:eastAsia="zh-CN"/>
        </w:rPr>
        <w:t>4</w:t>
      </w:r>
      <w:r>
        <w:rPr>
          <w:rFonts w:hint="eastAsia"/>
          <w:color w:val="auto"/>
          <w:sz w:val="24"/>
          <w:highlight w:val="none"/>
          <w:lang w:val="en-US" w:eastAsia="zh-CN"/>
        </w:rPr>
        <w:t>）《水污染防治行动计划》，</w:t>
      </w:r>
      <w:r>
        <w:rPr>
          <w:rFonts w:hint="eastAsia" w:cs="Times New Roman"/>
          <w:color w:val="auto"/>
          <w:sz w:val="24"/>
          <w:lang w:eastAsia="zh-CN"/>
        </w:rPr>
        <w:t>（</w:t>
      </w:r>
      <w:r>
        <w:rPr>
          <w:rFonts w:hint="eastAsia"/>
          <w:color w:val="auto"/>
          <w:sz w:val="24"/>
          <w:highlight w:val="none"/>
          <w:lang w:val="en-US" w:eastAsia="zh-CN"/>
        </w:rPr>
        <w:t>国发</w:t>
      </w:r>
      <w:r>
        <w:rPr>
          <w:rFonts w:hint="default"/>
          <w:color w:val="auto"/>
          <w:sz w:val="24"/>
          <w:highlight w:val="none"/>
          <w:lang w:val="en-US" w:eastAsia="zh-CN"/>
        </w:rPr>
        <w:t>[2015]17</w:t>
      </w:r>
      <w:r>
        <w:rPr>
          <w:rFonts w:hint="eastAsia"/>
          <w:color w:val="auto"/>
          <w:sz w:val="24"/>
          <w:highlight w:val="none"/>
          <w:lang w:val="en-US" w:eastAsia="zh-CN"/>
        </w:rPr>
        <w:t>号）；</w:t>
      </w:r>
    </w:p>
    <w:p w14:paraId="4F9A8EA7">
      <w:pPr>
        <w:spacing w:line="360" w:lineRule="auto"/>
        <w:ind w:firstLine="480" w:firstLineChars="200"/>
        <w:rPr>
          <w:color w:val="auto"/>
          <w:sz w:val="24"/>
          <w:highlight w:val="none"/>
        </w:rPr>
      </w:pPr>
      <w:r>
        <w:rPr>
          <w:rFonts w:hint="eastAsia"/>
          <w:color w:val="auto"/>
          <w:sz w:val="24"/>
          <w:highlight w:val="none"/>
          <w:lang w:val="en-US" w:eastAsia="zh-CN"/>
        </w:rPr>
        <w:t>（</w:t>
      </w:r>
      <w:r>
        <w:rPr>
          <w:rFonts w:hint="default"/>
          <w:color w:val="auto"/>
          <w:sz w:val="24"/>
          <w:highlight w:val="none"/>
          <w:lang w:val="en-US" w:eastAsia="zh-CN"/>
        </w:rPr>
        <w:t>5</w:t>
      </w:r>
      <w:r>
        <w:rPr>
          <w:rFonts w:hint="eastAsia"/>
          <w:color w:val="auto"/>
          <w:sz w:val="24"/>
          <w:highlight w:val="none"/>
          <w:lang w:val="en-US" w:eastAsia="zh-CN"/>
        </w:rPr>
        <w:t>）《中华人民共和国防洪法》，</w:t>
      </w:r>
      <w:r>
        <w:rPr>
          <w:rFonts w:hint="eastAsia" w:cs="Times New Roman"/>
          <w:color w:val="auto"/>
          <w:sz w:val="24"/>
          <w:lang w:eastAsia="zh-CN"/>
        </w:rPr>
        <w:t>（</w:t>
      </w:r>
      <w:r>
        <w:rPr>
          <w:rFonts w:hint="default"/>
          <w:color w:val="auto"/>
          <w:sz w:val="24"/>
          <w:highlight w:val="none"/>
          <w:lang w:val="en-US" w:eastAsia="zh-CN"/>
        </w:rPr>
        <w:t>2016</w:t>
      </w:r>
      <w:r>
        <w:rPr>
          <w:rFonts w:hint="eastAsia"/>
          <w:color w:val="auto"/>
          <w:sz w:val="24"/>
          <w:highlight w:val="none"/>
          <w:lang w:val="en-US" w:eastAsia="zh-CN"/>
        </w:rPr>
        <w:t>年</w:t>
      </w:r>
      <w:r>
        <w:rPr>
          <w:rFonts w:hint="default"/>
          <w:color w:val="auto"/>
          <w:sz w:val="24"/>
          <w:highlight w:val="none"/>
          <w:lang w:val="en-US" w:eastAsia="zh-CN"/>
        </w:rPr>
        <w:t>7</w:t>
      </w:r>
      <w:r>
        <w:rPr>
          <w:rFonts w:hint="eastAsia"/>
          <w:color w:val="auto"/>
          <w:sz w:val="24"/>
          <w:highlight w:val="none"/>
          <w:lang w:val="en-US" w:eastAsia="zh-CN"/>
        </w:rPr>
        <w:t>月</w:t>
      </w:r>
      <w:r>
        <w:rPr>
          <w:rFonts w:hint="default"/>
          <w:color w:val="auto"/>
          <w:sz w:val="24"/>
          <w:highlight w:val="none"/>
          <w:lang w:val="en-US" w:eastAsia="zh-CN"/>
        </w:rPr>
        <w:t>2</w:t>
      </w:r>
      <w:r>
        <w:rPr>
          <w:rFonts w:hint="eastAsia"/>
          <w:color w:val="auto"/>
          <w:sz w:val="24"/>
          <w:highlight w:val="none"/>
          <w:lang w:val="en-US" w:eastAsia="zh-CN"/>
        </w:rPr>
        <w:t>日修正）；</w:t>
      </w:r>
    </w:p>
    <w:p w14:paraId="4E696FFB">
      <w:pPr>
        <w:spacing w:line="360" w:lineRule="auto"/>
        <w:ind w:firstLine="480" w:firstLineChars="200"/>
        <w:rPr>
          <w:color w:val="auto"/>
          <w:sz w:val="24"/>
          <w:highlight w:val="none"/>
        </w:rPr>
      </w:pPr>
      <w:r>
        <w:rPr>
          <w:rFonts w:hint="eastAsia"/>
          <w:color w:val="auto"/>
          <w:sz w:val="24"/>
          <w:highlight w:val="none"/>
          <w:lang w:val="en-US" w:eastAsia="zh-CN"/>
        </w:rPr>
        <w:t>（</w:t>
      </w:r>
      <w:r>
        <w:rPr>
          <w:rFonts w:hint="default"/>
          <w:color w:val="auto"/>
          <w:sz w:val="24"/>
          <w:highlight w:val="none"/>
          <w:lang w:val="en-US" w:eastAsia="zh-CN"/>
        </w:rPr>
        <w:t>6</w:t>
      </w:r>
      <w:r>
        <w:rPr>
          <w:rFonts w:hint="eastAsia"/>
          <w:color w:val="auto"/>
          <w:sz w:val="24"/>
          <w:highlight w:val="none"/>
          <w:lang w:val="en-US" w:eastAsia="zh-CN"/>
        </w:rPr>
        <w:t>）《建设项目环境保护管理条例》，</w:t>
      </w:r>
      <w:r>
        <w:rPr>
          <w:rFonts w:hint="eastAsia" w:cs="Times New Roman"/>
          <w:color w:val="auto"/>
          <w:sz w:val="24"/>
          <w:lang w:eastAsia="zh-CN"/>
        </w:rPr>
        <w:t>（</w:t>
      </w:r>
      <w:r>
        <w:rPr>
          <w:rFonts w:hint="default"/>
          <w:color w:val="auto"/>
          <w:sz w:val="24"/>
          <w:highlight w:val="none"/>
          <w:lang w:val="en-US" w:eastAsia="zh-CN"/>
        </w:rPr>
        <w:t>2017</w:t>
      </w:r>
      <w:r>
        <w:rPr>
          <w:rFonts w:hint="eastAsia"/>
          <w:color w:val="auto"/>
          <w:sz w:val="24"/>
          <w:highlight w:val="none"/>
          <w:lang w:val="en-US" w:eastAsia="zh-CN"/>
        </w:rPr>
        <w:t>年</w:t>
      </w:r>
      <w:r>
        <w:rPr>
          <w:rFonts w:hint="default"/>
          <w:color w:val="auto"/>
          <w:sz w:val="24"/>
          <w:highlight w:val="none"/>
          <w:lang w:val="en-US" w:eastAsia="zh-CN"/>
        </w:rPr>
        <w:t>7</w:t>
      </w:r>
      <w:r>
        <w:rPr>
          <w:rFonts w:hint="eastAsia"/>
          <w:color w:val="auto"/>
          <w:sz w:val="24"/>
          <w:highlight w:val="none"/>
          <w:lang w:val="en-US" w:eastAsia="zh-CN"/>
        </w:rPr>
        <w:t>月</w:t>
      </w:r>
      <w:r>
        <w:rPr>
          <w:rFonts w:hint="default"/>
          <w:color w:val="auto"/>
          <w:sz w:val="24"/>
          <w:highlight w:val="none"/>
          <w:lang w:val="en-US" w:eastAsia="zh-CN"/>
        </w:rPr>
        <w:t>16</w:t>
      </w:r>
      <w:r>
        <w:rPr>
          <w:rFonts w:hint="eastAsia"/>
          <w:color w:val="auto"/>
          <w:sz w:val="24"/>
          <w:highlight w:val="none"/>
          <w:lang w:val="en-US" w:eastAsia="zh-CN"/>
        </w:rPr>
        <w:t>日）；</w:t>
      </w:r>
    </w:p>
    <w:p w14:paraId="5FB8BB3C">
      <w:pPr>
        <w:spacing w:line="360" w:lineRule="auto"/>
        <w:ind w:firstLine="480" w:firstLineChars="200"/>
        <w:rPr>
          <w:color w:val="auto"/>
          <w:sz w:val="24"/>
          <w:highlight w:val="none"/>
        </w:rPr>
      </w:pPr>
      <w:r>
        <w:rPr>
          <w:rFonts w:hint="eastAsia"/>
          <w:color w:val="auto"/>
          <w:sz w:val="24"/>
          <w:highlight w:val="none"/>
          <w:lang w:val="en-US" w:eastAsia="zh-CN"/>
        </w:rPr>
        <w:t>（</w:t>
      </w:r>
      <w:r>
        <w:rPr>
          <w:rFonts w:hint="default"/>
          <w:color w:val="auto"/>
          <w:sz w:val="24"/>
          <w:highlight w:val="none"/>
          <w:lang w:val="en-US" w:eastAsia="zh-CN"/>
        </w:rPr>
        <w:t>7</w:t>
      </w:r>
      <w:r>
        <w:rPr>
          <w:rFonts w:hint="eastAsia"/>
          <w:color w:val="auto"/>
          <w:sz w:val="24"/>
          <w:highlight w:val="none"/>
          <w:lang w:val="en-US" w:eastAsia="zh-CN"/>
        </w:rPr>
        <w:t>）《中华人民共和国河道管理条例》，</w:t>
      </w:r>
      <w:r>
        <w:rPr>
          <w:rFonts w:hint="eastAsia" w:cs="Times New Roman"/>
          <w:color w:val="auto"/>
          <w:sz w:val="24"/>
          <w:lang w:eastAsia="zh-CN"/>
        </w:rPr>
        <w:t>（</w:t>
      </w:r>
      <w:r>
        <w:rPr>
          <w:rFonts w:hint="default"/>
          <w:color w:val="auto"/>
          <w:sz w:val="24"/>
          <w:highlight w:val="none"/>
          <w:lang w:val="en-US" w:eastAsia="zh-CN"/>
        </w:rPr>
        <w:t>2018</w:t>
      </w:r>
      <w:r>
        <w:rPr>
          <w:rFonts w:hint="eastAsia"/>
          <w:color w:val="auto"/>
          <w:sz w:val="24"/>
          <w:highlight w:val="none"/>
          <w:lang w:val="en-US" w:eastAsia="zh-CN"/>
        </w:rPr>
        <w:t>年</w:t>
      </w:r>
      <w:r>
        <w:rPr>
          <w:rFonts w:hint="default"/>
          <w:color w:val="auto"/>
          <w:sz w:val="24"/>
          <w:highlight w:val="none"/>
          <w:lang w:val="en-US" w:eastAsia="zh-CN"/>
        </w:rPr>
        <w:t>3</w:t>
      </w:r>
      <w:r>
        <w:rPr>
          <w:rFonts w:hint="eastAsia"/>
          <w:color w:val="auto"/>
          <w:sz w:val="24"/>
          <w:highlight w:val="none"/>
          <w:lang w:val="en-US" w:eastAsia="zh-CN"/>
        </w:rPr>
        <w:t>月</w:t>
      </w:r>
      <w:r>
        <w:rPr>
          <w:rFonts w:hint="default"/>
          <w:color w:val="auto"/>
          <w:sz w:val="24"/>
          <w:highlight w:val="none"/>
          <w:lang w:val="en-US" w:eastAsia="zh-CN"/>
        </w:rPr>
        <w:t>19</w:t>
      </w:r>
      <w:r>
        <w:rPr>
          <w:rFonts w:hint="eastAsia"/>
          <w:color w:val="auto"/>
          <w:sz w:val="24"/>
          <w:highlight w:val="none"/>
          <w:lang w:val="en-US" w:eastAsia="zh-CN"/>
        </w:rPr>
        <w:t>日修订）；</w:t>
      </w:r>
    </w:p>
    <w:p w14:paraId="72AAD0F4">
      <w:pPr>
        <w:spacing w:line="360" w:lineRule="auto"/>
        <w:ind w:firstLine="480" w:firstLineChars="200"/>
        <w:rPr>
          <w:color w:val="auto"/>
          <w:sz w:val="24"/>
          <w:highlight w:val="none"/>
        </w:rPr>
      </w:pPr>
      <w:r>
        <w:rPr>
          <w:rFonts w:hint="eastAsia"/>
          <w:color w:val="auto"/>
          <w:sz w:val="24"/>
          <w:highlight w:val="none"/>
          <w:lang w:val="en-US" w:eastAsia="zh-CN"/>
        </w:rPr>
        <w:t>（</w:t>
      </w:r>
      <w:r>
        <w:rPr>
          <w:rFonts w:hint="default"/>
          <w:color w:val="auto"/>
          <w:sz w:val="24"/>
          <w:highlight w:val="none"/>
          <w:lang w:val="en-US" w:eastAsia="zh-CN"/>
        </w:rPr>
        <w:t>8</w:t>
      </w:r>
      <w:r>
        <w:rPr>
          <w:rFonts w:hint="eastAsia"/>
          <w:color w:val="auto"/>
          <w:sz w:val="24"/>
          <w:highlight w:val="none"/>
          <w:lang w:val="en-US" w:eastAsia="zh-CN"/>
        </w:rPr>
        <w:t>）《关于加强河流污染防治工作的通知》，</w:t>
      </w:r>
      <w:r>
        <w:rPr>
          <w:rFonts w:hint="eastAsia" w:cs="Times New Roman"/>
          <w:color w:val="auto"/>
          <w:sz w:val="24"/>
          <w:lang w:eastAsia="zh-CN"/>
        </w:rPr>
        <w:t>（</w:t>
      </w:r>
      <w:r>
        <w:rPr>
          <w:rFonts w:hint="eastAsia"/>
          <w:color w:val="auto"/>
          <w:sz w:val="24"/>
          <w:highlight w:val="none"/>
          <w:lang w:val="en-US" w:eastAsia="zh-CN"/>
        </w:rPr>
        <w:t>环发</w:t>
      </w:r>
      <w:r>
        <w:rPr>
          <w:rFonts w:hint="default"/>
          <w:color w:val="auto"/>
          <w:sz w:val="24"/>
          <w:highlight w:val="none"/>
          <w:lang w:val="en-US" w:eastAsia="zh-CN"/>
        </w:rPr>
        <w:t>[2007]201</w:t>
      </w:r>
      <w:r>
        <w:rPr>
          <w:rFonts w:hint="eastAsia"/>
          <w:color w:val="auto"/>
          <w:sz w:val="24"/>
          <w:highlight w:val="none"/>
          <w:lang w:val="en-US" w:eastAsia="zh-CN"/>
        </w:rPr>
        <w:t>号）；</w:t>
      </w:r>
    </w:p>
    <w:p w14:paraId="0033F2DB">
      <w:pPr>
        <w:spacing w:line="360" w:lineRule="auto"/>
        <w:ind w:firstLine="480" w:firstLineChars="200"/>
        <w:rPr>
          <w:color w:val="auto"/>
          <w:sz w:val="24"/>
          <w:highlight w:val="none"/>
        </w:rPr>
      </w:pPr>
      <w:r>
        <w:rPr>
          <w:rFonts w:hint="eastAsia"/>
          <w:color w:val="auto"/>
          <w:sz w:val="24"/>
          <w:highlight w:val="none"/>
          <w:lang w:val="en-US" w:eastAsia="zh-CN"/>
        </w:rPr>
        <w:t>（</w:t>
      </w:r>
      <w:r>
        <w:rPr>
          <w:rFonts w:hint="default"/>
          <w:color w:val="auto"/>
          <w:sz w:val="24"/>
          <w:highlight w:val="none"/>
          <w:lang w:val="en-US" w:eastAsia="zh-CN"/>
        </w:rPr>
        <w:t>9</w:t>
      </w:r>
      <w:r>
        <w:rPr>
          <w:rFonts w:hint="eastAsia"/>
          <w:color w:val="auto"/>
          <w:sz w:val="24"/>
          <w:highlight w:val="none"/>
          <w:lang w:val="en-US" w:eastAsia="zh-CN"/>
        </w:rPr>
        <w:t>）《建设项目主要污染物排放总量指标审核及管理暂行办法》</w:t>
      </w:r>
      <w:r>
        <w:rPr>
          <w:rFonts w:hint="eastAsia" w:cs="Times New Roman"/>
          <w:color w:val="auto"/>
          <w:sz w:val="24"/>
          <w:lang w:eastAsia="zh-CN"/>
        </w:rPr>
        <w:t>（</w:t>
      </w:r>
      <w:r>
        <w:rPr>
          <w:rFonts w:hint="eastAsia"/>
          <w:color w:val="auto"/>
          <w:sz w:val="24"/>
          <w:highlight w:val="none"/>
          <w:lang w:val="en-US" w:eastAsia="zh-CN"/>
        </w:rPr>
        <w:t>环发〔</w:t>
      </w:r>
      <w:r>
        <w:rPr>
          <w:rFonts w:hint="default"/>
          <w:color w:val="auto"/>
          <w:sz w:val="24"/>
          <w:highlight w:val="none"/>
          <w:lang w:val="en-US" w:eastAsia="zh-CN"/>
        </w:rPr>
        <w:t>2014</w:t>
      </w:r>
      <w:r>
        <w:rPr>
          <w:rFonts w:hint="eastAsia"/>
          <w:color w:val="auto"/>
          <w:sz w:val="24"/>
          <w:highlight w:val="none"/>
          <w:lang w:val="en-US" w:eastAsia="zh-CN"/>
        </w:rPr>
        <w:t>〕</w:t>
      </w:r>
      <w:r>
        <w:rPr>
          <w:rFonts w:hint="default"/>
          <w:color w:val="auto"/>
          <w:sz w:val="24"/>
          <w:highlight w:val="none"/>
          <w:lang w:val="en-US" w:eastAsia="zh-CN"/>
        </w:rPr>
        <w:t>197</w:t>
      </w:r>
      <w:r>
        <w:rPr>
          <w:rFonts w:hint="eastAsia"/>
          <w:color w:val="auto"/>
          <w:sz w:val="24"/>
          <w:highlight w:val="none"/>
          <w:lang w:val="en-US" w:eastAsia="zh-CN"/>
        </w:rPr>
        <w:t>号）；</w:t>
      </w:r>
    </w:p>
    <w:p w14:paraId="2C43C882">
      <w:pPr>
        <w:spacing w:line="360" w:lineRule="auto"/>
        <w:ind w:firstLine="480" w:firstLineChars="200"/>
        <w:rPr>
          <w:color w:val="auto"/>
          <w:sz w:val="24"/>
          <w:highlight w:val="none"/>
        </w:rPr>
      </w:pPr>
      <w:r>
        <w:rPr>
          <w:rFonts w:hint="eastAsia"/>
          <w:color w:val="auto"/>
          <w:sz w:val="24"/>
          <w:highlight w:val="none"/>
          <w:lang w:val="en-US" w:eastAsia="zh-CN"/>
        </w:rPr>
        <w:t>（</w:t>
      </w:r>
      <w:r>
        <w:rPr>
          <w:rFonts w:hint="default"/>
          <w:color w:val="auto"/>
          <w:sz w:val="24"/>
          <w:highlight w:val="none"/>
          <w:lang w:val="en-US" w:eastAsia="zh-CN"/>
        </w:rPr>
        <w:t>10</w:t>
      </w:r>
      <w:r>
        <w:rPr>
          <w:rFonts w:hint="eastAsia"/>
          <w:color w:val="auto"/>
          <w:sz w:val="24"/>
          <w:highlight w:val="none"/>
          <w:lang w:val="en-US" w:eastAsia="zh-CN"/>
        </w:rPr>
        <w:t>）《产业结构调整指导目录（</w:t>
      </w:r>
      <w:r>
        <w:rPr>
          <w:rFonts w:hint="default"/>
          <w:color w:val="auto"/>
          <w:sz w:val="24"/>
          <w:highlight w:val="none"/>
          <w:lang w:val="en-US" w:eastAsia="zh-CN"/>
        </w:rPr>
        <w:t>20</w:t>
      </w:r>
      <w:r>
        <w:rPr>
          <w:rFonts w:hint="eastAsia"/>
          <w:color w:val="auto"/>
          <w:sz w:val="24"/>
          <w:highlight w:val="none"/>
          <w:lang w:val="en-US" w:eastAsia="zh-CN"/>
        </w:rPr>
        <w:t>24年本）》</w:t>
      </w:r>
      <w:r>
        <w:rPr>
          <w:rFonts w:hint="eastAsia" w:cs="Times New Roman"/>
          <w:color w:val="auto"/>
          <w:sz w:val="24"/>
          <w:lang w:eastAsia="zh-CN"/>
        </w:rPr>
        <w:t>（</w:t>
      </w:r>
      <w:r>
        <w:rPr>
          <w:rFonts w:hint="eastAsia"/>
          <w:color w:val="auto"/>
          <w:sz w:val="24"/>
          <w:highlight w:val="none"/>
          <w:lang w:val="en-US" w:eastAsia="zh-CN"/>
        </w:rPr>
        <w:t>中华人民共和国国家发展和改革委第6次委务会，</w:t>
      </w:r>
      <w:r>
        <w:rPr>
          <w:rFonts w:hint="default"/>
          <w:color w:val="auto"/>
          <w:sz w:val="24"/>
          <w:highlight w:val="none"/>
          <w:lang w:val="en-US" w:eastAsia="zh-CN"/>
        </w:rPr>
        <w:t>20</w:t>
      </w:r>
      <w:r>
        <w:rPr>
          <w:rFonts w:hint="eastAsia"/>
          <w:color w:val="auto"/>
          <w:sz w:val="24"/>
          <w:highlight w:val="none"/>
          <w:lang w:val="en-US" w:eastAsia="zh-CN"/>
        </w:rPr>
        <w:t>23年12月27日）；</w:t>
      </w:r>
    </w:p>
    <w:p w14:paraId="6B41952E">
      <w:pPr>
        <w:spacing w:line="360" w:lineRule="auto"/>
        <w:ind w:firstLine="480" w:firstLineChars="200"/>
        <w:rPr>
          <w:color w:val="auto"/>
          <w:sz w:val="24"/>
          <w:highlight w:val="none"/>
        </w:rPr>
      </w:pPr>
      <w:r>
        <w:rPr>
          <w:rFonts w:hint="eastAsia"/>
          <w:color w:val="auto"/>
          <w:sz w:val="24"/>
          <w:highlight w:val="none"/>
          <w:lang w:val="en-US" w:eastAsia="zh-CN"/>
        </w:rPr>
        <w:t>（</w:t>
      </w:r>
      <w:r>
        <w:rPr>
          <w:rFonts w:hint="default"/>
          <w:color w:val="auto"/>
          <w:sz w:val="24"/>
          <w:highlight w:val="none"/>
          <w:lang w:val="en-US" w:eastAsia="zh-CN"/>
        </w:rPr>
        <w:t>11</w:t>
      </w:r>
      <w:r>
        <w:rPr>
          <w:rFonts w:hint="eastAsia"/>
          <w:color w:val="auto"/>
          <w:sz w:val="24"/>
          <w:highlight w:val="none"/>
          <w:lang w:val="en-US" w:eastAsia="zh-CN"/>
        </w:rPr>
        <w:t>）《水功能区监督管理办法》</w:t>
      </w:r>
      <w:r>
        <w:rPr>
          <w:rFonts w:hint="eastAsia" w:cs="Times New Roman"/>
          <w:color w:val="auto"/>
          <w:sz w:val="24"/>
          <w:lang w:eastAsia="zh-CN"/>
        </w:rPr>
        <w:t>（</w:t>
      </w:r>
      <w:r>
        <w:rPr>
          <w:rFonts w:hint="eastAsia"/>
          <w:color w:val="auto"/>
          <w:sz w:val="24"/>
          <w:highlight w:val="none"/>
          <w:lang w:val="en-US" w:eastAsia="zh-CN"/>
        </w:rPr>
        <w:t>水资源</w:t>
      </w:r>
      <w:r>
        <w:rPr>
          <w:rFonts w:hint="default"/>
          <w:color w:val="auto"/>
          <w:sz w:val="24"/>
          <w:highlight w:val="none"/>
          <w:lang w:val="en-US" w:eastAsia="zh-CN"/>
        </w:rPr>
        <w:t>[2017]101</w:t>
      </w:r>
      <w:r>
        <w:rPr>
          <w:rFonts w:hint="eastAsia"/>
          <w:color w:val="auto"/>
          <w:sz w:val="24"/>
          <w:highlight w:val="none"/>
          <w:lang w:val="en-US" w:eastAsia="zh-CN"/>
        </w:rPr>
        <w:t>号，</w:t>
      </w:r>
      <w:r>
        <w:rPr>
          <w:rFonts w:hint="default"/>
          <w:color w:val="auto"/>
          <w:sz w:val="24"/>
          <w:highlight w:val="none"/>
          <w:lang w:val="en-US" w:eastAsia="zh-CN"/>
        </w:rPr>
        <w:t>2017</w:t>
      </w:r>
      <w:r>
        <w:rPr>
          <w:rFonts w:hint="eastAsia"/>
          <w:color w:val="auto"/>
          <w:sz w:val="24"/>
          <w:highlight w:val="none"/>
          <w:lang w:val="en-US" w:eastAsia="zh-CN"/>
        </w:rPr>
        <w:t>年</w:t>
      </w:r>
      <w:r>
        <w:rPr>
          <w:rFonts w:hint="default"/>
          <w:color w:val="auto"/>
          <w:sz w:val="24"/>
          <w:highlight w:val="none"/>
          <w:lang w:val="en-US" w:eastAsia="zh-CN"/>
        </w:rPr>
        <w:t>2</w:t>
      </w:r>
      <w:r>
        <w:rPr>
          <w:rFonts w:hint="eastAsia"/>
          <w:color w:val="auto"/>
          <w:sz w:val="24"/>
          <w:highlight w:val="none"/>
          <w:lang w:val="en-US" w:eastAsia="zh-CN"/>
        </w:rPr>
        <w:t>月</w:t>
      </w:r>
      <w:r>
        <w:rPr>
          <w:rFonts w:hint="default"/>
          <w:color w:val="auto"/>
          <w:sz w:val="24"/>
          <w:highlight w:val="none"/>
          <w:lang w:val="en-US" w:eastAsia="zh-CN"/>
        </w:rPr>
        <w:t>27</w:t>
      </w:r>
      <w:r>
        <w:rPr>
          <w:rFonts w:hint="eastAsia"/>
          <w:color w:val="auto"/>
          <w:sz w:val="24"/>
          <w:highlight w:val="none"/>
          <w:lang w:val="en-US" w:eastAsia="zh-CN"/>
        </w:rPr>
        <w:t>日）；</w:t>
      </w:r>
    </w:p>
    <w:p w14:paraId="432D5DF9">
      <w:pPr>
        <w:spacing w:line="360" w:lineRule="auto"/>
        <w:ind w:firstLine="480" w:firstLineChars="200"/>
        <w:rPr>
          <w:color w:val="auto"/>
          <w:sz w:val="24"/>
          <w:highlight w:val="none"/>
        </w:rPr>
      </w:pPr>
      <w:r>
        <w:rPr>
          <w:rFonts w:hint="eastAsia"/>
          <w:color w:val="auto"/>
          <w:sz w:val="24"/>
          <w:highlight w:val="none"/>
          <w:lang w:val="en-US" w:eastAsia="zh-CN"/>
        </w:rPr>
        <w:t>（</w:t>
      </w:r>
      <w:r>
        <w:rPr>
          <w:rFonts w:hint="default"/>
          <w:color w:val="auto"/>
          <w:sz w:val="24"/>
          <w:highlight w:val="none"/>
          <w:lang w:val="en-US" w:eastAsia="zh-CN"/>
        </w:rPr>
        <w:t>12</w:t>
      </w:r>
      <w:r>
        <w:rPr>
          <w:rFonts w:hint="eastAsia"/>
          <w:color w:val="auto"/>
          <w:sz w:val="24"/>
          <w:highlight w:val="none"/>
          <w:lang w:val="en-US" w:eastAsia="zh-CN"/>
        </w:rPr>
        <w:t>）《入河排污口监督管理办法》</w:t>
      </w:r>
      <w:r>
        <w:rPr>
          <w:rFonts w:hint="eastAsia" w:cs="Times New Roman"/>
          <w:color w:val="auto"/>
          <w:sz w:val="24"/>
          <w:lang w:eastAsia="zh-CN"/>
        </w:rPr>
        <w:t>（</w:t>
      </w:r>
      <w:r>
        <w:rPr>
          <w:rFonts w:hint="default"/>
          <w:color w:val="auto"/>
          <w:sz w:val="24"/>
          <w:highlight w:val="none"/>
          <w:lang w:val="en-US" w:eastAsia="zh-CN"/>
        </w:rPr>
        <w:t>2004</w:t>
      </w:r>
      <w:r>
        <w:rPr>
          <w:rFonts w:hint="eastAsia"/>
          <w:color w:val="auto"/>
          <w:sz w:val="24"/>
          <w:highlight w:val="none"/>
          <w:lang w:val="en-US" w:eastAsia="zh-CN"/>
        </w:rPr>
        <w:t>年</w:t>
      </w:r>
      <w:r>
        <w:rPr>
          <w:rFonts w:hint="default"/>
          <w:color w:val="auto"/>
          <w:sz w:val="24"/>
          <w:highlight w:val="none"/>
          <w:lang w:val="en-US" w:eastAsia="zh-CN"/>
        </w:rPr>
        <w:t>11</w:t>
      </w:r>
      <w:r>
        <w:rPr>
          <w:rFonts w:hint="eastAsia"/>
          <w:color w:val="auto"/>
          <w:sz w:val="24"/>
          <w:highlight w:val="none"/>
          <w:lang w:val="en-US" w:eastAsia="zh-CN"/>
        </w:rPr>
        <w:t>月</w:t>
      </w:r>
      <w:r>
        <w:rPr>
          <w:rFonts w:hint="default"/>
          <w:color w:val="auto"/>
          <w:sz w:val="24"/>
          <w:highlight w:val="none"/>
          <w:lang w:val="en-US" w:eastAsia="zh-CN"/>
        </w:rPr>
        <w:t>30</w:t>
      </w:r>
      <w:r>
        <w:rPr>
          <w:rFonts w:hint="eastAsia"/>
          <w:color w:val="auto"/>
          <w:sz w:val="24"/>
          <w:highlight w:val="none"/>
          <w:lang w:val="en-US" w:eastAsia="zh-CN"/>
        </w:rPr>
        <w:t>日水利部令第</w:t>
      </w:r>
      <w:r>
        <w:rPr>
          <w:rFonts w:hint="default"/>
          <w:color w:val="auto"/>
          <w:sz w:val="24"/>
          <w:highlight w:val="none"/>
          <w:lang w:val="en-US" w:eastAsia="zh-CN"/>
        </w:rPr>
        <w:t>22</w:t>
      </w:r>
      <w:r>
        <w:rPr>
          <w:rFonts w:hint="eastAsia"/>
          <w:color w:val="auto"/>
          <w:sz w:val="24"/>
          <w:highlight w:val="none"/>
          <w:lang w:val="en-US" w:eastAsia="zh-CN"/>
        </w:rPr>
        <w:t>号布，</w:t>
      </w:r>
      <w:r>
        <w:rPr>
          <w:rFonts w:hint="default"/>
          <w:color w:val="auto"/>
          <w:sz w:val="24"/>
          <w:highlight w:val="none"/>
          <w:lang w:val="en-US" w:eastAsia="zh-CN"/>
        </w:rPr>
        <w:t>2015</w:t>
      </w:r>
      <w:r>
        <w:rPr>
          <w:rFonts w:hint="eastAsia"/>
          <w:color w:val="auto"/>
          <w:sz w:val="24"/>
          <w:highlight w:val="none"/>
          <w:lang w:val="en-US" w:eastAsia="zh-CN"/>
        </w:rPr>
        <w:t>年</w:t>
      </w:r>
      <w:r>
        <w:rPr>
          <w:rFonts w:hint="default"/>
          <w:color w:val="auto"/>
          <w:sz w:val="24"/>
          <w:highlight w:val="none"/>
          <w:lang w:val="en-US" w:eastAsia="zh-CN"/>
        </w:rPr>
        <w:t>12</w:t>
      </w:r>
      <w:r>
        <w:rPr>
          <w:rFonts w:hint="eastAsia"/>
          <w:color w:val="auto"/>
          <w:sz w:val="24"/>
          <w:highlight w:val="none"/>
          <w:lang w:val="en-US" w:eastAsia="zh-CN"/>
        </w:rPr>
        <w:t>月</w:t>
      </w:r>
      <w:r>
        <w:rPr>
          <w:rFonts w:hint="default"/>
          <w:color w:val="auto"/>
          <w:sz w:val="24"/>
          <w:highlight w:val="none"/>
          <w:lang w:val="en-US" w:eastAsia="zh-CN"/>
        </w:rPr>
        <w:t>16</w:t>
      </w:r>
      <w:r>
        <w:rPr>
          <w:rFonts w:hint="eastAsia"/>
          <w:color w:val="auto"/>
          <w:sz w:val="24"/>
          <w:highlight w:val="none"/>
          <w:lang w:val="en-US" w:eastAsia="zh-CN"/>
        </w:rPr>
        <w:t>日水利部令第</w:t>
      </w:r>
      <w:r>
        <w:rPr>
          <w:rFonts w:hint="default"/>
          <w:color w:val="auto"/>
          <w:sz w:val="24"/>
          <w:highlight w:val="none"/>
          <w:lang w:val="en-US" w:eastAsia="zh-CN"/>
        </w:rPr>
        <w:t>47</w:t>
      </w:r>
      <w:r>
        <w:rPr>
          <w:rFonts w:hint="eastAsia"/>
          <w:color w:val="auto"/>
          <w:sz w:val="24"/>
          <w:highlight w:val="none"/>
          <w:lang w:val="en-US" w:eastAsia="zh-CN"/>
        </w:rPr>
        <w:t>号修改）；</w:t>
      </w:r>
    </w:p>
    <w:p w14:paraId="4A99E550">
      <w:pPr>
        <w:spacing w:line="360" w:lineRule="auto"/>
        <w:ind w:firstLine="480" w:firstLineChars="200"/>
        <w:rPr>
          <w:color w:val="auto"/>
          <w:sz w:val="24"/>
          <w:highlight w:val="none"/>
        </w:rPr>
      </w:pPr>
      <w:r>
        <w:rPr>
          <w:rFonts w:hint="eastAsia"/>
          <w:color w:val="auto"/>
          <w:sz w:val="24"/>
          <w:highlight w:val="none"/>
          <w:lang w:val="en-US" w:eastAsia="zh-CN"/>
        </w:rPr>
        <w:t>（</w:t>
      </w:r>
      <w:r>
        <w:rPr>
          <w:color w:val="auto"/>
          <w:sz w:val="24"/>
          <w:highlight w:val="none"/>
          <w:lang w:val="en-US" w:eastAsia="zh-CN"/>
        </w:rPr>
        <w:t>13</w:t>
      </w:r>
      <w:r>
        <w:rPr>
          <w:rFonts w:hint="eastAsia"/>
          <w:color w:val="auto"/>
          <w:sz w:val="24"/>
          <w:highlight w:val="none"/>
          <w:lang w:val="en-US" w:eastAsia="zh-CN"/>
        </w:rPr>
        <w:t>）《水利部关于进一步加强入河排污口监督管理工作的通知》</w:t>
      </w:r>
      <w:r>
        <w:rPr>
          <w:rFonts w:hint="eastAsia" w:cs="Times New Roman"/>
          <w:color w:val="auto"/>
          <w:sz w:val="24"/>
          <w:lang w:eastAsia="zh-CN"/>
        </w:rPr>
        <w:t>（</w:t>
      </w:r>
      <w:r>
        <w:rPr>
          <w:rFonts w:hint="eastAsia"/>
          <w:color w:val="auto"/>
          <w:sz w:val="24"/>
          <w:highlight w:val="none"/>
          <w:lang w:val="en-US" w:eastAsia="zh-CN"/>
        </w:rPr>
        <w:t>水资源</w:t>
      </w:r>
      <w:r>
        <w:rPr>
          <w:rFonts w:hint="default"/>
          <w:color w:val="auto"/>
          <w:sz w:val="24"/>
          <w:highlight w:val="none"/>
          <w:lang w:val="en-US" w:eastAsia="zh-CN"/>
        </w:rPr>
        <w:t>[2017]138</w:t>
      </w:r>
      <w:r>
        <w:rPr>
          <w:rFonts w:hint="eastAsia"/>
          <w:color w:val="auto"/>
          <w:sz w:val="24"/>
          <w:highlight w:val="none"/>
          <w:lang w:val="en-US" w:eastAsia="zh-CN"/>
        </w:rPr>
        <w:t>号，</w:t>
      </w:r>
      <w:r>
        <w:rPr>
          <w:rFonts w:hint="default"/>
          <w:color w:val="auto"/>
          <w:sz w:val="24"/>
          <w:highlight w:val="none"/>
          <w:lang w:val="en-US" w:eastAsia="zh-CN"/>
        </w:rPr>
        <w:t>2017</w:t>
      </w:r>
      <w:r>
        <w:rPr>
          <w:rFonts w:hint="eastAsia"/>
          <w:color w:val="auto"/>
          <w:sz w:val="24"/>
          <w:highlight w:val="none"/>
          <w:lang w:val="en-US" w:eastAsia="zh-CN"/>
        </w:rPr>
        <w:t>年</w:t>
      </w:r>
      <w:r>
        <w:rPr>
          <w:rFonts w:hint="default"/>
          <w:color w:val="auto"/>
          <w:sz w:val="24"/>
          <w:highlight w:val="none"/>
          <w:lang w:val="en-US" w:eastAsia="zh-CN"/>
        </w:rPr>
        <w:t>03</w:t>
      </w:r>
      <w:r>
        <w:rPr>
          <w:rFonts w:hint="eastAsia"/>
          <w:color w:val="auto"/>
          <w:sz w:val="24"/>
          <w:highlight w:val="none"/>
          <w:lang w:val="en-US" w:eastAsia="zh-CN"/>
        </w:rPr>
        <w:t>月</w:t>
      </w:r>
      <w:r>
        <w:rPr>
          <w:rFonts w:hint="default"/>
          <w:color w:val="auto"/>
          <w:sz w:val="24"/>
          <w:highlight w:val="none"/>
          <w:lang w:val="en-US" w:eastAsia="zh-CN"/>
        </w:rPr>
        <w:t>23</w:t>
      </w:r>
      <w:r>
        <w:rPr>
          <w:rFonts w:hint="eastAsia"/>
          <w:color w:val="auto"/>
          <w:sz w:val="24"/>
          <w:highlight w:val="none"/>
          <w:lang w:val="en-US" w:eastAsia="zh-CN"/>
        </w:rPr>
        <w:t>日）；</w:t>
      </w:r>
    </w:p>
    <w:p w14:paraId="307A7C1D">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w:t>
      </w:r>
      <w:r>
        <w:rPr>
          <w:rFonts w:hint="default"/>
          <w:color w:val="auto"/>
          <w:sz w:val="24"/>
          <w:highlight w:val="none"/>
          <w:lang w:val="en-US" w:eastAsia="zh-CN"/>
        </w:rPr>
        <w:t>14</w:t>
      </w:r>
      <w:r>
        <w:rPr>
          <w:rFonts w:hint="eastAsia"/>
          <w:color w:val="auto"/>
          <w:sz w:val="24"/>
          <w:highlight w:val="none"/>
          <w:lang w:val="en-US" w:eastAsia="zh-CN"/>
        </w:rPr>
        <w:t>）《城镇排水与污水处理条例》</w:t>
      </w:r>
      <w:r>
        <w:rPr>
          <w:rFonts w:hint="eastAsia" w:cs="Times New Roman"/>
          <w:color w:val="auto"/>
          <w:sz w:val="24"/>
          <w:lang w:eastAsia="zh-CN"/>
        </w:rPr>
        <w:t>（</w:t>
      </w:r>
      <w:r>
        <w:rPr>
          <w:rFonts w:hint="eastAsia"/>
          <w:color w:val="auto"/>
          <w:sz w:val="24"/>
          <w:highlight w:val="none"/>
          <w:lang w:val="en-US" w:eastAsia="zh-CN"/>
        </w:rPr>
        <w:t>中华人民共和国国务院令第</w:t>
      </w:r>
      <w:r>
        <w:rPr>
          <w:rFonts w:hint="default"/>
          <w:color w:val="auto"/>
          <w:sz w:val="24"/>
          <w:highlight w:val="none"/>
          <w:lang w:val="en-US" w:eastAsia="zh-CN"/>
        </w:rPr>
        <w:t>641</w:t>
      </w:r>
      <w:r>
        <w:rPr>
          <w:rFonts w:hint="eastAsia"/>
          <w:color w:val="auto"/>
          <w:sz w:val="24"/>
          <w:highlight w:val="none"/>
          <w:lang w:val="en-US" w:eastAsia="zh-CN"/>
        </w:rPr>
        <w:t>号，</w:t>
      </w:r>
      <w:r>
        <w:rPr>
          <w:rFonts w:hint="default"/>
          <w:color w:val="auto"/>
          <w:sz w:val="24"/>
          <w:highlight w:val="none"/>
          <w:lang w:val="en-US" w:eastAsia="zh-CN"/>
        </w:rPr>
        <w:t>2014</w:t>
      </w:r>
      <w:r>
        <w:rPr>
          <w:rFonts w:hint="eastAsia"/>
          <w:color w:val="auto"/>
          <w:sz w:val="24"/>
          <w:highlight w:val="none"/>
          <w:lang w:val="en-US" w:eastAsia="zh-CN"/>
        </w:rPr>
        <w:t>年</w:t>
      </w:r>
      <w:r>
        <w:rPr>
          <w:rFonts w:hint="default"/>
          <w:color w:val="auto"/>
          <w:sz w:val="24"/>
          <w:highlight w:val="none"/>
          <w:lang w:val="en-US" w:eastAsia="zh-CN"/>
        </w:rPr>
        <w:t>1</w:t>
      </w:r>
      <w:r>
        <w:rPr>
          <w:rFonts w:hint="eastAsia"/>
          <w:color w:val="auto"/>
          <w:sz w:val="24"/>
          <w:highlight w:val="none"/>
          <w:lang w:val="en-US" w:eastAsia="zh-CN"/>
        </w:rPr>
        <w:t>月</w:t>
      </w:r>
      <w:r>
        <w:rPr>
          <w:rFonts w:hint="default"/>
          <w:color w:val="auto"/>
          <w:sz w:val="24"/>
          <w:highlight w:val="none"/>
          <w:lang w:val="en-US" w:eastAsia="zh-CN"/>
        </w:rPr>
        <w:t>1</w:t>
      </w:r>
      <w:r>
        <w:rPr>
          <w:rFonts w:hint="eastAsia"/>
          <w:color w:val="auto"/>
          <w:sz w:val="24"/>
          <w:highlight w:val="none"/>
          <w:lang w:val="en-US" w:eastAsia="zh-CN"/>
        </w:rPr>
        <w:t>日）；</w:t>
      </w:r>
    </w:p>
    <w:p w14:paraId="53CCC9B1">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（15）《国务院关于实行最严格水资源管理制度的意见》（国发[2012]3号）；</w:t>
      </w:r>
    </w:p>
    <w:p w14:paraId="64E6837D">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（16）《关于做好入河排污口和水功能区划相关工作的通知》（环办水体[2019]36号）。</w:t>
      </w:r>
    </w:p>
    <w:p w14:paraId="23ED667D">
      <w:pPr>
        <w:spacing w:line="360" w:lineRule="auto"/>
        <w:ind w:firstLine="482" w:firstLineChars="200"/>
        <w:rPr>
          <w:rFonts w:hint="eastAsia"/>
          <w:b/>
          <w:bCs/>
          <w:color w:val="auto"/>
          <w:sz w:val="24"/>
          <w:highlight w:val="none"/>
          <w:lang w:val="en-US" w:eastAsia="zh-CN"/>
        </w:rPr>
      </w:pPr>
      <w:r>
        <w:rPr>
          <w:rFonts w:hint="eastAsia"/>
          <w:b/>
          <w:bCs/>
          <w:color w:val="auto"/>
          <w:sz w:val="24"/>
          <w:highlight w:val="none"/>
          <w:lang w:val="en-US" w:eastAsia="zh-CN"/>
        </w:rPr>
        <w:t>2、地方性法规、政策、规划</w:t>
      </w:r>
    </w:p>
    <w:p w14:paraId="1E3666DA">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（1）《广东省环境保护条例》，2018年11月29日修正；</w:t>
      </w:r>
    </w:p>
    <w:p w14:paraId="024C6B4E">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w:t>
      </w:r>
      <w:r>
        <w:rPr>
          <w:rFonts w:ascii="Times New Roman" w:hAnsi="Times New Roman" w:eastAsia="宋体" w:cs="Times New Roman"/>
          <w:color w:val="auto"/>
          <w:sz w:val="24"/>
        </w:rPr>
        <w:t>《</w:t>
      </w:r>
      <w:r>
        <w:rPr>
          <w:rFonts w:hint="eastAsia" w:ascii="Times New Roman" w:hAnsi="Times New Roman" w:eastAsia="宋体" w:cs="Times New Roman"/>
          <w:color w:val="auto"/>
          <w:sz w:val="24"/>
          <w:lang w:eastAsia="zh-CN"/>
        </w:rPr>
        <w:t>广东省水污染防治条例</w:t>
      </w:r>
      <w:r>
        <w:rPr>
          <w:rFonts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2021</w:t>
      </w:r>
      <w:r>
        <w:rPr>
          <w:rFonts w:hint="eastAsia" w:ascii="Times New Roman" w:hAnsi="Times New Roman" w:eastAsia="宋体" w:cs="Times New Roman"/>
          <w:color w:val="auto"/>
          <w:sz w:val="24"/>
        </w:rPr>
        <w:t>年1月</w:t>
      </w:r>
      <w:r>
        <w:rPr>
          <w:rFonts w:hint="eastAsia" w:ascii="Times New Roman" w:hAnsi="Times New Roman" w:eastAsia="宋体" w:cs="Times New Roman"/>
          <w:color w:val="auto"/>
          <w:sz w:val="24"/>
          <w:lang w:val="en-US" w:eastAsia="zh-CN"/>
        </w:rPr>
        <w:t>1</w:t>
      </w:r>
      <w:r>
        <w:rPr>
          <w:rFonts w:hint="eastAsia" w:ascii="Times New Roman" w:hAnsi="Times New Roman" w:eastAsia="宋体" w:cs="Times New Roman"/>
          <w:color w:val="auto"/>
          <w:sz w:val="24"/>
        </w:rPr>
        <w:t>日</w:t>
      </w:r>
      <w:r>
        <w:rPr>
          <w:rFonts w:hint="eastAsia" w:ascii="Times New Roman" w:hAnsi="Times New Roman" w:eastAsia="宋体" w:cs="Times New Roman"/>
          <w:color w:val="auto"/>
          <w:sz w:val="24"/>
          <w:lang w:eastAsia="zh-CN"/>
        </w:rPr>
        <w:t>实施</w:t>
      </w:r>
      <w:r>
        <w:rPr>
          <w:rFonts w:hint="eastAsia" w:ascii="Times New Roman" w:hAnsi="Times New Roman" w:eastAsia="宋体" w:cs="Times New Roman"/>
          <w:color w:val="auto"/>
          <w:sz w:val="24"/>
          <w:highlight w:val="none"/>
          <w:lang w:val="en-US" w:eastAsia="zh-CN"/>
        </w:rPr>
        <w:t>；</w:t>
      </w:r>
    </w:p>
    <w:p w14:paraId="2EFE2BCA">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（3）《广东省地表水环境功能区划》，粤环[2011]14号；</w:t>
      </w:r>
    </w:p>
    <w:p w14:paraId="6053B219">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4</w:t>
      </w:r>
      <w:r>
        <w:rPr>
          <w:rFonts w:hint="eastAsia" w:ascii="Times New Roman" w:hAnsi="Times New Roman" w:eastAsia="宋体" w:cs="Times New Roman"/>
          <w:color w:val="auto"/>
          <w:sz w:val="24"/>
          <w:highlight w:val="none"/>
          <w:lang w:val="en-US" w:eastAsia="zh-CN"/>
        </w:rPr>
        <w:t>）《关于印发广东省污染源排污口规范化设置导则的通知》，粤环[2008]42号，广东省环境保护局，2008年4月28日；</w:t>
      </w:r>
    </w:p>
    <w:p w14:paraId="59853633">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5</w:t>
      </w:r>
      <w:r>
        <w:rPr>
          <w:rFonts w:hint="eastAsia" w:ascii="Times New Roman" w:hAnsi="Times New Roman" w:eastAsia="宋体" w:cs="Times New Roman"/>
          <w:color w:val="auto"/>
          <w:sz w:val="24"/>
          <w:highlight w:val="none"/>
          <w:lang w:val="en-US" w:eastAsia="zh-CN"/>
        </w:rPr>
        <w:t>）《阳江市环境保护规划纲要（2016-2030年）》（阳府[2018]37号）；</w:t>
      </w:r>
    </w:p>
    <w:p w14:paraId="3D325E3B">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6</w:t>
      </w:r>
      <w:r>
        <w:rPr>
          <w:rFonts w:hint="eastAsia" w:ascii="Times New Roman" w:hAnsi="Times New Roman" w:eastAsia="宋体" w:cs="Times New Roman"/>
          <w:color w:val="auto"/>
          <w:sz w:val="24"/>
          <w:highlight w:val="none"/>
          <w:lang w:val="en-US" w:eastAsia="zh-CN"/>
        </w:rPr>
        <w:t>）《阳江市</w:t>
      </w:r>
      <w:r>
        <w:rPr>
          <w:rFonts w:hint="eastAsia" w:cs="Times New Roman"/>
          <w:color w:val="auto"/>
          <w:sz w:val="24"/>
          <w:highlight w:val="none"/>
          <w:lang w:val="en-US" w:eastAsia="zh-CN"/>
        </w:rPr>
        <w:t>生态</w:t>
      </w:r>
      <w:r>
        <w:rPr>
          <w:rFonts w:hint="eastAsia" w:ascii="Times New Roman" w:hAnsi="Times New Roman" w:eastAsia="宋体" w:cs="Times New Roman"/>
          <w:color w:val="auto"/>
          <w:sz w:val="24"/>
          <w:highlight w:val="none"/>
          <w:lang w:val="en-US" w:eastAsia="zh-CN"/>
        </w:rPr>
        <w:t>环境保护“十</w:t>
      </w:r>
      <w:r>
        <w:rPr>
          <w:rFonts w:hint="eastAsia" w:cs="Times New Roman"/>
          <w:color w:val="auto"/>
          <w:sz w:val="24"/>
          <w:highlight w:val="none"/>
          <w:lang w:val="en-US" w:eastAsia="zh-CN"/>
        </w:rPr>
        <w:t>四</w:t>
      </w:r>
      <w:r>
        <w:rPr>
          <w:rFonts w:hint="eastAsia" w:ascii="Times New Roman" w:hAnsi="Times New Roman" w:eastAsia="宋体" w:cs="Times New Roman"/>
          <w:color w:val="auto"/>
          <w:sz w:val="24"/>
          <w:highlight w:val="none"/>
          <w:lang w:val="en-US" w:eastAsia="zh-CN"/>
        </w:rPr>
        <w:t>五”规划》，阳府[20</w:t>
      </w:r>
      <w:r>
        <w:rPr>
          <w:rFonts w:hint="eastAsia" w:cs="Times New Roman"/>
          <w:color w:val="auto"/>
          <w:sz w:val="24"/>
          <w:highlight w:val="none"/>
          <w:lang w:val="en-US" w:eastAsia="zh-CN"/>
        </w:rPr>
        <w:t>22</w:t>
      </w:r>
      <w:r>
        <w:rPr>
          <w:rFonts w:hint="eastAsia"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14</w:t>
      </w:r>
      <w:r>
        <w:rPr>
          <w:rFonts w:hint="eastAsia" w:ascii="Times New Roman" w:hAnsi="Times New Roman" w:eastAsia="宋体" w:cs="Times New Roman"/>
          <w:color w:val="auto"/>
          <w:sz w:val="24"/>
          <w:highlight w:val="none"/>
          <w:lang w:val="en-US" w:eastAsia="zh-CN"/>
        </w:rPr>
        <w:t>号；</w:t>
      </w:r>
    </w:p>
    <w:p w14:paraId="5558FD4A">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7</w:t>
      </w:r>
      <w:r>
        <w:rPr>
          <w:rFonts w:hint="eastAsia" w:ascii="Times New Roman" w:hAnsi="Times New Roman" w:eastAsia="宋体" w:cs="Times New Roman"/>
          <w:color w:val="auto"/>
          <w:sz w:val="24"/>
          <w:highlight w:val="none"/>
          <w:lang w:val="en-US" w:eastAsia="zh-CN"/>
        </w:rPr>
        <w:t>）《阳江市城市总体规划（2016-2035年）》；</w:t>
      </w:r>
    </w:p>
    <w:p w14:paraId="1D6A510C">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8</w:t>
      </w:r>
      <w:r>
        <w:rPr>
          <w:rFonts w:hint="eastAsia" w:ascii="Times New Roman" w:hAnsi="Times New Roman" w:eastAsia="宋体" w:cs="Times New Roman"/>
          <w:color w:val="auto"/>
          <w:sz w:val="24"/>
          <w:highlight w:val="none"/>
          <w:lang w:val="en-US" w:eastAsia="zh-CN"/>
        </w:rPr>
        <w:t>）《阳江市水资源综合规划修编（201</w:t>
      </w:r>
      <w:r>
        <w:rPr>
          <w:rFonts w:hint="eastAsia" w:cs="Times New Roman"/>
          <w:color w:val="auto"/>
          <w:sz w:val="24"/>
          <w:highlight w:val="none"/>
          <w:lang w:val="en-US" w:eastAsia="zh-CN"/>
        </w:rPr>
        <w:t>9</w:t>
      </w:r>
      <w:r>
        <w:rPr>
          <w:rFonts w:hint="eastAsia" w:ascii="Times New Roman" w:hAnsi="Times New Roman" w:eastAsia="宋体" w:cs="Times New Roman"/>
          <w:color w:val="auto"/>
          <w:sz w:val="24"/>
          <w:highlight w:val="none"/>
          <w:lang w:val="en-US" w:eastAsia="zh-CN"/>
        </w:rPr>
        <w:t>-2035年）》</w:t>
      </w:r>
      <w:r>
        <w:rPr>
          <w:rFonts w:hint="eastAsia" w:cs="Times New Roman"/>
          <w:color w:val="auto"/>
          <w:sz w:val="24"/>
          <w:highlight w:val="none"/>
          <w:lang w:val="en-US" w:eastAsia="zh-CN"/>
        </w:rPr>
        <w:t>；</w:t>
      </w:r>
    </w:p>
    <w:p w14:paraId="62282ADB">
      <w:pPr>
        <w:spacing w:line="360" w:lineRule="auto"/>
        <w:ind w:firstLine="480" w:firstLineChars="200"/>
        <w:rPr>
          <w:rFonts w:hint="eastAsia"/>
          <w:color w:val="auto"/>
          <w:lang w:val="en-US" w:eastAsia="zh-CN"/>
        </w:rPr>
      </w:pPr>
      <w:r>
        <w:rPr>
          <w:rFonts w:hint="eastAsia"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9</w:t>
      </w:r>
      <w:r>
        <w:rPr>
          <w:rFonts w:hint="eastAsia" w:ascii="Times New Roman" w:hAnsi="Times New Roman" w:eastAsia="宋体" w:cs="Times New Roman"/>
          <w:color w:val="auto"/>
          <w:sz w:val="24"/>
          <w:highlight w:val="none"/>
          <w:lang w:val="en-US" w:eastAsia="zh-CN"/>
        </w:rPr>
        <w:t>）《阳江市城市排水管理办法》（阳府[2021]42号）</w:t>
      </w:r>
      <w:r>
        <w:rPr>
          <w:rFonts w:hint="eastAsia" w:cs="Times New Roman"/>
          <w:color w:val="auto"/>
          <w:sz w:val="24"/>
          <w:highlight w:val="none"/>
          <w:lang w:val="en-US" w:eastAsia="zh-CN"/>
        </w:rPr>
        <w:t>。</w:t>
      </w:r>
    </w:p>
    <w:p w14:paraId="64DA565E">
      <w:pPr>
        <w:spacing w:line="360" w:lineRule="auto"/>
        <w:ind w:firstLine="482" w:firstLineChars="200"/>
        <w:rPr>
          <w:rFonts w:hint="eastAsia"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3、主要技术规范及标准</w:t>
      </w:r>
    </w:p>
    <w:p w14:paraId="06FE9AA1">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w:t>
      </w:r>
      <w:r>
        <w:rPr>
          <w:rFonts w:hint="eastAsia" w:cs="Times New Roman"/>
          <w:color w:val="auto"/>
          <w:sz w:val="24"/>
          <w:highlight w:val="none"/>
          <w:lang w:val="en-US" w:eastAsia="zh-CN"/>
        </w:rPr>
        <w:t>《入河入海排污口监督管理技术指南入河排污口设置》（HJ1386—2024）</w:t>
      </w:r>
      <w:r>
        <w:rPr>
          <w:rFonts w:hint="eastAsia" w:ascii="Times New Roman" w:hAnsi="Times New Roman" w:eastAsia="宋体" w:cs="Times New Roman"/>
          <w:color w:val="auto"/>
          <w:sz w:val="24"/>
          <w:highlight w:val="none"/>
          <w:lang w:val="en-US" w:eastAsia="zh-CN"/>
        </w:rPr>
        <w:t xml:space="preserve">； </w:t>
      </w:r>
    </w:p>
    <w:p w14:paraId="6FB19C17">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 xml:space="preserve">（2）《建设项目水资源论证导则》（GB/T35580-2017）； </w:t>
      </w:r>
    </w:p>
    <w:p w14:paraId="59B75AEF">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 xml:space="preserve">（3）《水资源评价导则》（SL/T238-1999）； </w:t>
      </w:r>
    </w:p>
    <w:p w14:paraId="5F7D8F7C">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 xml:space="preserve">（4）《水利水电工程水文计算规范》（SL278-2002）； </w:t>
      </w:r>
    </w:p>
    <w:p w14:paraId="4B540537">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（5）《环境影响评价技术导则</w:t>
      </w:r>
      <w:r>
        <w:rPr>
          <w:rFonts w:hint="eastAsia" w:cs="Times New Roman"/>
          <w:color w:val="auto"/>
          <w:sz w:val="24"/>
          <w:highlight w:val="none"/>
          <w:lang w:val="en-US" w:eastAsia="zh-CN"/>
        </w:rPr>
        <w:t xml:space="preserve"> 地表水环境</w:t>
      </w:r>
      <w:r>
        <w:rPr>
          <w:rFonts w:hint="eastAsia" w:ascii="Times New Roman" w:hAnsi="Times New Roman" w:eastAsia="宋体" w:cs="Times New Roman"/>
          <w:color w:val="auto"/>
          <w:sz w:val="24"/>
          <w:highlight w:val="none"/>
          <w:lang w:val="en-US" w:eastAsia="zh-CN"/>
        </w:rPr>
        <w:t xml:space="preserve">》(HJ </w:t>
      </w:r>
      <w:r>
        <w:rPr>
          <w:rFonts w:hint="eastAsia" w:cs="Times New Roman"/>
          <w:color w:val="auto"/>
          <w:sz w:val="24"/>
          <w:highlight w:val="none"/>
          <w:lang w:val="en-US" w:eastAsia="zh-CN"/>
        </w:rPr>
        <w:t>2.3-2018</w:t>
      </w:r>
      <w:r>
        <w:rPr>
          <w:rFonts w:hint="eastAsia" w:ascii="Times New Roman" w:hAnsi="Times New Roman" w:eastAsia="宋体" w:cs="Times New Roman"/>
          <w:color w:val="auto"/>
          <w:sz w:val="24"/>
          <w:highlight w:val="none"/>
          <w:lang w:val="en-US" w:eastAsia="zh-CN"/>
        </w:rPr>
        <w:t xml:space="preserve">)； </w:t>
      </w:r>
    </w:p>
    <w:p w14:paraId="6D70AB46">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 xml:space="preserve">（6）《地表水环境质量标准》（GB3838-2002）； </w:t>
      </w:r>
    </w:p>
    <w:p w14:paraId="2879983D">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 xml:space="preserve">（7）《水域纳污能力计算规程》（GB/T25173-2010）； </w:t>
      </w:r>
    </w:p>
    <w:p w14:paraId="6CFE4A67">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 xml:space="preserve">（8）《污水综合排放标准》（GB8978-1996）； </w:t>
      </w:r>
    </w:p>
    <w:p w14:paraId="052B7D41">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 xml:space="preserve">（9）《城镇污水处理厂污染物排放标准》（GB18918-2002）； </w:t>
      </w:r>
    </w:p>
    <w:p w14:paraId="4FB5BD8E">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w:t>
      </w:r>
      <w:r>
        <w:rPr>
          <w:rFonts w:hint="eastAsia" w:cs="Times New Roman"/>
          <w:color w:val="auto"/>
          <w:sz w:val="24"/>
          <w:highlight w:val="none"/>
          <w:lang w:val="en-US" w:eastAsia="zh-CN"/>
        </w:rPr>
        <w:t>0</w:t>
      </w:r>
      <w:r>
        <w:rPr>
          <w:rFonts w:hint="eastAsia"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《农田灌溉水质标准》（GB5084-2021）</w:t>
      </w:r>
      <w:r>
        <w:rPr>
          <w:rFonts w:hint="eastAsia" w:ascii="Times New Roman" w:hAnsi="Times New Roman" w:eastAsia="宋体" w:cs="Times New Roman"/>
          <w:color w:val="auto"/>
          <w:sz w:val="24"/>
          <w:highlight w:val="none"/>
          <w:lang w:val="en-US" w:eastAsia="zh-CN"/>
        </w:rPr>
        <w:t xml:space="preserve">； </w:t>
      </w:r>
    </w:p>
    <w:p w14:paraId="72F3E088">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w:t>
      </w:r>
      <w:r>
        <w:rPr>
          <w:rFonts w:hint="eastAsia" w:cs="Times New Roman"/>
          <w:color w:val="auto"/>
          <w:sz w:val="24"/>
          <w:highlight w:val="none"/>
          <w:lang w:val="en-US" w:eastAsia="zh-CN"/>
        </w:rPr>
        <w:t>1</w:t>
      </w:r>
      <w:r>
        <w:rPr>
          <w:rFonts w:hint="eastAsia" w:ascii="Times New Roman" w:hAnsi="Times New Roman" w:eastAsia="宋体" w:cs="Times New Roman"/>
          <w:color w:val="auto"/>
          <w:sz w:val="24"/>
          <w:highlight w:val="none"/>
          <w:lang w:val="en-US" w:eastAsia="zh-CN"/>
        </w:rPr>
        <w:t xml:space="preserve">）《地表水资源质量评价技术规程》（SL395-2007）； </w:t>
      </w:r>
    </w:p>
    <w:p w14:paraId="74ADF843">
      <w:pPr>
        <w:spacing w:line="360" w:lineRule="auto"/>
        <w:ind w:firstLine="480" w:firstLineChars="200"/>
        <w:rPr>
          <w:rFonts w:hint="eastAsia"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w:t>
      </w:r>
      <w:r>
        <w:rPr>
          <w:rFonts w:hint="eastAsia" w:cs="Times New Roman"/>
          <w:color w:val="auto"/>
          <w:sz w:val="24"/>
          <w:highlight w:val="none"/>
          <w:lang w:val="en-US" w:eastAsia="zh-CN"/>
        </w:rPr>
        <w:t>2</w:t>
      </w:r>
      <w:r>
        <w:rPr>
          <w:rFonts w:hint="eastAsia" w:ascii="Times New Roman" w:hAnsi="Times New Roman" w:eastAsia="宋体" w:cs="Times New Roman"/>
          <w:color w:val="auto"/>
          <w:sz w:val="24"/>
          <w:highlight w:val="none"/>
          <w:lang w:val="en-US" w:eastAsia="zh-CN"/>
        </w:rPr>
        <w:t>）《广东省地下水功能区划》（粤办函[2009]459 号）</w:t>
      </w:r>
      <w:r>
        <w:rPr>
          <w:rFonts w:hint="eastAsia" w:cs="Times New Roman"/>
          <w:color w:val="auto"/>
          <w:sz w:val="24"/>
          <w:highlight w:val="none"/>
          <w:lang w:val="en-US" w:eastAsia="zh-CN"/>
        </w:rPr>
        <w:t>；</w:t>
      </w:r>
    </w:p>
    <w:p w14:paraId="5CCB2DFD">
      <w:pPr>
        <w:spacing w:line="360" w:lineRule="auto"/>
        <w:ind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（13）《入河入海排污口监督管理技术指南 入河排污口规范化建设》（HJ 1309—2023）；</w:t>
      </w:r>
    </w:p>
    <w:p w14:paraId="2AA6317D">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（14）《入河入海排污口监督管理技术指南 监测》（HJ 1387-2024）</w:t>
      </w:r>
      <w:r>
        <w:rPr>
          <w:rFonts w:hint="eastAsia" w:ascii="Times New Roman" w:hAnsi="Times New Roman" w:eastAsia="宋体" w:cs="Times New Roman"/>
          <w:color w:val="auto"/>
          <w:sz w:val="24"/>
          <w:highlight w:val="none"/>
          <w:lang w:val="en-US" w:eastAsia="zh-CN"/>
        </w:rPr>
        <w:t>。</w:t>
      </w:r>
    </w:p>
    <w:p w14:paraId="59CA12E8">
      <w:pPr>
        <w:spacing w:line="360" w:lineRule="auto"/>
        <w:ind w:firstLine="482" w:firstLineChars="200"/>
        <w:rPr>
          <w:rFonts w:hint="eastAsia"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4、其它依据</w:t>
      </w:r>
    </w:p>
    <w:p w14:paraId="4FA5C0EF">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（1）《关于对阳江市阳东区大八镇土地利用总体规划（2010-2020）有条件建设区使用</w:t>
      </w:r>
      <w:r>
        <w:rPr>
          <w:rFonts w:hint="eastAsia" w:ascii="Times New Roman" w:hAnsi="Times New Roman" w:eastAsia="宋体" w:cs="Times New Roman"/>
          <w:color w:val="auto"/>
          <w:sz w:val="24"/>
          <w:highlight w:val="none"/>
          <w:lang w:val="en-US" w:eastAsia="zh-CN"/>
        </w:rPr>
        <w:t>方案（大八镇污水处理厂）的批复》（阳自然资函【2020】2148号）；</w:t>
      </w:r>
    </w:p>
    <w:p w14:paraId="1031B136">
      <w:pP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2</w:t>
      </w:r>
      <w:r>
        <w:rPr>
          <w:rFonts w:hint="default" w:ascii="Times New Roman" w:hAnsi="Times New Roman" w:eastAsia="宋体"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阳东区大八镇污水处理厂新建工程可行性研究报告</w:t>
      </w:r>
      <w:r>
        <w:rPr>
          <w:rFonts w:hint="default"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广东华纬工程咨询有限公司</w:t>
      </w:r>
      <w:r>
        <w:rPr>
          <w:rFonts w:hint="default" w:ascii="Times New Roman" w:hAnsi="Times New Roman" w:eastAsia="宋体"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202</w:t>
      </w:r>
      <w:r>
        <w:rPr>
          <w:rFonts w:hint="eastAsia" w:cs="Times New Roman"/>
          <w:color w:val="auto"/>
          <w:sz w:val="24"/>
          <w:highlight w:val="none"/>
          <w:lang w:val="en-US" w:eastAsia="zh-CN"/>
        </w:rPr>
        <w:t>5</w:t>
      </w:r>
      <w:r>
        <w:rPr>
          <w:rFonts w:hint="default" w:ascii="Times New Roman" w:hAnsi="Times New Roman" w:eastAsia="宋体" w:cs="Times New Roman"/>
          <w:color w:val="auto"/>
          <w:sz w:val="24"/>
          <w:highlight w:val="none"/>
          <w:lang w:val="en-US" w:eastAsia="zh-CN"/>
        </w:rPr>
        <w:t>年</w:t>
      </w:r>
      <w:r>
        <w:rPr>
          <w:rFonts w:hint="eastAsia" w:cs="Times New Roman"/>
          <w:color w:val="auto"/>
          <w:sz w:val="24"/>
          <w:highlight w:val="none"/>
          <w:lang w:val="en-US" w:eastAsia="zh-CN"/>
        </w:rPr>
        <w:t>6</w:t>
      </w:r>
      <w:r>
        <w:rPr>
          <w:rFonts w:hint="default" w:ascii="Times New Roman" w:hAnsi="Times New Roman" w:eastAsia="宋体" w:cs="Times New Roman"/>
          <w:color w:val="auto"/>
          <w:sz w:val="24"/>
          <w:highlight w:val="none"/>
          <w:lang w:val="en-US" w:eastAsia="zh-CN"/>
        </w:rPr>
        <w:t>月）；</w:t>
      </w:r>
    </w:p>
    <w:p w14:paraId="04B96140">
      <w:pP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（3）建设单位提供的其他相关资料。</w:t>
      </w:r>
    </w:p>
    <w:p w14:paraId="1D2EB1CC">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default"/>
          <w:color w:val="auto"/>
          <w:lang w:val="en-US" w:eastAsia="zh-CN"/>
        </w:rPr>
      </w:pPr>
      <w:bookmarkStart w:id="18" w:name="_Toc22191"/>
      <w:bookmarkStart w:id="19" w:name="_Toc23629"/>
      <w:r>
        <w:rPr>
          <w:rFonts w:hint="eastAsia"/>
          <w:color w:val="auto"/>
          <w:lang w:val="en-US" w:eastAsia="zh-CN"/>
        </w:rPr>
        <w:t>论证范围</w:t>
      </w:r>
      <w:bookmarkEnd w:id="18"/>
      <w:bookmarkEnd w:id="19"/>
    </w:p>
    <w:p w14:paraId="4E427707">
      <w:pPr>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入河排污口设置论证范围应根据其影响范围和程度确定。受入河排污口设置影响的主要水域和其影响范围内的第三方取、用水户原则上应纳入论证范围。对地表水的影响论证应以水功能区为基础单元，论证重点区域为入河排污口所在水功能区和可能受到影响的周边水功能区；涉及鱼类产卵场等生态敏感点的，论证范围可不限于上述水功能区。未划分水功能区的水域，入河排污口排污影响范围内的水域都应为论证范围。对地下水的影响论证应以影响区的水文地质单元为重点区域。</w:t>
      </w:r>
    </w:p>
    <w:p w14:paraId="505C87F2">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阳东区大八镇污水处理厂</w:t>
      </w:r>
      <w:r>
        <w:rPr>
          <w:rFonts w:hint="eastAsia" w:ascii="Times New Roman" w:hAnsi="Times New Roman" w:eastAsia="宋体" w:cs="Times New Roman"/>
          <w:color w:val="auto"/>
          <w:sz w:val="24"/>
          <w:highlight w:val="none"/>
          <w:lang w:val="en-US" w:eastAsia="zh-CN"/>
        </w:rPr>
        <w:t>位于</w:t>
      </w:r>
      <w:r>
        <w:rPr>
          <w:rFonts w:hint="eastAsia" w:cs="Times New Roman"/>
          <w:color w:val="auto"/>
          <w:sz w:val="24"/>
          <w:highlight w:val="none"/>
          <w:lang w:val="en-US" w:eastAsia="zh-CN"/>
        </w:rPr>
        <w:t>阳江市大八镇吉水村委会吉龙坑(原镇人工地区域)</w:t>
      </w:r>
      <w:r>
        <w:rPr>
          <w:rFonts w:hint="eastAsia" w:ascii="Times New Roman" w:hAnsi="Times New Roman" w:eastAsia="宋体" w:cs="Times New Roman"/>
          <w:color w:val="auto"/>
          <w:sz w:val="24"/>
          <w:highlight w:val="none"/>
          <w:lang w:val="en-US" w:eastAsia="zh-CN"/>
        </w:rPr>
        <w:t>，中心坐标为</w:t>
      </w:r>
      <w:r>
        <w:rPr>
          <w:rFonts w:hint="eastAsia" w:cs="Times New Roman"/>
          <w:color w:val="auto"/>
          <w:sz w:val="24"/>
          <w:highlight w:val="none"/>
          <w:lang w:val="en-US" w:eastAsia="zh-CN"/>
        </w:rPr>
        <w:t>东经111°57′59.61″，北纬22°3′30.17″</w:t>
      </w:r>
      <w:r>
        <w:rPr>
          <w:rFonts w:hint="eastAsia" w:ascii="Times New Roman" w:hAnsi="Times New Roman" w:eastAsia="宋体" w:cs="Times New Roman"/>
          <w:color w:val="auto"/>
          <w:sz w:val="24"/>
          <w:highlight w:val="none"/>
          <w:lang w:val="en-US" w:eastAsia="zh-CN"/>
        </w:rPr>
        <w:t>，污水处理规模为</w:t>
      </w:r>
      <w:r>
        <w:rPr>
          <w:rFonts w:hint="eastAsia" w:cs="Times New Roman"/>
          <w:color w:val="auto"/>
          <w:sz w:val="24"/>
          <w:highlight w:val="none"/>
          <w:lang w:val="en-US" w:eastAsia="zh-CN"/>
        </w:rPr>
        <w:t>3000m</w:t>
      </w:r>
      <w:r>
        <w:rPr>
          <w:rFonts w:hint="eastAsia" w:ascii="Times New Roman" w:hAnsi="Times New Roman" w:eastAsia="宋体" w:cs="Times New Roman"/>
          <w:color w:val="auto"/>
          <w:sz w:val="24"/>
          <w:highlight w:val="none"/>
          <w:vertAlign w:val="superscript"/>
          <w:lang w:val="en-US" w:eastAsia="zh-CN"/>
        </w:rPr>
        <w:t>3</w:t>
      </w:r>
      <w:r>
        <w:rPr>
          <w:rFonts w:hint="default" w:ascii="Times New Roman" w:hAnsi="Times New Roman" w:eastAsia="宋体" w:cs="Times New Roman"/>
          <w:color w:val="auto"/>
          <w:sz w:val="24"/>
          <w:highlight w:val="none"/>
          <w:lang w:val="en-US" w:eastAsia="zh-CN"/>
        </w:rPr>
        <w:t>/d</w:t>
      </w:r>
      <w:r>
        <w:rPr>
          <w:rFonts w:hint="eastAsia" w:ascii="Times New Roman" w:hAnsi="Times New Roman" w:eastAsia="宋体" w:cs="Times New Roman"/>
          <w:color w:val="auto"/>
          <w:sz w:val="24"/>
          <w:highlight w:val="none"/>
          <w:lang w:val="en-US" w:eastAsia="zh-CN"/>
        </w:rPr>
        <w:t>，污水处理厂尾水</w:t>
      </w:r>
      <w:r>
        <w:rPr>
          <w:rFonts w:hint="eastAsia" w:cs="Times New Roman"/>
          <w:color w:val="auto"/>
          <w:sz w:val="24"/>
          <w:highlight w:val="none"/>
          <w:lang w:val="en-US" w:eastAsia="zh-CN"/>
        </w:rPr>
        <w:t>由管道排入项目东北侧的排水渠右岸</w:t>
      </w:r>
      <w:r>
        <w:rPr>
          <w:rFonts w:hint="eastAsia" w:ascii="Times New Roman" w:hAnsi="Times New Roman" w:eastAsia="宋体" w:cs="Times New Roman"/>
          <w:color w:val="auto"/>
          <w:sz w:val="24"/>
          <w:highlight w:val="none"/>
          <w:lang w:val="en-US" w:eastAsia="zh-CN"/>
        </w:rPr>
        <w:t>，污水处理</w:t>
      </w:r>
      <w:r>
        <w:rPr>
          <w:rFonts w:hint="eastAsia" w:cs="Times New Roman"/>
          <w:color w:val="auto"/>
          <w:sz w:val="24"/>
          <w:highlight w:val="none"/>
          <w:lang w:val="en-US" w:eastAsia="zh-CN"/>
        </w:rPr>
        <w:t>厂</w:t>
      </w:r>
      <w:r>
        <w:rPr>
          <w:rFonts w:hint="eastAsia" w:ascii="Times New Roman" w:hAnsi="Times New Roman" w:eastAsia="宋体" w:cs="Times New Roman"/>
          <w:color w:val="auto"/>
          <w:sz w:val="24"/>
          <w:highlight w:val="none"/>
          <w:lang w:val="en-US" w:eastAsia="zh-CN"/>
        </w:rPr>
        <w:t>入河排污口位置坐标为：</w:t>
      </w:r>
      <w:r>
        <w:rPr>
          <w:rFonts w:hint="eastAsia"/>
          <w:color w:val="auto"/>
          <w:sz w:val="24"/>
          <w:highlight w:val="none"/>
          <w:lang w:eastAsia="zh-CN"/>
        </w:rPr>
        <w:t>东经111</w:t>
      </w:r>
      <w:r>
        <w:rPr>
          <w:rFonts w:hint="default" w:ascii="Times New Roman" w:hAnsi="Times New Roman" w:cs="Times New Roman"/>
          <w:color w:val="auto"/>
          <w:sz w:val="21"/>
          <w:szCs w:val="21"/>
          <w:u w:val="none"/>
          <w:lang w:val="en-US" w:eastAsia="zh-CN"/>
        </w:rPr>
        <w:t>°</w:t>
      </w:r>
      <w:r>
        <w:rPr>
          <w:rFonts w:hint="eastAsia"/>
          <w:color w:val="auto"/>
          <w:sz w:val="24"/>
          <w:highlight w:val="none"/>
          <w:lang w:eastAsia="zh-CN"/>
        </w:rPr>
        <w:t>57' 42.</w:t>
      </w:r>
      <w:r>
        <w:rPr>
          <w:rFonts w:hint="eastAsia"/>
          <w:color w:val="auto"/>
          <w:sz w:val="24"/>
          <w:highlight w:val="none"/>
          <w:lang w:val="en-US" w:eastAsia="zh-CN"/>
        </w:rPr>
        <w:t>083</w:t>
      </w:r>
      <w:r>
        <w:rPr>
          <w:rFonts w:hint="eastAsia"/>
          <w:color w:val="auto"/>
          <w:sz w:val="24"/>
          <w:highlight w:val="none"/>
          <w:lang w:eastAsia="zh-CN"/>
        </w:rPr>
        <w:t>"，北纬22</w:t>
      </w:r>
      <w:r>
        <w:rPr>
          <w:rFonts w:hint="default" w:ascii="Times New Roman" w:hAnsi="Times New Roman" w:cs="Times New Roman"/>
          <w:color w:val="auto"/>
          <w:sz w:val="21"/>
          <w:szCs w:val="21"/>
          <w:u w:val="none"/>
          <w:lang w:val="en-US" w:eastAsia="zh-CN"/>
        </w:rPr>
        <w:t>°</w:t>
      </w:r>
      <w:r>
        <w:rPr>
          <w:rFonts w:hint="eastAsia"/>
          <w:color w:val="auto"/>
          <w:sz w:val="24"/>
          <w:highlight w:val="none"/>
          <w:lang w:eastAsia="zh-CN"/>
        </w:rPr>
        <w:t>3' 41.3</w:t>
      </w:r>
      <w:r>
        <w:rPr>
          <w:rFonts w:hint="eastAsia"/>
          <w:color w:val="auto"/>
          <w:sz w:val="24"/>
          <w:highlight w:val="none"/>
          <w:lang w:val="en-US" w:eastAsia="zh-CN"/>
        </w:rPr>
        <w:t>02</w:t>
      </w:r>
      <w:r>
        <w:rPr>
          <w:rFonts w:hint="eastAsia"/>
          <w:color w:val="auto"/>
          <w:sz w:val="24"/>
          <w:highlight w:val="none"/>
          <w:lang w:eastAsia="zh-CN"/>
        </w:rPr>
        <w:t>"东经111</w:t>
      </w:r>
      <w:r>
        <w:rPr>
          <w:rFonts w:hint="default" w:ascii="Times New Roman" w:hAnsi="Times New Roman" w:cs="Times New Roman"/>
          <w:color w:val="auto"/>
          <w:sz w:val="21"/>
          <w:szCs w:val="21"/>
          <w:u w:val="none"/>
          <w:lang w:val="en-US" w:eastAsia="zh-CN"/>
        </w:rPr>
        <w:t>°</w:t>
      </w:r>
      <w:r>
        <w:rPr>
          <w:rFonts w:hint="eastAsia"/>
          <w:color w:val="auto"/>
          <w:sz w:val="24"/>
          <w:highlight w:val="none"/>
          <w:lang w:eastAsia="zh-CN"/>
        </w:rPr>
        <w:t>57' 42.</w:t>
      </w:r>
      <w:r>
        <w:rPr>
          <w:rFonts w:hint="eastAsia"/>
          <w:color w:val="auto"/>
          <w:sz w:val="24"/>
          <w:highlight w:val="none"/>
          <w:lang w:val="en-US" w:eastAsia="zh-CN"/>
        </w:rPr>
        <w:t>083</w:t>
      </w:r>
      <w:r>
        <w:rPr>
          <w:rFonts w:hint="eastAsia"/>
          <w:color w:val="auto"/>
          <w:sz w:val="24"/>
          <w:highlight w:val="none"/>
          <w:lang w:eastAsia="zh-CN"/>
        </w:rPr>
        <w:t>"，北纬22</w:t>
      </w:r>
      <w:r>
        <w:rPr>
          <w:rFonts w:hint="default" w:ascii="Times New Roman" w:hAnsi="Times New Roman" w:cs="Times New Roman"/>
          <w:color w:val="auto"/>
          <w:sz w:val="21"/>
          <w:szCs w:val="21"/>
          <w:u w:val="none"/>
          <w:lang w:val="en-US" w:eastAsia="zh-CN"/>
        </w:rPr>
        <w:t>°</w:t>
      </w:r>
      <w:r>
        <w:rPr>
          <w:rFonts w:hint="eastAsia"/>
          <w:color w:val="auto"/>
          <w:sz w:val="24"/>
          <w:highlight w:val="none"/>
          <w:lang w:eastAsia="zh-CN"/>
        </w:rPr>
        <w:t>3' 41.3</w:t>
      </w:r>
      <w:r>
        <w:rPr>
          <w:rFonts w:hint="eastAsia"/>
          <w:color w:val="auto"/>
          <w:sz w:val="24"/>
          <w:highlight w:val="none"/>
          <w:lang w:val="en-US" w:eastAsia="zh-CN"/>
        </w:rPr>
        <w:t>02</w:t>
      </w:r>
      <w:r>
        <w:rPr>
          <w:rFonts w:hint="eastAsia"/>
          <w:color w:val="auto"/>
          <w:sz w:val="24"/>
          <w:highlight w:val="none"/>
          <w:lang w:eastAsia="zh-CN"/>
        </w:rPr>
        <w:t>"</w:t>
      </w:r>
      <w:r>
        <w:rPr>
          <w:rFonts w:hint="eastAsia" w:cs="Times New Roman"/>
          <w:color w:val="auto"/>
          <w:sz w:val="24"/>
          <w:highlight w:val="none"/>
          <w:lang w:val="en-US" w:eastAsia="zh-CN"/>
        </w:rPr>
        <w:t>。根据本排污口所在位置以及尾水排放路径，结合其排污影响范围，综合确定其入河排污口论证范围为</w:t>
      </w:r>
      <w:r>
        <w:rPr>
          <w:rFonts w:hint="eastAsia" w:ascii="Times New Roman" w:hAnsi="Times New Roman" w:eastAsia="宋体" w:cs="Times New Roman"/>
          <w:color w:val="auto"/>
          <w:sz w:val="24"/>
          <w:highlight w:val="none"/>
          <w:lang w:val="en-US" w:eastAsia="zh-CN"/>
        </w:rPr>
        <w:t>：</w:t>
      </w:r>
    </w:p>
    <w:p w14:paraId="55087DCB">
      <w:pPr>
        <w:spacing w:line="360" w:lineRule="auto"/>
        <w:ind w:firstLine="480" w:firstLineChars="200"/>
        <w:rPr>
          <w:rFonts w:hint="default"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val="en-US" w:eastAsia="zh-CN"/>
        </w:rPr>
        <w:t>①排水渠</w:t>
      </w:r>
      <w:r>
        <w:rPr>
          <w:rFonts w:hint="default" w:ascii="Times New Roman" w:hAnsi="Times New Roman" w:eastAsia="宋体" w:cs="Times New Roman"/>
          <w:color w:val="auto"/>
          <w:sz w:val="24"/>
          <w:szCs w:val="24"/>
          <w:highlight w:val="none"/>
          <w:lang w:eastAsia="zh-CN"/>
        </w:rPr>
        <w:t>：</w:t>
      </w:r>
      <w:r>
        <w:rPr>
          <w:rFonts w:hint="eastAsia" w:cs="Times New Roman"/>
          <w:color w:val="auto"/>
          <w:sz w:val="24"/>
          <w:highlight w:val="none"/>
          <w:lang w:val="en-US" w:eastAsia="zh-CN"/>
        </w:rPr>
        <w:t>入河</w:t>
      </w:r>
      <w:r>
        <w:rPr>
          <w:rFonts w:hint="eastAsia"/>
          <w:color w:val="auto"/>
          <w:sz w:val="24"/>
          <w:lang w:val="en-US" w:eastAsia="zh-CN"/>
        </w:rPr>
        <w:t>排污口上游500m</w:t>
      </w:r>
      <w:r>
        <w:rPr>
          <w:rFonts w:hint="eastAsia" w:ascii="Times New Roman" w:hAnsi="Times New Roman" w:eastAsia="宋体" w:cs="Times New Roman"/>
          <w:color w:val="auto"/>
          <w:sz w:val="24"/>
          <w:szCs w:val="24"/>
          <w:highlight w:val="none"/>
          <w:lang w:val="en-US" w:eastAsia="zh-CN"/>
        </w:rPr>
        <w:t>至与</w:t>
      </w:r>
      <w:r>
        <w:rPr>
          <w:rFonts w:hint="eastAsia" w:cs="Times New Roman"/>
          <w:color w:val="auto"/>
          <w:sz w:val="24"/>
          <w:szCs w:val="24"/>
          <w:highlight w:val="none"/>
          <w:lang w:val="en-US" w:eastAsia="zh-CN"/>
        </w:rPr>
        <w:t>吉水河</w:t>
      </w:r>
      <w:r>
        <w:rPr>
          <w:rFonts w:hint="eastAsia" w:ascii="Times New Roman" w:hAnsi="Times New Roman" w:eastAsia="宋体" w:cs="Times New Roman"/>
          <w:color w:val="auto"/>
          <w:sz w:val="24"/>
          <w:szCs w:val="24"/>
          <w:highlight w:val="none"/>
          <w:lang w:val="en-US" w:eastAsia="zh-CN"/>
        </w:rPr>
        <w:t>交汇处</w:t>
      </w:r>
      <w:r>
        <w:rPr>
          <w:rFonts w:hint="default" w:ascii="Times New Roman" w:hAnsi="Times New Roman" w:eastAsia="宋体" w:cs="Times New Roman"/>
          <w:color w:val="auto"/>
          <w:sz w:val="24"/>
          <w:szCs w:val="24"/>
          <w:highlight w:val="none"/>
          <w:lang w:eastAsia="zh-CN"/>
        </w:rPr>
        <w:t>的河段，长约</w:t>
      </w:r>
      <w:r>
        <w:rPr>
          <w:rFonts w:hint="eastAsia" w:ascii="Times New Roman" w:hAnsi="Times New Roman" w:eastAsia="宋体" w:cs="Times New Roman"/>
          <w:color w:val="auto"/>
          <w:sz w:val="24"/>
          <w:szCs w:val="24"/>
          <w:highlight w:val="none"/>
          <w:lang w:val="en-US" w:eastAsia="zh-CN"/>
        </w:rPr>
        <w:t>1050</w:t>
      </w:r>
      <w:r>
        <w:rPr>
          <w:rFonts w:hint="default" w:ascii="Times New Roman" w:hAnsi="Times New Roman" w:eastAsia="宋体" w:cs="Times New Roman"/>
          <w:color w:val="auto"/>
          <w:sz w:val="24"/>
          <w:szCs w:val="24"/>
          <w:highlight w:val="none"/>
          <w:lang w:eastAsia="zh-CN"/>
        </w:rPr>
        <w:t>m</w:t>
      </w:r>
      <w:r>
        <w:rPr>
          <w:rFonts w:hint="eastAsia" w:ascii="Times New Roman" w:hAnsi="Times New Roman" w:eastAsia="宋体" w:cs="Times New Roman"/>
          <w:color w:val="auto"/>
          <w:sz w:val="24"/>
          <w:szCs w:val="24"/>
          <w:highlight w:val="none"/>
          <w:lang w:eastAsia="zh-CN"/>
        </w:rPr>
        <w:t>；</w:t>
      </w:r>
    </w:p>
    <w:p w14:paraId="31D60453">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②</w:t>
      </w:r>
      <w:r>
        <w:rPr>
          <w:rFonts w:hint="eastAsia" w:cs="Times New Roman"/>
          <w:color w:val="auto"/>
          <w:sz w:val="24"/>
          <w:szCs w:val="24"/>
          <w:highlight w:val="none"/>
          <w:lang w:val="en-US" w:eastAsia="zh-CN"/>
        </w:rPr>
        <w:t>吉水河：吉水河</w:t>
      </w:r>
      <w:r>
        <w:rPr>
          <w:rFonts w:hint="eastAsia"/>
          <w:color w:val="auto"/>
          <w:sz w:val="24"/>
          <w:lang w:val="en-US" w:eastAsia="zh-CN"/>
        </w:rPr>
        <w:t>与排水渠交汇处</w:t>
      </w:r>
      <w:r>
        <w:rPr>
          <w:rFonts w:hint="default" w:ascii="Times New Roman" w:hAnsi="Times New Roman" w:eastAsia="宋体" w:cs="Times New Roman"/>
          <w:color w:val="auto"/>
          <w:sz w:val="24"/>
          <w:szCs w:val="24"/>
          <w:highlight w:val="none"/>
          <w:lang w:eastAsia="zh-CN"/>
        </w:rPr>
        <w:t>至大八河的河段，长</w:t>
      </w:r>
      <w:r>
        <w:rPr>
          <w:rFonts w:hint="eastAsia" w:cs="Times New Roman"/>
          <w:color w:val="auto"/>
          <w:sz w:val="24"/>
          <w:szCs w:val="24"/>
          <w:highlight w:val="none"/>
          <w:lang w:val="en-US" w:eastAsia="zh-CN"/>
        </w:rPr>
        <w:t>65</w:t>
      </w:r>
      <w:r>
        <w:rPr>
          <w:rFonts w:hint="eastAsia" w:ascii="Times New Roman" w:hAnsi="Times New Roman" w:eastAsia="宋体" w:cs="Times New Roman"/>
          <w:color w:val="auto"/>
          <w:sz w:val="24"/>
          <w:szCs w:val="24"/>
          <w:highlight w:val="none"/>
          <w:lang w:val="en-US" w:eastAsia="zh-CN"/>
        </w:rPr>
        <w:t>0</w:t>
      </w:r>
      <w:r>
        <w:rPr>
          <w:rFonts w:hint="default" w:ascii="Times New Roman" w:hAnsi="Times New Roman" w:eastAsia="宋体" w:cs="Times New Roman"/>
          <w:color w:val="auto"/>
          <w:sz w:val="24"/>
          <w:szCs w:val="24"/>
          <w:highlight w:val="none"/>
          <w:lang w:eastAsia="zh-CN"/>
        </w:rPr>
        <w:t>m</w:t>
      </w:r>
      <w:r>
        <w:rPr>
          <w:rFonts w:hint="eastAsia" w:cs="Times New Roman"/>
          <w:color w:val="auto"/>
          <w:sz w:val="24"/>
          <w:szCs w:val="24"/>
          <w:highlight w:val="none"/>
          <w:lang w:eastAsia="zh-CN"/>
        </w:rPr>
        <w:t>；</w:t>
      </w:r>
    </w:p>
    <w:p w14:paraId="64304085">
      <w:pPr>
        <w:spacing w:line="360" w:lineRule="auto"/>
        <w:ind w:firstLine="480" w:firstLineChars="200"/>
        <w:rPr>
          <w:rFonts w:hint="eastAsia"/>
          <w:color w:val="auto"/>
          <w:sz w:val="24"/>
          <w:lang w:val="en-US" w:eastAsia="zh-CN"/>
        </w:rPr>
      </w:pPr>
      <w:r>
        <w:rPr>
          <w:rFonts w:hint="eastAsia" w:ascii="Times New Roman" w:hAnsi="Times New Roman" w:eastAsia="宋体" w:cs="Times New Roman"/>
          <w:color w:val="auto"/>
          <w:sz w:val="24"/>
          <w:szCs w:val="24"/>
          <w:highlight w:val="none"/>
          <w:lang w:val="en-US" w:eastAsia="zh-CN"/>
        </w:rPr>
        <w:fldChar w:fldCharType="begin"/>
      </w:r>
      <w:r>
        <w:rPr>
          <w:rFonts w:hint="eastAsia" w:ascii="Times New Roman" w:hAnsi="Times New Roman" w:eastAsia="宋体" w:cs="Times New Roman"/>
          <w:color w:val="auto"/>
          <w:sz w:val="24"/>
          <w:szCs w:val="24"/>
          <w:highlight w:val="none"/>
          <w:lang w:val="en-US" w:eastAsia="zh-CN"/>
        </w:rPr>
        <w:instrText xml:space="preserve"> = 3 \* GB3 \* MERGEFORMAT </w:instrText>
      </w:r>
      <w:r>
        <w:rPr>
          <w:rFonts w:hint="eastAsia" w:ascii="Times New Roman" w:hAnsi="Times New Roman" w:eastAsia="宋体" w:cs="Times New Roman"/>
          <w:color w:val="auto"/>
          <w:sz w:val="24"/>
          <w:szCs w:val="24"/>
          <w:highlight w:val="none"/>
          <w:lang w:val="en-US" w:eastAsia="zh-CN"/>
        </w:rPr>
        <w:fldChar w:fldCharType="separate"/>
      </w:r>
      <w:r>
        <w:rPr>
          <w:rFonts w:hint="eastAsia" w:ascii="Times New Roman" w:hAnsi="Times New Roman" w:eastAsia="宋体" w:cs="Times New Roman"/>
          <w:color w:val="auto"/>
          <w:sz w:val="24"/>
          <w:szCs w:val="24"/>
          <w:highlight w:val="none"/>
          <w:lang w:val="en-US" w:eastAsia="zh-CN"/>
        </w:rPr>
        <w:t>③</w:t>
      </w:r>
      <w:r>
        <w:rPr>
          <w:rFonts w:hint="eastAsia" w:ascii="Times New Roman" w:hAnsi="Times New Roman" w:eastAsia="宋体" w:cs="Times New Roman"/>
          <w:color w:val="auto"/>
          <w:sz w:val="24"/>
          <w:szCs w:val="24"/>
          <w:highlight w:val="none"/>
          <w:lang w:val="en-US" w:eastAsia="zh-CN"/>
        </w:rPr>
        <w:fldChar w:fldCharType="end"/>
      </w:r>
      <w:r>
        <w:rPr>
          <w:rFonts w:hint="eastAsia" w:ascii="Times New Roman" w:hAnsi="Times New Roman" w:eastAsia="宋体" w:cs="Times New Roman"/>
          <w:color w:val="auto"/>
          <w:sz w:val="24"/>
          <w:szCs w:val="24"/>
          <w:highlight w:val="none"/>
          <w:lang w:val="en-US" w:eastAsia="zh-CN"/>
        </w:rPr>
        <w:t>大八河：</w:t>
      </w:r>
      <w:r>
        <w:rPr>
          <w:rFonts w:hint="eastAsia" w:cs="Times New Roman"/>
          <w:color w:val="auto"/>
          <w:sz w:val="24"/>
          <w:szCs w:val="24"/>
          <w:highlight w:val="none"/>
          <w:lang w:val="en-US" w:eastAsia="zh-CN"/>
        </w:rPr>
        <w:t>大八河与吉水河交汇处至大八河下游1000m的河段</w:t>
      </w:r>
      <w:r>
        <w:rPr>
          <w:rFonts w:hint="default" w:ascii="Times New Roman" w:hAnsi="Times New Roman" w:eastAsia="宋体" w:cs="Times New Roman"/>
          <w:color w:val="auto"/>
          <w:sz w:val="24"/>
          <w:szCs w:val="24"/>
          <w:highlight w:val="none"/>
          <w:lang w:eastAsia="zh-CN"/>
        </w:rPr>
        <w:t>，长</w:t>
      </w:r>
      <w:r>
        <w:rPr>
          <w:rFonts w:hint="eastAsia" w:ascii="Times New Roman" w:hAnsi="Times New Roman" w:eastAsia="宋体" w:cs="Times New Roman"/>
          <w:color w:val="auto"/>
          <w:sz w:val="24"/>
          <w:szCs w:val="24"/>
          <w:highlight w:val="none"/>
          <w:lang w:val="en-US" w:eastAsia="zh-CN"/>
        </w:rPr>
        <w:t>1</w:t>
      </w:r>
      <w:r>
        <w:rPr>
          <w:rFonts w:hint="eastAsia" w:cs="Times New Roman"/>
          <w:color w:val="auto"/>
          <w:sz w:val="24"/>
          <w:szCs w:val="24"/>
          <w:highlight w:val="none"/>
          <w:lang w:val="en-US" w:eastAsia="zh-CN"/>
        </w:rPr>
        <w:t>0</w:t>
      </w:r>
      <w:r>
        <w:rPr>
          <w:rFonts w:hint="eastAsia" w:ascii="Times New Roman" w:hAnsi="Times New Roman" w:eastAsia="宋体" w:cs="Times New Roman"/>
          <w:color w:val="auto"/>
          <w:sz w:val="24"/>
          <w:szCs w:val="24"/>
          <w:highlight w:val="none"/>
          <w:lang w:val="en-US" w:eastAsia="zh-CN"/>
        </w:rPr>
        <w:t>00</w:t>
      </w:r>
      <w:r>
        <w:rPr>
          <w:rFonts w:hint="default" w:ascii="Times New Roman" w:hAnsi="Times New Roman" w:eastAsia="宋体" w:cs="Times New Roman"/>
          <w:color w:val="auto"/>
          <w:sz w:val="24"/>
          <w:szCs w:val="24"/>
          <w:highlight w:val="none"/>
          <w:lang w:eastAsia="zh-CN"/>
        </w:rPr>
        <w:t>m</w:t>
      </w:r>
      <w:r>
        <w:rPr>
          <w:rFonts w:hint="eastAsia"/>
          <w:color w:val="auto"/>
          <w:sz w:val="24"/>
          <w:lang w:val="en-US" w:eastAsia="zh-CN"/>
        </w:rPr>
        <w:t>；</w:t>
      </w:r>
    </w:p>
    <w:p w14:paraId="4A111D7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val="en-US" w:eastAsia="zh-CN"/>
        </w:rPr>
        <w:t>综上，本项目论证范围总长度为</w:t>
      </w:r>
      <w:r>
        <w:rPr>
          <w:rFonts w:hint="eastAsia" w:cs="Times New Roman"/>
          <w:color w:val="auto"/>
          <w:sz w:val="24"/>
          <w:szCs w:val="24"/>
          <w:highlight w:val="none"/>
          <w:lang w:val="en-US" w:eastAsia="zh-CN"/>
        </w:rPr>
        <w:t>2700</w:t>
      </w:r>
      <w:r>
        <w:rPr>
          <w:rFonts w:hint="default" w:ascii="Times New Roman" w:hAnsi="Times New Roman" w:eastAsia="宋体" w:cs="Times New Roman"/>
          <w:color w:val="auto"/>
          <w:sz w:val="24"/>
          <w:szCs w:val="24"/>
          <w:highlight w:val="none"/>
          <w:lang w:eastAsia="zh-CN"/>
        </w:rPr>
        <w:t>m。</w:t>
      </w:r>
    </w:p>
    <w:p w14:paraId="1E01DEA7">
      <w:pPr>
        <w:pStyle w:val="2"/>
        <w:rPr>
          <w:rFonts w:hint="eastAsia"/>
          <w:color w:val="auto"/>
          <w:lang w:val="en-US" w:eastAsia="zh-CN"/>
        </w:rPr>
      </w:pPr>
    </w:p>
    <w:p w14:paraId="4AEE8727">
      <w:pPr>
        <w:rPr>
          <w:rFonts w:hint="default"/>
          <w:color w:val="auto"/>
          <w:lang w:val="en-US" w:eastAsia="zh-CN"/>
        </w:rPr>
        <w:sectPr>
          <w:footerReference r:id="rId7" w:type="default"/>
          <w:pgSz w:w="11906" w:h="16838"/>
          <w:pgMar w:top="1440" w:right="1418" w:bottom="1440" w:left="1418" w:header="624" w:footer="992" w:gutter="0"/>
          <w:pgNumType w:fmt="decimal" w:start="1"/>
          <w:cols w:space="720" w:num="1"/>
          <w:docGrid w:linePitch="312" w:charSpace="0"/>
        </w:sectPr>
      </w:pPr>
    </w:p>
    <w:p w14:paraId="1816AD10">
      <w:pPr>
        <w:pStyle w:val="2"/>
        <w:rPr>
          <w:rFonts w:hint="default"/>
          <w:color w:val="auto"/>
          <w:lang w:val="en-US" w:eastAsia="zh-CN"/>
        </w:rPr>
      </w:pPr>
      <w:r>
        <w:rPr>
          <w:color w:val="auto"/>
        </w:rPr>
        <w:drawing>
          <wp:inline distT="0" distB="0" distL="114300" distR="114300">
            <wp:extent cx="5753735" cy="6102985"/>
            <wp:effectExtent l="0" t="0" r="12065" b="5715"/>
            <wp:docPr id="3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6"/>
                    <pic:cNvPicPr>
                      <a:picLocks noChangeAspect="1"/>
                    </pic:cNvPicPr>
                  </pic:nvPicPr>
                  <pic:blipFill>
                    <a:blip r:embed="rId15"/>
                    <a:stretch>
                      <a:fillRect/>
                    </a:stretch>
                  </pic:blipFill>
                  <pic:spPr>
                    <a:xfrm>
                      <a:off x="0" y="0"/>
                      <a:ext cx="5753735" cy="6102985"/>
                    </a:xfrm>
                    <a:prstGeom prst="rect">
                      <a:avLst/>
                    </a:prstGeom>
                    <a:noFill/>
                    <a:ln>
                      <a:noFill/>
                    </a:ln>
                  </pic:spPr>
                </pic:pic>
              </a:graphicData>
            </a:graphic>
          </wp:inline>
        </w:drawing>
      </w:r>
    </w:p>
    <w:p w14:paraId="64075825">
      <w:pPr>
        <w:jc w:val="center"/>
        <w:rPr>
          <w:rFonts w:hint="default"/>
          <w:color w:val="auto"/>
          <w:lang w:val="en-US" w:eastAsia="zh-CN"/>
        </w:rPr>
        <w:sectPr>
          <w:pgSz w:w="11906" w:h="16838"/>
          <w:pgMar w:top="1440" w:right="1418" w:bottom="1440" w:left="1418" w:header="624" w:footer="992" w:gutter="0"/>
          <w:pgNumType w:fmt="decimal" w:start="1"/>
          <w:cols w:space="720" w:num="1"/>
          <w:docGrid w:linePitch="312" w:charSpace="0"/>
        </w:sectPr>
      </w:pPr>
      <w:r>
        <w:rPr>
          <w:rFonts w:hint="default"/>
          <w:color w:val="auto"/>
          <w:lang w:val="en-US" w:eastAsia="zh-CN"/>
        </w:rPr>
        <w:t>图1.5-1项目论证范围示意图</w:t>
      </w:r>
    </w:p>
    <w:p w14:paraId="13F1C3EB">
      <w:pPr>
        <w:jc w:val="center"/>
        <w:rPr>
          <w:color w:val="auto"/>
        </w:rPr>
      </w:pPr>
      <w:r>
        <w:rPr>
          <w:color w:val="auto"/>
        </w:rPr>
        <w:drawing>
          <wp:anchor distT="0" distB="0" distL="114300" distR="114300" simplePos="0" relativeHeight="251700224" behindDoc="0" locked="0" layoutInCell="1" allowOverlap="1">
            <wp:simplePos x="0" y="0"/>
            <wp:positionH relativeFrom="column">
              <wp:posOffset>11711940</wp:posOffset>
            </wp:positionH>
            <wp:positionV relativeFrom="paragraph">
              <wp:posOffset>90805</wp:posOffset>
            </wp:positionV>
            <wp:extent cx="1174750" cy="1701165"/>
            <wp:effectExtent l="0" t="0" r="6350" b="635"/>
            <wp:wrapNone/>
            <wp:docPr id="37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图片 3"/>
                    <pic:cNvPicPr>
                      <a:picLocks noChangeAspect="1"/>
                    </pic:cNvPicPr>
                  </pic:nvPicPr>
                  <pic:blipFill>
                    <a:blip r:embed="rId16"/>
                    <a:stretch>
                      <a:fillRect/>
                    </a:stretch>
                  </pic:blipFill>
                  <pic:spPr>
                    <a:xfrm>
                      <a:off x="0" y="0"/>
                      <a:ext cx="1174750" cy="1701165"/>
                    </a:xfrm>
                    <a:prstGeom prst="rect">
                      <a:avLst/>
                    </a:prstGeom>
                    <a:noFill/>
                    <a:ln>
                      <a:noFill/>
                    </a:ln>
                  </pic:spPr>
                </pic:pic>
              </a:graphicData>
            </a:graphic>
          </wp:anchor>
        </w:drawing>
      </w:r>
      <w:r>
        <w:rPr>
          <w:rFonts w:hint="eastAsia" w:ascii="Times New Roman"/>
          <w:b/>
          <w:color w:val="auto"/>
        </w:rPr>
        <mc:AlternateContent>
          <mc:Choice Requires="wps">
            <w:drawing>
              <wp:anchor distT="0" distB="0" distL="114300" distR="114300" simplePos="0" relativeHeight="251670528" behindDoc="0" locked="0" layoutInCell="1" allowOverlap="1">
                <wp:simplePos x="0" y="0"/>
                <wp:positionH relativeFrom="column">
                  <wp:posOffset>5758815</wp:posOffset>
                </wp:positionH>
                <wp:positionV relativeFrom="paragraph">
                  <wp:posOffset>5104765</wp:posOffset>
                </wp:positionV>
                <wp:extent cx="890905" cy="380365"/>
                <wp:effectExtent l="6350" t="6350" r="677545" b="6985"/>
                <wp:wrapNone/>
                <wp:docPr id="89" name="矩形标注 89"/>
                <wp:cNvGraphicFramePr/>
                <a:graphic xmlns:a="http://schemas.openxmlformats.org/drawingml/2006/main">
                  <a:graphicData uri="http://schemas.microsoft.com/office/word/2010/wordprocessingShape">
                    <wps:wsp>
                      <wps:cNvSpPr/>
                      <wps:spPr>
                        <a:xfrm>
                          <a:off x="0" y="0"/>
                          <a:ext cx="890905" cy="380365"/>
                        </a:xfrm>
                        <a:prstGeom prst="wedgeRectCallout">
                          <a:avLst>
                            <a:gd name="adj1" fmla="val 119208"/>
                            <a:gd name="adj2" fmla="val 8597"/>
                          </a:avLst>
                        </a:prstGeom>
                        <a:solidFill>
                          <a:srgbClr val="FFFF00"/>
                        </a:solidFill>
                        <a:ln w="12700" cap="flat" cmpd="sng">
                          <a:solidFill>
                            <a:schemeClr val="accent4"/>
                          </a:solidFill>
                          <a:prstDash val="solid"/>
                          <a:miter/>
                          <a:headEnd type="none" w="med" len="med"/>
                          <a:tailEnd type="none" w="med" len="med"/>
                        </a:ln>
                      </wps:spPr>
                      <wps:txbx>
                        <w:txbxContent>
                          <w:p w14:paraId="06B9C5D0">
                            <w:pPr>
                              <w:jc w:val="center"/>
                              <w:rPr>
                                <w:rFonts w:hint="default" w:eastAsia="宋体"/>
                                <w:lang w:val="en-US" w:eastAsia="zh-CN"/>
                              </w:rPr>
                            </w:pPr>
                            <w:r>
                              <w:rPr>
                                <w:rFonts w:hint="eastAsia"/>
                                <w:lang w:val="en-US" w:eastAsia="zh-CN"/>
                              </w:rPr>
                              <w:t>纳污范围</w:t>
                            </w:r>
                          </w:p>
                        </w:txbxContent>
                      </wps:txbx>
                      <wps:bodyPr upright="1"/>
                    </wps:wsp>
                  </a:graphicData>
                </a:graphic>
              </wp:anchor>
            </w:drawing>
          </mc:Choice>
          <mc:Fallback>
            <w:pict>
              <v:shape id="_x0000_s1026" o:spid="_x0000_s1026" o:spt="61" type="#_x0000_t61" style="position:absolute;left:0pt;margin-left:453.45pt;margin-top:401.95pt;height:29.95pt;width:70.15pt;z-index:251670528;mso-width-relative:page;mso-height-relative:page;" fillcolor="#FFFF00" filled="t" stroked="t" coordsize="21600,21600" o:gfxdata="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AWVXYLZAAAADAEAAA8AAAAAAAAAAQAgAAAAIgAAAGRycy9k&#10;b3ducmV2LnhtbFBLAQIUABQAAAAIAIdO4kCeY+4BOgIAAI4EAAAOAAAAAAAAAAEAIAAAACgBAABk&#10;cnMvZTJvRG9jLnhtbFBLBQYAAAAABgAGAFkBAADUBQAAAAA=&#10;" adj="36549,12657">
                <v:fill on="t" focussize="0,0"/>
                <v:stroke weight="1pt" color="#FFC000 [3207]" joinstyle="miter"/>
                <v:imagedata o:title=""/>
                <o:lock v:ext="edit" aspectratio="f"/>
                <v:textbox>
                  <w:txbxContent>
                    <w:p w14:paraId="06B9C5D0">
                      <w:pPr>
                        <w:jc w:val="center"/>
                        <w:rPr>
                          <w:rFonts w:hint="default" w:eastAsia="宋体"/>
                          <w:lang w:val="en-US" w:eastAsia="zh-CN"/>
                        </w:rPr>
                      </w:pPr>
                      <w:r>
                        <w:rPr>
                          <w:rFonts w:hint="eastAsia"/>
                          <w:lang w:val="en-US" w:eastAsia="zh-CN"/>
                        </w:rPr>
                        <w:t>纳污范围</w:t>
                      </w:r>
                    </w:p>
                  </w:txbxContent>
                </v:textbox>
              </v:shape>
            </w:pict>
          </mc:Fallback>
        </mc:AlternateContent>
      </w:r>
      <w:r>
        <w:rPr>
          <w:rFonts w:hint="eastAsia" w:ascii="Times New Roman"/>
          <w:b/>
          <w:color w:val="auto"/>
        </w:rPr>
        <mc:AlternateContent>
          <mc:Choice Requires="wps">
            <w:drawing>
              <wp:anchor distT="0" distB="0" distL="114300" distR="114300" simplePos="0" relativeHeight="251681792" behindDoc="0" locked="0" layoutInCell="1" allowOverlap="1">
                <wp:simplePos x="0" y="0"/>
                <wp:positionH relativeFrom="column">
                  <wp:posOffset>8891270</wp:posOffset>
                </wp:positionH>
                <wp:positionV relativeFrom="paragraph">
                  <wp:posOffset>4253230</wp:posOffset>
                </wp:positionV>
                <wp:extent cx="876300" cy="306070"/>
                <wp:effectExtent l="1170940" t="6350" r="10160" b="43180"/>
                <wp:wrapNone/>
                <wp:docPr id="32" name="矩形标注 32"/>
                <wp:cNvGraphicFramePr/>
                <a:graphic xmlns:a="http://schemas.openxmlformats.org/drawingml/2006/main">
                  <a:graphicData uri="http://schemas.microsoft.com/office/word/2010/wordprocessingShape">
                    <wps:wsp>
                      <wps:cNvSpPr/>
                      <wps:spPr>
                        <a:xfrm>
                          <a:off x="0" y="0"/>
                          <a:ext cx="876300" cy="306070"/>
                        </a:xfrm>
                        <a:prstGeom prst="wedgeRectCallout">
                          <a:avLst>
                            <a:gd name="adj1" fmla="val -177826"/>
                            <a:gd name="adj2" fmla="val 60580"/>
                          </a:avLst>
                        </a:prstGeom>
                        <a:gradFill>
                          <a:gsLst>
                            <a:gs pos="0">
                              <a:srgbClr val="FBFB11"/>
                            </a:gs>
                            <a:gs pos="100000">
                              <a:srgbClr val="838309"/>
                            </a:gs>
                          </a:gsLst>
                          <a:lin ang="5400000" scaled="0"/>
                        </a:gradFill>
                        <a:ln w="12700" cap="flat" cmpd="sng">
                          <a:solidFill>
                            <a:schemeClr val="accent4"/>
                          </a:solidFill>
                          <a:prstDash val="solid"/>
                          <a:miter/>
                          <a:headEnd type="none" w="med" len="med"/>
                          <a:tailEnd type="none" w="med" len="med"/>
                        </a:ln>
                      </wps:spPr>
                      <wps:txbx>
                        <w:txbxContent>
                          <w:p w14:paraId="25652FF2">
                            <w:pPr>
                              <w:jc w:val="center"/>
                              <w:rPr>
                                <w:rFonts w:hint="default" w:eastAsia="宋体"/>
                                <w:lang w:val="en-US" w:eastAsia="zh-CN"/>
                              </w:rPr>
                            </w:pPr>
                            <w:r>
                              <w:rPr>
                                <w:rFonts w:hint="eastAsia"/>
                                <w:lang w:val="en-US" w:eastAsia="zh-CN"/>
                              </w:rPr>
                              <w:t>入河排污口</w:t>
                            </w:r>
                          </w:p>
                        </w:txbxContent>
                      </wps:txbx>
                      <wps:bodyPr upright="1"/>
                    </wps:wsp>
                  </a:graphicData>
                </a:graphic>
              </wp:anchor>
            </w:drawing>
          </mc:Choice>
          <mc:Fallback>
            <w:pict>
              <v:shape id="_x0000_s1026" o:spid="_x0000_s1026" o:spt="61" type="#_x0000_t61" style="position:absolute;left:0pt;margin-left:700.1pt;margin-top:334.9pt;height:24.1pt;width:69pt;z-index:251681792;mso-width-relative:page;mso-height-relative:page;" fillcolor="#FBFB11" filled="t" stroked="t" coordsize="21600,21600" o:gfxdata="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wZD0D2QAAAA0BAAAPAAAAAAAAAAEAIAAAACIAAABkcnMv&#10;ZG93bnJldi54bWxQSwECFAAUAAAACACHTuJAIy49THQCAAAKBQAADgAAAAAAAAABACAAAAAoAQAA&#10;ZHJzL2Uyb0RvYy54bWxQSwUGAAAAAAYABgBZAQAADgYAAAAA&#10;" adj="-27610,23885">
                <v:fill type="gradient" on="t" color2="#838309" focus="100%" focussize="0,0" rotate="t">
                  <o:fill type="gradientUnscaled" v:ext="backwardCompatible"/>
                </v:fill>
                <v:stroke weight="1pt" color="#FFC000 [3207]" joinstyle="miter"/>
                <v:imagedata o:title=""/>
                <o:lock v:ext="edit" aspectratio="f"/>
                <v:textbox>
                  <w:txbxContent>
                    <w:p w14:paraId="25652FF2">
                      <w:pPr>
                        <w:jc w:val="center"/>
                        <w:rPr>
                          <w:rFonts w:hint="default" w:eastAsia="宋体"/>
                          <w:lang w:val="en-US" w:eastAsia="zh-CN"/>
                        </w:rPr>
                      </w:pPr>
                      <w:r>
                        <w:rPr>
                          <w:rFonts w:hint="eastAsia"/>
                          <w:lang w:val="en-US" w:eastAsia="zh-CN"/>
                        </w:rPr>
                        <w:t>入河排污口</w:t>
                      </w:r>
                    </w:p>
                  </w:txbxContent>
                </v:textbox>
              </v:shape>
            </w:pict>
          </mc:Fallback>
        </mc:AlternateContent>
      </w:r>
      <w:r>
        <w:rPr>
          <w:rFonts w:hint="eastAsia" w:ascii="Times New Roman"/>
          <w:b/>
          <w:color w:val="auto"/>
        </w:rPr>
        <mc:AlternateContent>
          <mc:Choice Requires="wps">
            <w:drawing>
              <wp:anchor distT="0" distB="0" distL="114300" distR="114300" simplePos="0" relativeHeight="251680768" behindDoc="0" locked="0" layoutInCell="1" allowOverlap="1">
                <wp:simplePos x="0" y="0"/>
                <wp:positionH relativeFrom="column">
                  <wp:posOffset>8265795</wp:posOffset>
                </wp:positionH>
                <wp:positionV relativeFrom="page">
                  <wp:posOffset>5789930</wp:posOffset>
                </wp:positionV>
                <wp:extent cx="1463675" cy="306070"/>
                <wp:effectExtent l="779780" t="221615" r="17145" b="18415"/>
                <wp:wrapNone/>
                <wp:docPr id="27" name="矩形标注 27"/>
                <wp:cNvGraphicFramePr/>
                <a:graphic xmlns:a="http://schemas.openxmlformats.org/drawingml/2006/main">
                  <a:graphicData uri="http://schemas.microsoft.com/office/word/2010/wordprocessingShape">
                    <wps:wsp>
                      <wps:cNvSpPr/>
                      <wps:spPr>
                        <a:xfrm>
                          <a:off x="0" y="0"/>
                          <a:ext cx="1463675" cy="306070"/>
                        </a:xfrm>
                        <a:prstGeom prst="wedgeRectCallout">
                          <a:avLst>
                            <a:gd name="adj1" fmla="val -99804"/>
                            <a:gd name="adj2" fmla="val -117842"/>
                          </a:avLst>
                        </a:prstGeom>
                        <a:solidFill>
                          <a:srgbClr val="FFFF00"/>
                        </a:solidFill>
                        <a:ln w="12700" cap="flat" cmpd="sng">
                          <a:solidFill>
                            <a:schemeClr val="accent4"/>
                          </a:solidFill>
                          <a:prstDash val="solid"/>
                          <a:miter/>
                          <a:headEnd type="none" w="med" len="med"/>
                          <a:tailEnd type="none" w="med" len="med"/>
                        </a:ln>
                      </wps:spPr>
                      <wps:txbx>
                        <w:txbxContent>
                          <w:p w14:paraId="67BF3E5A">
                            <w:pPr>
                              <w:jc w:val="center"/>
                              <w:rPr>
                                <w:rFonts w:hint="default" w:eastAsia="宋体"/>
                                <w:lang w:val="en-US" w:eastAsia="zh-CN"/>
                              </w:rPr>
                            </w:pPr>
                            <w:r>
                              <w:rPr>
                                <w:rFonts w:hint="eastAsia"/>
                                <w:lang w:val="en-US" w:eastAsia="zh-CN"/>
                              </w:rPr>
                              <w:t>大八污水处理厂</w:t>
                            </w:r>
                          </w:p>
                        </w:txbxContent>
                      </wps:txbx>
                      <wps:bodyPr upright="1"/>
                    </wps:wsp>
                  </a:graphicData>
                </a:graphic>
              </wp:anchor>
            </w:drawing>
          </mc:Choice>
          <mc:Fallback>
            <w:pict>
              <v:shape id="_x0000_s1026" o:spid="_x0000_s1026" o:spt="61" type="#_x0000_t61" style="position:absolute;left:0pt;margin-left:650.85pt;margin-top:455.9pt;height:24.1pt;width:115.25pt;mso-position-vertical-relative:page;z-index:251680768;mso-width-relative:page;mso-height-relative:page;" fillcolor="#FFFF00" filled="t" stroked="t" coordsize="21600,21600" o:gfxdata="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&#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rvPd12gAAAA0BAAAPAAAAAAAAAAEAIAAAACIAAABk&#10;cnMvZG93bnJldi54bWxQSwECFAAUAAAACACHTuJAowUACj0CAACSBAAADgAAAAAAAAABACAAAAAp&#10;AQAAZHJzL2Uyb0RvYy54bWxQSwUGAAAAAAYABgBZAQAA2AUAAAAA&#10;" adj="-10758,-14654">
                <v:fill on="t" focussize="0,0"/>
                <v:stroke weight="1pt" color="#FFC000 [3207]" joinstyle="miter"/>
                <v:imagedata o:title=""/>
                <o:lock v:ext="edit" aspectratio="f"/>
                <v:textbox>
                  <w:txbxContent>
                    <w:p w14:paraId="67BF3E5A">
                      <w:pPr>
                        <w:jc w:val="center"/>
                        <w:rPr>
                          <w:rFonts w:hint="default" w:eastAsia="宋体"/>
                          <w:lang w:val="en-US" w:eastAsia="zh-CN"/>
                        </w:rPr>
                      </w:pPr>
                      <w:r>
                        <w:rPr>
                          <w:rFonts w:hint="eastAsia"/>
                          <w:lang w:val="en-US" w:eastAsia="zh-CN"/>
                        </w:rPr>
                        <w:t>大八污水处理厂</w:t>
                      </w:r>
                    </w:p>
                  </w:txbxContent>
                </v:textbox>
              </v:shape>
            </w:pict>
          </mc:Fallback>
        </mc:AlternateContent>
      </w:r>
      <w:r>
        <w:rPr>
          <w:rFonts w:hint="eastAsia" w:ascii="Times New Roman"/>
          <w:b/>
          <w:color w:val="auto"/>
        </w:rPr>
        <mc:AlternateContent>
          <mc:Choice Requires="wps">
            <w:drawing>
              <wp:anchor distT="0" distB="0" distL="114300" distR="114300" simplePos="0" relativeHeight="251674624" behindDoc="0" locked="0" layoutInCell="1" allowOverlap="1">
                <wp:simplePos x="0" y="0"/>
                <wp:positionH relativeFrom="column">
                  <wp:posOffset>4438650</wp:posOffset>
                </wp:positionH>
                <wp:positionV relativeFrom="paragraph">
                  <wp:posOffset>7192645</wp:posOffset>
                </wp:positionV>
                <wp:extent cx="615315" cy="306070"/>
                <wp:effectExtent l="6350" t="6350" r="661035" b="17780"/>
                <wp:wrapNone/>
                <wp:docPr id="91" name="矩形标注 91"/>
                <wp:cNvGraphicFramePr/>
                <a:graphic xmlns:a="http://schemas.openxmlformats.org/drawingml/2006/main">
                  <a:graphicData uri="http://schemas.microsoft.com/office/word/2010/wordprocessingShape">
                    <wps:wsp>
                      <wps:cNvSpPr/>
                      <wps:spPr>
                        <a:xfrm>
                          <a:off x="0" y="0"/>
                          <a:ext cx="615315" cy="306070"/>
                        </a:xfrm>
                        <a:prstGeom prst="wedgeRectCallout">
                          <a:avLst>
                            <a:gd name="adj1" fmla="val 147626"/>
                            <a:gd name="adj2" fmla="val 17219"/>
                          </a:avLst>
                        </a:prstGeom>
                        <a:gradFill>
                          <a:gsLst>
                            <a:gs pos="0">
                              <a:srgbClr val="FBFB11"/>
                            </a:gs>
                            <a:gs pos="100000">
                              <a:srgbClr val="838309"/>
                            </a:gs>
                          </a:gsLst>
                          <a:lin ang="5400000" scaled="0"/>
                        </a:gradFill>
                        <a:ln w="12700" cap="flat" cmpd="sng">
                          <a:solidFill>
                            <a:schemeClr val="accent4"/>
                          </a:solidFill>
                          <a:prstDash val="solid"/>
                          <a:miter/>
                          <a:headEnd type="none" w="med" len="med"/>
                          <a:tailEnd type="none" w="med" len="med"/>
                        </a:ln>
                      </wps:spPr>
                      <wps:txbx>
                        <w:txbxContent>
                          <w:p w14:paraId="6F1416D4">
                            <w:pPr>
                              <w:jc w:val="center"/>
                              <w:rPr>
                                <w:rFonts w:hint="default" w:eastAsia="宋体"/>
                                <w:lang w:val="en-US" w:eastAsia="zh-CN"/>
                              </w:rPr>
                            </w:pPr>
                            <w:r>
                              <w:rPr>
                                <w:rFonts w:hint="eastAsia"/>
                                <w:lang w:val="en-US" w:eastAsia="zh-CN"/>
                              </w:rPr>
                              <w:t>大八河</w:t>
                            </w:r>
                          </w:p>
                        </w:txbxContent>
                      </wps:txbx>
                      <wps:bodyPr upright="1"/>
                    </wps:wsp>
                  </a:graphicData>
                </a:graphic>
              </wp:anchor>
            </w:drawing>
          </mc:Choice>
          <mc:Fallback>
            <w:pict>
              <v:shape id="_x0000_s1026" o:spid="_x0000_s1026" o:spt="61" type="#_x0000_t61" style="position:absolute;left:0pt;margin-left:349.5pt;margin-top:566.35pt;height:24.1pt;width:48.45pt;z-index:251674624;mso-width-relative:page;mso-height-relative:page;" fillcolor="#FBFB11" filled="t" stroked="t" coordsize="21600,21600" o:gfxdata="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AENJW02QAAAA0BAAAPAAAAAAAAAAEAIAAAACIAAABkcnMv&#10;ZG93bnJldi54bWxQSwECFAAUAAAACACHTuJARNTdDHQCAAAJBQAADgAAAAAAAAABACAAAAAoAQAA&#10;ZHJzL2Uyb0RvYy54bWxQSwUGAAAAAAYABgBZAQAADgYAAAAA&#10;" adj="42687,14519">
                <v:fill type="gradient" on="t" color2="#838309" focus="100%" focussize="0,0" rotate="t">
                  <o:fill type="gradientUnscaled" v:ext="backwardCompatible"/>
                </v:fill>
                <v:stroke weight="1pt" color="#FFC000 [3207]" joinstyle="miter"/>
                <v:imagedata o:title=""/>
                <o:lock v:ext="edit" aspectratio="f"/>
                <v:textbox>
                  <w:txbxContent>
                    <w:p w14:paraId="6F1416D4">
                      <w:pPr>
                        <w:jc w:val="center"/>
                        <w:rPr>
                          <w:rFonts w:hint="default" w:eastAsia="宋体"/>
                          <w:lang w:val="en-US" w:eastAsia="zh-CN"/>
                        </w:rPr>
                      </w:pPr>
                      <w:r>
                        <w:rPr>
                          <w:rFonts w:hint="eastAsia"/>
                          <w:lang w:val="en-US" w:eastAsia="zh-CN"/>
                        </w:rPr>
                        <w:t>大八河</w:t>
                      </w:r>
                    </w:p>
                  </w:txbxContent>
                </v:textbox>
              </v:shape>
            </w:pict>
          </mc:Fallback>
        </mc:AlternateContent>
      </w:r>
      <w:r>
        <w:rPr>
          <w:color w:val="auto"/>
          <w:sz w:val="21"/>
        </w:rPr>
        <mc:AlternateContent>
          <mc:Choice Requires="wps">
            <w:drawing>
              <wp:anchor distT="0" distB="0" distL="114300" distR="114300" simplePos="0" relativeHeight="251679744" behindDoc="0" locked="0" layoutInCell="1" allowOverlap="1">
                <wp:simplePos x="0" y="0"/>
                <wp:positionH relativeFrom="column">
                  <wp:posOffset>4714875</wp:posOffset>
                </wp:positionH>
                <wp:positionV relativeFrom="paragraph">
                  <wp:posOffset>1287780</wp:posOffset>
                </wp:positionV>
                <wp:extent cx="1874520" cy="4860925"/>
                <wp:effectExtent l="13970" t="5715" r="16510" b="10160"/>
                <wp:wrapNone/>
                <wp:docPr id="20" name="任意多边形 20"/>
                <wp:cNvGraphicFramePr/>
                <a:graphic xmlns:a="http://schemas.openxmlformats.org/drawingml/2006/main">
                  <a:graphicData uri="http://schemas.microsoft.com/office/word/2010/wordprocessingShape">
                    <wps:wsp>
                      <wps:cNvSpPr/>
                      <wps:spPr>
                        <a:xfrm>
                          <a:off x="5609590" y="2227580"/>
                          <a:ext cx="1874520" cy="4860925"/>
                        </a:xfrm>
                        <a:custGeom>
                          <a:avLst/>
                          <a:gdLst>
                            <a:gd name="connisteX0" fmla="*/ 747876 w 1819756"/>
                            <a:gd name="connsiteY0" fmla="*/ 0 h 4746625"/>
                            <a:gd name="connisteX1" fmla="*/ 914881 w 1819756"/>
                            <a:gd name="connsiteY1" fmla="*/ 365125 h 4746625"/>
                            <a:gd name="connisteX2" fmla="*/ 1089506 w 1819756"/>
                            <a:gd name="connsiteY2" fmla="*/ 579120 h 4746625"/>
                            <a:gd name="connisteX3" fmla="*/ 1168881 w 1819756"/>
                            <a:gd name="connsiteY3" fmla="*/ 880745 h 4746625"/>
                            <a:gd name="connisteX4" fmla="*/ 1240001 w 1819756"/>
                            <a:gd name="connsiteY4" fmla="*/ 1206500 h 4746625"/>
                            <a:gd name="connisteX5" fmla="*/ 1264131 w 1819756"/>
                            <a:gd name="connsiteY5" fmla="*/ 1508125 h 4746625"/>
                            <a:gd name="connisteX6" fmla="*/ 1232381 w 1819756"/>
                            <a:gd name="connsiteY6" fmla="*/ 1714500 h 4746625"/>
                            <a:gd name="connisteX7" fmla="*/ 1295881 w 1819756"/>
                            <a:gd name="connsiteY7" fmla="*/ 1833245 h 4746625"/>
                            <a:gd name="connisteX8" fmla="*/ 1208251 w 1819756"/>
                            <a:gd name="connsiteY8" fmla="*/ 1889125 h 4746625"/>
                            <a:gd name="connisteX9" fmla="*/ 1017751 w 1819756"/>
                            <a:gd name="connsiteY9" fmla="*/ 1817370 h 4746625"/>
                            <a:gd name="connisteX10" fmla="*/ 843126 w 1819756"/>
                            <a:gd name="connsiteY10" fmla="*/ 1817370 h 4746625"/>
                            <a:gd name="connisteX11" fmla="*/ 652626 w 1819756"/>
                            <a:gd name="connsiteY11" fmla="*/ 1864995 h 4746625"/>
                            <a:gd name="connisteX12" fmla="*/ 493876 w 1819756"/>
                            <a:gd name="connsiteY12" fmla="*/ 2079625 h 4746625"/>
                            <a:gd name="connisteX13" fmla="*/ 224001 w 1819756"/>
                            <a:gd name="connsiteY13" fmla="*/ 2245995 h 4746625"/>
                            <a:gd name="connisteX14" fmla="*/ 89381 w 1819756"/>
                            <a:gd name="connsiteY14" fmla="*/ 2428875 h 4746625"/>
                            <a:gd name="connisteX15" fmla="*/ 128751 w 1819756"/>
                            <a:gd name="connsiteY15" fmla="*/ 2579370 h 4746625"/>
                            <a:gd name="connisteX16" fmla="*/ 73506 w 1819756"/>
                            <a:gd name="connsiteY16" fmla="*/ 2714625 h 4746625"/>
                            <a:gd name="connisteX17" fmla="*/ 10006 w 1819756"/>
                            <a:gd name="connsiteY17" fmla="*/ 2833370 h 4746625"/>
                            <a:gd name="connisteX18" fmla="*/ 10006 w 1819756"/>
                            <a:gd name="connsiteY18" fmla="*/ 2936875 h 4746625"/>
                            <a:gd name="connisteX19" fmla="*/ 81126 w 1819756"/>
                            <a:gd name="connsiteY19" fmla="*/ 3023870 h 4746625"/>
                            <a:gd name="connisteX20" fmla="*/ 49376 w 1819756"/>
                            <a:gd name="connsiteY20" fmla="*/ 3222625 h 4746625"/>
                            <a:gd name="connisteX21" fmla="*/ 160501 w 1819756"/>
                            <a:gd name="connsiteY21" fmla="*/ 3444875 h 4746625"/>
                            <a:gd name="connisteX22" fmla="*/ 311631 w 1819756"/>
                            <a:gd name="connsiteY22" fmla="*/ 3531870 h 4746625"/>
                            <a:gd name="connisteX23" fmla="*/ 454506 w 1819756"/>
                            <a:gd name="connsiteY23" fmla="*/ 3642995 h 4746625"/>
                            <a:gd name="connisteX24" fmla="*/ 565631 w 1819756"/>
                            <a:gd name="connsiteY24" fmla="*/ 3873500 h 4746625"/>
                            <a:gd name="connisteX25" fmla="*/ 772006 w 1819756"/>
                            <a:gd name="connsiteY25" fmla="*/ 4095750 h 4746625"/>
                            <a:gd name="connisteX26" fmla="*/ 890751 w 1819756"/>
                            <a:gd name="connsiteY26" fmla="*/ 4381500 h 4746625"/>
                            <a:gd name="connisteX27" fmla="*/ 1065376 w 1819756"/>
                            <a:gd name="connsiteY27" fmla="*/ 4556125 h 4746625"/>
                            <a:gd name="connisteX28" fmla="*/ 1264131 w 1819756"/>
                            <a:gd name="connsiteY28" fmla="*/ 4540250 h 4746625"/>
                            <a:gd name="connisteX29" fmla="*/ 1454631 w 1819756"/>
                            <a:gd name="connsiteY29" fmla="*/ 4500245 h 4746625"/>
                            <a:gd name="connisteX30" fmla="*/ 1724506 w 1819756"/>
                            <a:gd name="connsiteY30" fmla="*/ 4651375 h 4746625"/>
                            <a:gd name="connisteX31" fmla="*/ 1819756 w 1819756"/>
                            <a:gd name="connsiteY31" fmla="*/ 4746625 h 474662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 ang="0">
                              <a:pos x="connisteX13" y="connsiteY13"/>
                            </a:cxn>
                            <a:cxn ang="0">
                              <a:pos x="connisteX14" y="connsiteY14"/>
                            </a:cxn>
                            <a:cxn ang="0">
                              <a:pos x="connisteX15" y="connsiteY15"/>
                            </a:cxn>
                            <a:cxn ang="0">
                              <a:pos x="connisteX16" y="connsiteY16"/>
                            </a:cxn>
                            <a:cxn ang="0">
                              <a:pos x="connisteX17" y="connsiteY17"/>
                            </a:cxn>
                            <a:cxn ang="0">
                              <a:pos x="connisteX18" y="connsiteY18"/>
                            </a:cxn>
                            <a:cxn ang="0">
                              <a:pos x="connisteX19" y="connsiteY19"/>
                            </a:cxn>
                            <a:cxn ang="0">
                              <a:pos x="connisteX20" y="connsiteY20"/>
                            </a:cxn>
                            <a:cxn ang="0">
                              <a:pos x="connisteX21" y="connsiteY21"/>
                            </a:cxn>
                            <a:cxn ang="0">
                              <a:pos x="connisteX22" y="connsiteY22"/>
                            </a:cxn>
                            <a:cxn ang="0">
                              <a:pos x="connisteX23" y="connsiteY23"/>
                            </a:cxn>
                            <a:cxn ang="0">
                              <a:pos x="connisteX24" y="connsiteY24"/>
                            </a:cxn>
                            <a:cxn ang="0">
                              <a:pos x="connisteX25" y="connsiteY25"/>
                            </a:cxn>
                            <a:cxn ang="0">
                              <a:pos x="connisteX26" y="connsiteY26"/>
                            </a:cxn>
                            <a:cxn ang="0">
                              <a:pos x="connisteX27" y="connsiteY27"/>
                            </a:cxn>
                            <a:cxn ang="0">
                              <a:pos x="connisteX28" y="connsiteY28"/>
                            </a:cxn>
                            <a:cxn ang="0">
                              <a:pos x="connisteX29" y="connsiteY29"/>
                            </a:cxn>
                            <a:cxn ang="0">
                              <a:pos x="connisteX30" y="connsiteY30"/>
                            </a:cxn>
                            <a:cxn ang="0">
                              <a:pos x="connisteX31" y="connsiteY31"/>
                            </a:cxn>
                          </a:cxnLst>
                          <a:rect l="l" t="t" r="r" b="b"/>
                          <a:pathLst>
                            <a:path w="1819757" h="4746625">
                              <a:moveTo>
                                <a:pt x="747877" y="0"/>
                              </a:moveTo>
                              <a:cubicBezTo>
                                <a:pt x="777722" y="68580"/>
                                <a:pt x="846302" y="249555"/>
                                <a:pt x="914882" y="365125"/>
                              </a:cubicBezTo>
                              <a:cubicBezTo>
                                <a:pt x="983462" y="480695"/>
                                <a:pt x="1038707" y="476250"/>
                                <a:pt x="1089507" y="579120"/>
                              </a:cubicBezTo>
                              <a:cubicBezTo>
                                <a:pt x="1140307" y="681990"/>
                                <a:pt x="1139037" y="755015"/>
                                <a:pt x="1168882" y="880745"/>
                              </a:cubicBezTo>
                              <a:cubicBezTo>
                                <a:pt x="1198727" y="1006475"/>
                                <a:pt x="1220952" y="1080770"/>
                                <a:pt x="1240002" y="1206500"/>
                              </a:cubicBezTo>
                              <a:cubicBezTo>
                                <a:pt x="1259052" y="1332230"/>
                                <a:pt x="1265402" y="1406525"/>
                                <a:pt x="1264132" y="1508125"/>
                              </a:cubicBezTo>
                              <a:cubicBezTo>
                                <a:pt x="1262862" y="1609725"/>
                                <a:pt x="1226032" y="1649730"/>
                                <a:pt x="1232382" y="1714500"/>
                              </a:cubicBezTo>
                              <a:cubicBezTo>
                                <a:pt x="1238732" y="1779270"/>
                                <a:pt x="1300962" y="1798320"/>
                                <a:pt x="1295882" y="1833245"/>
                              </a:cubicBezTo>
                              <a:cubicBezTo>
                                <a:pt x="1290802" y="1868170"/>
                                <a:pt x="1264132" y="1892300"/>
                                <a:pt x="1208252" y="1889125"/>
                              </a:cubicBezTo>
                              <a:cubicBezTo>
                                <a:pt x="1152372" y="1885950"/>
                                <a:pt x="1090777" y="1831975"/>
                                <a:pt x="1017752" y="1817370"/>
                              </a:cubicBezTo>
                              <a:cubicBezTo>
                                <a:pt x="944727" y="1802765"/>
                                <a:pt x="916152" y="1807845"/>
                                <a:pt x="843127" y="1817370"/>
                              </a:cubicBezTo>
                              <a:cubicBezTo>
                                <a:pt x="770102" y="1826895"/>
                                <a:pt x="722477" y="1812290"/>
                                <a:pt x="652627" y="1864995"/>
                              </a:cubicBezTo>
                              <a:cubicBezTo>
                                <a:pt x="582777" y="1917700"/>
                                <a:pt x="579602" y="2003425"/>
                                <a:pt x="493877" y="2079625"/>
                              </a:cubicBezTo>
                              <a:cubicBezTo>
                                <a:pt x="408152" y="2155825"/>
                                <a:pt x="304647" y="2176145"/>
                                <a:pt x="224002" y="2245995"/>
                              </a:cubicBezTo>
                              <a:cubicBezTo>
                                <a:pt x="143357" y="2315845"/>
                                <a:pt x="108432" y="2362200"/>
                                <a:pt x="89382" y="2428875"/>
                              </a:cubicBezTo>
                              <a:cubicBezTo>
                                <a:pt x="70332" y="2495550"/>
                                <a:pt x="131927" y="2522220"/>
                                <a:pt x="128752" y="2579370"/>
                              </a:cubicBezTo>
                              <a:cubicBezTo>
                                <a:pt x="125577" y="2636520"/>
                                <a:pt x="97002" y="2663825"/>
                                <a:pt x="73507" y="2714625"/>
                              </a:cubicBezTo>
                              <a:cubicBezTo>
                                <a:pt x="50012" y="2765425"/>
                                <a:pt x="22707" y="2788920"/>
                                <a:pt x="10007" y="2833370"/>
                              </a:cubicBezTo>
                              <a:cubicBezTo>
                                <a:pt x="-2693" y="2877820"/>
                                <a:pt x="-3963" y="2898775"/>
                                <a:pt x="10007" y="2936875"/>
                              </a:cubicBezTo>
                              <a:cubicBezTo>
                                <a:pt x="23977" y="2974975"/>
                                <a:pt x="73507" y="2966720"/>
                                <a:pt x="81127" y="3023870"/>
                              </a:cubicBezTo>
                              <a:cubicBezTo>
                                <a:pt x="88747" y="3081020"/>
                                <a:pt x="33502" y="3138170"/>
                                <a:pt x="49377" y="3222625"/>
                              </a:cubicBezTo>
                              <a:cubicBezTo>
                                <a:pt x="65252" y="3307080"/>
                                <a:pt x="107797" y="3383280"/>
                                <a:pt x="160502" y="3444875"/>
                              </a:cubicBezTo>
                              <a:cubicBezTo>
                                <a:pt x="213207" y="3506470"/>
                                <a:pt x="252577" y="3492500"/>
                                <a:pt x="311632" y="3531870"/>
                              </a:cubicBezTo>
                              <a:cubicBezTo>
                                <a:pt x="370687" y="3571240"/>
                                <a:pt x="403707" y="3574415"/>
                                <a:pt x="454507" y="3642995"/>
                              </a:cubicBezTo>
                              <a:cubicBezTo>
                                <a:pt x="505307" y="3711575"/>
                                <a:pt x="502132" y="3782695"/>
                                <a:pt x="565632" y="3873500"/>
                              </a:cubicBezTo>
                              <a:cubicBezTo>
                                <a:pt x="629132" y="3964305"/>
                                <a:pt x="707237" y="3994150"/>
                                <a:pt x="772007" y="4095750"/>
                              </a:cubicBezTo>
                              <a:cubicBezTo>
                                <a:pt x="836777" y="4197350"/>
                                <a:pt x="832332" y="4289425"/>
                                <a:pt x="890752" y="4381500"/>
                              </a:cubicBezTo>
                              <a:cubicBezTo>
                                <a:pt x="949172" y="4473575"/>
                                <a:pt x="990447" y="4524375"/>
                                <a:pt x="1065377" y="4556125"/>
                              </a:cubicBezTo>
                              <a:cubicBezTo>
                                <a:pt x="1140307" y="4587875"/>
                                <a:pt x="1186027" y="4551680"/>
                                <a:pt x="1264132" y="4540250"/>
                              </a:cubicBezTo>
                              <a:cubicBezTo>
                                <a:pt x="1342237" y="4528820"/>
                                <a:pt x="1362557" y="4478020"/>
                                <a:pt x="1454632" y="4500245"/>
                              </a:cubicBezTo>
                              <a:cubicBezTo>
                                <a:pt x="1546707" y="4522470"/>
                                <a:pt x="1651482" y="4601845"/>
                                <a:pt x="1724507" y="4651375"/>
                              </a:cubicBezTo>
                              <a:cubicBezTo>
                                <a:pt x="1797532" y="4700905"/>
                                <a:pt x="1805787" y="4730750"/>
                                <a:pt x="1819757" y="4746625"/>
                              </a:cubicBezTo>
                            </a:path>
                          </a:pathLst>
                        </a:custGeom>
                        <a:noFill/>
                        <a:ln w="28575" cmpd="sng">
                          <a:solidFill>
                            <a:srgbClr val="00B050"/>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id="_x0000_s1026" o:spid="_x0000_s1026" o:spt="100" style="position:absolute;left:0pt;margin-left:371.25pt;margin-top:101.4pt;height:382.75pt;width:147.6pt;z-index:251679744;mso-width-relative:page;mso-height-relative:page;" filled="f" stroked="t" coordsize="1819757,4746625" o:gfxdata="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" path="m747877,0c777722,68580,846302,249555,914882,365125c983462,480695,1038707,476250,1089507,579120c1140307,681990,1139037,755015,1168882,880745c1198727,1006475,1220952,1080770,1240002,1206500c1259052,1332230,1265402,1406525,1264132,1508125c1262862,1609725,1226032,1649730,1232382,1714500c1238732,1779270,1300962,1798320,1295882,1833245c1290802,1868170,1264132,1892300,1208252,1889125c1152372,1885950,1090777,1831975,1017752,1817370c944727,1802765,916152,1807845,843127,1817370c770102,1826895,722477,1812290,652627,1864995c582777,1917700,579602,2003425,493877,2079625c408152,2155825,304647,2176145,224002,2245995c143357,2315845,108432,2362200,89382,2428875c70332,2495550,131927,2522220,128752,2579370c125577,2636520,97002,2663825,73507,2714625c50012,2765425,22707,2788920,10007,2833370c-2693,2877820,-3963,2898775,10007,2936875c23977,2974975,73507,2966720,81127,3023870c88747,3081020,33502,3138170,49377,3222625c65252,3307080,107797,3383280,160502,3444875c213207,3506470,252577,3492500,311632,3531870c370687,3571240,403707,3574415,454507,3642995c505307,3711575,502132,3782695,565632,3873500c629132,3964305,707237,3994150,772007,4095750c836777,4197350,832332,4289425,890752,4381500c949172,4473575,990447,4524375,1065377,4556125c1140307,4587875,1186027,4551680,1264132,4540250c1342237,4528820,1362557,4478020,1454632,4500245c1546707,4522470,1651482,4601845,1724507,4651375c1797532,4700905,1805787,4730750,1819757,4746625e">
                <v:path o:connectlocs="770382,0;942413,373917;1122293,593065;1204057,901953;1277317,1235552;1302173,1544441;1269468,1755785;1334879,1877390;1244612,1934615;1048379,1861132;868499,1861132;672266,1909904;508738,2129702;230742,2300079;92070,2487362;132625,2641481;75718,2779993;10307,2901598;10307,3007595;83567,3096685;50861,3300226;165331,3527828;321009,3616918;468183,3730719;582653,3966774;795238,4194376;917557,4487007;1097437,4665837;1302173,4649580;1498406,4608612;1776403,4763381;1874520,4860925" o:connectangles="0,0,0,0,0,0,0,0,0,0,0,0,0,0,0,0,0,0,0,0,0,0,0,0,0,0,0,0,0,0,0,0"/>
                <v:fill on="f" focussize="0,0"/>
                <v:stroke weight="2.25pt" color="#00B050 [3204]" miterlimit="8" joinstyle="miter"/>
                <v:imagedata o:title=""/>
                <o:lock v:ext="edit" aspectratio="f"/>
              </v:shape>
            </w:pict>
          </mc:Fallback>
        </mc:AlternateContent>
      </w:r>
      <w:r>
        <w:rPr>
          <w:rFonts w:hint="eastAsia" w:ascii="Times New Roman"/>
          <w:b/>
          <w:color w:val="auto"/>
        </w:rPr>
        <mc:AlternateContent>
          <mc:Choice Requires="wps">
            <w:drawing>
              <wp:anchor distT="0" distB="0" distL="114300" distR="114300" simplePos="0" relativeHeight="251701248" behindDoc="0" locked="0" layoutInCell="1" allowOverlap="1">
                <wp:simplePos x="0" y="0"/>
                <wp:positionH relativeFrom="column">
                  <wp:posOffset>8168640</wp:posOffset>
                </wp:positionH>
                <wp:positionV relativeFrom="paragraph">
                  <wp:posOffset>5823585</wp:posOffset>
                </wp:positionV>
                <wp:extent cx="753110" cy="306070"/>
                <wp:effectExtent l="384175" t="55245" r="18415" b="6985"/>
                <wp:wrapNone/>
                <wp:docPr id="46" name="矩形标注 46"/>
                <wp:cNvGraphicFramePr/>
                <a:graphic xmlns:a="http://schemas.openxmlformats.org/drawingml/2006/main">
                  <a:graphicData uri="http://schemas.microsoft.com/office/word/2010/wordprocessingShape">
                    <wps:wsp>
                      <wps:cNvSpPr/>
                      <wps:spPr>
                        <a:xfrm>
                          <a:off x="0" y="0"/>
                          <a:ext cx="753110" cy="306070"/>
                        </a:xfrm>
                        <a:prstGeom prst="wedgeRectCallout">
                          <a:avLst>
                            <a:gd name="adj1" fmla="val -94603"/>
                            <a:gd name="adj2" fmla="val -61825"/>
                          </a:avLst>
                        </a:prstGeom>
                        <a:solidFill>
                          <a:srgbClr val="FFFF00"/>
                        </a:solidFill>
                        <a:ln w="12700" cap="flat" cmpd="sng">
                          <a:solidFill>
                            <a:schemeClr val="accent4"/>
                          </a:solidFill>
                          <a:prstDash val="solid"/>
                          <a:miter/>
                          <a:headEnd type="none" w="med" len="med"/>
                          <a:tailEnd type="none" w="med" len="med"/>
                        </a:ln>
                      </wps:spPr>
                      <wps:txbx>
                        <w:txbxContent>
                          <w:p w14:paraId="2AA1CFF2">
                            <w:pPr>
                              <w:jc w:val="center"/>
                              <w:rPr>
                                <w:rFonts w:hint="default" w:eastAsia="宋体"/>
                                <w:lang w:val="en-US" w:eastAsia="zh-CN"/>
                              </w:rPr>
                            </w:pPr>
                            <w:r>
                              <w:rPr>
                                <w:rFonts w:hint="eastAsia"/>
                                <w:lang w:val="en-US" w:eastAsia="zh-CN"/>
                              </w:rPr>
                              <w:t>吉水河</w:t>
                            </w:r>
                          </w:p>
                        </w:txbxContent>
                      </wps:txbx>
                      <wps:bodyPr upright="1"/>
                    </wps:wsp>
                  </a:graphicData>
                </a:graphic>
              </wp:anchor>
            </w:drawing>
          </mc:Choice>
          <mc:Fallback>
            <w:pict>
              <v:shape id="_x0000_s1026" o:spid="_x0000_s1026" o:spt="61" type="#_x0000_t61" style="position:absolute;left:0pt;margin-left:643.2pt;margin-top:458.55pt;height:24.1pt;width:59.3pt;z-index:251701248;mso-width-relative:page;mso-height-relative:page;" fillcolor="#FFFF00" filled="t" stroked="t" coordsize="21600,21600" o:gfxdata="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&#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hIjQc3AAAAA0BAAAPAAAAAAAAAAEAIAAAACIAAABk&#10;cnMvZG93bnJldi54bWxQSwECFAAUAAAACACHTuJAKrwKYzsCAACQBAAADgAAAAAAAAABACAAAAAr&#10;AQAAZHJzL2Uyb0RvYy54bWxQSwUGAAAAAAYABgBZAQAA2AUAAAAA&#10;" adj="-9634,-2554">
                <v:fill on="t" focussize="0,0"/>
                <v:stroke weight="1pt" color="#FFC000 [3207]" joinstyle="miter"/>
                <v:imagedata o:title=""/>
                <o:lock v:ext="edit" aspectratio="f"/>
                <v:textbox>
                  <w:txbxContent>
                    <w:p w14:paraId="2AA1CFF2">
                      <w:pPr>
                        <w:jc w:val="center"/>
                        <w:rPr>
                          <w:rFonts w:hint="default" w:eastAsia="宋体"/>
                          <w:lang w:val="en-US" w:eastAsia="zh-CN"/>
                        </w:rPr>
                      </w:pPr>
                      <w:r>
                        <w:rPr>
                          <w:rFonts w:hint="eastAsia"/>
                          <w:lang w:val="en-US" w:eastAsia="zh-CN"/>
                        </w:rPr>
                        <w:t>吉水河</w:t>
                      </w:r>
                    </w:p>
                  </w:txbxContent>
                </v:textbox>
              </v:shape>
            </w:pict>
          </mc:Fallback>
        </mc:AlternateContent>
      </w:r>
      <w:r>
        <w:rPr>
          <w:color w:val="auto"/>
          <w:sz w:val="21"/>
        </w:rPr>
        <mc:AlternateContent>
          <mc:Choice Requires="wps">
            <w:drawing>
              <wp:anchor distT="0" distB="0" distL="114300" distR="114300" simplePos="0" relativeHeight="251703296" behindDoc="0" locked="0" layoutInCell="1" allowOverlap="1">
                <wp:simplePos x="0" y="0"/>
                <wp:positionH relativeFrom="column">
                  <wp:posOffset>6555740</wp:posOffset>
                </wp:positionH>
                <wp:positionV relativeFrom="paragraph">
                  <wp:posOffset>5685155</wp:posOffset>
                </wp:positionV>
                <wp:extent cx="1287145" cy="463550"/>
                <wp:effectExtent l="10160" t="11430" r="23495" b="20320"/>
                <wp:wrapNone/>
                <wp:docPr id="55" name="任意多边形 55"/>
                <wp:cNvGraphicFramePr/>
                <a:graphic xmlns:a="http://schemas.openxmlformats.org/drawingml/2006/main">
                  <a:graphicData uri="http://schemas.microsoft.com/office/word/2010/wordprocessingShape">
                    <wps:wsp>
                      <wps:cNvSpPr/>
                      <wps:spPr>
                        <a:xfrm>
                          <a:off x="7470140" y="6585585"/>
                          <a:ext cx="1287145" cy="463550"/>
                        </a:xfrm>
                        <a:custGeom>
                          <a:avLst/>
                          <a:gdLst>
                            <a:gd name="connisteX0" fmla="*/ 1287145 w 1287145"/>
                            <a:gd name="connsiteY0" fmla="*/ 0 h 463550"/>
                            <a:gd name="connisteX1" fmla="*/ 1192530 w 1287145"/>
                            <a:gd name="connsiteY1" fmla="*/ 128905 h 463550"/>
                            <a:gd name="connisteX2" fmla="*/ 1047115 w 1287145"/>
                            <a:gd name="connsiteY2" fmla="*/ 377190 h 463550"/>
                            <a:gd name="connisteX3" fmla="*/ 806450 w 1287145"/>
                            <a:gd name="connsiteY3" fmla="*/ 463550 h 463550"/>
                            <a:gd name="connisteX4" fmla="*/ 480695 w 1287145"/>
                            <a:gd name="connsiteY4" fmla="*/ 394335 h 463550"/>
                            <a:gd name="connisteX5" fmla="*/ 197485 w 1287145"/>
                            <a:gd name="connsiteY5" fmla="*/ 291465 h 463550"/>
                            <a:gd name="connisteX6" fmla="*/ 94615 w 1287145"/>
                            <a:gd name="connsiteY6" fmla="*/ 351790 h 463550"/>
                            <a:gd name="connisteX7" fmla="*/ 0 w 1287145"/>
                            <a:gd name="connsiteY7" fmla="*/ 412115 h 46355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Lst>
                          <a:rect l="l" t="t" r="r" b="b"/>
                          <a:pathLst>
                            <a:path w="1287145" h="463550">
                              <a:moveTo>
                                <a:pt x="1287145" y="0"/>
                              </a:moveTo>
                              <a:lnTo>
                                <a:pt x="1192530" y="128905"/>
                              </a:lnTo>
                              <a:lnTo>
                                <a:pt x="1047115" y="377190"/>
                              </a:lnTo>
                              <a:lnTo>
                                <a:pt x="806450" y="463550"/>
                              </a:lnTo>
                              <a:lnTo>
                                <a:pt x="480695" y="394335"/>
                              </a:lnTo>
                              <a:lnTo>
                                <a:pt x="197485" y="291465"/>
                              </a:lnTo>
                              <a:lnTo>
                                <a:pt x="94615" y="351790"/>
                              </a:lnTo>
                              <a:lnTo>
                                <a:pt x="0" y="412115"/>
                              </a:lnTo>
                            </a:path>
                          </a:pathLst>
                        </a:custGeom>
                        <a:noFill/>
                        <a:ln w="38100">
                          <a:solidFill>
                            <a:srgbClr val="ED7D3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516.2pt;margin-top:447.65pt;height:36.5pt;width:101.35pt;z-index:251703296;mso-width-relative:page;mso-height-relative:page;" filled="f" stroked="t" coordsize="1287145,463550" o:gfxdata="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" path="m1287145,0l1192530,128905,1047115,377190,806450,463550,480695,394335,197485,291465,94615,351790,0,412115e">
                <v:path o:connectlocs="1287145,0;1192530,128905;1047115,377190;806450,463550;480695,394335;197485,291465;94615,351790;0,412115" o:connectangles="0,0,0,0,0,0,0,0"/>
                <v:fill on="f" focussize="0,0"/>
                <v:stroke weight="3pt" color="#ED7D31 [2404]" miterlimit="8" joinstyle="miter"/>
                <v:imagedata o:title=""/>
                <o:lock v:ext="edit" aspectratio="f"/>
              </v:shape>
            </w:pict>
          </mc:Fallback>
        </mc:AlternateContent>
      </w:r>
      <w:r>
        <w:rPr>
          <w:color w:val="auto"/>
          <w:sz w:val="21"/>
        </w:rPr>
        <mc:AlternateContent>
          <mc:Choice Requires="wps">
            <w:drawing>
              <wp:anchor distT="0" distB="0" distL="114300" distR="114300" simplePos="0" relativeHeight="251702272" behindDoc="0" locked="0" layoutInCell="1" allowOverlap="1">
                <wp:simplePos x="0" y="0"/>
                <wp:positionH relativeFrom="column">
                  <wp:posOffset>5285740</wp:posOffset>
                </wp:positionH>
                <wp:positionV relativeFrom="paragraph">
                  <wp:posOffset>6115685</wp:posOffset>
                </wp:positionV>
                <wp:extent cx="1286510" cy="1639570"/>
                <wp:effectExtent l="1905" t="0" r="19685" b="24130"/>
                <wp:wrapNone/>
                <wp:docPr id="53" name="任意多边形 53"/>
                <wp:cNvGraphicFramePr/>
                <a:graphic xmlns:a="http://schemas.openxmlformats.org/drawingml/2006/main">
                  <a:graphicData uri="http://schemas.microsoft.com/office/word/2010/wordprocessingShape">
                    <wps:wsp>
                      <wps:cNvSpPr/>
                      <wps:spPr>
                        <a:xfrm>
                          <a:off x="6200140" y="7016115"/>
                          <a:ext cx="1286510" cy="1639570"/>
                        </a:xfrm>
                        <a:custGeom>
                          <a:avLst/>
                          <a:gdLst>
                            <a:gd name="connisteX0" fmla="*/ 1261745 w 1278890"/>
                            <a:gd name="connsiteY0" fmla="*/ 0 h 1639570"/>
                            <a:gd name="connisteX1" fmla="*/ 1261745 w 1278890"/>
                            <a:gd name="connsiteY1" fmla="*/ 231775 h 1639570"/>
                            <a:gd name="connisteX2" fmla="*/ 1278890 w 1278890"/>
                            <a:gd name="connsiteY2" fmla="*/ 729615 h 1639570"/>
                            <a:gd name="connisteX3" fmla="*/ 1235710 w 1278890"/>
                            <a:gd name="connsiteY3" fmla="*/ 909955 h 1639570"/>
                            <a:gd name="connisteX4" fmla="*/ 840740 w 1278890"/>
                            <a:gd name="connsiteY4" fmla="*/ 1098550 h 1639570"/>
                            <a:gd name="connisteX5" fmla="*/ 600710 w 1278890"/>
                            <a:gd name="connsiteY5" fmla="*/ 1141730 h 1639570"/>
                            <a:gd name="connisteX6" fmla="*/ 377825 w 1278890"/>
                            <a:gd name="connsiteY6" fmla="*/ 1322070 h 1639570"/>
                            <a:gd name="connisteX7" fmla="*/ 102870 w 1278890"/>
                            <a:gd name="connsiteY7" fmla="*/ 1630680 h 1639570"/>
                            <a:gd name="connisteX8" fmla="*/ 0 w 1278890"/>
                            <a:gd name="connsiteY8" fmla="*/ 1639570 h 163957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Lst>
                          <a:rect l="l" t="t" r="r" b="b"/>
                          <a:pathLst>
                            <a:path w="1278890" h="1639570">
                              <a:moveTo>
                                <a:pt x="1261745" y="0"/>
                              </a:moveTo>
                              <a:lnTo>
                                <a:pt x="1261745" y="231775"/>
                              </a:lnTo>
                              <a:lnTo>
                                <a:pt x="1278890" y="729615"/>
                              </a:lnTo>
                              <a:lnTo>
                                <a:pt x="1235710" y="909955"/>
                              </a:lnTo>
                              <a:lnTo>
                                <a:pt x="840740" y="1098550"/>
                              </a:lnTo>
                              <a:lnTo>
                                <a:pt x="600710" y="1141730"/>
                              </a:lnTo>
                              <a:lnTo>
                                <a:pt x="377825" y="1322070"/>
                              </a:lnTo>
                              <a:lnTo>
                                <a:pt x="102870" y="1630680"/>
                              </a:lnTo>
                              <a:lnTo>
                                <a:pt x="0" y="1639570"/>
                              </a:lnTo>
                            </a:path>
                          </a:pathLst>
                        </a:custGeom>
                        <a:noFill/>
                        <a:ln w="38100">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416.2pt;margin-top:481.55pt;height:129.1pt;width:101.3pt;z-index:251702272;mso-width-relative:page;mso-height-relative:page;" filled="f" stroked="t" coordsize="1278890,1639570" o:gfxdata="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" path="m1261745,0l1261745,231775,1278890,729615,1235710,909955,840740,1098550,600710,1141730,377825,1322070,102870,1630680,0,1639570e">
                <v:path o:connectlocs="1269262,0;1269262,231775;1286510,729615;1243072,909955;845749,1098550;604289,1141730;380076,1322070;103482,1630680;0,1639570" o:connectangles="0,0,0,0,0,0,0,0,0"/>
                <v:fill on="f" focussize="0,0"/>
                <v:stroke weight="3pt" color="#00B050 [2404]" miterlimit="8" joinstyle="miter"/>
                <v:imagedata o:title=""/>
                <o:lock v:ext="edit" aspectratio="f"/>
              </v:shape>
            </w:pict>
          </mc:Fallback>
        </mc:AlternateContent>
      </w:r>
      <w:r>
        <w:rPr>
          <w:rFonts w:hint="eastAsia" w:ascii="Times New Roman"/>
          <w:b/>
          <w:color w:val="auto"/>
        </w:rPr>
        <mc:AlternateContent>
          <mc:Choice Requires="wps">
            <w:drawing>
              <wp:anchor distT="0" distB="0" distL="114300" distR="114300" simplePos="0" relativeHeight="251675648" behindDoc="0" locked="0" layoutInCell="1" allowOverlap="1">
                <wp:simplePos x="0" y="0"/>
                <wp:positionH relativeFrom="column">
                  <wp:posOffset>7999095</wp:posOffset>
                </wp:positionH>
                <wp:positionV relativeFrom="paragraph">
                  <wp:posOffset>2118995</wp:posOffset>
                </wp:positionV>
                <wp:extent cx="711200" cy="306070"/>
                <wp:effectExtent l="6350" t="6350" r="44450" b="665480"/>
                <wp:wrapNone/>
                <wp:docPr id="92" name="矩形标注 92"/>
                <wp:cNvGraphicFramePr/>
                <a:graphic xmlns:a="http://schemas.openxmlformats.org/drawingml/2006/main">
                  <a:graphicData uri="http://schemas.microsoft.com/office/word/2010/wordprocessingShape">
                    <wps:wsp>
                      <wps:cNvSpPr/>
                      <wps:spPr>
                        <a:xfrm>
                          <a:off x="0" y="0"/>
                          <a:ext cx="711200" cy="306070"/>
                        </a:xfrm>
                        <a:prstGeom prst="wedgeRectCallout">
                          <a:avLst>
                            <a:gd name="adj1" fmla="val 53144"/>
                            <a:gd name="adj2" fmla="val 248755"/>
                          </a:avLst>
                        </a:prstGeom>
                        <a:gradFill>
                          <a:gsLst>
                            <a:gs pos="0">
                              <a:srgbClr val="FBFB11"/>
                            </a:gs>
                            <a:gs pos="100000">
                              <a:srgbClr val="838309"/>
                            </a:gs>
                          </a:gsLst>
                          <a:lin ang="5400000" scaled="0"/>
                        </a:gradFill>
                        <a:ln w="12700" cap="flat" cmpd="sng">
                          <a:solidFill>
                            <a:schemeClr val="accent4"/>
                          </a:solidFill>
                          <a:prstDash val="solid"/>
                          <a:miter/>
                          <a:headEnd type="none" w="med" len="med"/>
                          <a:tailEnd type="none" w="med" len="med"/>
                        </a:ln>
                      </wps:spPr>
                      <wps:txbx>
                        <w:txbxContent>
                          <w:p w14:paraId="0D309D09">
                            <w:pPr>
                              <w:rPr>
                                <w:rFonts w:hint="default"/>
                                <w:lang w:val="en-US" w:eastAsia="zh-CN"/>
                              </w:rPr>
                            </w:pPr>
                            <w:r>
                              <w:rPr>
                                <w:rFonts w:hint="eastAsia"/>
                                <w:lang w:val="en-US" w:eastAsia="zh-CN"/>
                              </w:rPr>
                              <w:t>排水渠</w:t>
                            </w:r>
                          </w:p>
                        </w:txbxContent>
                      </wps:txbx>
                      <wps:bodyPr upright="1"/>
                    </wps:wsp>
                  </a:graphicData>
                </a:graphic>
              </wp:anchor>
            </w:drawing>
          </mc:Choice>
          <mc:Fallback>
            <w:pict>
              <v:shape id="_x0000_s1026" o:spid="_x0000_s1026" o:spt="61" type="#_x0000_t61" style="position:absolute;left:0pt;margin-left:629.85pt;margin-top:166.85pt;height:24.1pt;width:56pt;z-index:251675648;mso-width-relative:page;mso-height-relative:page;" fillcolor="#FBFB11" filled="t" stroked="t" coordsize="21600,21600" o:gfxdata="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ATRYSK2AAAAA0BAAAPAAAAAAAAAAEAIAAAACIAAABkcnMv&#10;ZG93bnJldi54bWxQSwECFAAUAAAACACHTuJA7C6rtnUCAAAJBQAADgAAAAAAAAABACAAAAAnAQAA&#10;ZHJzL2Uyb0RvYy54bWxQSwUGAAAAAAYABgBZAQAADgYAAAAA&#10;" adj="22279,64531">
                <v:fill type="gradient" on="t" color2="#838309" focus="100%" focussize="0,0" rotate="t">
                  <o:fill type="gradientUnscaled" v:ext="backwardCompatible"/>
                </v:fill>
                <v:stroke weight="1pt" color="#FFC000 [3207]" joinstyle="miter"/>
                <v:imagedata o:title=""/>
                <o:lock v:ext="edit" aspectratio="f"/>
                <v:textbox>
                  <w:txbxContent>
                    <w:p w14:paraId="0D309D09">
                      <w:pPr>
                        <w:rPr>
                          <w:rFonts w:hint="default"/>
                          <w:lang w:val="en-US" w:eastAsia="zh-CN"/>
                        </w:rPr>
                      </w:pPr>
                      <w:r>
                        <w:rPr>
                          <w:rFonts w:hint="eastAsia"/>
                          <w:lang w:val="en-US" w:eastAsia="zh-CN"/>
                        </w:rPr>
                        <w:t>排水渠</w:t>
                      </w:r>
                    </w:p>
                  </w:txbxContent>
                </v:textbox>
              </v:shape>
            </w:pict>
          </mc:Fallback>
        </mc:AlternateContent>
      </w:r>
      <w:r>
        <w:rPr>
          <w:color w:val="auto"/>
          <w:sz w:val="21"/>
        </w:rPr>
        <mc:AlternateContent>
          <mc:Choice Requires="wps">
            <w:drawing>
              <wp:anchor distT="0" distB="0" distL="114300" distR="114300" simplePos="0" relativeHeight="251698176" behindDoc="0" locked="0" layoutInCell="1" allowOverlap="1">
                <wp:simplePos x="0" y="0"/>
                <wp:positionH relativeFrom="column">
                  <wp:posOffset>7676515</wp:posOffset>
                </wp:positionH>
                <wp:positionV relativeFrom="paragraph">
                  <wp:posOffset>4540250</wp:posOffset>
                </wp:positionV>
                <wp:extent cx="125730" cy="125730"/>
                <wp:effectExtent l="19050" t="19050" r="20320" b="20320"/>
                <wp:wrapNone/>
                <wp:docPr id="289" name="椭圆 289"/>
                <wp:cNvGraphicFramePr/>
                <a:graphic xmlns:a="http://schemas.openxmlformats.org/drawingml/2006/main">
                  <a:graphicData uri="http://schemas.microsoft.com/office/word/2010/wordprocessingShape">
                    <wps:wsp>
                      <wps:cNvSpPr/>
                      <wps:spPr>
                        <a:xfrm>
                          <a:off x="0" y="0"/>
                          <a:ext cx="125730" cy="125730"/>
                        </a:xfrm>
                        <a:prstGeom prst="ellipse">
                          <a:avLst/>
                        </a:prstGeom>
                        <a:solidFill>
                          <a:srgbClr val="00B050"/>
                        </a:solidFill>
                        <a:ln w="3810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604.45pt;margin-top:357.5pt;height:9.9pt;width:9.9pt;z-index:251698176;v-text-anchor:middle;mso-width-relative:page;mso-height-relative:page;" fillcolor="#00B050" filled="t" stroked="t" coordsize="21600,21600" o:gfxdata="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&#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DyK1JnaAAAADQEAAA8AAAAAAAAAAQAgAAAAIgAAAGRy&#10;cy9kb3ducmV2LnhtbFBLAQIUABQAAAAIAIdO4kBvsw2bdQIAAPoEAAAOAAAAAAAAAAEAIAAAACkB&#10;AABkcnMvZTJvRG9jLnhtbFBLBQYAAAAABgAGAFkBAAAQBgAAAAA=&#10;">
                <v:fill on="t" focussize="0,0"/>
                <v:stroke weight="3pt" color="#FF0000 [2404]" miterlimit="8" joinstyle="miter"/>
                <v:imagedata o:title=""/>
                <o:lock v:ext="edit" aspectratio="f"/>
              </v:shape>
            </w:pict>
          </mc:Fallback>
        </mc:AlternateContent>
      </w:r>
      <w:r>
        <w:rPr>
          <w:color w:val="auto"/>
          <w:sz w:val="21"/>
        </w:rPr>
        <mc:AlternateContent>
          <mc:Choice Requires="wps">
            <w:drawing>
              <wp:anchor distT="0" distB="0" distL="114300" distR="114300" simplePos="0" relativeHeight="251697152" behindDoc="0" locked="0" layoutInCell="1" allowOverlap="1">
                <wp:simplePos x="0" y="0"/>
                <wp:positionH relativeFrom="column">
                  <wp:posOffset>7468235</wp:posOffset>
                </wp:positionH>
                <wp:positionV relativeFrom="paragraph">
                  <wp:posOffset>4607560</wp:posOffset>
                </wp:positionV>
                <wp:extent cx="190500" cy="116205"/>
                <wp:effectExtent l="13335" t="18415" r="24765" b="17780"/>
                <wp:wrapNone/>
                <wp:docPr id="81" name="矩形 81"/>
                <wp:cNvGraphicFramePr/>
                <a:graphic xmlns:a="http://schemas.openxmlformats.org/drawingml/2006/main">
                  <a:graphicData uri="http://schemas.microsoft.com/office/word/2010/wordprocessingShape">
                    <wps:wsp>
                      <wps:cNvSpPr/>
                      <wps:spPr>
                        <a:xfrm rot="420000">
                          <a:off x="10160635" y="5741035"/>
                          <a:ext cx="190500" cy="116205"/>
                        </a:xfrm>
                        <a:prstGeom prst="rect">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88.05pt;margin-top:362.8pt;height:9.15pt;width:15pt;rotation:458752f;z-index:251697152;v-text-anchor:middle;mso-width-relative:page;mso-height-relative:page;" fillcolor="#FF0000" filled="t" stroked="t" coordsize="21600,21600" o:gfxdata="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AskSVbZAAAADQEAAA8AAAAAAAAAAQAg&#10;AAAAIgAAAGRycy9kb3ducmV2LnhtbFBLAQIUABQAAAAIAIdO4kDIIsmKfwIAAA8FAAAOAAAAAAAA&#10;AAEAIAAAACgBAABkcnMvZTJvRG9jLnhtbFBLBQYAAAAABgAGAFkBAAAZBgAAAAA=&#10;">
                <v:fill on="t" focussize="0,0"/>
                <v:stroke weight="1pt" color="#FF0000 [2404]" miterlimit="8" joinstyle="miter"/>
                <v:imagedata o:title=""/>
                <o:lock v:ext="edit" aspectratio="f"/>
              </v:rect>
            </w:pict>
          </mc:Fallback>
        </mc:AlternateContent>
      </w:r>
      <w:r>
        <w:rPr>
          <w:color w:val="auto"/>
          <w:sz w:val="21"/>
        </w:rPr>
        <mc:AlternateContent>
          <mc:Choice Requires="wps">
            <w:drawing>
              <wp:anchor distT="0" distB="0" distL="114300" distR="114300" simplePos="0" relativeHeight="251696128" behindDoc="0" locked="0" layoutInCell="1" allowOverlap="1">
                <wp:simplePos x="0" y="0"/>
                <wp:positionH relativeFrom="column">
                  <wp:posOffset>7718425</wp:posOffset>
                </wp:positionH>
                <wp:positionV relativeFrom="paragraph">
                  <wp:posOffset>2840355</wp:posOffset>
                </wp:positionV>
                <wp:extent cx="1136015" cy="2868295"/>
                <wp:effectExtent l="6350" t="2540" r="13335" b="12065"/>
                <wp:wrapNone/>
                <wp:docPr id="70" name="任意多边形 70"/>
                <wp:cNvGraphicFramePr/>
                <a:graphic xmlns:a="http://schemas.openxmlformats.org/drawingml/2006/main">
                  <a:graphicData uri="http://schemas.microsoft.com/office/word/2010/wordprocessingShape">
                    <wps:wsp>
                      <wps:cNvSpPr/>
                      <wps:spPr>
                        <a:xfrm>
                          <a:off x="8632825" y="3740785"/>
                          <a:ext cx="1136015" cy="2868295"/>
                        </a:xfrm>
                        <a:custGeom>
                          <a:avLst/>
                          <a:gdLst>
                            <a:gd name="connisteX0" fmla="*/ 109713 w 1135873"/>
                            <a:gd name="connsiteY0" fmla="*/ 2868295 h 2868295"/>
                            <a:gd name="connisteX1" fmla="*/ 130668 w 1135873"/>
                            <a:gd name="connsiteY1" fmla="*/ 2773045 h 2868295"/>
                            <a:gd name="connisteX2" fmla="*/ 130668 w 1135873"/>
                            <a:gd name="connsiteY2" fmla="*/ 2698750 h 2868295"/>
                            <a:gd name="connisteX3" fmla="*/ 77963 w 1135873"/>
                            <a:gd name="connsiteY3" fmla="*/ 2624455 h 2868295"/>
                            <a:gd name="connisteX4" fmla="*/ 14463 w 1135873"/>
                            <a:gd name="connsiteY4" fmla="*/ 2550795 h 2868295"/>
                            <a:gd name="connisteX5" fmla="*/ 14463 w 1135873"/>
                            <a:gd name="connsiteY5" fmla="*/ 2476500 h 2868295"/>
                            <a:gd name="connisteX6" fmla="*/ 24623 w 1135873"/>
                            <a:gd name="connsiteY6" fmla="*/ 2402205 h 2868295"/>
                            <a:gd name="connisteX7" fmla="*/ 46213 w 1135873"/>
                            <a:gd name="connsiteY7" fmla="*/ 2328545 h 2868295"/>
                            <a:gd name="connisteX8" fmla="*/ 46213 w 1135873"/>
                            <a:gd name="connsiteY8" fmla="*/ 2254250 h 2868295"/>
                            <a:gd name="connisteX9" fmla="*/ 35418 w 1135873"/>
                            <a:gd name="connsiteY9" fmla="*/ 2169795 h 2868295"/>
                            <a:gd name="connisteX10" fmla="*/ 46213 w 1135873"/>
                            <a:gd name="connsiteY10" fmla="*/ 2084705 h 2868295"/>
                            <a:gd name="connisteX11" fmla="*/ 3668 w 1135873"/>
                            <a:gd name="connsiteY11" fmla="*/ 2011045 h 2868295"/>
                            <a:gd name="connisteX12" fmla="*/ 3668 w 1135873"/>
                            <a:gd name="connsiteY12" fmla="*/ 1925955 h 2868295"/>
                            <a:gd name="connisteX13" fmla="*/ 3668 w 1135873"/>
                            <a:gd name="connsiteY13" fmla="*/ 1852295 h 2868295"/>
                            <a:gd name="connisteX14" fmla="*/ 14463 w 1135873"/>
                            <a:gd name="connsiteY14" fmla="*/ 1778000 h 2868295"/>
                            <a:gd name="connisteX15" fmla="*/ 98918 w 1135873"/>
                            <a:gd name="connsiteY15" fmla="*/ 1746250 h 2868295"/>
                            <a:gd name="connisteX16" fmla="*/ 162418 w 1135873"/>
                            <a:gd name="connsiteY16" fmla="*/ 1671955 h 2868295"/>
                            <a:gd name="connisteX17" fmla="*/ 204963 w 1135873"/>
                            <a:gd name="connsiteY17" fmla="*/ 1598295 h 2868295"/>
                            <a:gd name="connisteX18" fmla="*/ 236713 w 1135873"/>
                            <a:gd name="connsiteY18" fmla="*/ 1524000 h 2868295"/>
                            <a:gd name="connisteX19" fmla="*/ 236713 w 1135873"/>
                            <a:gd name="connsiteY19" fmla="*/ 1439545 h 2868295"/>
                            <a:gd name="connisteX20" fmla="*/ 257668 w 1135873"/>
                            <a:gd name="connsiteY20" fmla="*/ 1365250 h 2868295"/>
                            <a:gd name="connisteX21" fmla="*/ 352918 w 1135873"/>
                            <a:gd name="connsiteY21" fmla="*/ 1249045 h 2868295"/>
                            <a:gd name="connisteX22" fmla="*/ 405623 w 1135873"/>
                            <a:gd name="connsiteY22" fmla="*/ 1174750 h 2868295"/>
                            <a:gd name="connisteX23" fmla="*/ 490713 w 1135873"/>
                            <a:gd name="connsiteY23" fmla="*/ 1132205 h 2868295"/>
                            <a:gd name="connisteX24" fmla="*/ 564373 w 1135873"/>
                            <a:gd name="connsiteY24" fmla="*/ 1068705 h 2868295"/>
                            <a:gd name="connisteX25" fmla="*/ 575168 w 1135873"/>
                            <a:gd name="connsiteY25" fmla="*/ 995045 h 2868295"/>
                            <a:gd name="connisteX26" fmla="*/ 617713 w 1135873"/>
                            <a:gd name="connsiteY26" fmla="*/ 920750 h 2868295"/>
                            <a:gd name="connisteX27" fmla="*/ 649463 w 1135873"/>
                            <a:gd name="connsiteY27" fmla="*/ 825500 h 2868295"/>
                            <a:gd name="connisteX28" fmla="*/ 627873 w 1135873"/>
                            <a:gd name="connsiteY28" fmla="*/ 751205 h 2868295"/>
                            <a:gd name="connisteX29" fmla="*/ 596123 w 1135873"/>
                            <a:gd name="connsiteY29" fmla="*/ 677545 h 2868295"/>
                            <a:gd name="connisteX30" fmla="*/ 575168 w 1135873"/>
                            <a:gd name="connsiteY30" fmla="*/ 603250 h 2868295"/>
                            <a:gd name="connisteX31" fmla="*/ 585963 w 1135873"/>
                            <a:gd name="connsiteY31" fmla="*/ 528955 h 2868295"/>
                            <a:gd name="connisteX32" fmla="*/ 659623 w 1135873"/>
                            <a:gd name="connsiteY32" fmla="*/ 476250 h 2868295"/>
                            <a:gd name="connisteX33" fmla="*/ 744713 w 1135873"/>
                            <a:gd name="connsiteY33" fmla="*/ 412750 h 2868295"/>
                            <a:gd name="connisteX34" fmla="*/ 818373 w 1135873"/>
                            <a:gd name="connsiteY34" fmla="*/ 360045 h 2868295"/>
                            <a:gd name="connisteX35" fmla="*/ 913623 w 1135873"/>
                            <a:gd name="connsiteY35" fmla="*/ 285750 h 2868295"/>
                            <a:gd name="connisteX36" fmla="*/ 987918 w 1135873"/>
                            <a:gd name="connsiteY36" fmla="*/ 211455 h 2868295"/>
                            <a:gd name="connisteX37" fmla="*/ 1062213 w 1135873"/>
                            <a:gd name="connsiteY37" fmla="*/ 147955 h 2868295"/>
                            <a:gd name="connisteX38" fmla="*/ 1104123 w 1135873"/>
                            <a:gd name="connsiteY38" fmla="*/ 74295 h 2868295"/>
                            <a:gd name="connisteX39" fmla="*/ 1135873 w 1135873"/>
                            <a:gd name="connsiteY39" fmla="*/ 0 h 286829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 ang="0">
                              <a:pos x="connisteX13" y="connsiteY13"/>
                            </a:cxn>
                            <a:cxn ang="0">
                              <a:pos x="connisteX14" y="connsiteY14"/>
                            </a:cxn>
                            <a:cxn ang="0">
                              <a:pos x="connisteX15" y="connsiteY15"/>
                            </a:cxn>
                            <a:cxn ang="0">
                              <a:pos x="connisteX16" y="connsiteY16"/>
                            </a:cxn>
                            <a:cxn ang="0">
                              <a:pos x="connisteX17" y="connsiteY17"/>
                            </a:cxn>
                            <a:cxn ang="0">
                              <a:pos x="connisteX18" y="connsiteY18"/>
                            </a:cxn>
                            <a:cxn ang="0">
                              <a:pos x="connisteX19" y="connsiteY19"/>
                            </a:cxn>
                            <a:cxn ang="0">
                              <a:pos x="connisteX20" y="connsiteY20"/>
                            </a:cxn>
                            <a:cxn ang="0">
                              <a:pos x="connisteX21" y="connsiteY21"/>
                            </a:cxn>
                            <a:cxn ang="0">
                              <a:pos x="connisteX22" y="connsiteY22"/>
                            </a:cxn>
                            <a:cxn ang="0">
                              <a:pos x="connisteX23" y="connsiteY23"/>
                            </a:cxn>
                            <a:cxn ang="0">
                              <a:pos x="connisteX24" y="connsiteY24"/>
                            </a:cxn>
                            <a:cxn ang="0">
                              <a:pos x="connisteX25" y="connsiteY25"/>
                            </a:cxn>
                            <a:cxn ang="0">
                              <a:pos x="connisteX26" y="connsiteY26"/>
                            </a:cxn>
                            <a:cxn ang="0">
                              <a:pos x="connisteX27" y="connsiteY27"/>
                            </a:cxn>
                            <a:cxn ang="0">
                              <a:pos x="connisteX28" y="connsiteY28"/>
                            </a:cxn>
                            <a:cxn ang="0">
                              <a:pos x="connisteX29" y="connsiteY29"/>
                            </a:cxn>
                            <a:cxn ang="0">
                              <a:pos x="connisteX30" y="connsiteY30"/>
                            </a:cxn>
                            <a:cxn ang="0">
                              <a:pos x="connisteX31" y="connsiteY31"/>
                            </a:cxn>
                            <a:cxn ang="0">
                              <a:pos x="connisteX32" y="connsiteY32"/>
                            </a:cxn>
                            <a:cxn ang="0">
                              <a:pos x="connisteX33" y="connsiteY33"/>
                            </a:cxn>
                            <a:cxn ang="0">
                              <a:pos x="connisteX34" y="connsiteY34"/>
                            </a:cxn>
                            <a:cxn ang="0">
                              <a:pos x="connisteX35" y="connsiteY35"/>
                            </a:cxn>
                            <a:cxn ang="0">
                              <a:pos x="connisteX36" y="connsiteY36"/>
                            </a:cxn>
                            <a:cxn ang="0">
                              <a:pos x="connisteX37" y="connsiteY37"/>
                            </a:cxn>
                            <a:cxn ang="0">
                              <a:pos x="connisteX38" y="connsiteY38"/>
                            </a:cxn>
                            <a:cxn ang="0">
                              <a:pos x="connisteX39" y="connsiteY39"/>
                            </a:cxn>
                          </a:cxnLst>
                          <a:rect l="l" t="t" r="r" b="b"/>
                          <a:pathLst>
                            <a:path w="1135874" h="2868295">
                              <a:moveTo>
                                <a:pt x="109714" y="2868295"/>
                              </a:moveTo>
                              <a:cubicBezTo>
                                <a:pt x="114159" y="2850515"/>
                                <a:pt x="126224" y="2806700"/>
                                <a:pt x="130669" y="2773045"/>
                              </a:cubicBezTo>
                              <a:cubicBezTo>
                                <a:pt x="135114" y="2739390"/>
                                <a:pt x="141464" y="2728595"/>
                                <a:pt x="130669" y="2698750"/>
                              </a:cubicBezTo>
                              <a:cubicBezTo>
                                <a:pt x="119874" y="2668905"/>
                                <a:pt x="101459" y="2654300"/>
                                <a:pt x="77964" y="2624455"/>
                              </a:cubicBezTo>
                              <a:cubicBezTo>
                                <a:pt x="54469" y="2594610"/>
                                <a:pt x="27164" y="2580640"/>
                                <a:pt x="14464" y="2550795"/>
                              </a:cubicBezTo>
                              <a:cubicBezTo>
                                <a:pt x="1764" y="2520950"/>
                                <a:pt x="12559" y="2506345"/>
                                <a:pt x="14464" y="2476500"/>
                              </a:cubicBezTo>
                              <a:cubicBezTo>
                                <a:pt x="16369" y="2446655"/>
                                <a:pt x="18274" y="2432050"/>
                                <a:pt x="24624" y="2402205"/>
                              </a:cubicBezTo>
                              <a:cubicBezTo>
                                <a:pt x="30974" y="2372360"/>
                                <a:pt x="41769" y="2358390"/>
                                <a:pt x="46214" y="2328545"/>
                              </a:cubicBezTo>
                              <a:cubicBezTo>
                                <a:pt x="50659" y="2298700"/>
                                <a:pt x="48119" y="2286000"/>
                                <a:pt x="46214" y="2254250"/>
                              </a:cubicBezTo>
                              <a:cubicBezTo>
                                <a:pt x="44309" y="2222500"/>
                                <a:pt x="35419" y="2203450"/>
                                <a:pt x="35419" y="2169795"/>
                              </a:cubicBezTo>
                              <a:cubicBezTo>
                                <a:pt x="35419" y="2136140"/>
                                <a:pt x="52564" y="2116455"/>
                                <a:pt x="46214" y="2084705"/>
                              </a:cubicBezTo>
                              <a:cubicBezTo>
                                <a:pt x="39864" y="2052955"/>
                                <a:pt x="11924" y="2042795"/>
                                <a:pt x="3669" y="2011045"/>
                              </a:cubicBezTo>
                              <a:cubicBezTo>
                                <a:pt x="-4586" y="1979295"/>
                                <a:pt x="3669" y="1957705"/>
                                <a:pt x="3669" y="1925955"/>
                              </a:cubicBezTo>
                              <a:cubicBezTo>
                                <a:pt x="3669" y="1894205"/>
                                <a:pt x="1764" y="1882140"/>
                                <a:pt x="3669" y="1852295"/>
                              </a:cubicBezTo>
                              <a:cubicBezTo>
                                <a:pt x="5574" y="1822450"/>
                                <a:pt x="-4586" y="1798955"/>
                                <a:pt x="14464" y="1778000"/>
                              </a:cubicBezTo>
                              <a:cubicBezTo>
                                <a:pt x="33514" y="1757045"/>
                                <a:pt x="69074" y="1767205"/>
                                <a:pt x="98919" y="1746250"/>
                              </a:cubicBezTo>
                              <a:cubicBezTo>
                                <a:pt x="128764" y="1725295"/>
                                <a:pt x="141464" y="1701800"/>
                                <a:pt x="162419" y="1671955"/>
                              </a:cubicBezTo>
                              <a:cubicBezTo>
                                <a:pt x="183374" y="1642110"/>
                                <a:pt x="190359" y="1628140"/>
                                <a:pt x="204964" y="1598295"/>
                              </a:cubicBezTo>
                              <a:cubicBezTo>
                                <a:pt x="219569" y="1568450"/>
                                <a:pt x="230364" y="1555750"/>
                                <a:pt x="236714" y="1524000"/>
                              </a:cubicBezTo>
                              <a:cubicBezTo>
                                <a:pt x="243064" y="1492250"/>
                                <a:pt x="232269" y="1471295"/>
                                <a:pt x="236714" y="1439545"/>
                              </a:cubicBezTo>
                              <a:cubicBezTo>
                                <a:pt x="241159" y="1407795"/>
                                <a:pt x="234174" y="1403350"/>
                                <a:pt x="257669" y="1365250"/>
                              </a:cubicBezTo>
                              <a:cubicBezTo>
                                <a:pt x="281164" y="1327150"/>
                                <a:pt x="323074" y="1287145"/>
                                <a:pt x="352919" y="1249045"/>
                              </a:cubicBezTo>
                              <a:cubicBezTo>
                                <a:pt x="382764" y="1210945"/>
                                <a:pt x="378319" y="1198245"/>
                                <a:pt x="405624" y="1174750"/>
                              </a:cubicBezTo>
                              <a:cubicBezTo>
                                <a:pt x="432929" y="1151255"/>
                                <a:pt x="458964" y="1153160"/>
                                <a:pt x="490714" y="1132205"/>
                              </a:cubicBezTo>
                              <a:cubicBezTo>
                                <a:pt x="522464" y="1111250"/>
                                <a:pt x="547229" y="1096010"/>
                                <a:pt x="564374" y="1068705"/>
                              </a:cubicBezTo>
                              <a:cubicBezTo>
                                <a:pt x="581519" y="1041400"/>
                                <a:pt x="564374" y="1024890"/>
                                <a:pt x="575169" y="995045"/>
                              </a:cubicBezTo>
                              <a:cubicBezTo>
                                <a:pt x="585964" y="965200"/>
                                <a:pt x="603109" y="954405"/>
                                <a:pt x="617714" y="920750"/>
                              </a:cubicBezTo>
                              <a:cubicBezTo>
                                <a:pt x="632319" y="887095"/>
                                <a:pt x="647559" y="859155"/>
                                <a:pt x="649464" y="825500"/>
                              </a:cubicBezTo>
                              <a:cubicBezTo>
                                <a:pt x="651369" y="791845"/>
                                <a:pt x="638669" y="781050"/>
                                <a:pt x="627874" y="751205"/>
                              </a:cubicBezTo>
                              <a:cubicBezTo>
                                <a:pt x="617079" y="721360"/>
                                <a:pt x="606919" y="707390"/>
                                <a:pt x="596124" y="677545"/>
                              </a:cubicBezTo>
                              <a:cubicBezTo>
                                <a:pt x="585329" y="647700"/>
                                <a:pt x="577074" y="633095"/>
                                <a:pt x="575169" y="603250"/>
                              </a:cubicBezTo>
                              <a:cubicBezTo>
                                <a:pt x="573264" y="573405"/>
                                <a:pt x="568819" y="554355"/>
                                <a:pt x="585964" y="528955"/>
                              </a:cubicBezTo>
                              <a:cubicBezTo>
                                <a:pt x="603109" y="503555"/>
                                <a:pt x="627874" y="499745"/>
                                <a:pt x="659624" y="476250"/>
                              </a:cubicBezTo>
                              <a:cubicBezTo>
                                <a:pt x="691374" y="452755"/>
                                <a:pt x="712964" y="436245"/>
                                <a:pt x="744714" y="412750"/>
                              </a:cubicBezTo>
                              <a:cubicBezTo>
                                <a:pt x="776464" y="389255"/>
                                <a:pt x="784719" y="385445"/>
                                <a:pt x="818374" y="360045"/>
                              </a:cubicBezTo>
                              <a:cubicBezTo>
                                <a:pt x="852029" y="334645"/>
                                <a:pt x="879969" y="315595"/>
                                <a:pt x="913624" y="285750"/>
                              </a:cubicBezTo>
                              <a:cubicBezTo>
                                <a:pt x="947279" y="255905"/>
                                <a:pt x="958074" y="238760"/>
                                <a:pt x="987919" y="211455"/>
                              </a:cubicBezTo>
                              <a:cubicBezTo>
                                <a:pt x="1017764" y="184150"/>
                                <a:pt x="1038719" y="175260"/>
                                <a:pt x="1062214" y="147955"/>
                              </a:cubicBezTo>
                              <a:cubicBezTo>
                                <a:pt x="1085709" y="120650"/>
                                <a:pt x="1089519" y="104140"/>
                                <a:pt x="1104124" y="74295"/>
                              </a:cubicBezTo>
                              <a:cubicBezTo>
                                <a:pt x="1118729" y="44450"/>
                                <a:pt x="1130159" y="13335"/>
                                <a:pt x="1135874" y="0"/>
                              </a:cubicBezTo>
                            </a:path>
                          </a:pathLst>
                        </a:custGeom>
                        <a:noFill/>
                        <a:ln>
                          <a:solidFill>
                            <a:srgbClr val="00B0F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607.75pt;margin-top:223.65pt;height:225.85pt;width:89.45pt;z-index:251696128;mso-width-relative:page;mso-height-relative:page;" filled="f" stroked="t" coordsize="1135874,2868295" o:gfxdata="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" path="m109714,2868295c114159,2850515,126224,2806700,130669,2773045c135114,2739390,141464,2728595,130669,2698750c119874,2668905,101459,2654300,77964,2624455c54469,2594610,27164,2580640,14464,2550795c1764,2520950,12559,2506345,14464,2476500c16369,2446655,18274,2432050,24624,2402205c30974,2372360,41769,2358390,46214,2328545c50659,2298700,48119,2286000,46214,2254250c44309,2222500,35419,2203450,35419,2169795c35419,2136140,52564,2116455,46214,2084705c39864,2052955,11924,2042795,3669,2011045c-4586,1979295,3669,1957705,3669,1925955c3669,1894205,1764,1882140,3669,1852295c5574,1822450,-4586,1798955,14464,1778000c33514,1757045,69074,1767205,98919,1746250c128764,1725295,141464,1701800,162419,1671955c183374,1642110,190359,1628140,204964,1598295c219569,1568450,230364,1555750,236714,1524000c243064,1492250,232269,1471295,236714,1439545c241159,1407795,234174,1403350,257669,1365250c281164,1327150,323074,1287145,352919,1249045c382764,1210945,378319,1198245,405624,1174750c432929,1151255,458964,1153160,490714,1132205c522464,1111250,547229,1096010,564374,1068705c581519,1041400,564374,1024890,575169,995045c585964,965200,603109,954405,617714,920750c632319,887095,647559,859155,649464,825500c651369,791845,638669,781050,627874,751205c617079,721360,606919,707390,596124,677545c585329,647700,577074,633095,575169,603250c573264,573405,568819,554355,585964,528955c603109,503555,627874,499745,659624,476250c691374,452755,712964,436245,744714,412750c776464,389255,784719,385445,818374,360045c852029,334645,879969,315595,913624,285750c947279,255905,958074,238760,987919,211455c1017764,184150,1038719,175260,1062214,147955c1085709,120650,1089519,104140,1104124,74295c1118729,44450,1130159,13335,1135874,0e">
                <v:path o:connectlocs="109726,2868295;130684,2773045;130684,2698750;77972,2624455;14464,2550795;14464,2476500;24626,2402205;46218,2328545;46218,2254250;35422,2169795;46218,2084705;3668,2011045;3668,1925955;3668,1852295;14464,1778000;98930,1746250;162438,1671955;204988,1598295;236742,1524000;236742,1439545;257700,1365250;352962,1249045;405673,1174750;490774,1132205;564443,1068705;575239,995045;617790,920750;649544,825500;627951,751205;596197,677545;575239,603250;586036,528955;659705,476250;744806,412750;818475,360045;913737,285750;988041,211455;1062345,147955;1104261,74295;1136015,0" o:connectangles="0,0,0,0,0,0,0,0,0,0,0,0,0,0,0,0,0,0,0,0,0,0,0,0,0,0,0,0,0,0,0,0,0,0,0,0,0,0,0,0"/>
                <v:fill on="f" focussize="0,0"/>
                <v:stroke weight="1pt" color="#00B0F0 [2404]" miterlimit="8" joinstyle="miter"/>
                <v:imagedata o:title=""/>
                <o:lock v:ext="edit" aspectratio="f"/>
              </v:shape>
            </w:pict>
          </mc:Fallback>
        </mc:AlternateContent>
      </w:r>
      <w:r>
        <w:rPr>
          <w:color w:val="auto"/>
          <w:sz w:val="21"/>
        </w:rPr>
        <mc:AlternateContent>
          <mc:Choice Requires="wps">
            <w:drawing>
              <wp:anchor distT="0" distB="0" distL="114300" distR="114300" simplePos="0" relativeHeight="251668480" behindDoc="0" locked="0" layoutInCell="1" allowOverlap="1">
                <wp:simplePos x="0" y="0"/>
                <wp:positionH relativeFrom="column">
                  <wp:posOffset>6893560</wp:posOffset>
                </wp:positionH>
                <wp:positionV relativeFrom="paragraph">
                  <wp:posOffset>5935345</wp:posOffset>
                </wp:positionV>
                <wp:extent cx="76200" cy="76200"/>
                <wp:effectExtent l="4445" t="4445" r="14605" b="14605"/>
                <wp:wrapNone/>
                <wp:docPr id="31" name="矩形 221"/>
                <wp:cNvGraphicFramePr/>
                <a:graphic xmlns:a="http://schemas.openxmlformats.org/drawingml/2006/main">
                  <a:graphicData uri="http://schemas.microsoft.com/office/word/2010/wordprocessingShape">
                    <wps:wsp>
                      <wps:cNvSpPr/>
                      <wps:spPr>
                        <a:xfrm>
                          <a:off x="0" y="0"/>
                          <a:ext cx="76200" cy="76200"/>
                        </a:xfrm>
                        <a:prstGeom prst="rect">
                          <a:avLst/>
                        </a:prstGeom>
                        <a:solidFill>
                          <a:srgbClr val="FF0000"/>
                        </a:solidFill>
                        <a:ln w="6350" cap="flat" cmpd="sng">
                          <a:solidFill>
                            <a:srgbClr val="000000"/>
                          </a:solidFill>
                          <a:prstDash val="solid"/>
                          <a:miter/>
                          <a:headEnd type="none" w="med" len="med"/>
                          <a:tailEnd type="none" w="med" len="med"/>
                        </a:ln>
                      </wps:spPr>
                      <wps:txbx>
                        <w:txbxContent>
                          <w:p w14:paraId="380B397B"/>
                        </w:txbxContent>
                      </wps:txbx>
                      <wps:bodyPr upright="1"/>
                    </wps:wsp>
                  </a:graphicData>
                </a:graphic>
              </wp:anchor>
            </w:drawing>
          </mc:Choice>
          <mc:Fallback>
            <w:pict>
              <v:rect id="矩形 221" o:spid="_x0000_s1026" o:spt="1" style="position:absolute;left:0pt;margin-left:542.8pt;margin-top:467.35pt;height:6pt;width:6pt;z-index:251668480;mso-width-relative:page;mso-height-relative:page;" fillcolor="#FF0000" filled="t" stroked="t" coordsize="21600,21600" o:gfxdata="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rE1i2gAAAA0BAAAPAAAAAAAAAAEAIAAAACIAAABkcnMvZG93&#10;bnJldi54bWxQSwECFAAUAAAACACHTuJA0lST8/4BAAApBAAADgAAAAAAAAABACAAAAApAQAAZHJz&#10;L2Uyb0RvYy54bWxQSwUGAAAAAAYABgBZAQAAmQUAAAAA&#10;">
                <v:fill on="t" focussize="0,0"/>
                <v:stroke weight="0.5pt" color="#000000" joinstyle="miter"/>
                <v:imagedata o:title=""/>
                <o:lock v:ext="edit" aspectratio="f"/>
                <v:textbox>
                  <w:txbxContent>
                    <w:p w14:paraId="380B397B"/>
                  </w:txbxContent>
                </v:textbox>
              </v:rect>
            </w:pict>
          </mc:Fallback>
        </mc:AlternateContent>
      </w:r>
      <w:r>
        <w:rPr>
          <w:color w:val="auto"/>
        </w:rPr>
        <w:drawing>
          <wp:inline distT="0" distB="0" distL="114300" distR="114300">
            <wp:extent cx="12896215" cy="8394065"/>
            <wp:effectExtent l="0" t="0" r="6985" b="635"/>
            <wp:docPr id="9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4"/>
                    <pic:cNvPicPr>
                      <a:picLocks noChangeAspect="1"/>
                    </pic:cNvPicPr>
                  </pic:nvPicPr>
                  <pic:blipFill>
                    <a:blip r:embed="rId17"/>
                    <a:stretch>
                      <a:fillRect/>
                    </a:stretch>
                  </pic:blipFill>
                  <pic:spPr>
                    <a:xfrm>
                      <a:off x="0" y="0"/>
                      <a:ext cx="12896215" cy="8394065"/>
                    </a:xfrm>
                    <a:prstGeom prst="rect">
                      <a:avLst/>
                    </a:prstGeom>
                    <a:gradFill>
                      <a:gsLst>
                        <a:gs pos="0">
                          <a:srgbClr val="FBFB11"/>
                        </a:gs>
                        <a:gs pos="100000">
                          <a:srgbClr val="838309"/>
                        </a:gs>
                      </a:gsLst>
                      <a:lin ang="5400000" scaled="0"/>
                    </a:gradFill>
                    <a:ln w="12700" cap="flat" cmpd="sng">
                      <a:noFill/>
                      <a:prstDash val="solid"/>
                      <a:miter/>
                      <a:headEnd type="none" w="med" len="med"/>
                      <a:tailEnd type="none" w="med" len="med"/>
                    </a:ln>
                  </pic:spPr>
                </pic:pic>
              </a:graphicData>
            </a:graphic>
          </wp:inline>
        </w:drawing>
      </w:r>
      <w:r>
        <w:rPr>
          <w:rFonts w:hint="eastAsia" w:ascii="Times New Roman"/>
          <w:b/>
          <w:color w:val="auto"/>
        </w:rPr>
        <mc:AlternateContent>
          <mc:Choice Requires="wps">
            <w:drawing>
              <wp:anchor distT="0" distB="0" distL="114300" distR="114300" simplePos="0" relativeHeight="251688960" behindDoc="0" locked="0" layoutInCell="1" allowOverlap="1">
                <wp:simplePos x="0" y="0"/>
                <wp:positionH relativeFrom="column">
                  <wp:posOffset>4167505</wp:posOffset>
                </wp:positionH>
                <wp:positionV relativeFrom="paragraph">
                  <wp:posOffset>3025775</wp:posOffset>
                </wp:positionV>
                <wp:extent cx="615315" cy="306070"/>
                <wp:effectExtent l="6350" t="6350" r="83185" b="316230"/>
                <wp:wrapNone/>
                <wp:docPr id="50" name="矩形标注 50"/>
                <wp:cNvGraphicFramePr/>
                <a:graphic xmlns:a="http://schemas.openxmlformats.org/drawingml/2006/main">
                  <a:graphicData uri="http://schemas.microsoft.com/office/word/2010/wordprocessingShape">
                    <wps:wsp>
                      <wps:cNvSpPr/>
                      <wps:spPr>
                        <a:xfrm>
                          <a:off x="0" y="0"/>
                          <a:ext cx="615315" cy="306070"/>
                        </a:xfrm>
                        <a:prstGeom prst="wedgeRectCallout">
                          <a:avLst>
                            <a:gd name="adj1" fmla="val 57223"/>
                            <a:gd name="adj2" fmla="val 141701"/>
                          </a:avLst>
                        </a:prstGeom>
                        <a:gradFill>
                          <a:gsLst>
                            <a:gs pos="0">
                              <a:srgbClr val="FBFB11"/>
                            </a:gs>
                            <a:gs pos="100000">
                              <a:srgbClr val="838309"/>
                            </a:gs>
                          </a:gsLst>
                          <a:lin ang="5400000" scaled="0"/>
                        </a:gradFill>
                        <a:ln w="12700" cap="flat" cmpd="sng">
                          <a:solidFill>
                            <a:schemeClr val="accent4"/>
                          </a:solidFill>
                          <a:prstDash val="solid"/>
                          <a:miter/>
                          <a:headEnd type="none" w="med" len="med"/>
                          <a:tailEnd type="none" w="med" len="med"/>
                        </a:ln>
                      </wps:spPr>
                      <wps:txbx>
                        <w:txbxContent>
                          <w:p w14:paraId="03B04CE4">
                            <w:pPr>
                              <w:jc w:val="center"/>
                              <w:rPr>
                                <w:rFonts w:hint="default" w:eastAsia="宋体"/>
                                <w:lang w:val="en-US" w:eastAsia="zh-CN"/>
                              </w:rPr>
                            </w:pPr>
                            <w:r>
                              <w:rPr>
                                <w:rFonts w:hint="eastAsia"/>
                                <w:lang w:val="en-US" w:eastAsia="zh-CN"/>
                              </w:rPr>
                              <w:t>大八河</w:t>
                            </w:r>
                          </w:p>
                        </w:txbxContent>
                      </wps:txbx>
                      <wps:bodyPr upright="1"/>
                    </wps:wsp>
                  </a:graphicData>
                </a:graphic>
              </wp:anchor>
            </w:drawing>
          </mc:Choice>
          <mc:Fallback>
            <w:pict>
              <v:shape id="_x0000_s1026" o:spid="_x0000_s1026" o:spt="61" type="#_x0000_t61" style="position:absolute;left:0pt;margin-left:328.15pt;margin-top:238.25pt;height:24.1pt;width:48.45pt;z-index:251688960;mso-width-relative:page;mso-height-relative:page;" fillcolor="#FBFB11" filled="t" stroked="t" coordsize="21600,21600" o:gfxdata="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B7Fdii2wAAAAsBAAAPAAAAAAAAAAEAIAAAACIAAABk&#10;cnMvZG93bnJldi54bWxQSwECFAAUAAAACACHTuJAHckoY3UCAAAJBQAADgAAAAAAAAABACAAAAAq&#10;AQAAZHJzL2Uyb0RvYy54bWxQSwUGAAAAAAYABgBZAQAAEQYAAAAA&#10;" adj="23160,41407">
                <v:fill type="gradient" on="t" color2="#838309" focus="100%" focussize="0,0" rotate="t">
                  <o:fill type="gradientUnscaled" v:ext="backwardCompatible"/>
                </v:fill>
                <v:stroke weight="1pt" color="#FFC000 [3207]" joinstyle="miter"/>
                <v:imagedata o:title=""/>
                <o:lock v:ext="edit" aspectratio="f"/>
                <v:textbox>
                  <w:txbxContent>
                    <w:p w14:paraId="03B04CE4">
                      <w:pPr>
                        <w:jc w:val="center"/>
                        <w:rPr>
                          <w:rFonts w:hint="default" w:eastAsia="宋体"/>
                          <w:lang w:val="en-US" w:eastAsia="zh-CN"/>
                        </w:rPr>
                      </w:pPr>
                      <w:r>
                        <w:rPr>
                          <w:rFonts w:hint="eastAsia"/>
                          <w:lang w:val="en-US" w:eastAsia="zh-CN"/>
                        </w:rPr>
                        <w:t>大八河</w:t>
                      </w:r>
                    </w:p>
                  </w:txbxContent>
                </v:textbox>
              </v:shape>
            </w:pict>
          </mc:Fallback>
        </mc:AlternateContent>
      </w:r>
      <w:r>
        <w:rPr>
          <w:rFonts w:hint="eastAsia" w:ascii="Times New Roman"/>
          <w:b/>
          <w:color w:val="auto"/>
        </w:rPr>
        <mc:AlternateContent>
          <mc:Choice Requires="wps">
            <w:drawing>
              <wp:anchor distT="0" distB="0" distL="114300" distR="114300" simplePos="0" relativeHeight="251677696" behindDoc="0" locked="0" layoutInCell="1" allowOverlap="1">
                <wp:simplePos x="0" y="0"/>
                <wp:positionH relativeFrom="column">
                  <wp:posOffset>4021455</wp:posOffset>
                </wp:positionH>
                <wp:positionV relativeFrom="paragraph">
                  <wp:posOffset>5991860</wp:posOffset>
                </wp:positionV>
                <wp:extent cx="753110" cy="306070"/>
                <wp:effectExtent l="6350" t="6350" r="345440" b="11430"/>
                <wp:wrapNone/>
                <wp:docPr id="98" name="矩形标注 98"/>
                <wp:cNvGraphicFramePr/>
                <a:graphic xmlns:a="http://schemas.openxmlformats.org/drawingml/2006/main">
                  <a:graphicData uri="http://schemas.microsoft.com/office/word/2010/wordprocessingShape">
                    <wps:wsp>
                      <wps:cNvSpPr/>
                      <wps:spPr>
                        <a:xfrm>
                          <a:off x="0" y="0"/>
                          <a:ext cx="753110" cy="306070"/>
                        </a:xfrm>
                        <a:prstGeom prst="wedgeRectCallout">
                          <a:avLst>
                            <a:gd name="adj1" fmla="val 88448"/>
                            <a:gd name="adj2" fmla="val 40456"/>
                          </a:avLst>
                        </a:prstGeom>
                        <a:solidFill>
                          <a:srgbClr val="FFFF00"/>
                        </a:solidFill>
                        <a:ln w="12700" cap="flat" cmpd="sng">
                          <a:solidFill>
                            <a:schemeClr val="accent4"/>
                          </a:solidFill>
                          <a:prstDash val="solid"/>
                          <a:miter/>
                          <a:headEnd type="none" w="med" len="med"/>
                          <a:tailEnd type="none" w="med" len="med"/>
                        </a:ln>
                      </wps:spPr>
                      <wps:txbx>
                        <w:txbxContent>
                          <w:p w14:paraId="17E9AA4E">
                            <w:pPr>
                              <w:jc w:val="center"/>
                              <w:rPr>
                                <w:rFonts w:hint="default" w:eastAsia="宋体"/>
                                <w:lang w:val="en-US" w:eastAsia="zh-CN"/>
                              </w:rPr>
                            </w:pPr>
                            <w:r>
                              <w:rPr>
                                <w:rFonts w:hint="eastAsia"/>
                                <w:lang w:val="en-US" w:eastAsia="zh-CN"/>
                              </w:rPr>
                              <w:t>纳污范围</w:t>
                            </w:r>
                          </w:p>
                        </w:txbxContent>
                      </wps:txbx>
                      <wps:bodyPr upright="1"/>
                    </wps:wsp>
                  </a:graphicData>
                </a:graphic>
              </wp:anchor>
            </w:drawing>
          </mc:Choice>
          <mc:Fallback>
            <w:pict>
              <v:shape id="_x0000_s1026" o:spid="_x0000_s1026" o:spt="61" type="#_x0000_t61" style="position:absolute;left:0pt;margin-left:316.65pt;margin-top:471.8pt;height:24.1pt;width:59.3pt;z-index:251677696;mso-width-relative:page;mso-height-relative:page;" fillcolor="#FFFF00" filled="t" stroked="t" coordsize="21600,21600" o:gfxdata="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OS0tENgAAAALAQAADwAAAAAAAAABACAAAAAiAAAAZHJzL2Rv&#10;d25yZXYueG1sUEsBAhQAFAAAAAgAh07iQD8DCz06AgAAjgQAAA4AAAAAAAAAAQAgAAAAJwEAAGRy&#10;cy9lMm9Eb2MueG1sUEsFBgAAAAAGAAYAWQEAANMFAAAAAA==&#10;" adj="29905,19538">
                <v:fill on="t" focussize="0,0"/>
                <v:stroke weight="1pt" color="#FFC000 [3207]" joinstyle="miter"/>
                <v:imagedata o:title=""/>
                <o:lock v:ext="edit" aspectratio="f"/>
                <v:textbox>
                  <w:txbxContent>
                    <w:p w14:paraId="17E9AA4E">
                      <w:pPr>
                        <w:jc w:val="center"/>
                        <w:rPr>
                          <w:rFonts w:hint="default" w:eastAsia="宋体"/>
                          <w:lang w:val="en-US" w:eastAsia="zh-CN"/>
                        </w:rPr>
                      </w:pPr>
                      <w:r>
                        <w:rPr>
                          <w:rFonts w:hint="eastAsia"/>
                          <w:lang w:val="en-US" w:eastAsia="zh-CN"/>
                        </w:rPr>
                        <w:t>纳污范围</w:t>
                      </w:r>
                    </w:p>
                  </w:txbxContent>
                </v:textbox>
              </v:shape>
            </w:pict>
          </mc:Fallback>
        </mc:AlternateContent>
      </w:r>
      <w:r>
        <w:rPr>
          <w:rFonts w:hint="eastAsia" w:ascii="Times New Roman"/>
          <w:b/>
          <w:color w:val="auto"/>
        </w:rPr>
        <mc:AlternateContent>
          <mc:Choice Requires="wps">
            <w:drawing>
              <wp:anchor distT="0" distB="0" distL="114300" distR="114300" simplePos="0" relativeHeight="251669504" behindDoc="0" locked="0" layoutInCell="1" allowOverlap="1">
                <wp:simplePos x="0" y="0"/>
                <wp:positionH relativeFrom="column">
                  <wp:posOffset>8031480</wp:posOffset>
                </wp:positionH>
                <wp:positionV relativeFrom="paragraph">
                  <wp:posOffset>7068185</wp:posOffset>
                </wp:positionV>
                <wp:extent cx="753110" cy="306070"/>
                <wp:effectExtent l="6350" t="488315" r="21590" b="24765"/>
                <wp:wrapNone/>
                <wp:docPr id="49" name="矩形标注 49"/>
                <wp:cNvGraphicFramePr/>
                <a:graphic xmlns:a="http://schemas.openxmlformats.org/drawingml/2006/main">
                  <a:graphicData uri="http://schemas.microsoft.com/office/word/2010/wordprocessingShape">
                    <wps:wsp>
                      <wps:cNvSpPr/>
                      <wps:spPr>
                        <a:xfrm>
                          <a:off x="0" y="0"/>
                          <a:ext cx="753110" cy="306070"/>
                        </a:xfrm>
                        <a:prstGeom prst="wedgeRectCallout">
                          <a:avLst>
                            <a:gd name="adj1" fmla="val -22849"/>
                            <a:gd name="adj2" fmla="val -199170"/>
                          </a:avLst>
                        </a:prstGeom>
                        <a:solidFill>
                          <a:srgbClr val="FFFF00"/>
                        </a:solidFill>
                        <a:ln w="12700" cap="flat" cmpd="sng">
                          <a:solidFill>
                            <a:schemeClr val="accent4"/>
                          </a:solidFill>
                          <a:prstDash val="solid"/>
                          <a:miter/>
                          <a:headEnd type="none" w="med" len="med"/>
                          <a:tailEnd type="none" w="med" len="med"/>
                        </a:ln>
                      </wps:spPr>
                      <wps:txbx>
                        <w:txbxContent>
                          <w:p w14:paraId="0F2ED551">
                            <w:pPr>
                              <w:jc w:val="center"/>
                              <w:rPr>
                                <w:rFonts w:hint="default" w:eastAsia="宋体"/>
                                <w:lang w:val="en-US" w:eastAsia="zh-CN"/>
                              </w:rPr>
                            </w:pPr>
                            <w:r>
                              <w:rPr>
                                <w:rFonts w:hint="eastAsia"/>
                                <w:lang w:val="en-US" w:eastAsia="zh-CN"/>
                              </w:rPr>
                              <w:t>纳污范围</w:t>
                            </w:r>
                          </w:p>
                        </w:txbxContent>
                      </wps:txbx>
                      <wps:bodyPr upright="1"/>
                    </wps:wsp>
                  </a:graphicData>
                </a:graphic>
              </wp:anchor>
            </w:drawing>
          </mc:Choice>
          <mc:Fallback>
            <w:pict>
              <v:shape id="_x0000_s1026" o:spid="_x0000_s1026" o:spt="61" type="#_x0000_t61" style="position:absolute;left:0pt;margin-left:632.4pt;margin-top:556.55pt;height:24.1pt;width:59.3pt;z-index:251669504;mso-width-relative:page;mso-height-relative:page;" fillcolor="#FFFF00" filled="t" stroked="t" coordsize="21600,21600" o:gfxdata="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1fPO03QAAAA8BAAAPAAAAAAAAAAEAIAAAACIAAABkcnMv&#10;ZG93bnJldi54bWxQSwECFAAUAAAACACHTuJACIcjCzcCAACRBAAADgAAAAAAAAABACAAAAAsAQAA&#10;ZHJzL2Uyb0RvYy54bWxQSwUGAAAAAAYABgBZAQAA1QUAAAAA&#10;" adj="5865,-32221">
                <v:fill on="t" focussize="0,0"/>
                <v:stroke weight="1pt" color="#FFC000 [3207]" joinstyle="miter"/>
                <v:imagedata o:title=""/>
                <o:lock v:ext="edit" aspectratio="f"/>
                <v:textbox>
                  <w:txbxContent>
                    <w:p w14:paraId="0F2ED551">
                      <w:pPr>
                        <w:jc w:val="center"/>
                        <w:rPr>
                          <w:rFonts w:hint="default" w:eastAsia="宋体"/>
                          <w:lang w:val="en-US" w:eastAsia="zh-CN"/>
                        </w:rPr>
                      </w:pPr>
                      <w:r>
                        <w:rPr>
                          <w:rFonts w:hint="eastAsia"/>
                          <w:lang w:val="en-US" w:eastAsia="zh-CN"/>
                        </w:rPr>
                        <w:t>纳污范围</w:t>
                      </w:r>
                    </w:p>
                  </w:txbxContent>
                </v:textbox>
              </v:shape>
            </w:pict>
          </mc:Fallback>
        </mc:AlternateContent>
      </w:r>
    </w:p>
    <w:p w14:paraId="3DD39F6A">
      <w:pPr>
        <w:jc w:val="center"/>
        <w:rPr>
          <w:rFonts w:hint="default" w:ascii="Times New Roman" w:hAnsi="Times New Roman" w:eastAsia="宋体" w:cs="Times New Roman"/>
          <w:b w:val="0"/>
          <w:color w:val="auto"/>
          <w:kern w:val="2"/>
          <w:sz w:val="24"/>
          <w:szCs w:val="21"/>
          <w:highlight w:val="none"/>
          <w:lang w:val="en-US" w:eastAsia="zh-CN" w:bidi="ar-SA"/>
        </w:rPr>
        <w:sectPr>
          <w:footerReference r:id="rId8" w:type="default"/>
          <w:pgSz w:w="23811" w:h="16838" w:orient="landscape"/>
          <w:pgMar w:top="1418" w:right="1440" w:bottom="1418" w:left="1440" w:header="624" w:footer="992" w:gutter="0"/>
          <w:pgNumType w:fmt="decimal"/>
          <w:cols w:space="720" w:num="1"/>
          <w:docGrid w:linePitch="312" w:charSpace="0"/>
        </w:sectPr>
      </w:pPr>
      <w:r>
        <w:rPr>
          <w:rFonts w:hint="eastAsia" w:ascii="Times New Roman" w:hAnsi="Times New Roman" w:eastAsia="宋体" w:cs="Times New Roman"/>
          <w:b w:val="0"/>
          <w:color w:val="auto"/>
          <w:kern w:val="2"/>
          <w:sz w:val="24"/>
          <w:szCs w:val="21"/>
          <w:highlight w:val="none"/>
          <w:lang w:val="en-US" w:eastAsia="zh-CN" w:bidi="ar-SA"/>
        </w:rPr>
        <w:t>图1.5-</w:t>
      </w:r>
      <w:r>
        <w:rPr>
          <w:rFonts w:hint="eastAsia" w:cs="Times New Roman"/>
          <w:b w:val="0"/>
          <w:color w:val="auto"/>
          <w:kern w:val="2"/>
          <w:sz w:val="24"/>
          <w:szCs w:val="21"/>
          <w:highlight w:val="none"/>
          <w:lang w:val="en-US" w:eastAsia="zh-CN" w:bidi="ar-SA"/>
        </w:rPr>
        <w:t>2</w:t>
      </w:r>
      <w:r>
        <w:rPr>
          <w:rFonts w:hint="eastAsia" w:ascii="Times New Roman" w:hAnsi="Times New Roman" w:eastAsia="宋体" w:cs="Times New Roman"/>
          <w:b w:val="0"/>
          <w:color w:val="auto"/>
          <w:kern w:val="2"/>
          <w:sz w:val="24"/>
          <w:szCs w:val="21"/>
          <w:highlight w:val="none"/>
          <w:lang w:val="en-US" w:eastAsia="zh-CN" w:bidi="ar-SA"/>
        </w:rPr>
        <w:t>阳东区大八镇污水处理厂服务范围图</w:t>
      </w:r>
    </w:p>
    <w:p w14:paraId="7DB2D88E">
      <w:pPr>
        <w:pStyle w:val="2"/>
        <w:rPr>
          <w:rFonts w:hint="eastAsia"/>
          <w:color w:val="auto"/>
          <w:lang w:eastAsia="zh-CN"/>
        </w:rPr>
      </w:pPr>
    </w:p>
    <w:p w14:paraId="066C968F">
      <w:pPr>
        <w:jc w:val="center"/>
        <w:rPr>
          <w:rFonts w:hint="eastAsia" w:eastAsia="宋体"/>
          <w:color w:val="auto"/>
          <w:lang w:eastAsia="zh-CN"/>
        </w:rPr>
      </w:pPr>
      <w:r>
        <w:rPr>
          <w:color w:val="auto"/>
          <w:sz w:val="21"/>
        </w:rPr>
        <mc:AlternateContent>
          <mc:Choice Requires="wps">
            <w:drawing>
              <wp:anchor distT="0" distB="0" distL="114300" distR="114300" simplePos="0" relativeHeight="251676672" behindDoc="0" locked="0" layoutInCell="1" allowOverlap="1">
                <wp:simplePos x="0" y="0"/>
                <wp:positionH relativeFrom="column">
                  <wp:posOffset>9278620</wp:posOffset>
                </wp:positionH>
                <wp:positionV relativeFrom="paragraph">
                  <wp:posOffset>4022725</wp:posOffset>
                </wp:positionV>
                <wp:extent cx="952500" cy="628650"/>
                <wp:effectExtent l="30480" t="15240" r="26670" b="22860"/>
                <wp:wrapNone/>
                <wp:docPr id="96" name="任意多边形 96"/>
                <wp:cNvGraphicFramePr/>
                <a:graphic xmlns:a="http://schemas.openxmlformats.org/drawingml/2006/main">
                  <a:graphicData uri="http://schemas.microsoft.com/office/word/2010/wordprocessingShape">
                    <wps:wsp>
                      <wps:cNvSpPr/>
                      <wps:spPr>
                        <a:xfrm>
                          <a:off x="10193020" y="4923155"/>
                          <a:ext cx="952500" cy="628650"/>
                        </a:xfrm>
                        <a:custGeom>
                          <a:avLst/>
                          <a:gdLst>
                            <a:gd name="connisteX0" fmla="*/ 371475 w 952500"/>
                            <a:gd name="connsiteY0" fmla="*/ 0 h 628650"/>
                            <a:gd name="connisteX1" fmla="*/ 952500 w 952500"/>
                            <a:gd name="connsiteY1" fmla="*/ 209550 h 628650"/>
                            <a:gd name="connisteX2" fmla="*/ 800100 w 952500"/>
                            <a:gd name="connsiteY2" fmla="*/ 628650 h 628650"/>
                            <a:gd name="connisteX3" fmla="*/ 0 w 952500"/>
                            <a:gd name="connsiteY3" fmla="*/ 400050 h 628650"/>
                            <a:gd name="connisteX4" fmla="*/ 409575 w 952500"/>
                            <a:gd name="connsiteY4" fmla="*/ 0 h 628650"/>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952500" h="628650">
                              <a:moveTo>
                                <a:pt x="371475" y="0"/>
                              </a:moveTo>
                              <a:lnTo>
                                <a:pt x="952500" y="209550"/>
                              </a:lnTo>
                              <a:lnTo>
                                <a:pt x="800100" y="628650"/>
                              </a:lnTo>
                              <a:lnTo>
                                <a:pt x="0" y="400050"/>
                              </a:lnTo>
                              <a:lnTo>
                                <a:pt x="409575" y="0"/>
                              </a:lnTo>
                            </a:path>
                          </a:pathLst>
                        </a:custGeom>
                        <a:noFill/>
                        <a:ln w="3175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id="_x0000_s1026" o:spid="_x0000_s1026" o:spt="100" style="position:absolute;left:0pt;margin-left:730.6pt;margin-top:316.75pt;height:49.5pt;width:75pt;z-index:251676672;mso-width-relative:page;mso-height-relative:page;" filled="f" stroked="t" coordsize="952500,628650" o:gfxdata="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" path="m371475,0l952500,209550,800100,628650,0,400050,409575,0e">
                <v:path o:connectlocs="371475,0;952500,209550;800100,628650;0,400050;409575,0" o:connectangles="0,0,0,0,0"/>
                <v:fill on="f" focussize="0,0"/>
                <v:stroke weight="2.5pt" color="#FFFF00 [3204]" miterlimit="8" joinstyle="miter"/>
                <v:imagedata o:title=""/>
                <o:lock v:ext="edit" aspectratio="f"/>
              </v:shape>
            </w:pict>
          </mc:Fallback>
        </mc:AlternateContent>
      </w:r>
      <w:r>
        <w:rPr>
          <w:color w:val="auto"/>
          <w:sz w:val="21"/>
        </w:rPr>
        <mc:AlternateContent>
          <mc:Choice Requires="wps">
            <w:drawing>
              <wp:anchor distT="0" distB="0" distL="114300" distR="114300" simplePos="0" relativeHeight="251673600" behindDoc="0" locked="0" layoutInCell="1" allowOverlap="1">
                <wp:simplePos x="0" y="0"/>
                <wp:positionH relativeFrom="column">
                  <wp:posOffset>6744335</wp:posOffset>
                </wp:positionH>
                <wp:positionV relativeFrom="paragraph">
                  <wp:posOffset>25651460</wp:posOffset>
                </wp:positionV>
                <wp:extent cx="0" cy="0"/>
                <wp:effectExtent l="0" t="0" r="0" b="0"/>
                <wp:wrapNone/>
                <wp:docPr id="29" name="直接连接符 29"/>
                <wp:cNvGraphicFramePr/>
                <a:graphic xmlns:a="http://schemas.openxmlformats.org/drawingml/2006/main">
                  <a:graphicData uri="http://schemas.microsoft.com/office/word/2010/wordprocessingShape">
                    <wps:wsp>
                      <wps:cNvCnPr/>
                      <wps:spPr>
                        <a:xfrm>
                          <a:off x="9223375" y="476631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31.05pt;margin-top:2019.8pt;height:0pt;width:0pt;z-index:251673600;mso-width-relative:page;mso-height-relative:page;" filled="f" stroked="t" coordsize="21600,21600" o:gfxdata="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VNrWw2AAAAA8BAAAPAAAAAAAAAAEAIAAAACIAAABkcnMvZG93bnJldi54bWxQSwEC&#10;FAAUAAAACACHTuJADwZn9fQBAAC5AwAADgAAAAAAAAABACAAAAAnAQAAZHJzL2Uyb0RvYy54bWxQ&#10;SwUGAAAAAAYABgBZAQAAjQUAAAAA&#10;">
                <v:fill on="f" focussize="0,0"/>
                <v:stroke weight="0.5pt" color="#5B9BD5 [3204]" miterlimit="8" joinstyle="miter"/>
                <v:imagedata o:title=""/>
                <o:lock v:ext="edit" aspectratio="f"/>
              </v:line>
            </w:pict>
          </mc:Fallback>
        </mc:AlternateContent>
      </w:r>
    </w:p>
    <w:p w14:paraId="2B512F1E">
      <w:pPr>
        <w:rPr>
          <w:rFonts w:hint="default"/>
          <w:color w:val="auto"/>
          <w:lang w:val="en-US"/>
        </w:rPr>
      </w:pPr>
    </w:p>
    <w:p w14:paraId="76DB4BBB">
      <w:pPr>
        <w:pStyle w:val="42"/>
        <w:jc w:val="center"/>
        <w:rPr>
          <w:rFonts w:hint="eastAsia"/>
          <w:color w:val="auto"/>
          <w:lang w:val="en-US" w:eastAsia="zh-CN"/>
        </w:rPr>
      </w:pPr>
      <w:r>
        <w:rPr>
          <w:color w:val="auto"/>
          <w:sz w:val="21"/>
        </w:rPr>
        <mc:AlternateContent>
          <mc:Choice Requires="wps">
            <w:drawing>
              <wp:anchor distT="0" distB="0" distL="114300" distR="114300" simplePos="0" relativeHeight="251665408" behindDoc="0" locked="0" layoutInCell="1" allowOverlap="1">
                <wp:simplePos x="0" y="0"/>
                <wp:positionH relativeFrom="column">
                  <wp:posOffset>4185920</wp:posOffset>
                </wp:positionH>
                <wp:positionV relativeFrom="paragraph">
                  <wp:posOffset>2693035</wp:posOffset>
                </wp:positionV>
                <wp:extent cx="1501775" cy="311785"/>
                <wp:effectExtent l="0" t="0" r="0" b="0"/>
                <wp:wrapNone/>
                <wp:docPr id="115" name="流程图: 过程 115"/>
                <wp:cNvGraphicFramePr/>
                <a:graphic xmlns:a="http://schemas.openxmlformats.org/drawingml/2006/main">
                  <a:graphicData uri="http://schemas.microsoft.com/office/word/2010/wordprocessingShape">
                    <wps:wsp>
                      <wps:cNvSpPr/>
                      <wps:spPr>
                        <a:xfrm>
                          <a:off x="4395470" y="6658610"/>
                          <a:ext cx="1501775" cy="311785"/>
                        </a:xfrm>
                        <a:prstGeom prst="flowChartProcess">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7291AD">
                            <w:pPr>
                              <w:jc w:val="center"/>
                              <w:rPr>
                                <w:rFonts w:hint="eastAsia" w:eastAsia="宋体"/>
                                <w:b/>
                                <w:bCs/>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b/>
                                <w:bCs/>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污水处理厂所在地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329.6pt;margin-top:212.05pt;height:24.55pt;width:118.25pt;z-index:251665408;v-text-anchor:middle;mso-width-relative:page;mso-height-relative:page;" filled="f" stroked="f" coordsize="21600,21600" o:gfxdata="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JAH1SDbAAAACwEAAA8A&#10;AAAAAAAAAQAgAAAAIgAAAGRycy9kb3ducmV2LnhtbFBLAQIUABQAAAAIAIdO4kCGmQfghgIAANQE&#10;AAAOAAAAAAAAAAEAIAAAACoBAABkcnMvZTJvRG9jLnhtbFBLBQYAAAAABgAGAFkBAAAiBgAAAAA=&#10;">
                <v:fill on="f" focussize="0,0"/>
                <v:stroke on="f" weight="1pt" miterlimit="8" joinstyle="miter"/>
                <v:imagedata o:title=""/>
                <o:lock v:ext="edit" aspectratio="f"/>
                <v:textbox>
                  <w:txbxContent>
                    <w:p w14:paraId="2D7291AD">
                      <w:pPr>
                        <w:jc w:val="center"/>
                        <w:rPr>
                          <w:rFonts w:hint="eastAsia" w:eastAsia="宋体"/>
                          <w:b/>
                          <w:bCs/>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b/>
                          <w:bCs/>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污水处理厂所在地</w:t>
                      </w:r>
                    </w:p>
                  </w:txbxContent>
                </v:textbox>
              </v:shape>
            </w:pict>
          </mc:Fallback>
        </mc:AlternateContent>
      </w:r>
      <w:r>
        <w:rPr>
          <w:color w:val="auto"/>
          <w:sz w:val="21"/>
        </w:rPr>
        <mc:AlternateContent>
          <mc:Choice Requires="wps">
            <w:drawing>
              <wp:anchor distT="0" distB="0" distL="114300" distR="114300" simplePos="0" relativeHeight="251667456" behindDoc="0" locked="0" layoutInCell="1" allowOverlap="1">
                <wp:simplePos x="0" y="0"/>
                <wp:positionH relativeFrom="column">
                  <wp:posOffset>4343400</wp:posOffset>
                </wp:positionH>
                <wp:positionV relativeFrom="paragraph">
                  <wp:posOffset>2752725</wp:posOffset>
                </wp:positionV>
                <wp:extent cx="1163320" cy="278130"/>
                <wp:effectExtent l="753110" t="4445" r="13970" b="9525"/>
                <wp:wrapNone/>
                <wp:docPr id="111" name="自选图形 220"/>
                <wp:cNvGraphicFramePr/>
                <a:graphic xmlns:a="http://schemas.openxmlformats.org/drawingml/2006/main">
                  <a:graphicData uri="http://schemas.microsoft.com/office/word/2010/wordprocessingShape">
                    <wps:wsp>
                      <wps:cNvSpPr/>
                      <wps:spPr>
                        <a:xfrm>
                          <a:off x="0" y="0"/>
                          <a:ext cx="1163320" cy="278130"/>
                        </a:xfrm>
                        <a:prstGeom prst="wedgeRectCallout">
                          <a:avLst>
                            <a:gd name="adj1" fmla="val -111462"/>
                            <a:gd name="adj2" fmla="val -12785"/>
                          </a:avLst>
                        </a:prstGeom>
                        <a:noFill/>
                        <a:ln w="6350" cap="flat" cmpd="sng">
                          <a:solidFill>
                            <a:srgbClr val="FF0000"/>
                          </a:solidFill>
                          <a:prstDash val="solid"/>
                          <a:miter/>
                          <a:headEnd type="none" w="med" len="med"/>
                          <a:tailEnd type="none" w="med" len="med"/>
                        </a:ln>
                      </wps:spPr>
                      <wps:txbx>
                        <w:txbxContent>
                          <w:p w14:paraId="49B69500">
                            <w:pPr>
                              <w:rPr>
                                <w:rFonts w:hint="eastAsia" w:eastAsia="宋体"/>
                                <w:lang w:eastAsia="zh-CN"/>
                              </w:rPr>
                            </w:pPr>
                          </w:p>
                        </w:txbxContent>
                      </wps:txbx>
                      <wps:bodyPr upright="1"/>
                    </wps:wsp>
                  </a:graphicData>
                </a:graphic>
              </wp:anchor>
            </w:drawing>
          </mc:Choice>
          <mc:Fallback>
            <w:pict>
              <v:shape id="自选图形 220" o:spid="_x0000_s1026" o:spt="61" type="#_x0000_t61" style="position:absolute;left:0pt;margin-left:342pt;margin-top:216.75pt;height:21.9pt;width:91.6pt;z-index:251667456;mso-width-relative:page;mso-height-relative:page;" filled="f" stroked="t" coordsize="21600,21600" o:gfxdata="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B/eAn/aAAAACwEAAA8AAAAAAAAAAQAgAAAAIgAAAGRycy9kb3du&#10;cmV2LnhtbFBLAQIUABQAAAAIAIdO4kCnXChoNgIAAGoEAAAOAAAAAAAAAAEAIAAAACkBAABkcnMv&#10;ZTJvRG9jLnhtbFBLBQYAAAAABgAGAFkBAADRBQAAAAA=&#10;" adj="-13276,8038">
                <v:fill on="f" focussize="0,0"/>
                <v:stroke weight="0.5pt" color="#FF0000" joinstyle="miter"/>
                <v:imagedata o:title=""/>
                <o:lock v:ext="edit" aspectratio="f"/>
                <v:textbox>
                  <w:txbxContent>
                    <w:p w14:paraId="49B69500">
                      <w:pPr>
                        <w:rPr>
                          <w:rFonts w:hint="eastAsia" w:eastAsia="宋体"/>
                          <w:lang w:eastAsia="zh-CN"/>
                        </w:rPr>
                      </w:pPr>
                    </w:p>
                  </w:txbxContent>
                </v:textbox>
              </v:shape>
            </w:pict>
          </mc:Fallback>
        </mc:AlternateContent>
      </w:r>
      <w:r>
        <w:rPr>
          <w:color w:val="auto"/>
          <w:sz w:val="21"/>
        </w:rPr>
        <mc:AlternateContent>
          <mc:Choice Requires="wps">
            <w:drawing>
              <wp:anchor distT="0" distB="0" distL="114300" distR="114300" simplePos="0" relativeHeight="251664384" behindDoc="0" locked="0" layoutInCell="1" allowOverlap="1">
                <wp:simplePos x="0" y="0"/>
                <wp:positionH relativeFrom="column">
                  <wp:posOffset>3554095</wp:posOffset>
                </wp:positionH>
                <wp:positionV relativeFrom="paragraph">
                  <wp:posOffset>2799080</wp:posOffset>
                </wp:positionV>
                <wp:extent cx="76200" cy="76200"/>
                <wp:effectExtent l="4445" t="4445" r="10795" b="10795"/>
                <wp:wrapNone/>
                <wp:docPr id="110" name="矩形 221"/>
                <wp:cNvGraphicFramePr/>
                <a:graphic xmlns:a="http://schemas.openxmlformats.org/drawingml/2006/main">
                  <a:graphicData uri="http://schemas.microsoft.com/office/word/2010/wordprocessingShape">
                    <wps:wsp>
                      <wps:cNvSpPr/>
                      <wps:spPr>
                        <a:xfrm>
                          <a:off x="0" y="0"/>
                          <a:ext cx="76200" cy="76200"/>
                        </a:xfrm>
                        <a:prstGeom prst="rect">
                          <a:avLst/>
                        </a:prstGeom>
                        <a:solidFill>
                          <a:srgbClr val="FF0000"/>
                        </a:solidFill>
                        <a:ln w="6350" cap="flat" cmpd="sng">
                          <a:solidFill>
                            <a:srgbClr val="000000"/>
                          </a:solidFill>
                          <a:prstDash val="solid"/>
                          <a:miter/>
                          <a:headEnd type="none" w="med" len="med"/>
                          <a:tailEnd type="none" w="med" len="med"/>
                        </a:ln>
                      </wps:spPr>
                      <wps:txbx>
                        <w:txbxContent>
                          <w:p w14:paraId="66D64203"/>
                        </w:txbxContent>
                      </wps:txbx>
                      <wps:bodyPr upright="1"/>
                    </wps:wsp>
                  </a:graphicData>
                </a:graphic>
              </wp:anchor>
            </w:drawing>
          </mc:Choice>
          <mc:Fallback>
            <w:pict>
              <v:rect id="矩形 221" o:spid="_x0000_s1026" o:spt="1" style="position:absolute;left:0pt;margin-left:279.85pt;margin-top:220.4pt;height:6pt;width:6pt;z-index:251664384;mso-width-relative:page;mso-height-relative:page;" fillcolor="#FF0000" filled="t" stroked="t" coordsize="21600,21600" o:gfxdata="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7CrvrNkAAAALAQAADwAAAAAAAAABACAAAAAiAAAAZHJzL2Rvd25y&#10;ZXYueG1sUEsBAhQAFAAAAAgAh07iQKRa/J39AQAAKgQAAA4AAAAAAAAAAQAgAAAAKAEAAGRycy9l&#10;Mm9Eb2MueG1sUEsFBgAAAAAGAAYAWQEAAJcFAAAAAA==&#10;">
                <v:fill on="t" focussize="0,0"/>
                <v:stroke weight="0.5pt" color="#000000" joinstyle="miter"/>
                <v:imagedata o:title=""/>
                <o:lock v:ext="edit" aspectratio="f"/>
                <v:textbox>
                  <w:txbxContent>
                    <w:p w14:paraId="66D64203"/>
                  </w:txbxContent>
                </v:textbox>
              </v:rect>
            </w:pict>
          </mc:Fallback>
        </mc:AlternateContent>
      </w:r>
      <w:r>
        <w:rPr>
          <w:color w:val="auto"/>
        </w:rPr>
        <w:drawing>
          <wp:inline distT="0" distB="0" distL="114300" distR="114300">
            <wp:extent cx="5758180" cy="5640070"/>
            <wp:effectExtent l="0" t="0" r="13970" b="17780"/>
            <wp:docPr id="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pic:cNvPicPr>
                      <a:picLocks noChangeAspect="1"/>
                    </pic:cNvPicPr>
                  </pic:nvPicPr>
                  <pic:blipFill>
                    <a:blip r:embed="rId18"/>
                    <a:stretch>
                      <a:fillRect/>
                    </a:stretch>
                  </pic:blipFill>
                  <pic:spPr>
                    <a:xfrm>
                      <a:off x="0" y="0"/>
                      <a:ext cx="5758180" cy="5640070"/>
                    </a:xfrm>
                    <a:prstGeom prst="rect">
                      <a:avLst/>
                    </a:prstGeom>
                    <a:noFill/>
                    <a:ln>
                      <a:noFill/>
                    </a:ln>
                  </pic:spPr>
                </pic:pic>
              </a:graphicData>
            </a:graphic>
          </wp:inline>
        </w:drawing>
      </w:r>
    </w:p>
    <w:p w14:paraId="0096C960">
      <w:pPr>
        <w:jc w:val="center"/>
        <w:rPr>
          <w:rFonts w:hint="eastAsia" w:ascii="Times New Roman" w:hAnsi="Times New Roman" w:eastAsia="宋体" w:cs="Times New Roman"/>
          <w:b/>
          <w:bCs/>
          <w:color w:val="auto"/>
          <w:kern w:val="2"/>
          <w:sz w:val="24"/>
          <w:szCs w:val="21"/>
          <w:highlight w:val="none"/>
          <w:lang w:val="en-US" w:eastAsia="zh-CN" w:bidi="ar-SA"/>
        </w:rPr>
      </w:pPr>
      <w:r>
        <w:rPr>
          <w:rFonts w:hint="eastAsia" w:ascii="Times New Roman" w:hAnsi="Times New Roman" w:eastAsia="宋体" w:cs="Times New Roman"/>
          <w:b/>
          <w:bCs/>
          <w:color w:val="auto"/>
          <w:kern w:val="2"/>
          <w:sz w:val="24"/>
          <w:szCs w:val="21"/>
          <w:highlight w:val="none"/>
          <w:lang w:val="en-US" w:eastAsia="zh-CN" w:bidi="ar-SA"/>
        </w:rPr>
        <w:t>图1.5-</w:t>
      </w:r>
      <w:r>
        <w:rPr>
          <w:rFonts w:hint="eastAsia" w:cs="Times New Roman"/>
          <w:b/>
          <w:bCs/>
          <w:color w:val="auto"/>
          <w:kern w:val="2"/>
          <w:sz w:val="24"/>
          <w:szCs w:val="21"/>
          <w:highlight w:val="none"/>
          <w:lang w:val="en-US" w:eastAsia="zh-CN" w:bidi="ar-SA"/>
        </w:rPr>
        <w:t>2</w:t>
      </w:r>
      <w:r>
        <w:rPr>
          <w:rFonts w:hint="eastAsia" w:ascii="Times New Roman" w:hAnsi="Times New Roman" w:eastAsia="宋体" w:cs="Times New Roman"/>
          <w:b/>
          <w:bCs/>
          <w:color w:val="auto"/>
          <w:kern w:val="2"/>
          <w:sz w:val="24"/>
          <w:szCs w:val="21"/>
          <w:highlight w:val="none"/>
          <w:lang w:val="en-US" w:eastAsia="zh-CN" w:bidi="ar-SA"/>
        </w:rPr>
        <w:t>阳东区大八镇主要河流分布图</w:t>
      </w:r>
    </w:p>
    <w:p w14:paraId="4DC208AA">
      <w:pPr>
        <w:pStyle w:val="2"/>
        <w:rPr>
          <w:rFonts w:hint="eastAsia" w:ascii="Times New Roman" w:hAnsi="Times New Roman" w:eastAsia="宋体" w:cs="Times New Roman"/>
          <w:b w:val="0"/>
          <w:color w:val="auto"/>
          <w:kern w:val="2"/>
          <w:sz w:val="24"/>
          <w:szCs w:val="21"/>
          <w:highlight w:val="none"/>
          <w:lang w:val="en-US" w:eastAsia="zh-CN" w:bidi="ar-SA"/>
        </w:rPr>
      </w:pPr>
    </w:p>
    <w:p w14:paraId="6A59940A">
      <w:pPr>
        <w:rPr>
          <w:rFonts w:hint="eastAsia"/>
          <w:color w:val="auto"/>
          <w:lang w:val="en-US" w:eastAsia="zh-CN"/>
        </w:rPr>
        <w:sectPr>
          <w:footerReference r:id="rId9" w:type="default"/>
          <w:pgSz w:w="11906" w:h="16838"/>
          <w:pgMar w:top="1440" w:right="1418" w:bottom="1440" w:left="1418" w:header="624" w:footer="992" w:gutter="0"/>
          <w:pgNumType w:fmt="decimal"/>
          <w:cols w:space="720" w:num="1"/>
          <w:docGrid w:linePitch="312" w:charSpace="0"/>
        </w:sectPr>
      </w:pPr>
    </w:p>
    <w:p w14:paraId="5E33D774">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color w:val="auto"/>
          <w:lang w:val="en-US" w:eastAsia="zh-CN"/>
        </w:rPr>
      </w:pPr>
      <w:bookmarkStart w:id="20" w:name="_Toc12153"/>
      <w:bookmarkStart w:id="21" w:name="_Toc4719"/>
      <w:r>
        <w:rPr>
          <w:color w:val="auto"/>
          <w:lang w:val="en-US" w:eastAsia="zh-CN"/>
        </w:rPr>
        <w:t>论证</w:t>
      </w:r>
      <w:r>
        <w:rPr>
          <w:rFonts w:hint="eastAsia"/>
          <w:color w:val="auto"/>
          <w:lang w:val="en-US" w:eastAsia="zh-CN"/>
        </w:rPr>
        <w:t>水平年和论证规模</w:t>
      </w:r>
      <w:bookmarkEnd w:id="20"/>
      <w:bookmarkEnd w:id="21"/>
      <w:r>
        <w:rPr>
          <w:color w:val="auto"/>
          <w:lang w:val="en-US" w:eastAsia="zh-CN"/>
        </w:rPr>
        <w:t xml:space="preserve"> </w:t>
      </w:r>
    </w:p>
    <w:p w14:paraId="3F76F439">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从论证范围内的经济社会统计资料、水文气象资料和水资源开发利用资料的收集情况来看，区域经济社会发展、水资源开发利用以及水质评价的现状水平年选取20</w:t>
      </w:r>
      <w:r>
        <w:rPr>
          <w:rFonts w:hint="eastAsia" w:cs="Times New Roman"/>
          <w:color w:val="auto"/>
          <w:sz w:val="24"/>
          <w:highlight w:val="none"/>
          <w:lang w:val="en-US" w:eastAsia="zh-CN"/>
        </w:rPr>
        <w:t>25</w:t>
      </w:r>
      <w:r>
        <w:rPr>
          <w:rFonts w:hint="eastAsia" w:ascii="Times New Roman" w:hAnsi="Times New Roman" w:eastAsia="宋体" w:cs="Times New Roman"/>
          <w:color w:val="auto"/>
          <w:sz w:val="24"/>
          <w:highlight w:val="none"/>
          <w:lang w:val="en-US" w:eastAsia="zh-CN"/>
        </w:rPr>
        <w:t>年，考虑区域生活用水水平的变化及建设项目实施目标</w:t>
      </w:r>
      <w:r>
        <w:rPr>
          <w:rFonts w:hint="eastAsia" w:cs="Times New Roman"/>
          <w:color w:val="auto"/>
          <w:sz w:val="24"/>
          <w:highlight w:val="none"/>
          <w:lang w:val="en-US" w:eastAsia="zh-CN"/>
        </w:rPr>
        <w:t>近期为2026年，远期为2031年</w:t>
      </w:r>
      <w:r>
        <w:rPr>
          <w:rFonts w:hint="eastAsia"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故</w:t>
      </w:r>
      <w:r>
        <w:rPr>
          <w:rFonts w:hint="eastAsia" w:ascii="Times New Roman" w:hAnsi="Times New Roman" w:eastAsia="宋体" w:cs="Times New Roman"/>
          <w:color w:val="auto"/>
          <w:sz w:val="24"/>
          <w:highlight w:val="none"/>
          <w:lang w:val="en-US" w:eastAsia="zh-CN"/>
        </w:rPr>
        <w:t>规划水平年采用20</w:t>
      </w:r>
      <w:r>
        <w:rPr>
          <w:rFonts w:hint="eastAsia" w:cs="Times New Roman"/>
          <w:color w:val="auto"/>
          <w:sz w:val="24"/>
          <w:highlight w:val="none"/>
          <w:lang w:val="en-US" w:eastAsia="zh-CN"/>
        </w:rPr>
        <w:t>31</w:t>
      </w:r>
      <w:r>
        <w:rPr>
          <w:rFonts w:hint="eastAsia" w:ascii="Times New Roman" w:hAnsi="Times New Roman" w:eastAsia="宋体" w:cs="Times New Roman"/>
          <w:color w:val="auto"/>
          <w:sz w:val="24"/>
          <w:highlight w:val="none"/>
          <w:lang w:val="en-US" w:eastAsia="zh-CN"/>
        </w:rPr>
        <w:t>年。</w:t>
      </w:r>
    </w:p>
    <w:p w14:paraId="2B7B48D6">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阳东区大八镇污水处理厂建设规模：污水处理规模达到</w:t>
      </w:r>
      <w:r>
        <w:rPr>
          <w:rFonts w:hint="eastAsia" w:cs="Times New Roman"/>
          <w:color w:val="auto"/>
          <w:sz w:val="24"/>
          <w:highlight w:val="none"/>
          <w:lang w:val="en-US" w:eastAsia="zh-CN"/>
        </w:rPr>
        <w:t>3000m</w:t>
      </w:r>
      <w:r>
        <w:rPr>
          <w:rFonts w:hint="default" w:ascii="Times New Roman" w:hAnsi="Times New Roman" w:eastAsia="宋体" w:cs="Times New Roman"/>
          <w:color w:val="auto"/>
          <w:sz w:val="24"/>
          <w:highlight w:val="none"/>
          <w:vertAlign w:val="superscript"/>
          <w:lang w:val="en-US" w:eastAsia="zh-CN"/>
        </w:rPr>
        <w:t>3</w:t>
      </w:r>
      <w:r>
        <w:rPr>
          <w:rFonts w:hint="default" w:ascii="Times New Roman" w:hAnsi="Times New Roman" w:eastAsia="宋体" w:cs="Times New Roman"/>
          <w:color w:val="auto"/>
          <w:sz w:val="24"/>
          <w:highlight w:val="none"/>
          <w:lang w:val="en-US" w:eastAsia="zh-CN"/>
        </w:rPr>
        <w:t>/d</w:t>
      </w:r>
      <w:r>
        <w:rPr>
          <w:rFonts w:hint="eastAsia" w:ascii="Times New Roman" w:hAnsi="Times New Roman" w:eastAsia="宋体" w:cs="Times New Roman"/>
          <w:color w:val="auto"/>
          <w:sz w:val="24"/>
          <w:highlight w:val="none"/>
          <w:lang w:val="en-US" w:eastAsia="zh-CN"/>
        </w:rPr>
        <w:t>，不分期</w:t>
      </w:r>
      <w:r>
        <w:rPr>
          <w:rFonts w:hint="eastAsia" w:cs="Times New Roman"/>
          <w:color w:val="auto"/>
          <w:sz w:val="24"/>
          <w:highlight w:val="none"/>
          <w:lang w:val="en-US" w:eastAsia="zh-CN"/>
        </w:rPr>
        <w:t>建设</w:t>
      </w:r>
      <w:r>
        <w:rPr>
          <w:rFonts w:hint="eastAsia" w:ascii="Times New Roman" w:hAnsi="Times New Roman" w:eastAsia="宋体" w:cs="Times New Roman"/>
          <w:color w:val="auto"/>
          <w:sz w:val="24"/>
          <w:highlight w:val="none"/>
          <w:lang w:val="en-US" w:eastAsia="zh-CN"/>
        </w:rPr>
        <w:t>，</w:t>
      </w:r>
      <w:r>
        <w:rPr>
          <w:rFonts w:hint="eastAsia"/>
          <w:color w:val="auto"/>
          <w:sz w:val="24"/>
          <w:highlight w:val="none"/>
          <w:lang w:val="en-US" w:eastAsia="zh-CN"/>
        </w:rPr>
        <w:t>即本项目论证规模为</w:t>
      </w:r>
      <w:r>
        <w:rPr>
          <w:rFonts w:hint="eastAsia" w:cs="Times New Roman"/>
          <w:color w:val="auto"/>
          <w:sz w:val="24"/>
          <w:highlight w:val="none"/>
          <w:lang w:val="en-US" w:eastAsia="zh-CN"/>
        </w:rPr>
        <w:t>3000m</w:t>
      </w:r>
      <w:r>
        <w:rPr>
          <w:rFonts w:hint="default" w:ascii="Times New Roman" w:hAnsi="Times New Roman" w:eastAsia="宋体" w:cs="Times New Roman"/>
          <w:color w:val="auto"/>
          <w:sz w:val="24"/>
          <w:highlight w:val="none"/>
          <w:vertAlign w:val="superscript"/>
          <w:lang w:val="en-US" w:eastAsia="zh-CN"/>
        </w:rPr>
        <w:t>3</w:t>
      </w:r>
      <w:r>
        <w:rPr>
          <w:rFonts w:hint="default" w:ascii="Times New Roman" w:hAnsi="Times New Roman" w:eastAsia="宋体" w:cs="Times New Roman"/>
          <w:color w:val="auto"/>
          <w:sz w:val="24"/>
          <w:highlight w:val="none"/>
          <w:lang w:val="en-US" w:eastAsia="zh-CN"/>
        </w:rPr>
        <w:t>/d</w:t>
      </w:r>
      <w:r>
        <w:rPr>
          <w:rFonts w:hint="eastAsia" w:ascii="Times New Roman" w:hAnsi="Times New Roman" w:eastAsia="宋体" w:cs="Times New Roman"/>
          <w:color w:val="auto"/>
          <w:sz w:val="24"/>
          <w:highlight w:val="none"/>
          <w:lang w:val="en-US" w:eastAsia="zh-CN"/>
        </w:rPr>
        <w:t>。</w:t>
      </w:r>
    </w:p>
    <w:p w14:paraId="751CE6BD">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color w:val="auto"/>
        </w:rPr>
      </w:pPr>
      <w:bookmarkStart w:id="22" w:name="_Toc22220"/>
      <w:bookmarkStart w:id="23" w:name="_Toc3426"/>
      <w:r>
        <w:rPr>
          <w:color w:val="auto"/>
          <w:lang w:val="en-US" w:eastAsia="zh-CN"/>
        </w:rPr>
        <w:t>论证工作程序</w:t>
      </w:r>
      <w:bookmarkEnd w:id="22"/>
      <w:bookmarkEnd w:id="23"/>
      <w:r>
        <w:rPr>
          <w:color w:val="auto"/>
          <w:lang w:val="en-US" w:eastAsia="zh-CN"/>
        </w:rPr>
        <w:t xml:space="preserve"> </w:t>
      </w:r>
    </w:p>
    <w:p w14:paraId="39B35777">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 xml:space="preserve">（1）调查与资料收集 </w:t>
      </w:r>
    </w:p>
    <w:p w14:paraId="34F7A734">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根据</w:t>
      </w:r>
      <w:r>
        <w:rPr>
          <w:rFonts w:hint="eastAsia" w:cs="Times New Roman"/>
          <w:color w:val="auto"/>
          <w:sz w:val="24"/>
          <w:highlight w:val="none"/>
          <w:lang w:val="en-US" w:eastAsia="zh-CN"/>
        </w:rPr>
        <w:t>本</w:t>
      </w:r>
      <w:r>
        <w:rPr>
          <w:rFonts w:hint="eastAsia" w:ascii="Times New Roman" w:hAnsi="Times New Roman" w:eastAsia="宋体" w:cs="Times New Roman"/>
          <w:color w:val="auto"/>
          <w:sz w:val="24"/>
          <w:highlight w:val="none"/>
          <w:lang w:val="en-US" w:eastAsia="zh-CN"/>
        </w:rPr>
        <w:t>污水处理</w:t>
      </w:r>
      <w:r>
        <w:rPr>
          <w:rFonts w:hint="eastAsia" w:cs="Times New Roman"/>
          <w:color w:val="auto"/>
          <w:sz w:val="24"/>
          <w:highlight w:val="none"/>
          <w:lang w:val="en-US" w:eastAsia="zh-CN"/>
        </w:rPr>
        <w:t>厂</w:t>
      </w:r>
      <w:r>
        <w:rPr>
          <w:rFonts w:hint="eastAsia" w:ascii="Times New Roman" w:hAnsi="Times New Roman" w:eastAsia="宋体" w:cs="Times New Roman"/>
          <w:color w:val="auto"/>
          <w:sz w:val="24"/>
          <w:highlight w:val="none"/>
          <w:lang w:val="en-US" w:eastAsia="zh-CN"/>
        </w:rPr>
        <w:t>入河排污口建设方案，进行现场查勘、调查和收集</w:t>
      </w:r>
      <w:r>
        <w:rPr>
          <w:rFonts w:hint="eastAsia" w:cs="Times New Roman"/>
          <w:color w:val="auto"/>
          <w:sz w:val="24"/>
          <w:highlight w:val="none"/>
          <w:lang w:val="en-US" w:eastAsia="zh-CN"/>
        </w:rPr>
        <w:t>阳东区大八镇污水处理厂</w:t>
      </w:r>
      <w:r>
        <w:rPr>
          <w:rFonts w:hint="eastAsia" w:ascii="Times New Roman" w:hAnsi="Times New Roman" w:eastAsia="宋体" w:cs="Times New Roman"/>
          <w:color w:val="auto"/>
          <w:sz w:val="24"/>
          <w:highlight w:val="none"/>
          <w:lang w:val="en-US" w:eastAsia="zh-CN"/>
        </w:rPr>
        <w:t>及相关区域基本资料。组织技术人员对现场进行查勘，调查和收集工程所在区域自然环境和社会环境资料，排污口设置河段的水文、水质和水生态资料等，并且收集可能影响的其他取排水用户资料等，并对资料进行初步分析。</w:t>
      </w:r>
    </w:p>
    <w:p w14:paraId="3C6230C0">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 xml:space="preserve">（2）资料整理与分析 </w:t>
      </w:r>
    </w:p>
    <w:p w14:paraId="3A0B0AA8">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根据所收集的资料，进行整理分析，明确工程基本布局，生产工艺流程、入河排污口建设、主要污染物排放量及污染特性等基本情况；分析入河排污口所在的</w:t>
      </w:r>
      <w:r>
        <w:rPr>
          <w:rFonts w:hint="eastAsia" w:cs="Times New Roman"/>
          <w:color w:val="auto"/>
          <w:sz w:val="24"/>
          <w:highlight w:val="none"/>
          <w:lang w:val="en-US" w:eastAsia="zh-CN"/>
        </w:rPr>
        <w:t>水</w:t>
      </w:r>
      <w:r>
        <w:rPr>
          <w:rFonts w:hint="eastAsia" w:ascii="Times New Roman" w:hAnsi="Times New Roman" w:eastAsia="宋体" w:cs="Times New Roman"/>
          <w:color w:val="auto"/>
          <w:sz w:val="24"/>
          <w:highlight w:val="none"/>
          <w:lang w:val="en-US" w:eastAsia="zh-CN"/>
        </w:rPr>
        <w:t xml:space="preserve">流域资源保护管理要求，水环境现状和水生态状况等情况，以及其它取排水用户分布情况等，结合入河排污口工程位置，对其上下游河段开展必要的水质补充监测。 </w:t>
      </w:r>
    </w:p>
    <w:p w14:paraId="4225B8AD">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 xml:space="preserve">（3）排污口设置可行性分析 </w:t>
      </w:r>
    </w:p>
    <w:p w14:paraId="0F053EFD">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 xml:space="preserve">根据项目入河排污口设置的基本方案，结合项目所处区域水资源开发利用与保护现状，从国家法律法规、规划布局、水域功能管理、排放管理要求等宏观政策层面分析入河排污口设置的可行性。 </w:t>
      </w:r>
    </w:p>
    <w:p w14:paraId="55824583">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 xml:space="preserve">（4）入河排污口设置影响分析 </w:t>
      </w:r>
    </w:p>
    <w:p w14:paraId="6258FE85">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 xml:space="preserve">根据入河排污口污染物排放入河后预测所产生的影响范围计算结果，以及所处河段水生态现状，论证分析入河排污口对论证河段水功能区水质和水生态的影响程度；论证分析排污口对上下游水功能区内主要集中城市生活饮用水水源以及第三方取用水安全的影响。 </w:t>
      </w:r>
    </w:p>
    <w:p w14:paraId="026DDBB7">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 xml:space="preserve">（5）排污口设置合理性分析 </w:t>
      </w:r>
    </w:p>
    <w:p w14:paraId="70520DAE">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根据影响论证结果，综合考虑水功能区水质和水生态保护的要求、第三者权益等要素，分析入河排污口位置、排放浓度和总量是否符合有关要求，最终分析排放口建设的合理性。</w:t>
      </w:r>
    </w:p>
    <w:p w14:paraId="555AB4BF">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（6）根据分析计算结果，论证建设项目排污口设置的合理性，提出设置入河排污口的建议，编制完成入河排污口设置论证报告。</w:t>
      </w:r>
    </w:p>
    <w:p w14:paraId="461DBE5D">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工作程序见框下图 1.</w:t>
      </w:r>
      <w:r>
        <w:rPr>
          <w:rFonts w:hint="eastAsia" w:cs="Times New Roman"/>
          <w:color w:val="auto"/>
          <w:sz w:val="24"/>
          <w:highlight w:val="none"/>
          <w:lang w:val="en-US" w:eastAsia="zh-CN"/>
        </w:rPr>
        <w:t>7</w:t>
      </w:r>
      <w:r>
        <w:rPr>
          <w:rFonts w:hint="eastAsia" w:ascii="Times New Roman" w:hAnsi="Times New Roman" w:eastAsia="宋体" w:cs="Times New Roman"/>
          <w:color w:val="auto"/>
          <w:sz w:val="24"/>
          <w:highlight w:val="none"/>
          <w:lang w:val="en-US" w:eastAsia="zh-CN"/>
        </w:rPr>
        <w:t>-1。</w:t>
      </w:r>
    </w:p>
    <w:p w14:paraId="6F416400">
      <w:pPr>
        <w:pStyle w:val="42"/>
        <w:keepNext w:val="0"/>
        <w:keepLines w:val="0"/>
        <w:pageBreakBefore w:val="0"/>
        <w:widowControl/>
        <w:kinsoku/>
        <w:wordWrap/>
        <w:overflowPunct/>
        <w:topLinePunct w:val="0"/>
        <w:autoSpaceDE/>
        <w:autoSpaceDN/>
        <w:bidi w:val="0"/>
        <w:adjustRightInd/>
        <w:snapToGrid/>
        <w:spacing w:before="100" w:after="100"/>
        <w:jc w:val="center"/>
        <w:textAlignment w:val="auto"/>
        <w:rPr>
          <w:rFonts w:hint="eastAsia" w:eastAsia="宋体"/>
          <w:color w:val="auto"/>
          <w:lang w:eastAsia="zh-CN"/>
        </w:rPr>
      </w:pPr>
      <w:r>
        <w:rPr>
          <w:rFonts w:hint="eastAsia" w:eastAsia="宋体"/>
          <w:color w:val="auto"/>
          <w:lang w:eastAsia="zh-CN"/>
        </w:rPr>
        <w:drawing>
          <wp:inline distT="0" distB="0" distL="114300" distR="114300">
            <wp:extent cx="6118225" cy="4820285"/>
            <wp:effectExtent l="0" t="0" r="3175" b="5715"/>
            <wp:docPr id="62" name="图片 62" descr="《入河入海排污口监督管理技术指南入河排污口设置》（HJ1386-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入河入海排污口监督管理技术指南入河排污口设置》（HJ1386-2024）"/>
                    <pic:cNvPicPr>
                      <a:picLocks noChangeAspect="1"/>
                    </pic:cNvPicPr>
                  </pic:nvPicPr>
                  <pic:blipFill>
                    <a:blip r:embed="rId19"/>
                    <a:stretch>
                      <a:fillRect/>
                    </a:stretch>
                  </pic:blipFill>
                  <pic:spPr>
                    <a:xfrm>
                      <a:off x="0" y="0"/>
                      <a:ext cx="6118225" cy="4820285"/>
                    </a:xfrm>
                    <a:prstGeom prst="rect">
                      <a:avLst/>
                    </a:prstGeom>
                  </pic:spPr>
                </pic:pic>
              </a:graphicData>
            </a:graphic>
          </wp:inline>
        </w:drawing>
      </w:r>
    </w:p>
    <w:p w14:paraId="4434BDC2">
      <w:pPr>
        <w:spacing w:line="360" w:lineRule="auto"/>
        <w:ind w:firstLine="480" w:firstLineChars="200"/>
        <w:jc w:val="center"/>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图1.</w:t>
      </w:r>
      <w:r>
        <w:rPr>
          <w:rFonts w:hint="eastAsia" w:cs="Times New Roman"/>
          <w:color w:val="auto"/>
          <w:sz w:val="24"/>
          <w:highlight w:val="none"/>
          <w:lang w:val="en-US" w:eastAsia="zh-CN"/>
        </w:rPr>
        <w:t>7</w:t>
      </w:r>
      <w:r>
        <w:rPr>
          <w:rFonts w:hint="eastAsia" w:ascii="Times New Roman" w:hAnsi="Times New Roman" w:eastAsia="宋体" w:cs="Times New Roman"/>
          <w:color w:val="auto"/>
          <w:sz w:val="24"/>
          <w:highlight w:val="none"/>
          <w:lang w:val="en-US" w:eastAsia="zh-CN"/>
        </w:rPr>
        <w:t>-1论证工作程序图</w:t>
      </w:r>
    </w:p>
    <w:p w14:paraId="4F97B191">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color w:val="auto"/>
          <w:lang w:val="en-US" w:eastAsia="zh-CN"/>
        </w:rPr>
      </w:pPr>
      <w:bookmarkStart w:id="24" w:name="_Toc32754"/>
      <w:bookmarkStart w:id="25" w:name="_Toc13043"/>
      <w:r>
        <w:rPr>
          <w:color w:val="auto"/>
          <w:lang w:val="en-US" w:eastAsia="zh-CN"/>
        </w:rPr>
        <w:t>论证的主要内容</w:t>
      </w:r>
      <w:bookmarkEnd w:id="24"/>
      <w:bookmarkEnd w:id="25"/>
      <w:r>
        <w:rPr>
          <w:color w:val="auto"/>
          <w:lang w:val="en-US" w:eastAsia="zh-CN"/>
        </w:rPr>
        <w:t xml:space="preserve"> </w:t>
      </w:r>
    </w:p>
    <w:p w14:paraId="23EA65A9">
      <w:pPr>
        <w:spacing w:line="360" w:lineRule="auto"/>
        <w:ind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 xml:space="preserve">大八镇污水处理厂入河排污口设置论证的主要内容有： </w:t>
      </w:r>
    </w:p>
    <w:p w14:paraId="305F6460">
      <w:pPr>
        <w:spacing w:line="360" w:lineRule="auto"/>
        <w:ind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 xml:space="preserve">（1）入河排污口所在水功能区（水域）管理要求和取排水状况分析； </w:t>
      </w:r>
    </w:p>
    <w:p w14:paraId="4BBD1193">
      <w:pPr>
        <w:spacing w:line="360" w:lineRule="auto"/>
        <w:ind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 xml:space="preserve">（2）入河排污口设置后污水排放对水功能区（水域）的影响范围； </w:t>
      </w:r>
    </w:p>
    <w:p w14:paraId="3D162CD9">
      <w:pPr>
        <w:spacing w:line="360" w:lineRule="auto"/>
        <w:ind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 xml:space="preserve">（3）入河排污口设置对水功能区（水域）水质基础资料整理分析和水生态影响分析； </w:t>
      </w:r>
    </w:p>
    <w:p w14:paraId="1CA747EF">
      <w:pPr>
        <w:spacing w:line="360" w:lineRule="auto"/>
        <w:ind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 xml:space="preserve">（4）入河排污口设置对有利害关系的第三者权益的影响分析； </w:t>
      </w:r>
    </w:p>
    <w:p w14:paraId="2B3C9457">
      <w:pPr>
        <w:spacing w:line="360" w:lineRule="auto"/>
        <w:ind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 xml:space="preserve">（5）入河排污口设置合理性分析。 </w:t>
      </w:r>
    </w:p>
    <w:p w14:paraId="5082D9FA">
      <w:pPr>
        <w:spacing w:line="360" w:lineRule="auto"/>
        <w:ind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论证主要内容详见图 1.8-1。</w:t>
      </w:r>
    </w:p>
    <w:p w14:paraId="5E02F497">
      <w:pPr>
        <w:pStyle w:val="2"/>
        <w:rPr>
          <w:rFonts w:hint="eastAsia"/>
          <w:color w:val="auto"/>
          <w:lang w:val="en-US" w:eastAsia="zh-CN"/>
        </w:rPr>
      </w:pPr>
      <w:r>
        <w:rPr>
          <w:color w:val="auto"/>
        </w:rPr>
        <w:drawing>
          <wp:inline distT="0" distB="0" distL="114300" distR="114300">
            <wp:extent cx="3937635" cy="5803265"/>
            <wp:effectExtent l="0" t="0" r="5715" b="6985"/>
            <wp:docPr id="3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6"/>
                    <pic:cNvPicPr>
                      <a:picLocks noChangeAspect="1"/>
                    </pic:cNvPicPr>
                  </pic:nvPicPr>
                  <pic:blipFill>
                    <a:blip r:embed="rId20"/>
                    <a:stretch>
                      <a:fillRect/>
                    </a:stretch>
                  </pic:blipFill>
                  <pic:spPr>
                    <a:xfrm>
                      <a:off x="0" y="0"/>
                      <a:ext cx="3937635" cy="5803265"/>
                    </a:xfrm>
                    <a:prstGeom prst="rect">
                      <a:avLst/>
                    </a:prstGeom>
                    <a:noFill/>
                    <a:ln>
                      <a:noFill/>
                    </a:ln>
                  </pic:spPr>
                </pic:pic>
              </a:graphicData>
            </a:graphic>
          </wp:inline>
        </w:drawing>
      </w:r>
    </w:p>
    <w:p w14:paraId="411023B9">
      <w:pPr>
        <w:spacing w:line="360" w:lineRule="auto"/>
        <w:ind w:firstLine="482" w:firstLineChars="200"/>
        <w:jc w:val="center"/>
        <w:rPr>
          <w:rFonts w:hint="eastAsia"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图 1</w:t>
      </w:r>
      <w:r>
        <w:rPr>
          <w:rFonts w:hint="eastAsia" w:cs="Times New Roman"/>
          <w:b/>
          <w:bCs/>
          <w:color w:val="auto"/>
          <w:sz w:val="24"/>
          <w:highlight w:val="none"/>
          <w:lang w:val="en-US" w:eastAsia="zh-CN"/>
        </w:rPr>
        <w:t>.8</w:t>
      </w:r>
      <w:r>
        <w:rPr>
          <w:rFonts w:hint="eastAsia" w:ascii="Times New Roman" w:hAnsi="Times New Roman" w:eastAsia="宋体" w:cs="Times New Roman"/>
          <w:b/>
          <w:bCs/>
          <w:color w:val="auto"/>
          <w:sz w:val="24"/>
          <w:highlight w:val="none"/>
          <w:lang w:val="en-US" w:eastAsia="zh-CN"/>
        </w:rPr>
        <w:t>-</w:t>
      </w:r>
      <w:r>
        <w:rPr>
          <w:rFonts w:hint="eastAsia" w:cs="Times New Roman"/>
          <w:b/>
          <w:bCs/>
          <w:color w:val="auto"/>
          <w:sz w:val="24"/>
          <w:highlight w:val="none"/>
          <w:lang w:val="en-US" w:eastAsia="zh-CN"/>
        </w:rPr>
        <w:t xml:space="preserve">1 </w:t>
      </w:r>
      <w:r>
        <w:rPr>
          <w:rFonts w:hint="eastAsia" w:ascii="Times New Roman" w:hAnsi="Times New Roman" w:eastAsia="宋体" w:cs="Times New Roman"/>
          <w:b/>
          <w:bCs/>
          <w:color w:val="auto"/>
          <w:sz w:val="24"/>
          <w:highlight w:val="none"/>
          <w:lang w:val="en-US" w:eastAsia="zh-CN"/>
        </w:rPr>
        <w:t>论证主要内容</w:t>
      </w:r>
    </w:p>
    <w:p w14:paraId="633F4C06">
      <w:pPr>
        <w:rPr>
          <w:rFonts w:hint="eastAsia"/>
          <w:color w:val="auto"/>
          <w:lang w:val="en-US" w:eastAsia="zh-CN"/>
        </w:rPr>
        <w:sectPr>
          <w:pgSz w:w="11906" w:h="16838"/>
          <w:pgMar w:top="1440" w:right="1418" w:bottom="1440" w:left="1418" w:header="624" w:footer="992" w:gutter="0"/>
          <w:pgNumType w:fmt="decimal"/>
          <w:cols w:space="720" w:num="1"/>
          <w:docGrid w:linePitch="312" w:charSpace="0"/>
        </w:sectPr>
      </w:pPr>
    </w:p>
    <w:p w14:paraId="751303B8">
      <w:pPr>
        <w:pStyle w:val="3"/>
        <w:bidi w:val="0"/>
        <w:rPr>
          <w:color w:val="auto"/>
        </w:rPr>
      </w:pPr>
      <w:bookmarkStart w:id="26" w:name="_Toc12942"/>
      <w:bookmarkStart w:id="27" w:name="_Toc3002"/>
      <w:r>
        <w:rPr>
          <w:color w:val="auto"/>
          <w:lang w:val="en-US" w:eastAsia="zh-CN"/>
        </w:rPr>
        <w:t>项目概况</w:t>
      </w:r>
      <w:bookmarkEnd w:id="26"/>
      <w:bookmarkEnd w:id="27"/>
      <w:r>
        <w:rPr>
          <w:color w:val="auto"/>
          <w:lang w:val="en-US" w:eastAsia="zh-CN"/>
        </w:rPr>
        <w:t xml:space="preserve"> </w:t>
      </w:r>
    </w:p>
    <w:p w14:paraId="597E9988">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color w:val="auto"/>
          <w:lang w:val="en-US" w:eastAsia="zh-CN"/>
        </w:rPr>
      </w:pPr>
      <w:bookmarkStart w:id="28" w:name="_Toc6203"/>
      <w:bookmarkStart w:id="29" w:name="_Toc21734"/>
      <w:r>
        <w:rPr>
          <w:rFonts w:hint="eastAsia"/>
          <w:color w:val="auto"/>
          <w:lang w:val="en-US" w:eastAsia="zh-CN"/>
        </w:rPr>
        <w:t>入河排污口基本情况</w:t>
      </w:r>
      <w:bookmarkEnd w:id="28"/>
    </w:p>
    <w:p w14:paraId="2F7556DC">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项目基本情况</w:t>
      </w:r>
      <w:bookmarkEnd w:id="29"/>
      <w:r>
        <w:rPr>
          <w:rFonts w:hint="eastAsia" w:ascii="Times New Roman" w:hAnsi="Times New Roman" w:cs="Times New Roman"/>
          <w:color w:val="auto"/>
          <w:lang w:val="en-US" w:eastAsia="zh-CN"/>
        </w:rPr>
        <w:t xml:space="preserve"> </w:t>
      </w:r>
    </w:p>
    <w:p w14:paraId="738B570F">
      <w:pPr>
        <w:numPr>
          <w:ilvl w:val="0"/>
          <w:numId w:val="0"/>
        </w:numPr>
        <w:spacing w:line="360" w:lineRule="auto"/>
        <w:ind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1、项目名称：阳东区大八镇污水处理厂入河排污口设置论证。</w:t>
      </w:r>
    </w:p>
    <w:p w14:paraId="532AAC41">
      <w:pPr>
        <w:numPr>
          <w:ilvl w:val="0"/>
          <w:numId w:val="0"/>
        </w:numPr>
        <w:spacing w:line="360" w:lineRule="auto"/>
        <w:ind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2、建设单位：阳江市阳东区住房和城乡建设局。</w:t>
      </w:r>
    </w:p>
    <w:p w14:paraId="09396259">
      <w:pPr>
        <w:numPr>
          <w:ilvl w:val="0"/>
          <w:numId w:val="0"/>
        </w:numPr>
        <w:spacing w:line="360" w:lineRule="auto"/>
        <w:ind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3、建设性质：改设。</w:t>
      </w:r>
    </w:p>
    <w:p w14:paraId="22D05EF1">
      <w:pPr>
        <w:numPr>
          <w:ilvl w:val="0"/>
          <w:numId w:val="0"/>
        </w:num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4、项目规模：论证</w:t>
      </w:r>
      <w:r>
        <w:rPr>
          <w:rFonts w:hint="eastAsia" w:ascii="Times New Roman" w:hAnsi="Times New Roman" w:eastAsia="宋体" w:cs="Times New Roman"/>
          <w:color w:val="auto"/>
          <w:sz w:val="24"/>
          <w:highlight w:val="none"/>
          <w:lang w:val="en-US" w:eastAsia="zh-CN"/>
        </w:rPr>
        <w:t>规模</w:t>
      </w:r>
      <w:r>
        <w:rPr>
          <w:rFonts w:hint="eastAsia" w:cs="Times New Roman"/>
          <w:color w:val="auto"/>
          <w:sz w:val="24"/>
          <w:highlight w:val="none"/>
          <w:lang w:val="en-US" w:eastAsia="zh-CN"/>
        </w:rPr>
        <w:t>为3000m</w:t>
      </w:r>
      <w:r>
        <w:rPr>
          <w:rFonts w:hint="default" w:ascii="Times New Roman" w:hAnsi="Times New Roman" w:eastAsia="宋体" w:cs="Times New Roman"/>
          <w:color w:val="auto"/>
          <w:sz w:val="24"/>
          <w:highlight w:val="none"/>
          <w:vertAlign w:val="superscript"/>
          <w:lang w:val="en-US" w:eastAsia="zh-CN"/>
        </w:rPr>
        <w:t>3</w:t>
      </w:r>
      <w:r>
        <w:rPr>
          <w:rFonts w:hint="default" w:ascii="Times New Roman" w:hAnsi="Times New Roman" w:eastAsia="宋体" w:cs="Times New Roman"/>
          <w:color w:val="auto"/>
          <w:sz w:val="24"/>
          <w:highlight w:val="none"/>
          <w:lang w:val="en-US" w:eastAsia="zh-CN"/>
        </w:rPr>
        <w:t>/d</w:t>
      </w:r>
      <w:r>
        <w:rPr>
          <w:rFonts w:hint="eastAsia" w:ascii="Times New Roman" w:hAnsi="Times New Roman" w:eastAsia="宋体" w:cs="Times New Roman"/>
          <w:color w:val="auto"/>
          <w:sz w:val="24"/>
          <w:highlight w:val="none"/>
          <w:lang w:val="en-US" w:eastAsia="zh-CN"/>
        </w:rPr>
        <w:t>。</w:t>
      </w:r>
    </w:p>
    <w:p w14:paraId="3CF2FB7E">
      <w:pPr>
        <w:numPr>
          <w:ilvl w:val="0"/>
          <w:numId w:val="0"/>
        </w:numPr>
        <w:spacing w:line="360" w:lineRule="auto"/>
        <w:ind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5、阳东区大八镇污水处理厂基本情况。</w:t>
      </w:r>
    </w:p>
    <w:p w14:paraId="080C58FE">
      <w:pPr>
        <w:numPr>
          <w:ilvl w:val="0"/>
          <w:numId w:val="0"/>
        </w:numPr>
        <w:spacing w:line="360" w:lineRule="auto"/>
        <w:ind w:firstLine="480" w:firstLineChars="200"/>
        <w:rPr>
          <w:rFonts w:hint="eastAsia"/>
          <w:color w:val="auto"/>
          <w:sz w:val="24"/>
          <w:lang w:eastAsia="zh-CN"/>
        </w:rPr>
      </w:pPr>
      <w:r>
        <w:rPr>
          <w:rFonts w:hint="eastAsia" w:cs="Times New Roman"/>
          <w:color w:val="auto"/>
          <w:sz w:val="24"/>
          <w:highlight w:val="none"/>
          <w:lang w:val="en-US" w:eastAsia="zh-CN"/>
        </w:rPr>
        <w:t>（1）八镇污水处理厂用地情况</w:t>
      </w:r>
      <w:r>
        <w:rPr>
          <w:rFonts w:hint="eastAsia"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阳江市大八镇吉水村委会吉龙坑(原镇人工地区域)</w:t>
      </w:r>
      <w:r>
        <w:rPr>
          <w:rFonts w:hint="eastAsia" w:ascii="Times New Roman" w:hAnsi="Times New Roman" w:eastAsia="宋体" w:cs="Times New Roman"/>
          <w:color w:val="auto"/>
          <w:sz w:val="24"/>
          <w:highlight w:val="none"/>
          <w:lang w:val="en-US" w:eastAsia="zh-CN"/>
        </w:rPr>
        <w:t>，中心坐标为</w:t>
      </w:r>
      <w:r>
        <w:rPr>
          <w:rFonts w:hint="eastAsia" w:cs="Times New Roman"/>
          <w:color w:val="auto"/>
          <w:sz w:val="24"/>
          <w:highlight w:val="none"/>
          <w:lang w:val="en-US" w:eastAsia="zh-CN"/>
        </w:rPr>
        <w:t>东经111°57′59.61″，北纬22°3′30.17″。厂区总占地面积为7366m</w:t>
      </w:r>
      <w:r>
        <w:rPr>
          <w:rFonts w:hint="eastAsia" w:cs="Times New Roman"/>
          <w:color w:val="auto"/>
          <w:sz w:val="24"/>
          <w:highlight w:val="none"/>
          <w:vertAlign w:val="superscript"/>
          <w:lang w:val="en-US" w:eastAsia="zh-CN"/>
        </w:rPr>
        <w:t>2</w:t>
      </w:r>
      <w:r>
        <w:rPr>
          <w:rFonts w:hint="eastAsia"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厂区范围内现状地形较为平坦，现状为大八镇人工湿地（不涉及耕地），</w:t>
      </w:r>
      <w:r>
        <w:rPr>
          <w:color w:val="auto"/>
          <w:sz w:val="24"/>
        </w:rPr>
        <w:t>符合阳东区大八镇土地利用总体规划</w:t>
      </w:r>
      <w:r>
        <w:rPr>
          <w:rFonts w:hint="eastAsia"/>
          <w:color w:val="auto"/>
          <w:sz w:val="24"/>
          <w:lang w:eastAsia="zh-CN"/>
        </w:rPr>
        <w:t>。</w:t>
      </w:r>
    </w:p>
    <w:p w14:paraId="7F2DBCA1">
      <w:pPr>
        <w:numPr>
          <w:ilvl w:val="0"/>
          <w:numId w:val="0"/>
        </w:numPr>
        <w:spacing w:line="360" w:lineRule="auto"/>
        <w:ind w:firstLine="480" w:firstLineChars="200"/>
        <w:rPr>
          <w:rFonts w:hint="eastAsia"/>
          <w:color w:val="auto"/>
          <w:sz w:val="24"/>
          <w:lang w:eastAsia="zh-CN"/>
        </w:rPr>
      </w:pPr>
      <w:r>
        <w:rPr>
          <w:rFonts w:hint="eastAsia" w:cs="Times New Roman"/>
          <w:color w:val="auto"/>
          <w:sz w:val="24"/>
          <w:highlight w:val="none"/>
          <w:lang w:val="en-US" w:eastAsia="zh-CN"/>
        </w:rPr>
        <w:t>（2）处理工艺：采用</w:t>
      </w:r>
      <w:r>
        <w:rPr>
          <w:rFonts w:hint="eastAsia"/>
          <w:color w:val="auto"/>
          <w:sz w:val="24"/>
        </w:rPr>
        <w:t>“</w:t>
      </w:r>
      <w:r>
        <w:rPr>
          <w:rFonts w:hint="eastAsia"/>
          <w:color w:val="auto"/>
          <w:sz w:val="24"/>
          <w:lang w:eastAsia="zh-CN"/>
        </w:rPr>
        <w:t>预处理+A2O微动力接触氧化+深度消毒</w:t>
      </w:r>
      <w:r>
        <w:rPr>
          <w:rFonts w:hint="eastAsia"/>
          <w:color w:val="auto"/>
          <w:sz w:val="24"/>
        </w:rPr>
        <w:t>”</w:t>
      </w:r>
      <w:r>
        <w:rPr>
          <w:rFonts w:hint="eastAsia"/>
          <w:color w:val="auto"/>
          <w:sz w:val="24"/>
          <w:lang w:val="en-US" w:eastAsia="zh-CN"/>
        </w:rPr>
        <w:t>的工艺方案，出水水质执行</w:t>
      </w:r>
      <w:r>
        <w:rPr>
          <w:rFonts w:hint="eastAsia"/>
          <w:color w:val="auto"/>
          <w:sz w:val="24"/>
          <w:lang w:eastAsia="zh-CN"/>
        </w:rPr>
        <w:t>《城镇污水处理厂污染物排放标准》（GB18918-2002）一级A标准及《广东省污水综合排放标准》（DB4426-2001）第二时段一级标准较严者。</w:t>
      </w:r>
    </w:p>
    <w:p w14:paraId="7AF0316F">
      <w:pPr>
        <w:numPr>
          <w:ilvl w:val="0"/>
          <w:numId w:val="0"/>
        </w:numPr>
        <w:spacing w:line="360" w:lineRule="auto"/>
        <w:ind w:firstLine="480" w:firstLineChars="200"/>
        <w:rPr>
          <w:rFonts w:hint="eastAsia"/>
          <w:color w:val="auto"/>
          <w:kern w:val="0"/>
          <w:sz w:val="24"/>
          <w:szCs w:val="24"/>
          <w:lang w:val="en-US" w:eastAsia="zh-CN"/>
        </w:rPr>
      </w:pPr>
      <w:r>
        <w:rPr>
          <w:rFonts w:hint="eastAsia" w:cs="Times New Roman"/>
          <w:color w:val="auto"/>
          <w:sz w:val="24"/>
          <w:highlight w:val="none"/>
          <w:lang w:val="en-US" w:eastAsia="zh-CN"/>
        </w:rPr>
        <w:t>（3）服务范围：大八镇污水处理厂设计配套污水</w:t>
      </w:r>
      <w:r>
        <w:rPr>
          <w:rFonts w:hint="eastAsia"/>
          <w:color w:val="auto"/>
          <w:sz w:val="24"/>
        </w:rPr>
        <w:t>主干管 DN600总长度1000m</w:t>
      </w:r>
      <w:r>
        <w:rPr>
          <w:rFonts w:hint="eastAsia"/>
          <w:color w:val="auto"/>
          <w:sz w:val="24"/>
          <w:lang w:eastAsia="zh-CN"/>
        </w:rPr>
        <w:t>，</w:t>
      </w:r>
      <w:r>
        <w:rPr>
          <w:rFonts w:hint="eastAsia"/>
          <w:color w:val="auto"/>
          <w:sz w:val="24"/>
          <w:lang w:val="en-US" w:eastAsia="zh-CN"/>
        </w:rPr>
        <w:t>服务区域为</w:t>
      </w:r>
      <w:r>
        <w:rPr>
          <w:rFonts w:hint="eastAsia"/>
          <w:color w:val="auto"/>
          <w:kern w:val="0"/>
          <w:sz w:val="24"/>
          <w:szCs w:val="24"/>
        </w:rPr>
        <w:t>阳江市阳东区大八镇</w:t>
      </w:r>
      <w:r>
        <w:rPr>
          <w:rFonts w:hint="eastAsia"/>
          <w:color w:val="auto"/>
          <w:kern w:val="0"/>
          <w:sz w:val="24"/>
          <w:szCs w:val="24"/>
          <w:lang w:val="en-US" w:eastAsia="zh-CN"/>
        </w:rPr>
        <w:t>镇</w:t>
      </w:r>
      <w:r>
        <w:rPr>
          <w:rFonts w:hint="eastAsia"/>
          <w:color w:val="auto"/>
          <w:kern w:val="0"/>
          <w:sz w:val="24"/>
          <w:szCs w:val="24"/>
        </w:rPr>
        <w:t>区</w:t>
      </w:r>
      <w:r>
        <w:rPr>
          <w:rFonts w:hint="eastAsia"/>
          <w:color w:val="auto"/>
          <w:kern w:val="0"/>
          <w:sz w:val="24"/>
          <w:szCs w:val="24"/>
          <w:lang w:val="en-US" w:eastAsia="zh-CN"/>
        </w:rPr>
        <w:t>及离镇区较近的</w:t>
      </w:r>
      <w:r>
        <w:rPr>
          <w:rFonts w:hint="eastAsia"/>
          <w:color w:val="auto"/>
          <w:kern w:val="0"/>
          <w:sz w:val="24"/>
          <w:szCs w:val="24"/>
        </w:rPr>
        <w:t>的居民</w:t>
      </w:r>
      <w:r>
        <w:rPr>
          <w:rFonts w:hint="eastAsia"/>
          <w:color w:val="auto"/>
          <w:kern w:val="0"/>
          <w:sz w:val="24"/>
          <w:szCs w:val="24"/>
          <w:lang w:val="en-US" w:eastAsia="zh-CN"/>
        </w:rPr>
        <w:t>聚集区范围的</w:t>
      </w:r>
      <w:r>
        <w:rPr>
          <w:rFonts w:hint="eastAsia"/>
          <w:color w:val="auto"/>
          <w:kern w:val="0"/>
          <w:sz w:val="24"/>
          <w:szCs w:val="24"/>
        </w:rPr>
        <w:t>污水</w:t>
      </w:r>
      <w:r>
        <w:rPr>
          <w:rFonts w:hint="eastAsia"/>
          <w:color w:val="auto"/>
          <w:kern w:val="0"/>
          <w:sz w:val="24"/>
          <w:szCs w:val="24"/>
          <w:lang w:eastAsia="zh-CN"/>
        </w:rPr>
        <w:t>，</w:t>
      </w:r>
      <w:r>
        <w:rPr>
          <w:rFonts w:hint="eastAsia"/>
          <w:color w:val="auto"/>
          <w:kern w:val="0"/>
          <w:sz w:val="24"/>
          <w:szCs w:val="24"/>
          <w:lang w:val="en-US" w:eastAsia="zh-CN"/>
        </w:rPr>
        <w:t>规划服务人口约为1.4万人。</w:t>
      </w:r>
    </w:p>
    <w:p w14:paraId="74CAC378">
      <w:pPr>
        <w:numPr>
          <w:ilvl w:val="0"/>
          <w:numId w:val="0"/>
        </w:numPr>
        <w:spacing w:line="360" w:lineRule="auto"/>
        <w:ind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6、入河排污基本情况</w:t>
      </w:r>
    </w:p>
    <w:p w14:paraId="13192915">
      <w:pPr>
        <w:numPr>
          <w:ilvl w:val="0"/>
          <w:numId w:val="0"/>
        </w:numPr>
        <w:spacing w:line="360" w:lineRule="auto"/>
        <w:ind w:firstLine="480" w:firstLineChars="200"/>
        <w:rPr>
          <w:rFonts w:hint="eastAsia"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入河排污口设置：入河排污口设置于项目</w:t>
      </w:r>
      <w:r>
        <w:rPr>
          <w:rFonts w:hint="eastAsia" w:cs="Times New Roman"/>
          <w:color w:val="auto"/>
          <w:sz w:val="24"/>
          <w:highlight w:val="none"/>
          <w:lang w:val="en-US" w:eastAsia="zh-CN"/>
        </w:rPr>
        <w:t>东北面管道</w:t>
      </w:r>
      <w:r>
        <w:rPr>
          <w:rFonts w:hint="eastAsia" w:ascii="Times New Roman" w:hAnsi="Times New Roman" w:eastAsia="宋体" w:cs="Times New Roman"/>
          <w:color w:val="auto"/>
          <w:sz w:val="24"/>
          <w:highlight w:val="none"/>
          <w:lang w:val="en-US" w:eastAsia="zh-CN"/>
        </w:rPr>
        <w:t>（坐标为：</w:t>
      </w:r>
      <w:r>
        <w:rPr>
          <w:rFonts w:hint="eastAsia"/>
          <w:color w:val="auto"/>
          <w:sz w:val="24"/>
          <w:highlight w:val="none"/>
          <w:lang w:eastAsia="zh-CN"/>
        </w:rPr>
        <w:t>东经111</w:t>
      </w:r>
      <w:r>
        <w:rPr>
          <w:rFonts w:hint="default" w:ascii="Times New Roman" w:hAnsi="Times New Roman" w:cs="Times New Roman"/>
          <w:color w:val="auto"/>
          <w:sz w:val="21"/>
          <w:szCs w:val="21"/>
          <w:u w:val="none"/>
          <w:lang w:val="en-US" w:eastAsia="zh-CN"/>
        </w:rPr>
        <w:t>°</w:t>
      </w:r>
      <w:r>
        <w:rPr>
          <w:rFonts w:hint="eastAsia"/>
          <w:color w:val="auto"/>
          <w:sz w:val="24"/>
          <w:highlight w:val="none"/>
          <w:lang w:eastAsia="zh-CN"/>
        </w:rPr>
        <w:t>57' 42.</w:t>
      </w:r>
      <w:r>
        <w:rPr>
          <w:rFonts w:hint="eastAsia"/>
          <w:color w:val="auto"/>
          <w:sz w:val="24"/>
          <w:highlight w:val="none"/>
          <w:lang w:val="en-US" w:eastAsia="zh-CN"/>
        </w:rPr>
        <w:t>083</w:t>
      </w:r>
      <w:r>
        <w:rPr>
          <w:rFonts w:hint="eastAsia"/>
          <w:color w:val="auto"/>
          <w:sz w:val="24"/>
          <w:highlight w:val="none"/>
          <w:lang w:eastAsia="zh-CN"/>
        </w:rPr>
        <w:t>"，北纬22</w:t>
      </w:r>
      <w:r>
        <w:rPr>
          <w:rFonts w:hint="default" w:ascii="Times New Roman" w:hAnsi="Times New Roman" w:cs="Times New Roman"/>
          <w:color w:val="auto"/>
          <w:sz w:val="21"/>
          <w:szCs w:val="21"/>
          <w:u w:val="none"/>
          <w:lang w:val="en-US" w:eastAsia="zh-CN"/>
        </w:rPr>
        <w:t>°</w:t>
      </w:r>
      <w:r>
        <w:rPr>
          <w:rFonts w:hint="eastAsia"/>
          <w:color w:val="auto"/>
          <w:sz w:val="24"/>
          <w:highlight w:val="none"/>
          <w:lang w:eastAsia="zh-CN"/>
        </w:rPr>
        <w:t>3' 41.3</w:t>
      </w:r>
      <w:r>
        <w:rPr>
          <w:rFonts w:hint="eastAsia"/>
          <w:color w:val="auto"/>
          <w:sz w:val="24"/>
          <w:highlight w:val="none"/>
          <w:lang w:val="en-US" w:eastAsia="zh-CN"/>
        </w:rPr>
        <w:t>02</w:t>
      </w:r>
      <w:r>
        <w:rPr>
          <w:rFonts w:hint="eastAsia"/>
          <w:color w:val="auto"/>
          <w:sz w:val="24"/>
          <w:highlight w:val="none"/>
          <w:lang w:eastAsia="zh-CN"/>
        </w:rPr>
        <w:t>"</w:t>
      </w:r>
      <w:r>
        <w:rPr>
          <w:rFonts w:hint="eastAsia"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，服务面积为1.16km</w:t>
      </w:r>
      <w:r>
        <w:rPr>
          <w:rFonts w:hint="eastAsia" w:cs="Times New Roman"/>
          <w:color w:val="auto"/>
          <w:sz w:val="24"/>
          <w:highlight w:val="none"/>
          <w:vertAlign w:val="superscript"/>
          <w:lang w:val="en-US" w:eastAsia="zh-CN"/>
        </w:rPr>
        <w:t>2</w:t>
      </w:r>
      <w:r>
        <w:rPr>
          <w:rFonts w:hint="eastAsia" w:cs="Times New Roman"/>
          <w:color w:val="auto"/>
          <w:sz w:val="24"/>
          <w:highlight w:val="none"/>
          <w:lang w:val="en-US" w:eastAsia="zh-CN"/>
        </w:rPr>
        <w:t>，根据本项目实际地形情况，入河排污口为管道连续排放。</w:t>
      </w:r>
    </w:p>
    <w:p w14:paraId="4D04DBEE">
      <w:pPr>
        <w:numPr>
          <w:ilvl w:val="0"/>
          <w:numId w:val="0"/>
        </w:numPr>
        <w:spacing w:line="360" w:lineRule="auto"/>
        <w:ind w:firstLine="480" w:firstLineChars="200"/>
        <w:rPr>
          <w:rFonts w:hint="default"/>
          <w:color w:val="auto"/>
          <w:lang w:val="en-US" w:eastAsia="zh-CN"/>
        </w:rPr>
      </w:pPr>
      <w:r>
        <w:rPr>
          <w:rFonts w:hint="eastAsia" w:cs="Times New Roman"/>
          <w:color w:val="auto"/>
          <w:sz w:val="24"/>
          <w:highlight w:val="none"/>
          <w:lang w:val="en-US" w:eastAsia="zh-CN"/>
        </w:rPr>
        <w:t>大八镇污水处理厂纳污范围包括大八镇镇区和部分村庄，</w:t>
      </w:r>
      <w:r>
        <w:rPr>
          <w:rFonts w:hint="eastAsia" w:ascii="Times New Roman" w:hAnsi="Times New Roman" w:eastAsia="宋体" w:cs="Times New Roman"/>
          <w:color w:val="auto"/>
          <w:sz w:val="24"/>
          <w:highlight w:val="none"/>
          <w:lang w:val="en-US" w:eastAsia="zh-CN"/>
        </w:rPr>
        <w:t>详见</w:t>
      </w:r>
      <w:r>
        <w:rPr>
          <w:rFonts w:hint="eastAsia" w:ascii="Times New Roman" w:hAnsi="Times New Roman" w:eastAsia="宋体" w:cs="Times New Roman"/>
          <w:b w:val="0"/>
          <w:color w:val="auto"/>
          <w:kern w:val="2"/>
          <w:sz w:val="24"/>
          <w:szCs w:val="21"/>
          <w:highlight w:val="none"/>
          <w:lang w:val="en-US" w:eastAsia="zh-CN" w:bidi="ar-SA"/>
        </w:rPr>
        <w:t>图1.5-</w:t>
      </w:r>
      <w:r>
        <w:rPr>
          <w:rFonts w:hint="eastAsia" w:cs="Times New Roman"/>
          <w:b w:val="0"/>
          <w:color w:val="auto"/>
          <w:kern w:val="2"/>
          <w:sz w:val="24"/>
          <w:szCs w:val="21"/>
          <w:highlight w:val="none"/>
          <w:lang w:val="en-US" w:eastAsia="zh-CN" w:bidi="ar-SA"/>
        </w:rPr>
        <w:t>2</w:t>
      </w:r>
      <w:r>
        <w:rPr>
          <w:rFonts w:hint="eastAsia" w:cs="Times New Roman"/>
          <w:color w:val="auto"/>
          <w:sz w:val="24"/>
          <w:highlight w:val="none"/>
          <w:lang w:val="en-US" w:eastAsia="zh-CN"/>
        </w:rPr>
        <w:t>。</w:t>
      </w:r>
    </w:p>
    <w:p w14:paraId="611C173F">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bookmarkStart w:id="30" w:name="_Toc12036"/>
      <w:bookmarkStart w:id="31" w:name="_Toc6056"/>
      <w:r>
        <w:rPr>
          <w:rFonts w:hint="eastAsia"/>
          <w:color w:val="auto"/>
          <w:lang w:val="en-US" w:eastAsia="zh-CN"/>
        </w:rPr>
        <w:t>项目建设的必要性</w:t>
      </w:r>
      <w:bookmarkEnd w:id="30"/>
      <w:bookmarkEnd w:id="31"/>
      <w:r>
        <w:rPr>
          <w:rFonts w:hint="eastAsia"/>
          <w:color w:val="auto"/>
          <w:lang w:val="en-US" w:eastAsia="zh-CN"/>
        </w:rPr>
        <w:t xml:space="preserve"> </w:t>
      </w:r>
    </w:p>
    <w:p w14:paraId="551E8084">
      <w:pPr>
        <w:numPr>
          <w:ilvl w:val="0"/>
          <w:numId w:val="0"/>
        </w:numPr>
        <w:spacing w:line="360" w:lineRule="auto"/>
        <w:ind w:firstLine="482" w:firstLineChars="200"/>
        <w:rPr>
          <w:rFonts w:hint="eastAsia" w:cs="Times New Roman"/>
          <w:color w:val="auto"/>
          <w:sz w:val="24"/>
          <w:highlight w:val="none"/>
          <w:lang w:val="en-US" w:eastAsia="zh-CN"/>
        </w:rPr>
      </w:pPr>
      <w:r>
        <w:rPr>
          <w:rFonts w:hint="eastAsia" w:cs="Times New Roman"/>
          <w:b/>
          <w:bCs/>
          <w:color w:val="auto"/>
          <w:sz w:val="24"/>
          <w:highlight w:val="none"/>
          <w:lang w:val="en-US" w:eastAsia="zh-CN"/>
        </w:rPr>
        <w:t>一、项目建设本项目的实施是落实“广东省住房和城乡建设厅等部门关于印发《加快推进粤东西北地区新一轮生活垃圾和污水处理基础设施建设实施方案》的通知”的需要。</w:t>
      </w:r>
    </w:p>
    <w:p w14:paraId="49D052D4">
      <w:pPr>
        <w:numPr>
          <w:ilvl w:val="0"/>
          <w:numId w:val="0"/>
        </w:numPr>
        <w:spacing w:line="360" w:lineRule="auto"/>
        <w:ind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根据省住房和城乡建设厅下发了关于《加快推进粤东西北地区新一轮生活垃圾和污水处理基础设施建设实施方案》（粤建城[2015]242 号）的通知，旨在通过开展“清洁家园”专项行动，以地级市、县（市、区）、镇（乡、街）、村（局）生活垃圾和污水处理项目建设为载体，实现粤东西北地区生活垃圾和污水处理设施建设目标，显著提高污水处理率，促进流域水环境有效改善，全面提高城乡生态环境质量。</w:t>
      </w:r>
    </w:p>
    <w:p w14:paraId="5C8F78B9">
      <w:pPr>
        <w:numPr>
          <w:ilvl w:val="0"/>
          <w:numId w:val="0"/>
        </w:numPr>
        <w:spacing w:line="360" w:lineRule="auto"/>
        <w:ind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阳东区作为阳江市的重要县区，属于该“通知”实施范围内的重要地区。本项目的建设，可有效提高阳东整区的污水处理率，实现阳东区乡镇污水处理设施的全面覆盖，到2024年底阳东城区污水处理率达到85%以上，80%以上的农村生活污水得到有效处理。</w:t>
      </w:r>
    </w:p>
    <w:p w14:paraId="5E4B9301">
      <w:pPr>
        <w:numPr>
          <w:ilvl w:val="0"/>
          <w:numId w:val="0"/>
        </w:numPr>
        <w:spacing w:line="360" w:lineRule="auto"/>
        <w:ind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阳东区大八镇污水处理厂建设项目是阳东区落实“广东省住房和城乡建设厅等部门关于印发《加快推进粤东西北地区新一轮生活垃圾和污水处理基础设施建设实施方案》的通知”要求的重要举措。</w:t>
      </w:r>
    </w:p>
    <w:p w14:paraId="0416D3F3">
      <w:pPr>
        <w:numPr>
          <w:ilvl w:val="0"/>
          <w:numId w:val="0"/>
        </w:numPr>
        <w:spacing w:line="360" w:lineRule="auto"/>
        <w:ind w:firstLine="482" w:firstLineChars="200"/>
        <w:rPr>
          <w:rFonts w:hint="eastAsia" w:cs="Times New Roman"/>
          <w:color w:val="auto"/>
          <w:sz w:val="24"/>
          <w:highlight w:val="none"/>
          <w:lang w:val="en-US" w:eastAsia="zh-CN"/>
        </w:rPr>
      </w:pPr>
      <w:r>
        <w:rPr>
          <w:rFonts w:hint="eastAsia" w:cs="Times New Roman"/>
          <w:b/>
          <w:bCs/>
          <w:color w:val="auto"/>
          <w:sz w:val="24"/>
          <w:highlight w:val="none"/>
          <w:lang w:val="en-US" w:eastAsia="zh-CN"/>
        </w:rPr>
        <w:t>二、项目建设是全面提升城乡污水处理水平的需要。</w:t>
      </w:r>
      <w:r>
        <w:rPr>
          <w:rFonts w:hint="eastAsia" w:cs="Times New Roman"/>
          <w:color w:val="auto"/>
          <w:sz w:val="24"/>
          <w:highlight w:val="none"/>
          <w:lang w:val="en-US" w:eastAsia="zh-CN"/>
        </w:rPr>
        <w:t xml:space="preserve"> </w:t>
      </w:r>
    </w:p>
    <w:p w14:paraId="503ECEF3">
      <w:pPr>
        <w:numPr>
          <w:ilvl w:val="0"/>
          <w:numId w:val="0"/>
        </w:numPr>
        <w:spacing w:line="360" w:lineRule="auto"/>
        <w:ind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 xml:space="preserve">目前，随着广东省社会经济的的快速发展，居民生活水平不断提高的同时，对生态环境的破坏也在加剧。环保设施的发展滞后，已成为制约各镇区可持续发展的瓶颈。 </w:t>
      </w:r>
    </w:p>
    <w:p w14:paraId="2ACD9F3D">
      <w:pPr>
        <w:numPr>
          <w:ilvl w:val="0"/>
          <w:numId w:val="0"/>
        </w:numPr>
        <w:spacing w:line="360" w:lineRule="auto"/>
        <w:ind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截止2024年底，广东省城镇生活污水收集率已经达到73%，污水处理设施总体规模大，但区域发展不平衡，污水处理设施 70%以上处理能力集中在珠三角地区，粤东西北地区虽然在县一级已 经建成污水处理设施，但其辖区内大部分乡镇和农村地区尚未实现污水的有效处理，根据现有资料统计，粤东西北15个地市的1023个乡镇中，仅有133个乡镇目前有污水处理设施在运营，其余890个乡镇尚未建成污水处理设施，整体污水处理建设基础较为薄弱，另外污水处理设施布局不合理、厂网不配套等问题突出，粤东西北地区欠账较多，成为制约广东省实现两个“率先”目标的短板。</w:t>
      </w:r>
    </w:p>
    <w:p w14:paraId="118E9D60">
      <w:pPr>
        <w:numPr>
          <w:ilvl w:val="0"/>
          <w:numId w:val="0"/>
        </w:numPr>
        <w:spacing w:line="360" w:lineRule="auto"/>
        <w:ind w:firstLine="480" w:firstLineChars="200"/>
        <w:rPr>
          <w:rFonts w:hint="eastAsia" w:ascii="宋体" w:hAnsi="宋体" w:eastAsia="宋体" w:cs="宋体"/>
          <w:color w:val="auto"/>
          <w:kern w:val="0"/>
          <w:sz w:val="24"/>
          <w:szCs w:val="24"/>
          <w:lang w:val="en-US" w:eastAsia="zh-CN" w:bidi="ar"/>
        </w:rPr>
      </w:pPr>
      <w:r>
        <w:rPr>
          <w:rFonts w:hint="eastAsia" w:cs="Times New Roman"/>
          <w:color w:val="auto"/>
          <w:sz w:val="24"/>
          <w:highlight w:val="none"/>
          <w:lang w:val="en-US" w:eastAsia="zh-CN"/>
        </w:rPr>
        <w:t>阳东区虽然已建成两座污水处理厂，但由于配套污水管网尚未完善，污水收集率仍未达到目标，同时各乡镇中心镇区内均缺乏完整的污水收集及处理设施，居民生活污水大多未经有效处理即直接</w:t>
      </w:r>
      <w:r>
        <w:rPr>
          <w:rFonts w:hint="eastAsia" w:ascii="宋体" w:hAnsi="宋体" w:eastAsia="宋体" w:cs="宋体"/>
          <w:color w:val="auto"/>
          <w:kern w:val="0"/>
          <w:sz w:val="24"/>
          <w:szCs w:val="24"/>
          <w:lang w:val="en-US" w:eastAsia="zh-CN" w:bidi="ar"/>
        </w:rPr>
        <w:t xml:space="preserve">排入河涌，对周边水体环境造成了一定的污染。 </w:t>
      </w:r>
    </w:p>
    <w:p w14:paraId="6BAFC4F4">
      <w:pPr>
        <w:numPr>
          <w:ilvl w:val="0"/>
          <w:numId w:val="0"/>
        </w:numPr>
        <w:spacing w:line="360" w:lineRule="auto"/>
        <w:ind w:firstLine="480" w:firstLineChars="200"/>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 xml:space="preserve">本项目的建设，一方面可进一步完善阳东区大八镇的污水收集管网，提高污水收集率，有利于实现阳东区污水处理率达到 </w:t>
      </w:r>
      <w:r>
        <w:rPr>
          <w:rFonts w:hint="default" w:ascii="Times New Roman" w:hAnsi="Times New Roman" w:eastAsia="宋体" w:cs="Times New Roman"/>
          <w:color w:val="auto"/>
          <w:kern w:val="0"/>
          <w:sz w:val="24"/>
          <w:szCs w:val="24"/>
          <w:lang w:val="en-US" w:eastAsia="zh-CN" w:bidi="ar"/>
        </w:rPr>
        <w:t>85%</w:t>
      </w:r>
      <w:r>
        <w:rPr>
          <w:rFonts w:hint="eastAsia" w:ascii="宋体" w:hAnsi="宋体" w:eastAsia="宋体" w:cs="宋体"/>
          <w:color w:val="auto"/>
          <w:kern w:val="0"/>
          <w:sz w:val="24"/>
          <w:szCs w:val="24"/>
          <w:lang w:val="en-US" w:eastAsia="zh-CN" w:bidi="ar"/>
        </w:rPr>
        <w:t xml:space="preserve">的目标；另一方面，可实现阳东区大八镇污水处理设施全面覆盖，保证乡镇污水得到收集和处理。 </w:t>
      </w:r>
    </w:p>
    <w:p w14:paraId="54307F84">
      <w:pPr>
        <w:numPr>
          <w:ilvl w:val="0"/>
          <w:numId w:val="0"/>
        </w:numPr>
        <w:spacing w:line="360" w:lineRule="auto"/>
        <w:ind w:firstLine="480" w:firstLineChars="200"/>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因此，本项目的建设，对于完善阳东区大八镇污水处理基础设施建设是非常有必要的。</w:t>
      </w:r>
    </w:p>
    <w:p w14:paraId="2FDF57B8">
      <w:pPr>
        <w:numPr>
          <w:ilvl w:val="0"/>
          <w:numId w:val="0"/>
        </w:numPr>
        <w:spacing w:line="360" w:lineRule="auto"/>
        <w:ind w:firstLine="482" w:firstLineChars="200"/>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三、项目建设是改善区域地表水环境现状的需要。</w:t>
      </w:r>
    </w:p>
    <w:p w14:paraId="027349BF">
      <w:pPr>
        <w:numPr>
          <w:ilvl w:val="0"/>
          <w:numId w:val="0"/>
        </w:numPr>
        <w:spacing w:line="360" w:lineRule="auto"/>
        <w:ind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 xml:space="preserve">阳东区境内主要河流有漠阳江及寿长河，其中漠阳江有干流及那龙河、大八河两条支流，全流域跨越阳春、云浮、新兴、恩平、台山、阳东等县区。境内大中型水库 </w:t>
      </w:r>
      <w:r>
        <w:rPr>
          <w:rFonts w:hint="default" w:cs="Times New Roman"/>
          <w:color w:val="auto"/>
          <w:sz w:val="24"/>
          <w:highlight w:val="none"/>
          <w:lang w:val="en-US" w:eastAsia="zh-CN"/>
        </w:rPr>
        <w:t xml:space="preserve">7 </w:t>
      </w:r>
      <w:r>
        <w:rPr>
          <w:rFonts w:hint="eastAsia" w:cs="Times New Roman"/>
          <w:color w:val="auto"/>
          <w:sz w:val="24"/>
          <w:highlight w:val="none"/>
          <w:lang w:val="en-US" w:eastAsia="zh-CN"/>
        </w:rPr>
        <w:t xml:space="preserve">座，小型水库 </w:t>
      </w:r>
      <w:r>
        <w:rPr>
          <w:rFonts w:hint="default" w:cs="Times New Roman"/>
          <w:color w:val="auto"/>
          <w:sz w:val="24"/>
          <w:highlight w:val="none"/>
          <w:lang w:val="en-US" w:eastAsia="zh-CN"/>
        </w:rPr>
        <w:t>21</w:t>
      </w:r>
      <w:r>
        <w:rPr>
          <w:rFonts w:hint="eastAsia" w:cs="Times New Roman"/>
          <w:color w:val="auto"/>
          <w:sz w:val="24"/>
          <w:highlight w:val="none"/>
          <w:lang w:val="en-US" w:eastAsia="zh-CN"/>
        </w:rPr>
        <w:t>座，大中型水库为东湖水库、江河水库、上水水库、马冈水库、沙湾水库、夏水水库、漠地垌水库。</w:t>
      </w:r>
    </w:p>
    <w:p w14:paraId="5CCC1196">
      <w:pPr>
        <w:numPr>
          <w:ilvl w:val="0"/>
          <w:numId w:val="0"/>
        </w:numPr>
        <w:spacing w:line="360" w:lineRule="auto"/>
        <w:ind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当前，阳东区大八镇由于无完善的污水处理设施，现状污水收集系统均为雨污合流或直接散排，居民生活污水大多直接通过合流管渠或散排未进行任何处理即进入河涌，对周边水体环境造成了严重影响，目前部分河涌水质已受到明显的污染，阳东区大八镇整体水环境状况日趋恶化。</w:t>
      </w:r>
    </w:p>
    <w:p w14:paraId="3F38E573">
      <w:pPr>
        <w:numPr>
          <w:ilvl w:val="0"/>
          <w:numId w:val="0"/>
        </w:numPr>
        <w:spacing w:line="360" w:lineRule="auto"/>
        <w:ind w:firstLine="480" w:firstLineChars="200"/>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按照党的十八大关于大力推进生态文明建设的部署和实现《南粤水更清行动计划》的要求，急需对全县城镇及农村生活污水的全面治理，实现水更清的目标。</w:t>
      </w:r>
    </w:p>
    <w:p w14:paraId="00A62DB4">
      <w:pPr>
        <w:numPr>
          <w:ilvl w:val="0"/>
          <w:numId w:val="0"/>
        </w:numPr>
        <w:spacing w:line="360" w:lineRule="auto"/>
        <w:ind w:firstLine="480" w:firstLineChars="200"/>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本项目的建设，可对阳东区大八镇域内的污水和初期雨水进行截留，并对生活污水进行处理，城镇污水处理设施的出水标准可达到《城镇污水处理厂污染物排放标准》（</w:t>
      </w:r>
      <w:r>
        <w:rPr>
          <w:rFonts w:hint="default" w:ascii="Times New Roman" w:hAnsi="Times New Roman" w:eastAsia="宋体" w:cs="Times New Roman"/>
          <w:color w:val="auto"/>
          <w:kern w:val="0"/>
          <w:sz w:val="24"/>
          <w:szCs w:val="24"/>
          <w:lang w:val="en-US" w:eastAsia="zh-CN" w:bidi="ar"/>
        </w:rPr>
        <w:t>GB18918-2002</w:t>
      </w:r>
      <w:r>
        <w:rPr>
          <w:rFonts w:hint="eastAsia" w:ascii="宋体" w:hAnsi="宋体" w:eastAsia="宋体" w:cs="宋体"/>
          <w:color w:val="auto"/>
          <w:kern w:val="0"/>
          <w:sz w:val="24"/>
          <w:szCs w:val="24"/>
          <w:lang w:val="en-US" w:eastAsia="zh-CN" w:bidi="ar"/>
        </w:rPr>
        <w:t>）</w:t>
      </w:r>
      <w:r>
        <w:rPr>
          <w:rFonts w:hint="eastAsia" w:ascii="宋体" w:hAnsi="宋体" w:cs="宋体"/>
          <w:color w:val="auto"/>
          <w:kern w:val="0"/>
          <w:sz w:val="24"/>
          <w:szCs w:val="24"/>
          <w:lang w:val="en-US" w:eastAsia="zh-CN" w:bidi="ar"/>
        </w:rPr>
        <w:t>一级A</w:t>
      </w:r>
      <w:r>
        <w:rPr>
          <w:rFonts w:hint="eastAsia" w:ascii="宋体" w:hAnsi="宋体" w:eastAsia="宋体" w:cs="宋体"/>
          <w:color w:val="auto"/>
          <w:kern w:val="0"/>
          <w:sz w:val="24"/>
          <w:szCs w:val="24"/>
          <w:lang w:val="en-US" w:eastAsia="zh-CN" w:bidi="ar"/>
        </w:rPr>
        <w:t>标准和广东省地方标准《水污染物排放限值》（</w:t>
      </w:r>
      <w:r>
        <w:rPr>
          <w:rFonts w:hint="default" w:ascii="Times New Roman" w:hAnsi="Times New Roman" w:eastAsia="宋体" w:cs="Times New Roman"/>
          <w:color w:val="auto"/>
          <w:kern w:val="0"/>
          <w:sz w:val="24"/>
          <w:szCs w:val="24"/>
          <w:lang w:val="en-US" w:eastAsia="zh-CN" w:bidi="ar"/>
        </w:rPr>
        <w:t>DB44/26-2001</w:t>
      </w:r>
      <w:r>
        <w:rPr>
          <w:rFonts w:hint="eastAsia" w:ascii="宋体" w:hAnsi="宋体" w:eastAsia="宋体" w:cs="宋体"/>
          <w:color w:val="auto"/>
          <w:kern w:val="0"/>
          <w:sz w:val="24"/>
          <w:szCs w:val="24"/>
          <w:lang w:val="en-US" w:eastAsia="zh-CN" w:bidi="ar"/>
        </w:rPr>
        <w:t>）</w:t>
      </w:r>
      <w:r>
        <w:rPr>
          <w:rFonts w:hint="eastAsia" w:ascii="宋体" w:hAnsi="宋体" w:cs="宋体"/>
          <w:color w:val="auto"/>
          <w:kern w:val="0"/>
          <w:sz w:val="24"/>
          <w:szCs w:val="24"/>
          <w:lang w:val="en-US" w:eastAsia="zh-CN" w:bidi="ar"/>
        </w:rPr>
        <w:t>二时段一级标准</w:t>
      </w:r>
      <w:r>
        <w:rPr>
          <w:rFonts w:hint="eastAsia" w:ascii="宋体" w:hAnsi="宋体" w:eastAsia="宋体" w:cs="宋体"/>
          <w:color w:val="auto"/>
          <w:kern w:val="0"/>
          <w:sz w:val="24"/>
          <w:szCs w:val="24"/>
          <w:lang w:val="en-US" w:eastAsia="zh-CN" w:bidi="ar"/>
        </w:rPr>
        <w:t>中的较严</w:t>
      </w:r>
      <w:r>
        <w:rPr>
          <w:rFonts w:hint="eastAsia" w:ascii="宋体" w:hAnsi="宋体" w:cs="宋体"/>
          <w:color w:val="auto"/>
          <w:kern w:val="0"/>
          <w:sz w:val="24"/>
          <w:szCs w:val="24"/>
          <w:lang w:val="en-US" w:eastAsia="zh-CN" w:bidi="ar"/>
        </w:rPr>
        <w:t>格的</w:t>
      </w:r>
      <w:r>
        <w:rPr>
          <w:rFonts w:hint="eastAsia" w:ascii="宋体" w:hAnsi="宋体" w:eastAsia="宋体" w:cs="宋体"/>
          <w:color w:val="auto"/>
          <w:kern w:val="0"/>
          <w:sz w:val="24"/>
          <w:szCs w:val="24"/>
          <w:lang w:val="en-US" w:eastAsia="zh-CN" w:bidi="ar"/>
        </w:rPr>
        <w:t>，农村污水处理设施出水水质达到《城镇污水处理厂污染物排放标准》（</w:t>
      </w:r>
      <w:r>
        <w:rPr>
          <w:rFonts w:hint="default" w:ascii="Times New Roman" w:hAnsi="Times New Roman" w:eastAsia="宋体" w:cs="Times New Roman"/>
          <w:color w:val="auto"/>
          <w:kern w:val="0"/>
          <w:sz w:val="24"/>
          <w:szCs w:val="24"/>
          <w:lang w:val="en-US" w:eastAsia="zh-CN" w:bidi="ar"/>
        </w:rPr>
        <w:t>GB18918-2002</w:t>
      </w:r>
      <w:r>
        <w:rPr>
          <w:rFonts w:hint="eastAsia" w:ascii="宋体" w:hAnsi="宋体" w:eastAsia="宋体" w:cs="宋体"/>
          <w:color w:val="auto"/>
          <w:kern w:val="0"/>
          <w:sz w:val="24"/>
          <w:szCs w:val="24"/>
          <w:lang w:val="en-US" w:eastAsia="zh-CN" w:bidi="ar"/>
        </w:rPr>
        <w:t>）一级</w:t>
      </w:r>
      <w:r>
        <w:rPr>
          <w:rFonts w:hint="default" w:ascii="Times New Roman" w:hAnsi="Times New Roman" w:eastAsia="宋体" w:cs="Times New Roman"/>
          <w:color w:val="auto"/>
          <w:kern w:val="0"/>
          <w:sz w:val="24"/>
          <w:szCs w:val="24"/>
          <w:lang w:val="en-US" w:eastAsia="zh-CN" w:bidi="ar"/>
        </w:rPr>
        <w:t>B</w:t>
      </w:r>
      <w:r>
        <w:rPr>
          <w:rFonts w:hint="eastAsia" w:ascii="宋体" w:hAnsi="宋体" w:eastAsia="宋体" w:cs="宋体"/>
          <w:color w:val="auto"/>
          <w:kern w:val="0"/>
          <w:sz w:val="24"/>
          <w:szCs w:val="24"/>
          <w:lang w:val="en-US" w:eastAsia="zh-CN" w:bidi="ar"/>
        </w:rPr>
        <w:t xml:space="preserve">标准，污水处理站的出水完全可以作为自然水体的补水水源。 </w:t>
      </w:r>
    </w:p>
    <w:p w14:paraId="2FECC79B">
      <w:pPr>
        <w:numPr>
          <w:ilvl w:val="0"/>
          <w:numId w:val="0"/>
        </w:numPr>
        <w:spacing w:line="360" w:lineRule="auto"/>
        <w:ind w:firstLine="480" w:firstLineChars="200"/>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因此，本项目的建设对于改善流域水域质量环境具有积极的意义。</w:t>
      </w:r>
    </w:p>
    <w:p w14:paraId="7450B38D">
      <w:pPr>
        <w:numPr>
          <w:ilvl w:val="0"/>
          <w:numId w:val="0"/>
        </w:numPr>
        <w:spacing w:line="360" w:lineRule="auto"/>
        <w:ind w:firstLine="482" w:firstLineChars="200"/>
        <w:rPr>
          <w:rFonts w:hint="eastAsia" w:ascii="宋体" w:hAnsi="宋体" w:eastAsia="宋体" w:cs="宋体"/>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四、项目建设是实现巨大的环境效益和社会效益的需要。</w:t>
      </w:r>
    </w:p>
    <w:p w14:paraId="02B8A9B9">
      <w:pPr>
        <w:numPr>
          <w:ilvl w:val="0"/>
          <w:numId w:val="0"/>
        </w:numPr>
        <w:spacing w:line="360" w:lineRule="auto"/>
        <w:ind w:firstLine="480" w:firstLineChars="200"/>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本项目的建设，提高污水收集率、污水处理率和处理设施利用率，减少排污量，可有效改善阳东区大八镇的水体环境，减少排入河道的污染物总量，保护水源，改善地区生态环境，确保人民身体健康，有很大的环境效益和社会效益，是大八镇经济及至阳东区经济可持续发展的需要。</w:t>
      </w:r>
    </w:p>
    <w:p w14:paraId="6C6255EC">
      <w:pPr>
        <w:numPr>
          <w:ilvl w:val="0"/>
          <w:numId w:val="0"/>
        </w:numPr>
        <w:spacing w:line="360" w:lineRule="auto"/>
        <w:ind w:firstLine="480" w:firstLineChars="200"/>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目前大八镇在排水和污水处理方面还不尽完善，而大规模的开发建设已蓬勃开展，污水处理工程应与开发、经济发展同步展开。为给各企业创造良好的投资和生产环境，进行阳东区大八镇污水处理厂建设项目，完善市政设施是一个非常重要的方面，也是非常必要的条件之一。阳东区大八镇污水处理厂建设项目的建设，对改善阳东区大八镇的招商引资环境有着十分重要的意义。</w:t>
      </w:r>
    </w:p>
    <w:p w14:paraId="00D4F750">
      <w:pPr>
        <w:numPr>
          <w:ilvl w:val="0"/>
          <w:numId w:val="0"/>
        </w:numPr>
        <w:spacing w:line="360" w:lineRule="auto"/>
        <w:ind w:firstLine="482" w:firstLineChars="200"/>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五、项目建设是全面</w:t>
      </w:r>
      <w:r>
        <w:rPr>
          <w:rFonts w:hint="eastAsia" w:ascii="宋体" w:hAnsi="宋体" w:cs="宋体"/>
          <w:b/>
          <w:bCs/>
          <w:color w:val="auto"/>
          <w:kern w:val="0"/>
          <w:sz w:val="24"/>
          <w:szCs w:val="24"/>
          <w:lang w:val="en-US" w:eastAsia="zh-CN" w:bidi="ar"/>
        </w:rPr>
        <w:t>建成</w:t>
      </w:r>
      <w:r>
        <w:rPr>
          <w:rFonts w:hint="eastAsia" w:ascii="宋体" w:hAnsi="宋体" w:eastAsia="宋体" w:cs="宋体"/>
          <w:b/>
          <w:bCs/>
          <w:color w:val="auto"/>
          <w:kern w:val="0"/>
          <w:sz w:val="24"/>
          <w:szCs w:val="24"/>
          <w:lang w:val="en-US" w:eastAsia="zh-CN" w:bidi="ar"/>
        </w:rPr>
        <w:t>小康社会</w:t>
      </w:r>
      <w:r>
        <w:rPr>
          <w:rFonts w:hint="eastAsia" w:ascii="宋体" w:hAnsi="宋体" w:cs="宋体"/>
          <w:b/>
          <w:bCs/>
          <w:color w:val="auto"/>
          <w:kern w:val="0"/>
          <w:sz w:val="24"/>
          <w:szCs w:val="24"/>
          <w:lang w:val="en-US" w:eastAsia="zh-CN" w:bidi="ar"/>
        </w:rPr>
        <w:t>、开启全面建设社会主义现代化国家新征程</w:t>
      </w:r>
      <w:r>
        <w:rPr>
          <w:rFonts w:hint="eastAsia" w:ascii="宋体" w:hAnsi="宋体" w:eastAsia="宋体" w:cs="宋体"/>
          <w:b/>
          <w:bCs/>
          <w:color w:val="auto"/>
          <w:kern w:val="0"/>
          <w:sz w:val="24"/>
          <w:szCs w:val="24"/>
          <w:lang w:val="en-US" w:eastAsia="zh-CN" w:bidi="ar"/>
        </w:rPr>
        <w:t>。</w:t>
      </w:r>
    </w:p>
    <w:p w14:paraId="38C81C15">
      <w:pPr>
        <w:numPr>
          <w:ilvl w:val="0"/>
          <w:numId w:val="0"/>
        </w:numPr>
        <w:spacing w:line="360" w:lineRule="auto"/>
        <w:ind w:firstLine="480" w:firstLineChars="200"/>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“十</w:t>
      </w:r>
      <w:r>
        <w:rPr>
          <w:rFonts w:hint="eastAsia" w:ascii="宋体" w:hAnsi="宋体" w:cs="宋体"/>
          <w:color w:val="auto"/>
          <w:kern w:val="0"/>
          <w:sz w:val="24"/>
          <w:szCs w:val="24"/>
          <w:lang w:val="en-US" w:eastAsia="zh-CN" w:bidi="ar"/>
        </w:rPr>
        <w:t>四</w:t>
      </w:r>
      <w:r>
        <w:rPr>
          <w:rFonts w:hint="eastAsia" w:ascii="宋体" w:hAnsi="宋体" w:eastAsia="宋体" w:cs="宋体"/>
          <w:color w:val="auto"/>
          <w:kern w:val="0"/>
          <w:sz w:val="24"/>
          <w:szCs w:val="24"/>
          <w:lang w:val="en-US" w:eastAsia="zh-CN" w:bidi="ar"/>
        </w:rPr>
        <w:t xml:space="preserve">五”时期将是全面建成小康社会、实现我国第一个“百年目标”的决胜时期，也是深入推进水污染防治工作，全面实现水环境质量目标至关重要的五年。水环境保护事关人民群众的切身利益，事关全面建成小康社会，事关中华民族伟大复兴中国梦。当前，粤东西北地区由于经济基础相对薄弱，水污染治理投入不足，造成水环境质量差，水生态受损重，环境隐患多等问题的产生，迫切需要进行全面的摸查、整治。 </w:t>
      </w:r>
    </w:p>
    <w:p w14:paraId="67B898F3">
      <w:pPr>
        <w:numPr>
          <w:ilvl w:val="0"/>
          <w:numId w:val="0"/>
        </w:numPr>
        <w:spacing w:line="360" w:lineRule="auto"/>
        <w:ind w:firstLine="480" w:firstLineChars="200"/>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 xml:space="preserve">党的十八大提出全面建成小康社会的奋斗目标，强调“资源节约型、环境友好型社会建设取得重大进展”。在迈向全面小康社会的征途上，如果水污染问题得不到有效解决，那么我省提前实现全面建成小康社会的愿景就难以如期实现。 </w:t>
      </w:r>
    </w:p>
    <w:p w14:paraId="3FB2938A">
      <w:pPr>
        <w:numPr>
          <w:ilvl w:val="0"/>
          <w:numId w:val="0"/>
        </w:numPr>
        <w:spacing w:line="360" w:lineRule="auto"/>
        <w:ind w:firstLine="480" w:firstLineChars="200"/>
        <w:rPr>
          <w:color w:val="auto"/>
        </w:rPr>
      </w:pPr>
      <w:r>
        <w:rPr>
          <w:rFonts w:hint="eastAsia" w:ascii="宋体" w:hAnsi="宋体" w:eastAsia="宋体" w:cs="宋体"/>
          <w:color w:val="auto"/>
          <w:kern w:val="0"/>
          <w:sz w:val="24"/>
          <w:szCs w:val="24"/>
          <w:lang w:val="en-US" w:eastAsia="zh-CN" w:bidi="ar"/>
        </w:rPr>
        <w:t>综上所述，为彻底改善镇区水环境污染的问题，完善该片区污水收集系统，兴建大八镇污水处理设施及配套管网工程是非常必要的。</w:t>
      </w:r>
    </w:p>
    <w:p w14:paraId="38EBD4FB">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bookmarkStart w:id="32" w:name="_Toc20025"/>
      <w:bookmarkStart w:id="33" w:name="_Toc11830"/>
      <w:r>
        <w:rPr>
          <w:rFonts w:hint="eastAsia"/>
          <w:color w:val="auto"/>
          <w:lang w:val="en-US" w:eastAsia="zh-CN"/>
        </w:rPr>
        <w:t>污水处理厂工程概况</w:t>
      </w:r>
      <w:bookmarkEnd w:id="32"/>
      <w:bookmarkEnd w:id="33"/>
    </w:p>
    <w:p w14:paraId="195FB975">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污水处理工艺</w:t>
      </w:r>
    </w:p>
    <w:p w14:paraId="3C9BEC56">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根据设计方案，本项目拟采用“预处理+A2O微动力接触氧化+深度消毒”处理工艺处理收集的废水，工艺流程：进水→机械粗格栅→提升泵站→机械细格栅→沉砂池→改良型卡鲁塞尔氧化沟→二沉池→污泥泵站→混凝沉淀池→转鼓微过滤器→紫外线消毒池</w:t>
      </w:r>
      <w:r>
        <w:rPr>
          <w:rFonts w:hint="default"/>
          <w:color w:val="auto"/>
          <w:sz w:val="24"/>
          <w:highlight w:val="none"/>
          <w:lang w:val="en-US" w:eastAsia="zh-CN"/>
        </w:rPr>
        <w:t>→</w:t>
      </w:r>
      <w:r>
        <w:rPr>
          <w:rFonts w:hint="eastAsia"/>
          <w:color w:val="auto"/>
          <w:sz w:val="24"/>
          <w:highlight w:val="none"/>
          <w:lang w:val="en-US" w:eastAsia="zh-CN"/>
        </w:rPr>
        <w:t>计量槽→出水。确保处理出水达到《城镇污水处理厂污染物排放标准》（GB18918-2002）一级A标准及《广东省污水综合排放标准》（DB4426-2001）第二时段一级标准较严者。</w:t>
      </w:r>
    </w:p>
    <w:p w14:paraId="70F3DC2E">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设计进出水水质及去除率</w:t>
      </w:r>
    </w:p>
    <w:p w14:paraId="15197463">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（1）设计进水水质</w:t>
      </w:r>
    </w:p>
    <w:p w14:paraId="628F196E">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根据项目可研论证结论，本项目设计进水水质指标如下。</w:t>
      </w:r>
    </w:p>
    <w:p w14:paraId="2E5C188D">
      <w:pPr>
        <w:spacing w:line="240" w:lineRule="auto"/>
        <w:ind w:firstLine="480" w:firstLineChars="200"/>
        <w:jc w:val="center"/>
        <w:rPr>
          <w:color w:val="auto"/>
        </w:rPr>
      </w:pPr>
      <w:r>
        <w:rPr>
          <w:rFonts w:hint="eastAsia" w:ascii="Times New Roman" w:hAnsi="Times New Roman" w:eastAsia="宋体" w:cs="Times New Roman"/>
          <w:color w:val="auto"/>
          <w:sz w:val="24"/>
          <w:highlight w:val="none"/>
          <w:lang w:val="en-US" w:eastAsia="zh-CN"/>
        </w:rPr>
        <w:t>表2.</w:t>
      </w:r>
      <w:r>
        <w:rPr>
          <w:rFonts w:hint="eastAsia" w:cs="Times New Roman"/>
          <w:color w:val="auto"/>
          <w:sz w:val="24"/>
          <w:highlight w:val="none"/>
          <w:lang w:val="en-US" w:eastAsia="zh-CN"/>
        </w:rPr>
        <w:t>3</w:t>
      </w:r>
      <w:r>
        <w:rPr>
          <w:rFonts w:hint="eastAsia"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1</w:t>
      </w:r>
      <w:r>
        <w:rPr>
          <w:rFonts w:hint="eastAsia"/>
          <w:color w:val="auto"/>
          <w:sz w:val="24"/>
          <w:highlight w:val="none"/>
          <w:lang w:val="en-US" w:eastAsia="zh-CN"/>
        </w:rPr>
        <w:t>阳东区大八镇污水处理厂设计进水水质指标表</w:t>
      </w:r>
    </w:p>
    <w:tbl>
      <w:tblPr>
        <w:tblStyle w:val="31"/>
        <w:tblW w:w="0" w:type="auto"/>
        <w:tblInd w:w="0" w:type="dxa"/>
        <w:tblLayout w:type="fixed"/>
        <w:tblCellMar>
          <w:top w:w="0" w:type="dxa"/>
          <w:left w:w="0" w:type="dxa"/>
          <w:bottom w:w="0" w:type="dxa"/>
          <w:right w:w="0" w:type="dxa"/>
        </w:tblCellMar>
      </w:tblPr>
      <w:tblGrid>
        <w:gridCol w:w="2998"/>
        <w:gridCol w:w="674"/>
        <w:gridCol w:w="1066"/>
        <w:gridCol w:w="935"/>
        <w:gridCol w:w="935"/>
        <w:gridCol w:w="1035"/>
        <w:gridCol w:w="803"/>
        <w:gridCol w:w="869"/>
      </w:tblGrid>
      <w:tr w14:paraId="10D0965E">
        <w:tblPrEx>
          <w:tblCellMar>
            <w:top w:w="0" w:type="dxa"/>
            <w:left w:w="0" w:type="dxa"/>
            <w:bottom w:w="0" w:type="dxa"/>
            <w:right w:w="0" w:type="dxa"/>
          </w:tblCellMar>
        </w:tblPrEx>
        <w:trPr>
          <w:trHeight w:val="662" w:hRule="exact"/>
        </w:trPr>
        <w:tc>
          <w:tcPr>
            <w:tcW w:w="2998" w:type="dxa"/>
            <w:tcBorders>
              <w:top w:val="single" w:color="000000" w:sz="4" w:space="0"/>
              <w:left w:val="single" w:color="000000" w:sz="4" w:space="0"/>
              <w:bottom w:val="single" w:color="000000" w:sz="4" w:space="0"/>
              <w:right w:val="single" w:color="000000" w:sz="4" w:space="0"/>
            </w:tcBorders>
            <w:vAlign w:val="center"/>
          </w:tcPr>
          <w:p w14:paraId="6E39530F">
            <w:pPr>
              <w:pStyle w:val="56"/>
              <w:bidi w:val="0"/>
              <w:jc w:val="center"/>
              <w:rPr>
                <w:b/>
                <w:bCs/>
                <w:color w:val="auto"/>
              </w:rPr>
            </w:pPr>
            <w:r>
              <w:rPr>
                <w:b/>
                <w:bCs/>
                <w:color w:val="auto"/>
              </w:rPr>
              <w:t>污染物</w:t>
            </w:r>
          </w:p>
        </w:tc>
        <w:tc>
          <w:tcPr>
            <w:tcW w:w="674" w:type="dxa"/>
            <w:tcBorders>
              <w:top w:val="single" w:color="000000" w:sz="4" w:space="0"/>
              <w:left w:val="single" w:color="000000" w:sz="4" w:space="0"/>
              <w:bottom w:val="single" w:color="000000" w:sz="4" w:space="0"/>
              <w:right w:val="single" w:color="000000" w:sz="4" w:space="0"/>
            </w:tcBorders>
            <w:vAlign w:val="center"/>
          </w:tcPr>
          <w:p w14:paraId="19000E02">
            <w:pPr>
              <w:pStyle w:val="56"/>
              <w:bidi w:val="0"/>
              <w:jc w:val="center"/>
              <w:rPr>
                <w:b/>
                <w:bCs/>
                <w:color w:val="auto"/>
              </w:rPr>
            </w:pPr>
            <w:r>
              <w:rPr>
                <w:b/>
                <w:bCs/>
                <w:color w:val="auto"/>
              </w:rPr>
              <w:t>pH</w:t>
            </w:r>
          </w:p>
        </w:tc>
        <w:tc>
          <w:tcPr>
            <w:tcW w:w="1066" w:type="dxa"/>
            <w:tcBorders>
              <w:top w:val="single" w:color="000000" w:sz="4" w:space="0"/>
              <w:left w:val="single" w:color="000000" w:sz="4" w:space="0"/>
              <w:bottom w:val="single" w:color="000000" w:sz="4" w:space="0"/>
              <w:right w:val="single" w:color="000000" w:sz="4" w:space="0"/>
            </w:tcBorders>
            <w:vAlign w:val="center"/>
          </w:tcPr>
          <w:p w14:paraId="4DFB07EB">
            <w:pPr>
              <w:pStyle w:val="56"/>
              <w:bidi w:val="0"/>
              <w:jc w:val="center"/>
              <w:rPr>
                <w:b/>
                <w:bCs/>
                <w:color w:val="auto"/>
              </w:rPr>
            </w:pPr>
            <w:r>
              <w:rPr>
                <w:b/>
                <w:bCs/>
                <w:color w:val="auto"/>
              </w:rPr>
              <w:t>COD</w:t>
            </w:r>
            <w:r>
              <w:rPr>
                <w:b/>
                <w:bCs/>
                <w:color w:val="auto"/>
                <w:vertAlign w:val="subscript"/>
              </w:rPr>
              <w:t>Cr</w:t>
            </w:r>
          </w:p>
        </w:tc>
        <w:tc>
          <w:tcPr>
            <w:tcW w:w="935" w:type="dxa"/>
            <w:tcBorders>
              <w:top w:val="single" w:color="000000" w:sz="4" w:space="0"/>
              <w:left w:val="single" w:color="000000" w:sz="4" w:space="0"/>
              <w:bottom w:val="single" w:color="000000" w:sz="4" w:space="0"/>
              <w:right w:val="single" w:color="000000" w:sz="4" w:space="0"/>
            </w:tcBorders>
            <w:vAlign w:val="center"/>
          </w:tcPr>
          <w:p w14:paraId="537D8CB1">
            <w:pPr>
              <w:pStyle w:val="56"/>
              <w:bidi w:val="0"/>
              <w:jc w:val="center"/>
              <w:rPr>
                <w:b/>
                <w:bCs/>
                <w:color w:val="auto"/>
              </w:rPr>
            </w:pPr>
            <w:r>
              <w:rPr>
                <w:b/>
                <w:bCs/>
                <w:color w:val="auto"/>
              </w:rPr>
              <w:t>BOD</w:t>
            </w:r>
            <w:r>
              <w:rPr>
                <w:b/>
                <w:bCs/>
                <w:color w:val="auto"/>
                <w:vertAlign w:val="subscript"/>
              </w:rPr>
              <w:t>5</w:t>
            </w:r>
          </w:p>
        </w:tc>
        <w:tc>
          <w:tcPr>
            <w:tcW w:w="935" w:type="dxa"/>
            <w:tcBorders>
              <w:top w:val="single" w:color="000000" w:sz="4" w:space="0"/>
              <w:left w:val="single" w:color="000000" w:sz="4" w:space="0"/>
              <w:bottom w:val="single" w:color="000000" w:sz="4" w:space="0"/>
              <w:right w:val="single" w:color="000000" w:sz="4" w:space="0"/>
            </w:tcBorders>
            <w:vAlign w:val="center"/>
          </w:tcPr>
          <w:p w14:paraId="0F617299">
            <w:pPr>
              <w:pStyle w:val="56"/>
              <w:bidi w:val="0"/>
              <w:jc w:val="center"/>
              <w:rPr>
                <w:b/>
                <w:bCs/>
                <w:color w:val="auto"/>
              </w:rPr>
            </w:pPr>
            <w:r>
              <w:rPr>
                <w:b/>
                <w:bCs/>
                <w:color w:val="auto"/>
              </w:rPr>
              <w:t>SS</w:t>
            </w:r>
          </w:p>
        </w:tc>
        <w:tc>
          <w:tcPr>
            <w:tcW w:w="1035" w:type="dxa"/>
            <w:tcBorders>
              <w:top w:val="single" w:color="000000" w:sz="4" w:space="0"/>
              <w:left w:val="single" w:color="000000" w:sz="4" w:space="0"/>
              <w:bottom w:val="single" w:color="000000" w:sz="4" w:space="0"/>
              <w:right w:val="single" w:color="000000" w:sz="4" w:space="0"/>
            </w:tcBorders>
            <w:vAlign w:val="center"/>
          </w:tcPr>
          <w:p w14:paraId="0CEDBE7E">
            <w:pPr>
              <w:pStyle w:val="56"/>
              <w:bidi w:val="0"/>
              <w:jc w:val="center"/>
              <w:rPr>
                <w:b/>
                <w:bCs/>
                <w:color w:val="auto"/>
              </w:rPr>
            </w:pPr>
            <w:r>
              <w:rPr>
                <w:b/>
                <w:bCs/>
                <w:color w:val="auto"/>
              </w:rPr>
              <w:t>NH</w:t>
            </w:r>
            <w:r>
              <w:rPr>
                <w:b/>
                <w:bCs/>
                <w:color w:val="auto"/>
                <w:vertAlign w:val="subscript"/>
              </w:rPr>
              <w:t>3</w:t>
            </w:r>
            <w:r>
              <w:rPr>
                <w:b/>
                <w:bCs/>
                <w:color w:val="auto"/>
              </w:rPr>
              <w:t>-N</w:t>
            </w:r>
          </w:p>
        </w:tc>
        <w:tc>
          <w:tcPr>
            <w:tcW w:w="803" w:type="dxa"/>
            <w:tcBorders>
              <w:top w:val="single" w:color="000000" w:sz="4" w:space="0"/>
              <w:left w:val="single" w:color="000000" w:sz="4" w:space="0"/>
              <w:bottom w:val="single" w:color="000000" w:sz="4" w:space="0"/>
              <w:right w:val="single" w:color="000000" w:sz="4" w:space="0"/>
            </w:tcBorders>
            <w:vAlign w:val="center"/>
          </w:tcPr>
          <w:p w14:paraId="758A87BB">
            <w:pPr>
              <w:pStyle w:val="56"/>
              <w:bidi w:val="0"/>
              <w:jc w:val="center"/>
              <w:rPr>
                <w:b/>
                <w:bCs/>
                <w:color w:val="auto"/>
              </w:rPr>
            </w:pPr>
            <w:r>
              <w:rPr>
                <w:b/>
                <w:bCs/>
                <w:color w:val="auto"/>
              </w:rPr>
              <w:t>TN</w:t>
            </w:r>
          </w:p>
        </w:tc>
        <w:tc>
          <w:tcPr>
            <w:tcW w:w="869" w:type="dxa"/>
            <w:tcBorders>
              <w:top w:val="single" w:color="000000" w:sz="4" w:space="0"/>
              <w:left w:val="single" w:color="000000" w:sz="4" w:space="0"/>
              <w:bottom w:val="single" w:color="000000" w:sz="4" w:space="0"/>
              <w:right w:val="single" w:color="000000" w:sz="4" w:space="0"/>
            </w:tcBorders>
            <w:vAlign w:val="center"/>
          </w:tcPr>
          <w:p w14:paraId="0F4AE412">
            <w:pPr>
              <w:pStyle w:val="56"/>
              <w:bidi w:val="0"/>
              <w:jc w:val="center"/>
              <w:rPr>
                <w:b/>
                <w:bCs/>
                <w:color w:val="auto"/>
              </w:rPr>
            </w:pPr>
            <w:r>
              <w:rPr>
                <w:b/>
                <w:bCs/>
                <w:color w:val="auto"/>
              </w:rPr>
              <w:t>TP</w:t>
            </w:r>
          </w:p>
        </w:tc>
      </w:tr>
      <w:tr w14:paraId="53DC8488">
        <w:tblPrEx>
          <w:tblCellMar>
            <w:top w:w="0" w:type="dxa"/>
            <w:left w:w="0" w:type="dxa"/>
            <w:bottom w:w="0" w:type="dxa"/>
            <w:right w:w="0" w:type="dxa"/>
          </w:tblCellMar>
        </w:tblPrEx>
        <w:trPr>
          <w:trHeight w:val="679" w:hRule="exact"/>
        </w:trPr>
        <w:tc>
          <w:tcPr>
            <w:tcW w:w="2998" w:type="dxa"/>
            <w:tcBorders>
              <w:top w:val="single" w:color="000000" w:sz="4" w:space="0"/>
              <w:left w:val="single" w:color="000000" w:sz="4" w:space="0"/>
              <w:bottom w:val="single" w:color="000000" w:sz="4" w:space="0"/>
              <w:right w:val="single" w:color="000000" w:sz="4" w:space="0"/>
            </w:tcBorders>
            <w:vAlign w:val="center"/>
          </w:tcPr>
          <w:p w14:paraId="23B9B960">
            <w:pPr>
              <w:pStyle w:val="56"/>
              <w:bidi w:val="0"/>
              <w:jc w:val="center"/>
              <w:rPr>
                <w:color w:val="auto"/>
              </w:rPr>
            </w:pPr>
            <w:r>
              <w:rPr>
                <w:color w:val="auto"/>
              </w:rPr>
              <w:t>设计进水水质（mg/L）</w:t>
            </w:r>
          </w:p>
        </w:tc>
        <w:tc>
          <w:tcPr>
            <w:tcW w:w="674" w:type="dxa"/>
            <w:tcBorders>
              <w:top w:val="single" w:color="000000" w:sz="4" w:space="0"/>
              <w:left w:val="single" w:color="000000" w:sz="4" w:space="0"/>
              <w:bottom w:val="single" w:color="000000" w:sz="4" w:space="0"/>
              <w:right w:val="single" w:color="000000" w:sz="4" w:space="0"/>
            </w:tcBorders>
            <w:vAlign w:val="center"/>
          </w:tcPr>
          <w:p w14:paraId="28019535">
            <w:pPr>
              <w:spacing w:line="240" w:lineRule="auto"/>
              <w:ind w:firstLine="0" w:firstLineChars="0"/>
              <w:jc w:val="center"/>
              <w:rPr>
                <w:color w:val="auto"/>
              </w:rPr>
            </w:pPr>
            <w:r>
              <w:rPr>
                <w:rFonts w:hint="default" w:ascii="Times New Roman" w:hAnsi="Times New Roman" w:cs="Times New Roman"/>
                <w:color w:val="auto"/>
                <w:sz w:val="21"/>
                <w:szCs w:val="21"/>
              </w:rPr>
              <w:t>6~9</w:t>
            </w:r>
          </w:p>
        </w:tc>
        <w:tc>
          <w:tcPr>
            <w:tcW w:w="1066" w:type="dxa"/>
            <w:tcBorders>
              <w:top w:val="single" w:color="000000" w:sz="4" w:space="0"/>
              <w:left w:val="single" w:color="000000" w:sz="4" w:space="0"/>
              <w:bottom w:val="single" w:color="000000" w:sz="4" w:space="0"/>
              <w:right w:val="single" w:color="000000" w:sz="4" w:space="0"/>
            </w:tcBorders>
            <w:vAlign w:val="center"/>
          </w:tcPr>
          <w:p w14:paraId="5D867531">
            <w:pPr>
              <w:spacing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sz w:val="21"/>
                <w:szCs w:val="21"/>
                <w:lang w:val="en-US" w:eastAsia="zh-CN"/>
              </w:rPr>
              <w:t>≤</w:t>
            </w:r>
            <w:r>
              <w:rPr>
                <w:rFonts w:hint="default" w:ascii="Times New Roman" w:hAnsi="Times New Roman" w:cs="Times New Roman"/>
                <w:color w:val="auto"/>
                <w:kern w:val="0"/>
                <w:szCs w:val="21"/>
              </w:rPr>
              <w:t>260</w:t>
            </w:r>
          </w:p>
        </w:tc>
        <w:tc>
          <w:tcPr>
            <w:tcW w:w="935" w:type="dxa"/>
            <w:tcBorders>
              <w:top w:val="single" w:color="000000" w:sz="4" w:space="0"/>
              <w:left w:val="single" w:color="000000" w:sz="4" w:space="0"/>
              <w:bottom w:val="single" w:color="000000" w:sz="4" w:space="0"/>
              <w:right w:val="single" w:color="000000" w:sz="4" w:space="0"/>
            </w:tcBorders>
            <w:vAlign w:val="center"/>
          </w:tcPr>
          <w:p w14:paraId="49850BB8">
            <w:pPr>
              <w:spacing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sz w:val="21"/>
                <w:szCs w:val="21"/>
                <w:lang w:val="en-US" w:eastAsia="zh-CN"/>
              </w:rPr>
              <w:t>≤</w:t>
            </w:r>
            <w:r>
              <w:rPr>
                <w:rFonts w:hint="default" w:ascii="Times New Roman" w:hAnsi="Times New Roman" w:cs="Times New Roman"/>
                <w:color w:val="auto"/>
                <w:kern w:val="0"/>
                <w:szCs w:val="21"/>
              </w:rPr>
              <w:t>150</w:t>
            </w:r>
          </w:p>
        </w:tc>
        <w:tc>
          <w:tcPr>
            <w:tcW w:w="935" w:type="dxa"/>
            <w:tcBorders>
              <w:top w:val="single" w:color="000000" w:sz="4" w:space="0"/>
              <w:left w:val="single" w:color="000000" w:sz="4" w:space="0"/>
              <w:bottom w:val="single" w:color="000000" w:sz="4" w:space="0"/>
              <w:right w:val="single" w:color="000000" w:sz="4" w:space="0"/>
            </w:tcBorders>
            <w:vAlign w:val="center"/>
          </w:tcPr>
          <w:p w14:paraId="5CDC9A84">
            <w:pPr>
              <w:spacing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sz w:val="21"/>
                <w:szCs w:val="21"/>
                <w:lang w:val="en-US" w:eastAsia="zh-CN"/>
              </w:rPr>
              <w:t>≤150</w:t>
            </w:r>
          </w:p>
        </w:tc>
        <w:tc>
          <w:tcPr>
            <w:tcW w:w="1035" w:type="dxa"/>
            <w:tcBorders>
              <w:top w:val="single" w:color="000000" w:sz="4" w:space="0"/>
              <w:left w:val="single" w:color="000000" w:sz="4" w:space="0"/>
              <w:bottom w:val="single" w:color="000000" w:sz="4" w:space="0"/>
              <w:right w:val="single" w:color="000000" w:sz="4" w:space="0"/>
            </w:tcBorders>
            <w:vAlign w:val="center"/>
          </w:tcPr>
          <w:p w14:paraId="56D6F999">
            <w:pPr>
              <w:spacing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sz w:val="21"/>
                <w:szCs w:val="21"/>
                <w:lang w:val="en-US" w:eastAsia="zh-CN"/>
              </w:rPr>
              <w:t>≤25</w:t>
            </w:r>
          </w:p>
        </w:tc>
        <w:tc>
          <w:tcPr>
            <w:tcW w:w="803" w:type="dxa"/>
            <w:tcBorders>
              <w:top w:val="single" w:color="000000" w:sz="4" w:space="0"/>
              <w:left w:val="single" w:color="000000" w:sz="4" w:space="0"/>
              <w:bottom w:val="single" w:color="000000" w:sz="4" w:space="0"/>
              <w:right w:val="single" w:color="000000" w:sz="4" w:space="0"/>
            </w:tcBorders>
            <w:vAlign w:val="center"/>
          </w:tcPr>
          <w:p w14:paraId="634E31CD">
            <w:pPr>
              <w:spacing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sz w:val="21"/>
                <w:szCs w:val="21"/>
                <w:lang w:val="en-US" w:eastAsia="zh-CN"/>
              </w:rPr>
              <w:t>≤30</w:t>
            </w:r>
          </w:p>
        </w:tc>
        <w:tc>
          <w:tcPr>
            <w:tcW w:w="869" w:type="dxa"/>
            <w:tcBorders>
              <w:top w:val="single" w:color="000000" w:sz="4" w:space="0"/>
              <w:left w:val="single" w:color="000000" w:sz="4" w:space="0"/>
              <w:bottom w:val="single" w:color="000000" w:sz="4" w:space="0"/>
              <w:right w:val="single" w:color="000000" w:sz="4" w:space="0"/>
            </w:tcBorders>
            <w:vAlign w:val="center"/>
          </w:tcPr>
          <w:p w14:paraId="6BEA6AFC">
            <w:pPr>
              <w:spacing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sz w:val="21"/>
                <w:szCs w:val="21"/>
                <w:lang w:val="en-US" w:eastAsia="zh-CN"/>
              </w:rPr>
              <w:t>≤3.0</w:t>
            </w:r>
          </w:p>
        </w:tc>
      </w:tr>
    </w:tbl>
    <w:p w14:paraId="7F6C0CE6">
      <w:pPr>
        <w:numPr>
          <w:ilvl w:val="0"/>
          <w:numId w:val="0"/>
        </w:numPr>
        <w:spacing w:line="360" w:lineRule="auto"/>
        <w:rPr>
          <w:rFonts w:hint="eastAsia"/>
          <w:color w:val="auto"/>
          <w:sz w:val="24"/>
          <w:highlight w:val="none"/>
          <w:lang w:val="en-US" w:eastAsia="zh-CN"/>
        </w:rPr>
      </w:pPr>
    </w:p>
    <w:p w14:paraId="3909385B">
      <w:pPr>
        <w:numPr>
          <w:ilvl w:val="0"/>
          <w:numId w:val="7"/>
        </w:num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设计出水水质</w:t>
      </w:r>
    </w:p>
    <w:p w14:paraId="62192585">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阳东区大八镇污水处理厂出水需达到《城镇污水处理厂污染物排放标准》（GB18918-2002及其2006年修改单）一级A 标准及广东省地方标准《水污染物排放限值》（DB44/26-2001）第二时段一级标准中的较严者，主要出水水质指标见下表所示。</w:t>
      </w:r>
    </w:p>
    <w:p w14:paraId="05143A9E">
      <w:pPr>
        <w:spacing w:line="240" w:lineRule="auto"/>
        <w:ind w:firstLine="480" w:firstLineChars="200"/>
        <w:jc w:val="center"/>
        <w:rPr>
          <w:rFonts w:hint="eastAsia"/>
          <w:color w:val="auto"/>
          <w:lang w:val="en-US" w:eastAsia="zh-CN"/>
        </w:rPr>
      </w:pPr>
      <w:r>
        <w:rPr>
          <w:rFonts w:hint="eastAsia" w:ascii="Times New Roman" w:hAnsi="Times New Roman" w:eastAsia="宋体" w:cs="Times New Roman"/>
          <w:color w:val="auto"/>
          <w:sz w:val="24"/>
          <w:highlight w:val="none"/>
          <w:lang w:val="en-US" w:eastAsia="zh-CN"/>
        </w:rPr>
        <w:t>表2.</w:t>
      </w:r>
      <w:r>
        <w:rPr>
          <w:rFonts w:hint="eastAsia" w:cs="Times New Roman"/>
          <w:color w:val="auto"/>
          <w:sz w:val="24"/>
          <w:highlight w:val="none"/>
          <w:lang w:val="en-US" w:eastAsia="zh-CN"/>
        </w:rPr>
        <w:t>3</w:t>
      </w:r>
      <w:r>
        <w:rPr>
          <w:rFonts w:hint="eastAsia"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2</w:t>
      </w:r>
      <w:r>
        <w:rPr>
          <w:rFonts w:hint="eastAsia"/>
          <w:color w:val="auto"/>
          <w:sz w:val="24"/>
          <w:highlight w:val="none"/>
          <w:lang w:val="en-US" w:eastAsia="zh-CN"/>
        </w:rPr>
        <w:t>阳东区大八镇污水处理厂设计出水水质指标表</w:t>
      </w:r>
    </w:p>
    <w:tbl>
      <w:tblPr>
        <w:tblStyle w:val="31"/>
        <w:tblW w:w="5014" w:type="pct"/>
        <w:tblInd w:w="0" w:type="dxa"/>
        <w:tblLayout w:type="autofit"/>
        <w:tblCellMar>
          <w:top w:w="0" w:type="dxa"/>
          <w:left w:w="0" w:type="dxa"/>
          <w:bottom w:w="0" w:type="dxa"/>
          <w:right w:w="0" w:type="dxa"/>
        </w:tblCellMar>
      </w:tblPr>
      <w:tblGrid>
        <w:gridCol w:w="1543"/>
        <w:gridCol w:w="775"/>
        <w:gridCol w:w="952"/>
        <w:gridCol w:w="1006"/>
        <w:gridCol w:w="794"/>
        <w:gridCol w:w="952"/>
        <w:gridCol w:w="794"/>
        <w:gridCol w:w="794"/>
        <w:gridCol w:w="1977"/>
      </w:tblGrid>
      <w:tr w14:paraId="70E179C6">
        <w:tblPrEx>
          <w:tblCellMar>
            <w:top w:w="0" w:type="dxa"/>
            <w:left w:w="0" w:type="dxa"/>
            <w:bottom w:w="0" w:type="dxa"/>
            <w:right w:w="0" w:type="dxa"/>
          </w:tblCellMar>
        </w:tblPrEx>
        <w:trPr>
          <w:trHeight w:val="626" w:hRule="exact"/>
        </w:trPr>
        <w:tc>
          <w:tcPr>
            <w:tcW w:w="804" w:type="pct"/>
            <w:tcBorders>
              <w:top w:val="single" w:color="000000" w:sz="4" w:space="0"/>
              <w:left w:val="single" w:color="000000" w:sz="4" w:space="0"/>
              <w:bottom w:val="single" w:color="000000" w:sz="4" w:space="0"/>
              <w:right w:val="single" w:color="000000" w:sz="4" w:space="0"/>
            </w:tcBorders>
            <w:vAlign w:val="center"/>
          </w:tcPr>
          <w:p w14:paraId="04BDC57B">
            <w:pPr>
              <w:pStyle w:val="56"/>
              <w:bidi w:val="0"/>
              <w:jc w:val="center"/>
              <w:rPr>
                <w:b/>
                <w:bCs/>
                <w:color w:val="auto"/>
              </w:rPr>
            </w:pPr>
            <w:r>
              <w:rPr>
                <w:b/>
                <w:bCs/>
                <w:color w:val="auto"/>
              </w:rPr>
              <w:t>污染物</w:t>
            </w:r>
          </w:p>
        </w:tc>
        <w:tc>
          <w:tcPr>
            <w:tcW w:w="404" w:type="pct"/>
            <w:tcBorders>
              <w:top w:val="single" w:color="000000" w:sz="4" w:space="0"/>
              <w:left w:val="single" w:color="000000" w:sz="4" w:space="0"/>
              <w:bottom w:val="single" w:color="000000" w:sz="4" w:space="0"/>
              <w:right w:val="single" w:color="000000" w:sz="4" w:space="0"/>
            </w:tcBorders>
            <w:vAlign w:val="center"/>
          </w:tcPr>
          <w:p w14:paraId="39842D53">
            <w:pPr>
              <w:pStyle w:val="56"/>
              <w:bidi w:val="0"/>
              <w:jc w:val="center"/>
              <w:rPr>
                <w:b/>
                <w:bCs/>
                <w:color w:val="auto"/>
              </w:rPr>
            </w:pPr>
            <w:r>
              <w:rPr>
                <w:b/>
                <w:bCs/>
                <w:color w:val="auto"/>
              </w:rPr>
              <w:t>pH</w:t>
            </w:r>
          </w:p>
        </w:tc>
        <w:tc>
          <w:tcPr>
            <w:tcW w:w="496" w:type="pct"/>
            <w:tcBorders>
              <w:top w:val="single" w:color="000000" w:sz="4" w:space="0"/>
              <w:left w:val="single" w:color="000000" w:sz="4" w:space="0"/>
              <w:bottom w:val="single" w:color="000000" w:sz="4" w:space="0"/>
              <w:right w:val="single" w:color="000000" w:sz="4" w:space="0"/>
            </w:tcBorders>
            <w:vAlign w:val="center"/>
          </w:tcPr>
          <w:p w14:paraId="7EB2D1EA">
            <w:pPr>
              <w:pStyle w:val="56"/>
              <w:bidi w:val="0"/>
              <w:jc w:val="center"/>
              <w:rPr>
                <w:b/>
                <w:bCs/>
                <w:color w:val="auto"/>
              </w:rPr>
            </w:pPr>
            <w:r>
              <w:rPr>
                <w:b/>
                <w:bCs/>
                <w:color w:val="auto"/>
              </w:rPr>
              <w:t>COD</w:t>
            </w:r>
            <w:r>
              <w:rPr>
                <w:b/>
                <w:bCs/>
                <w:color w:val="auto"/>
                <w:vertAlign w:val="subscript"/>
              </w:rPr>
              <w:t>Cr</w:t>
            </w:r>
          </w:p>
        </w:tc>
        <w:tc>
          <w:tcPr>
            <w:tcW w:w="524" w:type="pct"/>
            <w:tcBorders>
              <w:top w:val="single" w:color="000000" w:sz="4" w:space="0"/>
              <w:left w:val="single" w:color="000000" w:sz="4" w:space="0"/>
              <w:bottom w:val="single" w:color="000000" w:sz="4" w:space="0"/>
              <w:right w:val="single" w:color="000000" w:sz="4" w:space="0"/>
            </w:tcBorders>
            <w:vAlign w:val="center"/>
          </w:tcPr>
          <w:p w14:paraId="167ECA25">
            <w:pPr>
              <w:pStyle w:val="56"/>
              <w:bidi w:val="0"/>
              <w:jc w:val="center"/>
              <w:rPr>
                <w:b/>
                <w:bCs/>
                <w:color w:val="auto"/>
              </w:rPr>
            </w:pPr>
            <w:r>
              <w:rPr>
                <w:b/>
                <w:bCs/>
                <w:color w:val="auto"/>
              </w:rPr>
              <w:t>BOD</w:t>
            </w:r>
            <w:r>
              <w:rPr>
                <w:b/>
                <w:bCs/>
                <w:color w:val="auto"/>
                <w:vertAlign w:val="subscript"/>
              </w:rPr>
              <w:t>5</w:t>
            </w:r>
          </w:p>
        </w:tc>
        <w:tc>
          <w:tcPr>
            <w:tcW w:w="414" w:type="pct"/>
            <w:tcBorders>
              <w:top w:val="single" w:color="000000" w:sz="4" w:space="0"/>
              <w:left w:val="single" w:color="000000" w:sz="4" w:space="0"/>
              <w:bottom w:val="single" w:color="000000" w:sz="4" w:space="0"/>
              <w:right w:val="single" w:color="000000" w:sz="4" w:space="0"/>
            </w:tcBorders>
            <w:vAlign w:val="center"/>
          </w:tcPr>
          <w:p w14:paraId="7642EA3B">
            <w:pPr>
              <w:pStyle w:val="56"/>
              <w:bidi w:val="0"/>
              <w:jc w:val="center"/>
              <w:rPr>
                <w:b/>
                <w:bCs/>
                <w:color w:val="auto"/>
              </w:rPr>
            </w:pPr>
            <w:r>
              <w:rPr>
                <w:b/>
                <w:bCs/>
                <w:color w:val="auto"/>
              </w:rPr>
              <w:t>SS</w:t>
            </w:r>
          </w:p>
        </w:tc>
        <w:tc>
          <w:tcPr>
            <w:tcW w:w="496" w:type="pct"/>
            <w:tcBorders>
              <w:top w:val="single" w:color="000000" w:sz="4" w:space="0"/>
              <w:left w:val="single" w:color="000000" w:sz="4" w:space="0"/>
              <w:bottom w:val="single" w:color="000000" w:sz="4" w:space="0"/>
              <w:right w:val="single" w:color="000000" w:sz="4" w:space="0"/>
            </w:tcBorders>
            <w:vAlign w:val="center"/>
          </w:tcPr>
          <w:p w14:paraId="456FB2BE">
            <w:pPr>
              <w:pStyle w:val="56"/>
              <w:bidi w:val="0"/>
              <w:jc w:val="center"/>
              <w:rPr>
                <w:b/>
                <w:bCs/>
                <w:color w:val="auto"/>
              </w:rPr>
            </w:pPr>
            <w:r>
              <w:rPr>
                <w:b/>
                <w:bCs/>
                <w:color w:val="auto"/>
              </w:rPr>
              <w:t>NH</w:t>
            </w:r>
            <w:r>
              <w:rPr>
                <w:b/>
                <w:bCs/>
                <w:color w:val="auto"/>
                <w:vertAlign w:val="subscript"/>
              </w:rPr>
              <w:t>3</w:t>
            </w:r>
            <w:r>
              <w:rPr>
                <w:b/>
                <w:bCs/>
                <w:color w:val="auto"/>
              </w:rPr>
              <w:t>-N</w:t>
            </w:r>
          </w:p>
        </w:tc>
        <w:tc>
          <w:tcPr>
            <w:tcW w:w="414" w:type="pct"/>
            <w:tcBorders>
              <w:top w:val="single" w:color="000000" w:sz="4" w:space="0"/>
              <w:left w:val="single" w:color="000000" w:sz="4" w:space="0"/>
              <w:bottom w:val="single" w:color="000000" w:sz="4" w:space="0"/>
              <w:right w:val="single" w:color="000000" w:sz="4" w:space="0"/>
            </w:tcBorders>
            <w:vAlign w:val="center"/>
          </w:tcPr>
          <w:p w14:paraId="3F78EA84">
            <w:pPr>
              <w:pStyle w:val="56"/>
              <w:bidi w:val="0"/>
              <w:jc w:val="center"/>
              <w:rPr>
                <w:b/>
                <w:bCs/>
                <w:color w:val="auto"/>
              </w:rPr>
            </w:pPr>
            <w:r>
              <w:rPr>
                <w:b/>
                <w:bCs/>
                <w:color w:val="auto"/>
              </w:rPr>
              <w:t>TN</w:t>
            </w:r>
          </w:p>
        </w:tc>
        <w:tc>
          <w:tcPr>
            <w:tcW w:w="414" w:type="pct"/>
            <w:tcBorders>
              <w:top w:val="single" w:color="000000" w:sz="4" w:space="0"/>
              <w:left w:val="single" w:color="000000" w:sz="4" w:space="0"/>
              <w:bottom w:val="single" w:color="000000" w:sz="4" w:space="0"/>
              <w:right w:val="single" w:color="000000" w:sz="4" w:space="0"/>
            </w:tcBorders>
            <w:vAlign w:val="center"/>
          </w:tcPr>
          <w:p w14:paraId="2F132DFA">
            <w:pPr>
              <w:pStyle w:val="56"/>
              <w:bidi w:val="0"/>
              <w:jc w:val="center"/>
              <w:rPr>
                <w:b/>
                <w:bCs/>
                <w:color w:val="auto"/>
              </w:rPr>
            </w:pPr>
            <w:r>
              <w:rPr>
                <w:b/>
                <w:bCs/>
                <w:color w:val="auto"/>
              </w:rPr>
              <w:t>TP</w:t>
            </w:r>
          </w:p>
        </w:tc>
        <w:tc>
          <w:tcPr>
            <w:tcW w:w="1030" w:type="pct"/>
            <w:tcBorders>
              <w:top w:val="single" w:color="000000" w:sz="4" w:space="0"/>
              <w:left w:val="single" w:color="000000" w:sz="4" w:space="0"/>
              <w:bottom w:val="single" w:color="000000" w:sz="4" w:space="0"/>
              <w:right w:val="single" w:color="000000" w:sz="4" w:space="0"/>
            </w:tcBorders>
            <w:vAlign w:val="center"/>
          </w:tcPr>
          <w:p w14:paraId="27E6A32E">
            <w:pPr>
              <w:pStyle w:val="56"/>
              <w:bidi w:val="0"/>
              <w:jc w:val="center"/>
              <w:rPr>
                <w:b/>
                <w:bCs/>
                <w:color w:val="auto"/>
              </w:rPr>
            </w:pPr>
            <w:r>
              <w:rPr>
                <w:b/>
                <w:bCs/>
                <w:color w:val="auto"/>
              </w:rPr>
              <w:t>粪大肠杆菌群数</w:t>
            </w:r>
          </w:p>
        </w:tc>
      </w:tr>
      <w:tr w14:paraId="65DC4721">
        <w:tblPrEx>
          <w:tblCellMar>
            <w:top w:w="0" w:type="dxa"/>
            <w:left w:w="0" w:type="dxa"/>
            <w:bottom w:w="0" w:type="dxa"/>
            <w:right w:w="0" w:type="dxa"/>
          </w:tblCellMar>
        </w:tblPrEx>
        <w:trPr>
          <w:trHeight w:val="814" w:hRule="exact"/>
        </w:trPr>
        <w:tc>
          <w:tcPr>
            <w:tcW w:w="804" w:type="pct"/>
            <w:tcBorders>
              <w:top w:val="single" w:color="000000" w:sz="4" w:space="0"/>
              <w:left w:val="single" w:color="000000" w:sz="4" w:space="0"/>
              <w:bottom w:val="single" w:color="000000" w:sz="4" w:space="0"/>
              <w:right w:val="single" w:color="000000" w:sz="4" w:space="0"/>
            </w:tcBorders>
            <w:vAlign w:val="center"/>
          </w:tcPr>
          <w:p w14:paraId="0AD199BB">
            <w:pPr>
              <w:pStyle w:val="56"/>
              <w:bidi w:val="0"/>
              <w:jc w:val="center"/>
              <w:rPr>
                <w:color w:val="auto"/>
              </w:rPr>
            </w:pPr>
            <w:r>
              <w:rPr>
                <w:color w:val="auto"/>
              </w:rPr>
              <w:t>设计出水水</w:t>
            </w:r>
          </w:p>
          <w:p w14:paraId="54309BD7">
            <w:pPr>
              <w:pStyle w:val="56"/>
              <w:bidi w:val="0"/>
              <w:jc w:val="center"/>
              <w:rPr>
                <w:color w:val="auto"/>
              </w:rPr>
            </w:pPr>
            <w:r>
              <w:rPr>
                <w:color w:val="auto"/>
              </w:rPr>
              <w:t>质（mg/L）</w:t>
            </w:r>
          </w:p>
        </w:tc>
        <w:tc>
          <w:tcPr>
            <w:tcW w:w="404" w:type="pct"/>
            <w:tcBorders>
              <w:top w:val="single" w:color="000000" w:sz="4" w:space="0"/>
              <w:left w:val="single" w:color="000000" w:sz="4" w:space="0"/>
              <w:bottom w:val="single" w:color="000000" w:sz="4" w:space="0"/>
              <w:right w:val="single" w:color="000000" w:sz="4" w:space="0"/>
            </w:tcBorders>
            <w:vAlign w:val="center"/>
          </w:tcPr>
          <w:p w14:paraId="3CEAEEEA">
            <w:pPr>
              <w:pStyle w:val="56"/>
              <w:bidi w:val="0"/>
              <w:jc w:val="center"/>
              <w:rPr>
                <w:color w:val="auto"/>
              </w:rPr>
            </w:pPr>
            <w:r>
              <w:rPr>
                <w:color w:val="auto"/>
              </w:rPr>
              <w:t>6~9</w:t>
            </w:r>
          </w:p>
        </w:tc>
        <w:tc>
          <w:tcPr>
            <w:tcW w:w="496" w:type="pct"/>
            <w:tcBorders>
              <w:top w:val="single" w:color="000000" w:sz="4" w:space="0"/>
              <w:left w:val="single" w:color="000000" w:sz="4" w:space="0"/>
              <w:bottom w:val="single" w:color="000000" w:sz="4" w:space="0"/>
              <w:right w:val="single" w:color="000000" w:sz="4" w:space="0"/>
            </w:tcBorders>
            <w:vAlign w:val="center"/>
          </w:tcPr>
          <w:p w14:paraId="6143E534">
            <w:pPr>
              <w:pStyle w:val="56"/>
              <w:bidi w:val="0"/>
              <w:jc w:val="center"/>
              <w:rPr>
                <w:rFonts w:hint="default" w:eastAsia="宋体"/>
                <w:color w:val="auto"/>
                <w:lang w:val="en-US" w:eastAsia="zh-CN"/>
              </w:rPr>
            </w:pPr>
            <w:r>
              <w:rPr>
                <w:rFonts w:hint="default" w:ascii="Times New Roman" w:hAnsi="Times New Roman" w:cs="Times New Roman"/>
                <w:color w:val="auto"/>
                <w:sz w:val="21"/>
                <w:szCs w:val="21"/>
                <w:lang w:val="en-US" w:eastAsia="zh-CN"/>
              </w:rPr>
              <w:t>≤</w:t>
            </w:r>
            <w:r>
              <w:rPr>
                <w:rFonts w:hint="eastAsia"/>
                <w:color w:val="auto"/>
                <w:lang w:val="en-US" w:eastAsia="zh-CN"/>
              </w:rPr>
              <w:t>40</w:t>
            </w:r>
          </w:p>
        </w:tc>
        <w:tc>
          <w:tcPr>
            <w:tcW w:w="524" w:type="pct"/>
            <w:tcBorders>
              <w:top w:val="single" w:color="000000" w:sz="4" w:space="0"/>
              <w:left w:val="single" w:color="000000" w:sz="4" w:space="0"/>
              <w:bottom w:val="single" w:color="000000" w:sz="4" w:space="0"/>
              <w:right w:val="single" w:color="000000" w:sz="4" w:space="0"/>
            </w:tcBorders>
            <w:vAlign w:val="center"/>
          </w:tcPr>
          <w:p w14:paraId="61ACC864">
            <w:pPr>
              <w:pStyle w:val="56"/>
              <w:bidi w:val="0"/>
              <w:jc w:val="center"/>
              <w:rPr>
                <w:rFonts w:hint="default" w:eastAsia="宋体"/>
                <w:color w:val="auto"/>
                <w:lang w:val="en-US" w:eastAsia="zh-CN"/>
              </w:rPr>
            </w:pPr>
            <w:r>
              <w:rPr>
                <w:rFonts w:hint="default" w:ascii="Times New Roman" w:hAnsi="Times New Roman" w:cs="Times New Roman"/>
                <w:color w:val="auto"/>
                <w:sz w:val="21"/>
                <w:szCs w:val="21"/>
                <w:lang w:val="en-US" w:eastAsia="zh-CN"/>
              </w:rPr>
              <w:t>≤</w:t>
            </w:r>
            <w:r>
              <w:rPr>
                <w:rFonts w:hint="eastAsia"/>
                <w:color w:val="auto"/>
                <w:lang w:val="en-US" w:eastAsia="zh-CN"/>
              </w:rPr>
              <w:t>10</w:t>
            </w:r>
          </w:p>
        </w:tc>
        <w:tc>
          <w:tcPr>
            <w:tcW w:w="414" w:type="pct"/>
            <w:tcBorders>
              <w:top w:val="single" w:color="000000" w:sz="4" w:space="0"/>
              <w:left w:val="single" w:color="000000" w:sz="4" w:space="0"/>
              <w:bottom w:val="single" w:color="000000" w:sz="4" w:space="0"/>
              <w:right w:val="single" w:color="000000" w:sz="4" w:space="0"/>
            </w:tcBorders>
            <w:vAlign w:val="center"/>
          </w:tcPr>
          <w:p w14:paraId="07F0165F">
            <w:pPr>
              <w:pStyle w:val="56"/>
              <w:bidi w:val="0"/>
              <w:jc w:val="center"/>
              <w:rPr>
                <w:rFonts w:hint="default" w:eastAsia="宋体"/>
                <w:color w:val="auto"/>
                <w:lang w:val="en-US" w:eastAsia="zh-CN"/>
              </w:rPr>
            </w:pPr>
            <w:r>
              <w:rPr>
                <w:rFonts w:hint="default" w:ascii="Times New Roman" w:hAnsi="Times New Roman" w:cs="Times New Roman"/>
                <w:color w:val="auto"/>
                <w:sz w:val="21"/>
                <w:szCs w:val="21"/>
                <w:lang w:val="en-US" w:eastAsia="zh-CN"/>
              </w:rPr>
              <w:t>≤</w:t>
            </w:r>
            <w:r>
              <w:rPr>
                <w:rFonts w:hint="eastAsia"/>
                <w:color w:val="auto"/>
                <w:lang w:val="en-US" w:eastAsia="zh-CN"/>
              </w:rPr>
              <w:t>10</w:t>
            </w:r>
          </w:p>
        </w:tc>
        <w:tc>
          <w:tcPr>
            <w:tcW w:w="496" w:type="pct"/>
            <w:tcBorders>
              <w:top w:val="single" w:color="000000" w:sz="4" w:space="0"/>
              <w:left w:val="single" w:color="000000" w:sz="4" w:space="0"/>
              <w:bottom w:val="single" w:color="000000" w:sz="4" w:space="0"/>
              <w:right w:val="single" w:color="000000" w:sz="4" w:space="0"/>
            </w:tcBorders>
            <w:vAlign w:val="center"/>
          </w:tcPr>
          <w:p w14:paraId="7E5B0FE6">
            <w:pPr>
              <w:pStyle w:val="56"/>
              <w:bidi w:val="0"/>
              <w:jc w:val="center"/>
              <w:rPr>
                <w:rFonts w:hint="default" w:eastAsia="宋体"/>
                <w:color w:val="auto"/>
                <w:lang w:val="en-US" w:eastAsia="zh-CN"/>
              </w:rPr>
            </w:pPr>
            <w:r>
              <w:rPr>
                <w:rFonts w:hint="default" w:ascii="Times New Roman" w:hAnsi="Times New Roman" w:cs="Times New Roman"/>
                <w:color w:val="auto"/>
                <w:sz w:val="21"/>
                <w:szCs w:val="21"/>
                <w:lang w:val="en-US" w:eastAsia="zh-CN"/>
              </w:rPr>
              <w:t>≤</w:t>
            </w:r>
            <w:r>
              <w:rPr>
                <w:rFonts w:hint="eastAsia"/>
                <w:color w:val="auto"/>
                <w:lang w:val="en-US" w:eastAsia="zh-CN"/>
              </w:rPr>
              <w:t>5（8）</w:t>
            </w:r>
          </w:p>
        </w:tc>
        <w:tc>
          <w:tcPr>
            <w:tcW w:w="414" w:type="pct"/>
            <w:tcBorders>
              <w:top w:val="single" w:color="000000" w:sz="4" w:space="0"/>
              <w:left w:val="single" w:color="000000" w:sz="4" w:space="0"/>
              <w:bottom w:val="single" w:color="000000" w:sz="4" w:space="0"/>
              <w:right w:val="single" w:color="000000" w:sz="4" w:space="0"/>
            </w:tcBorders>
            <w:vAlign w:val="center"/>
          </w:tcPr>
          <w:p w14:paraId="48E795B6">
            <w:pPr>
              <w:pStyle w:val="56"/>
              <w:bidi w:val="0"/>
              <w:jc w:val="center"/>
              <w:rPr>
                <w:rFonts w:hint="default" w:eastAsia="宋体"/>
                <w:color w:val="auto"/>
                <w:lang w:val="en-US" w:eastAsia="zh-CN"/>
              </w:rPr>
            </w:pPr>
            <w:r>
              <w:rPr>
                <w:rFonts w:hint="default" w:ascii="Times New Roman" w:hAnsi="Times New Roman" w:cs="Times New Roman"/>
                <w:color w:val="auto"/>
                <w:sz w:val="21"/>
                <w:szCs w:val="21"/>
                <w:lang w:val="en-US" w:eastAsia="zh-CN"/>
              </w:rPr>
              <w:t>≤</w:t>
            </w:r>
            <w:r>
              <w:rPr>
                <w:rFonts w:hint="eastAsia"/>
                <w:color w:val="auto"/>
                <w:lang w:val="en-US" w:eastAsia="zh-CN"/>
              </w:rPr>
              <w:t>15</w:t>
            </w:r>
          </w:p>
        </w:tc>
        <w:tc>
          <w:tcPr>
            <w:tcW w:w="414" w:type="pct"/>
            <w:tcBorders>
              <w:top w:val="single" w:color="000000" w:sz="4" w:space="0"/>
              <w:left w:val="single" w:color="000000" w:sz="4" w:space="0"/>
              <w:bottom w:val="single" w:color="000000" w:sz="4" w:space="0"/>
              <w:right w:val="single" w:color="000000" w:sz="4" w:space="0"/>
            </w:tcBorders>
            <w:vAlign w:val="center"/>
          </w:tcPr>
          <w:p w14:paraId="66FE88F0">
            <w:pPr>
              <w:pStyle w:val="56"/>
              <w:bidi w:val="0"/>
              <w:jc w:val="center"/>
              <w:rPr>
                <w:rFonts w:hint="default" w:eastAsia="宋体"/>
                <w:color w:val="auto"/>
                <w:lang w:val="en-US" w:eastAsia="zh-CN"/>
              </w:rPr>
            </w:pPr>
            <w:r>
              <w:rPr>
                <w:rFonts w:hint="default" w:ascii="Times New Roman" w:hAnsi="Times New Roman" w:cs="Times New Roman"/>
                <w:color w:val="auto"/>
                <w:sz w:val="21"/>
                <w:szCs w:val="21"/>
                <w:lang w:val="en-US" w:eastAsia="zh-CN"/>
              </w:rPr>
              <w:t>≤</w:t>
            </w:r>
            <w:r>
              <w:rPr>
                <w:rFonts w:hint="eastAsia"/>
                <w:color w:val="auto"/>
                <w:lang w:val="en-US" w:eastAsia="zh-CN"/>
              </w:rPr>
              <w:t>0.5</w:t>
            </w:r>
          </w:p>
        </w:tc>
        <w:tc>
          <w:tcPr>
            <w:tcW w:w="1030" w:type="pct"/>
            <w:tcBorders>
              <w:top w:val="single" w:color="000000" w:sz="4" w:space="0"/>
              <w:left w:val="single" w:color="000000" w:sz="4" w:space="0"/>
              <w:bottom w:val="single" w:color="000000" w:sz="4" w:space="0"/>
              <w:right w:val="single" w:color="000000" w:sz="4" w:space="0"/>
            </w:tcBorders>
            <w:vAlign w:val="center"/>
          </w:tcPr>
          <w:p w14:paraId="7461579C">
            <w:pPr>
              <w:pStyle w:val="56"/>
              <w:bidi w:val="0"/>
              <w:jc w:val="center"/>
              <w:rPr>
                <w:rFonts w:hint="default" w:eastAsia="宋体"/>
                <w:color w:val="auto"/>
                <w:lang w:val="en-US" w:eastAsia="zh-CN"/>
              </w:rPr>
            </w:pPr>
            <w:r>
              <w:rPr>
                <w:rFonts w:hint="default" w:ascii="Times New Roman" w:hAnsi="Times New Roman" w:cs="Times New Roman"/>
                <w:color w:val="auto"/>
                <w:sz w:val="21"/>
                <w:szCs w:val="21"/>
                <w:lang w:val="en-US" w:eastAsia="zh-CN"/>
              </w:rPr>
              <w:t>≤</w:t>
            </w:r>
            <w:r>
              <w:rPr>
                <w:color w:val="auto"/>
              </w:rPr>
              <w:t>1000 个/L</w:t>
            </w:r>
          </w:p>
        </w:tc>
      </w:tr>
    </w:tbl>
    <w:p w14:paraId="1AA64560">
      <w:pPr>
        <w:spacing w:line="360" w:lineRule="auto"/>
        <w:ind w:firstLine="480" w:firstLineChars="200"/>
        <w:rPr>
          <w:rFonts w:hint="eastAsia"/>
          <w:color w:val="auto"/>
          <w:sz w:val="24"/>
          <w:highlight w:val="none"/>
          <w:lang w:val="en-US" w:eastAsia="zh-CN"/>
        </w:rPr>
      </w:pPr>
    </w:p>
    <w:p w14:paraId="0BE1803A">
      <w:pPr>
        <w:numPr>
          <w:ilvl w:val="0"/>
          <w:numId w:val="7"/>
        </w:num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设计去除效率</w:t>
      </w:r>
    </w:p>
    <w:p w14:paraId="5A657AF8">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根据设计进水水质及出水水质要求， 污水处理厂的污水处理程度见下表：</w:t>
      </w:r>
    </w:p>
    <w:p w14:paraId="33B7F41D">
      <w:pPr>
        <w:spacing w:line="240" w:lineRule="auto"/>
        <w:ind w:firstLine="480" w:firstLineChars="200"/>
        <w:jc w:val="center"/>
        <w:rPr>
          <w:rFonts w:hint="eastAsia"/>
          <w:color w:val="auto"/>
          <w:lang w:val="en-US" w:eastAsia="zh-CN"/>
        </w:rPr>
      </w:pPr>
      <w:r>
        <w:rPr>
          <w:rFonts w:hint="eastAsia" w:ascii="Times New Roman" w:hAnsi="Times New Roman" w:eastAsia="宋体" w:cs="Times New Roman"/>
          <w:color w:val="auto"/>
          <w:sz w:val="24"/>
          <w:highlight w:val="none"/>
          <w:lang w:val="en-US" w:eastAsia="zh-CN"/>
        </w:rPr>
        <w:t>表2.</w:t>
      </w:r>
      <w:r>
        <w:rPr>
          <w:rFonts w:hint="eastAsia" w:cs="Times New Roman"/>
          <w:color w:val="auto"/>
          <w:sz w:val="24"/>
          <w:highlight w:val="none"/>
          <w:lang w:val="en-US" w:eastAsia="zh-CN"/>
        </w:rPr>
        <w:t>3</w:t>
      </w:r>
      <w:r>
        <w:rPr>
          <w:rFonts w:hint="eastAsia"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3</w:t>
      </w:r>
      <w:r>
        <w:rPr>
          <w:rFonts w:hint="eastAsia"/>
          <w:color w:val="auto"/>
          <w:sz w:val="24"/>
          <w:highlight w:val="none"/>
          <w:lang w:val="en-US" w:eastAsia="zh-CN"/>
        </w:rPr>
        <w:t>污水处理厂污染物去除率表</w:t>
      </w:r>
    </w:p>
    <w:tbl>
      <w:tblPr>
        <w:tblStyle w:val="31"/>
        <w:tblW w:w="0" w:type="auto"/>
        <w:tblInd w:w="262" w:type="dxa"/>
        <w:tblLayout w:type="fixed"/>
        <w:tblCellMar>
          <w:top w:w="0" w:type="dxa"/>
          <w:left w:w="0" w:type="dxa"/>
          <w:bottom w:w="0" w:type="dxa"/>
          <w:right w:w="0" w:type="dxa"/>
        </w:tblCellMar>
      </w:tblPr>
      <w:tblGrid>
        <w:gridCol w:w="2415"/>
        <w:gridCol w:w="1395"/>
        <w:gridCol w:w="1306"/>
        <w:gridCol w:w="1006"/>
        <w:gridCol w:w="1114"/>
        <w:gridCol w:w="864"/>
        <w:gridCol w:w="935"/>
      </w:tblGrid>
      <w:tr w14:paraId="03980704">
        <w:tblPrEx>
          <w:tblCellMar>
            <w:top w:w="0" w:type="dxa"/>
            <w:left w:w="0" w:type="dxa"/>
            <w:bottom w:w="0" w:type="dxa"/>
            <w:right w:w="0" w:type="dxa"/>
          </w:tblCellMar>
        </w:tblPrEx>
        <w:trPr>
          <w:trHeight w:val="542" w:hRule="atLeast"/>
        </w:trPr>
        <w:tc>
          <w:tcPr>
            <w:tcW w:w="2415" w:type="dxa"/>
            <w:tcBorders>
              <w:top w:val="single" w:color="000000" w:sz="4" w:space="0"/>
              <w:left w:val="single" w:color="000000" w:sz="4" w:space="0"/>
              <w:bottom w:val="single" w:color="000000" w:sz="4" w:space="0"/>
              <w:right w:val="single" w:color="000000" w:sz="4" w:space="0"/>
            </w:tcBorders>
            <w:vAlign w:val="center"/>
            <mc:AlternateContent>
              <mc:Choice Requires="wpsCustomData">
                <wpsCustomData:diagonals>
                  <wpsCustomData:diagonal from="10000" to="30000">
                    <wpsCustomData:border w:val="single" w:color="000000" w:sz="4" w:space="0"/>
                  </wpsCustomData:diagonal>
                </wpsCustomData:diagonals>
              </mc:Choice>
            </mc:AlternateContent>
          </w:tcPr>
          <w:p w14:paraId="641C678F">
            <w:pPr>
              <w:pStyle w:val="56"/>
              <w:bidi w:val="0"/>
              <w:snapToGrid w:val="0"/>
              <w:spacing w:line="240" w:lineRule="auto"/>
              <w:jc w:val="center"/>
              <w:rPr>
                <w:rFonts w:hint="eastAsia"/>
                <w:b/>
                <w:bCs/>
                <w:color w:val="auto"/>
                <w:lang w:val="en-US" w:eastAsia="zh-CN"/>
              </w:rPr>
            </w:pPr>
          </w:p>
          <w:p w14:paraId="3D0DFA5D">
            <w:pPr>
              <w:pStyle w:val="56"/>
              <w:bidi w:val="0"/>
              <w:snapToGrid w:val="0"/>
              <w:spacing w:line="240" w:lineRule="auto"/>
              <w:jc w:val="center"/>
              <mc:AlternateContent>
                <mc:Choice Requires="wpsCustomData">
                  <wpsCustomData:diagonalParaType/>
                </mc:Choice>
              </mc:AlternateContent>
              <w:rPr>
                <w:rFonts w:hint="eastAsia" w:eastAsia="宋体"/>
                <w:b/>
                <w:bCs/>
                <w:color w:val="auto"/>
                <w:lang w:val="en-US" w:eastAsia="zh-CN"/>
              </w:rPr>
            </w:pPr>
            <w:r>
              <w:rPr>
                <w:rFonts w:hint="eastAsia"/>
                <w:b/>
                <w:bCs/>
                <w:color w:val="auto"/>
                <w:lang w:val="en-US" w:eastAsia="zh-CN"/>
              </w:rPr>
              <w:t>类别</w:t>
            </w:r>
          </w:p>
          <w:p w14:paraId="0EC6D8FD">
            <w:pPr>
              <w:pStyle w:val="56"/>
              <w:bidi w:val="0"/>
              <w:jc w:val="center"/>
              <w:rPr>
                <w:rFonts w:hint="eastAsia" w:eastAsia="宋体"/>
                <w:b/>
                <w:bCs/>
                <w:color w:val="auto"/>
                <w:lang w:val="en-US" w:eastAsia="zh-CN"/>
              </w:rPr>
            </w:pPr>
            <w:r>
              <w:rPr>
                <w:rFonts w:hint="eastAsia"/>
                <w:b/>
                <w:bCs/>
                <w:color w:val="auto"/>
                <w:lang w:val="en-US" w:eastAsia="zh-CN"/>
              </w:rPr>
              <w:t>水质</w:t>
            </w:r>
          </w:p>
        </w:tc>
        <w:tc>
          <w:tcPr>
            <w:tcW w:w="1395" w:type="dxa"/>
            <w:tcBorders>
              <w:top w:val="single" w:color="000000" w:sz="4" w:space="0"/>
              <w:left w:val="single" w:color="000000" w:sz="4" w:space="0"/>
              <w:bottom w:val="single" w:color="000000" w:sz="4" w:space="0"/>
              <w:right w:val="single" w:color="000000" w:sz="4" w:space="0"/>
            </w:tcBorders>
            <w:vAlign w:val="center"/>
          </w:tcPr>
          <w:p w14:paraId="4A59ED78">
            <w:pPr>
              <w:pStyle w:val="56"/>
              <w:bidi w:val="0"/>
              <w:jc w:val="center"/>
              <w:rPr>
                <w:b/>
                <w:bCs/>
                <w:color w:val="auto"/>
              </w:rPr>
            </w:pPr>
            <w:r>
              <w:rPr>
                <w:b/>
                <w:bCs/>
                <w:color w:val="auto"/>
              </w:rPr>
              <w:t>COD</w:t>
            </w:r>
            <w:r>
              <w:rPr>
                <w:b/>
                <w:bCs/>
                <w:color w:val="auto"/>
                <w:vertAlign w:val="subscript"/>
              </w:rPr>
              <w:t>Cr</w:t>
            </w:r>
          </w:p>
        </w:tc>
        <w:tc>
          <w:tcPr>
            <w:tcW w:w="1306" w:type="dxa"/>
            <w:tcBorders>
              <w:top w:val="single" w:color="000000" w:sz="4" w:space="0"/>
              <w:left w:val="single" w:color="000000" w:sz="4" w:space="0"/>
              <w:bottom w:val="single" w:color="000000" w:sz="4" w:space="0"/>
              <w:right w:val="single" w:color="000000" w:sz="4" w:space="0"/>
            </w:tcBorders>
            <w:vAlign w:val="center"/>
          </w:tcPr>
          <w:p w14:paraId="3708CFE3">
            <w:pPr>
              <w:pStyle w:val="56"/>
              <w:bidi w:val="0"/>
              <w:jc w:val="center"/>
              <w:rPr>
                <w:b/>
                <w:bCs/>
                <w:color w:val="auto"/>
              </w:rPr>
            </w:pPr>
            <w:r>
              <w:rPr>
                <w:b/>
                <w:bCs/>
                <w:color w:val="auto"/>
              </w:rPr>
              <w:t>BOD</w:t>
            </w:r>
            <w:r>
              <w:rPr>
                <w:b/>
                <w:bCs/>
                <w:color w:val="auto"/>
                <w:vertAlign w:val="subscript"/>
              </w:rPr>
              <w:t>5</w:t>
            </w:r>
          </w:p>
        </w:tc>
        <w:tc>
          <w:tcPr>
            <w:tcW w:w="1006" w:type="dxa"/>
            <w:tcBorders>
              <w:top w:val="single" w:color="000000" w:sz="4" w:space="0"/>
              <w:left w:val="single" w:color="000000" w:sz="4" w:space="0"/>
              <w:bottom w:val="single" w:color="000000" w:sz="4" w:space="0"/>
              <w:right w:val="single" w:color="000000" w:sz="4" w:space="0"/>
            </w:tcBorders>
            <w:vAlign w:val="center"/>
          </w:tcPr>
          <w:p w14:paraId="4D0C4ECE">
            <w:pPr>
              <w:pStyle w:val="56"/>
              <w:bidi w:val="0"/>
              <w:jc w:val="center"/>
              <w:rPr>
                <w:b/>
                <w:bCs/>
                <w:color w:val="auto"/>
              </w:rPr>
            </w:pPr>
            <w:r>
              <w:rPr>
                <w:b/>
                <w:bCs/>
                <w:color w:val="auto"/>
              </w:rPr>
              <w:t>SS</w:t>
            </w:r>
          </w:p>
        </w:tc>
        <w:tc>
          <w:tcPr>
            <w:tcW w:w="1114" w:type="dxa"/>
            <w:tcBorders>
              <w:top w:val="single" w:color="000000" w:sz="4" w:space="0"/>
              <w:left w:val="single" w:color="000000" w:sz="4" w:space="0"/>
              <w:bottom w:val="single" w:color="000000" w:sz="4" w:space="0"/>
              <w:right w:val="single" w:color="000000" w:sz="4" w:space="0"/>
            </w:tcBorders>
            <w:vAlign w:val="center"/>
          </w:tcPr>
          <w:p w14:paraId="2A81DA26">
            <w:pPr>
              <w:pStyle w:val="56"/>
              <w:bidi w:val="0"/>
              <w:jc w:val="center"/>
              <w:rPr>
                <w:b/>
                <w:bCs/>
                <w:color w:val="auto"/>
              </w:rPr>
            </w:pPr>
            <w:r>
              <w:rPr>
                <w:b/>
                <w:bCs/>
                <w:color w:val="auto"/>
              </w:rPr>
              <w:t>NH</w:t>
            </w:r>
            <w:r>
              <w:rPr>
                <w:b/>
                <w:bCs/>
                <w:color w:val="auto"/>
                <w:vertAlign w:val="subscript"/>
              </w:rPr>
              <w:t>3</w:t>
            </w:r>
            <w:r>
              <w:rPr>
                <w:b/>
                <w:bCs/>
                <w:color w:val="auto"/>
              </w:rPr>
              <w:t>-N</w:t>
            </w:r>
          </w:p>
        </w:tc>
        <w:tc>
          <w:tcPr>
            <w:tcW w:w="864" w:type="dxa"/>
            <w:tcBorders>
              <w:top w:val="single" w:color="000000" w:sz="4" w:space="0"/>
              <w:left w:val="single" w:color="000000" w:sz="4" w:space="0"/>
              <w:bottom w:val="single" w:color="000000" w:sz="4" w:space="0"/>
              <w:right w:val="single" w:color="000000" w:sz="4" w:space="0"/>
            </w:tcBorders>
            <w:vAlign w:val="center"/>
          </w:tcPr>
          <w:p w14:paraId="3BF39AE0">
            <w:pPr>
              <w:pStyle w:val="56"/>
              <w:bidi w:val="0"/>
              <w:jc w:val="center"/>
              <w:rPr>
                <w:b/>
                <w:bCs/>
                <w:color w:val="auto"/>
              </w:rPr>
            </w:pPr>
            <w:r>
              <w:rPr>
                <w:b/>
                <w:bCs/>
                <w:color w:val="auto"/>
              </w:rPr>
              <w:t>TN</w:t>
            </w:r>
          </w:p>
        </w:tc>
        <w:tc>
          <w:tcPr>
            <w:tcW w:w="935" w:type="dxa"/>
            <w:tcBorders>
              <w:top w:val="single" w:color="000000" w:sz="4" w:space="0"/>
              <w:left w:val="single" w:color="000000" w:sz="4" w:space="0"/>
              <w:bottom w:val="single" w:color="000000" w:sz="4" w:space="0"/>
              <w:right w:val="single" w:color="000000" w:sz="4" w:space="0"/>
            </w:tcBorders>
            <w:vAlign w:val="center"/>
          </w:tcPr>
          <w:p w14:paraId="063A6621">
            <w:pPr>
              <w:pStyle w:val="56"/>
              <w:bidi w:val="0"/>
              <w:jc w:val="center"/>
              <w:rPr>
                <w:b/>
                <w:bCs/>
                <w:color w:val="auto"/>
              </w:rPr>
            </w:pPr>
            <w:r>
              <w:rPr>
                <w:b/>
                <w:bCs/>
                <w:color w:val="auto"/>
              </w:rPr>
              <w:t>TP</w:t>
            </w:r>
          </w:p>
        </w:tc>
      </w:tr>
      <w:tr w14:paraId="7A1AB586">
        <w:tblPrEx>
          <w:tblCellMar>
            <w:top w:w="0" w:type="dxa"/>
            <w:left w:w="0" w:type="dxa"/>
            <w:bottom w:w="0" w:type="dxa"/>
            <w:right w:w="0" w:type="dxa"/>
          </w:tblCellMar>
        </w:tblPrEx>
        <w:trPr>
          <w:trHeight w:val="399" w:hRule="exact"/>
        </w:trPr>
        <w:tc>
          <w:tcPr>
            <w:tcW w:w="2415" w:type="dxa"/>
            <w:tcBorders>
              <w:top w:val="single" w:color="000000" w:sz="4" w:space="0"/>
              <w:left w:val="single" w:color="000000" w:sz="4" w:space="0"/>
              <w:bottom w:val="single" w:color="000000" w:sz="4" w:space="0"/>
              <w:right w:val="single" w:color="000000" w:sz="4" w:space="0"/>
            </w:tcBorders>
            <w:vAlign w:val="center"/>
          </w:tcPr>
          <w:p w14:paraId="07B4EAFD">
            <w:pPr>
              <w:pStyle w:val="56"/>
              <w:bidi w:val="0"/>
              <w:jc w:val="center"/>
              <w:rPr>
                <w:color w:val="auto"/>
              </w:rPr>
            </w:pPr>
            <w:r>
              <w:rPr>
                <w:color w:val="auto"/>
              </w:rPr>
              <w:t>进水水质（mg/L）</w:t>
            </w:r>
          </w:p>
        </w:tc>
        <w:tc>
          <w:tcPr>
            <w:tcW w:w="1395" w:type="dxa"/>
            <w:tcBorders>
              <w:top w:val="single" w:color="000000" w:sz="4" w:space="0"/>
              <w:left w:val="single" w:color="000000" w:sz="4" w:space="0"/>
              <w:bottom w:val="single" w:color="000000" w:sz="4" w:space="0"/>
              <w:right w:val="single" w:color="000000" w:sz="4" w:space="0"/>
            </w:tcBorders>
            <w:vAlign w:val="center"/>
          </w:tcPr>
          <w:p w14:paraId="2D497306">
            <w:pPr>
              <w:spacing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sz w:val="21"/>
                <w:szCs w:val="21"/>
                <w:lang w:val="en-US" w:eastAsia="zh-CN"/>
              </w:rPr>
              <w:t>≤</w:t>
            </w:r>
            <w:r>
              <w:rPr>
                <w:rFonts w:hint="default" w:ascii="Times New Roman" w:hAnsi="Times New Roman" w:cs="Times New Roman"/>
                <w:color w:val="auto"/>
                <w:kern w:val="0"/>
                <w:szCs w:val="21"/>
              </w:rPr>
              <w:t>260</w:t>
            </w:r>
          </w:p>
        </w:tc>
        <w:tc>
          <w:tcPr>
            <w:tcW w:w="1306" w:type="dxa"/>
            <w:tcBorders>
              <w:top w:val="single" w:color="000000" w:sz="4" w:space="0"/>
              <w:left w:val="single" w:color="000000" w:sz="4" w:space="0"/>
              <w:bottom w:val="single" w:color="000000" w:sz="4" w:space="0"/>
              <w:right w:val="single" w:color="000000" w:sz="4" w:space="0"/>
            </w:tcBorders>
            <w:vAlign w:val="center"/>
          </w:tcPr>
          <w:p w14:paraId="1D429814">
            <w:pPr>
              <w:spacing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sz w:val="21"/>
                <w:szCs w:val="21"/>
                <w:lang w:val="en-US" w:eastAsia="zh-CN"/>
              </w:rPr>
              <w:t>≤</w:t>
            </w:r>
            <w:r>
              <w:rPr>
                <w:rFonts w:hint="default" w:ascii="Times New Roman" w:hAnsi="Times New Roman" w:cs="Times New Roman"/>
                <w:color w:val="auto"/>
                <w:kern w:val="0"/>
                <w:szCs w:val="21"/>
              </w:rPr>
              <w:t>150</w:t>
            </w:r>
          </w:p>
        </w:tc>
        <w:tc>
          <w:tcPr>
            <w:tcW w:w="1006" w:type="dxa"/>
            <w:tcBorders>
              <w:top w:val="single" w:color="000000" w:sz="4" w:space="0"/>
              <w:left w:val="single" w:color="000000" w:sz="4" w:space="0"/>
              <w:bottom w:val="single" w:color="000000" w:sz="4" w:space="0"/>
              <w:right w:val="single" w:color="000000" w:sz="4" w:space="0"/>
            </w:tcBorders>
            <w:vAlign w:val="center"/>
          </w:tcPr>
          <w:p w14:paraId="07FF6593">
            <w:pPr>
              <w:spacing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sz w:val="21"/>
                <w:szCs w:val="21"/>
                <w:lang w:val="en-US" w:eastAsia="zh-CN"/>
              </w:rPr>
              <w:t>≤150</w:t>
            </w:r>
          </w:p>
        </w:tc>
        <w:tc>
          <w:tcPr>
            <w:tcW w:w="1114" w:type="dxa"/>
            <w:tcBorders>
              <w:top w:val="single" w:color="000000" w:sz="4" w:space="0"/>
              <w:left w:val="single" w:color="000000" w:sz="4" w:space="0"/>
              <w:bottom w:val="single" w:color="000000" w:sz="4" w:space="0"/>
              <w:right w:val="single" w:color="000000" w:sz="4" w:space="0"/>
            </w:tcBorders>
            <w:vAlign w:val="center"/>
          </w:tcPr>
          <w:p w14:paraId="052D9350">
            <w:pPr>
              <w:spacing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sz w:val="21"/>
                <w:szCs w:val="21"/>
                <w:lang w:val="en-US" w:eastAsia="zh-CN"/>
              </w:rPr>
              <w:t>≤25</w:t>
            </w:r>
          </w:p>
        </w:tc>
        <w:tc>
          <w:tcPr>
            <w:tcW w:w="864" w:type="dxa"/>
            <w:tcBorders>
              <w:top w:val="single" w:color="000000" w:sz="4" w:space="0"/>
              <w:left w:val="single" w:color="000000" w:sz="4" w:space="0"/>
              <w:bottom w:val="single" w:color="000000" w:sz="4" w:space="0"/>
              <w:right w:val="single" w:color="000000" w:sz="4" w:space="0"/>
            </w:tcBorders>
            <w:vAlign w:val="center"/>
          </w:tcPr>
          <w:p w14:paraId="16743670">
            <w:pPr>
              <w:spacing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sz w:val="21"/>
                <w:szCs w:val="21"/>
                <w:lang w:val="en-US" w:eastAsia="zh-CN"/>
              </w:rPr>
              <w:t>≤30</w:t>
            </w:r>
          </w:p>
        </w:tc>
        <w:tc>
          <w:tcPr>
            <w:tcW w:w="935" w:type="dxa"/>
            <w:tcBorders>
              <w:top w:val="single" w:color="000000" w:sz="4" w:space="0"/>
              <w:left w:val="single" w:color="000000" w:sz="4" w:space="0"/>
              <w:bottom w:val="single" w:color="000000" w:sz="4" w:space="0"/>
              <w:right w:val="single" w:color="000000" w:sz="4" w:space="0"/>
            </w:tcBorders>
            <w:vAlign w:val="center"/>
          </w:tcPr>
          <w:p w14:paraId="56D42BEE">
            <w:pPr>
              <w:spacing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sz w:val="21"/>
                <w:szCs w:val="21"/>
                <w:lang w:val="en-US" w:eastAsia="zh-CN"/>
              </w:rPr>
              <w:t>≤3.0</w:t>
            </w:r>
          </w:p>
        </w:tc>
      </w:tr>
      <w:tr w14:paraId="50E27671">
        <w:tblPrEx>
          <w:tblCellMar>
            <w:top w:w="0" w:type="dxa"/>
            <w:left w:w="0" w:type="dxa"/>
            <w:bottom w:w="0" w:type="dxa"/>
            <w:right w:w="0" w:type="dxa"/>
          </w:tblCellMar>
        </w:tblPrEx>
        <w:trPr>
          <w:trHeight w:val="399" w:hRule="exact"/>
        </w:trPr>
        <w:tc>
          <w:tcPr>
            <w:tcW w:w="2415" w:type="dxa"/>
            <w:tcBorders>
              <w:top w:val="single" w:color="000000" w:sz="4" w:space="0"/>
              <w:left w:val="single" w:color="000000" w:sz="4" w:space="0"/>
              <w:bottom w:val="single" w:color="000000" w:sz="4" w:space="0"/>
              <w:right w:val="single" w:color="000000" w:sz="4" w:space="0"/>
            </w:tcBorders>
            <w:vAlign w:val="center"/>
          </w:tcPr>
          <w:p w14:paraId="07B06BD9">
            <w:pPr>
              <w:pStyle w:val="56"/>
              <w:bidi w:val="0"/>
              <w:jc w:val="center"/>
              <w:rPr>
                <w:rFonts w:hint="eastAsia" w:eastAsia="宋体"/>
                <w:color w:val="auto"/>
                <w:lang w:val="en-US" w:eastAsia="zh-CN"/>
              </w:rPr>
            </w:pPr>
            <w:r>
              <w:rPr>
                <w:rFonts w:hint="eastAsia"/>
                <w:color w:val="auto"/>
                <w:lang w:val="en-US" w:eastAsia="zh-CN"/>
              </w:rPr>
              <w:t>出水</w:t>
            </w:r>
            <w:r>
              <w:rPr>
                <w:color w:val="auto"/>
              </w:rPr>
              <w:t>水质（mg/L）</w:t>
            </w:r>
          </w:p>
        </w:tc>
        <w:tc>
          <w:tcPr>
            <w:tcW w:w="1395" w:type="dxa"/>
            <w:tcBorders>
              <w:top w:val="single" w:color="000000" w:sz="4" w:space="0"/>
              <w:left w:val="single" w:color="000000" w:sz="4" w:space="0"/>
              <w:bottom w:val="single" w:color="000000" w:sz="4" w:space="0"/>
              <w:right w:val="single" w:color="000000" w:sz="4" w:space="0"/>
            </w:tcBorders>
            <w:vAlign w:val="center"/>
          </w:tcPr>
          <w:p w14:paraId="4533681D">
            <w:pPr>
              <w:pStyle w:val="56"/>
              <w:bidi w:val="0"/>
              <w:ind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w:t>
            </w:r>
            <w:r>
              <w:rPr>
                <w:rFonts w:hint="eastAsia"/>
                <w:color w:val="auto"/>
                <w:lang w:val="en-US" w:eastAsia="zh-CN"/>
              </w:rPr>
              <w:t>40</w:t>
            </w:r>
          </w:p>
        </w:tc>
        <w:tc>
          <w:tcPr>
            <w:tcW w:w="1306" w:type="dxa"/>
            <w:tcBorders>
              <w:top w:val="single" w:color="000000" w:sz="4" w:space="0"/>
              <w:left w:val="single" w:color="000000" w:sz="4" w:space="0"/>
              <w:bottom w:val="single" w:color="000000" w:sz="4" w:space="0"/>
              <w:right w:val="single" w:color="000000" w:sz="4" w:space="0"/>
            </w:tcBorders>
            <w:vAlign w:val="center"/>
          </w:tcPr>
          <w:p w14:paraId="108CA6D9">
            <w:pPr>
              <w:pStyle w:val="56"/>
              <w:bidi w:val="0"/>
              <w:ind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w:t>
            </w:r>
            <w:r>
              <w:rPr>
                <w:rFonts w:hint="eastAsia"/>
                <w:color w:val="auto"/>
                <w:lang w:val="en-US" w:eastAsia="zh-CN"/>
              </w:rPr>
              <w:t>10</w:t>
            </w:r>
          </w:p>
        </w:tc>
        <w:tc>
          <w:tcPr>
            <w:tcW w:w="1006" w:type="dxa"/>
            <w:tcBorders>
              <w:top w:val="single" w:color="000000" w:sz="4" w:space="0"/>
              <w:left w:val="single" w:color="000000" w:sz="4" w:space="0"/>
              <w:bottom w:val="single" w:color="000000" w:sz="4" w:space="0"/>
              <w:right w:val="single" w:color="000000" w:sz="4" w:space="0"/>
            </w:tcBorders>
            <w:vAlign w:val="center"/>
          </w:tcPr>
          <w:p w14:paraId="119A3A9B">
            <w:pPr>
              <w:pStyle w:val="56"/>
              <w:bidi w:val="0"/>
              <w:ind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w:t>
            </w:r>
            <w:r>
              <w:rPr>
                <w:rFonts w:hint="eastAsia"/>
                <w:color w:val="auto"/>
                <w:lang w:val="en-US" w:eastAsia="zh-CN"/>
              </w:rPr>
              <w:t>10</w:t>
            </w:r>
          </w:p>
        </w:tc>
        <w:tc>
          <w:tcPr>
            <w:tcW w:w="1114" w:type="dxa"/>
            <w:tcBorders>
              <w:top w:val="single" w:color="000000" w:sz="4" w:space="0"/>
              <w:left w:val="single" w:color="000000" w:sz="4" w:space="0"/>
              <w:bottom w:val="single" w:color="000000" w:sz="4" w:space="0"/>
              <w:right w:val="single" w:color="000000" w:sz="4" w:space="0"/>
            </w:tcBorders>
            <w:vAlign w:val="center"/>
          </w:tcPr>
          <w:p w14:paraId="6E7C3438">
            <w:pPr>
              <w:pStyle w:val="56"/>
              <w:bidi w:val="0"/>
              <w:ind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w:t>
            </w:r>
            <w:r>
              <w:rPr>
                <w:rFonts w:hint="eastAsia"/>
                <w:color w:val="auto"/>
                <w:lang w:val="en-US" w:eastAsia="zh-CN"/>
              </w:rPr>
              <w:t>5（8）</w:t>
            </w:r>
          </w:p>
        </w:tc>
        <w:tc>
          <w:tcPr>
            <w:tcW w:w="864" w:type="dxa"/>
            <w:tcBorders>
              <w:top w:val="single" w:color="000000" w:sz="4" w:space="0"/>
              <w:left w:val="single" w:color="000000" w:sz="4" w:space="0"/>
              <w:bottom w:val="single" w:color="000000" w:sz="4" w:space="0"/>
              <w:right w:val="single" w:color="000000" w:sz="4" w:space="0"/>
            </w:tcBorders>
            <w:vAlign w:val="center"/>
          </w:tcPr>
          <w:p w14:paraId="2A6AF358">
            <w:pPr>
              <w:pStyle w:val="56"/>
              <w:bidi w:val="0"/>
              <w:ind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w:t>
            </w:r>
            <w:r>
              <w:rPr>
                <w:rFonts w:hint="eastAsia"/>
                <w:color w:val="auto"/>
                <w:lang w:val="en-US" w:eastAsia="zh-CN"/>
              </w:rPr>
              <w:t>15</w:t>
            </w:r>
          </w:p>
        </w:tc>
        <w:tc>
          <w:tcPr>
            <w:tcW w:w="935" w:type="dxa"/>
            <w:tcBorders>
              <w:top w:val="single" w:color="000000" w:sz="4" w:space="0"/>
              <w:left w:val="single" w:color="000000" w:sz="4" w:space="0"/>
              <w:bottom w:val="single" w:color="000000" w:sz="4" w:space="0"/>
              <w:right w:val="single" w:color="000000" w:sz="4" w:space="0"/>
            </w:tcBorders>
            <w:vAlign w:val="center"/>
          </w:tcPr>
          <w:p w14:paraId="338871FC">
            <w:pPr>
              <w:pStyle w:val="56"/>
              <w:bidi w:val="0"/>
              <w:ind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w:t>
            </w:r>
            <w:r>
              <w:rPr>
                <w:rFonts w:hint="eastAsia"/>
                <w:color w:val="auto"/>
                <w:lang w:val="en-US" w:eastAsia="zh-CN"/>
              </w:rPr>
              <w:t>0.5</w:t>
            </w:r>
          </w:p>
        </w:tc>
      </w:tr>
      <w:tr w14:paraId="3B31AEF4">
        <w:tblPrEx>
          <w:tblCellMar>
            <w:top w:w="0" w:type="dxa"/>
            <w:left w:w="0" w:type="dxa"/>
            <w:bottom w:w="0" w:type="dxa"/>
            <w:right w:w="0" w:type="dxa"/>
          </w:tblCellMar>
        </w:tblPrEx>
        <w:trPr>
          <w:trHeight w:val="408" w:hRule="exact"/>
        </w:trPr>
        <w:tc>
          <w:tcPr>
            <w:tcW w:w="2415" w:type="dxa"/>
            <w:tcBorders>
              <w:top w:val="single" w:color="000000" w:sz="4" w:space="0"/>
              <w:left w:val="single" w:color="000000" w:sz="4" w:space="0"/>
              <w:bottom w:val="single" w:color="000000" w:sz="4" w:space="0"/>
              <w:right w:val="single" w:color="000000" w:sz="4" w:space="0"/>
            </w:tcBorders>
            <w:vAlign w:val="center"/>
          </w:tcPr>
          <w:p w14:paraId="45EC5A18">
            <w:pPr>
              <w:pStyle w:val="56"/>
              <w:bidi w:val="0"/>
              <w:jc w:val="center"/>
              <w:rPr>
                <w:rFonts w:hint="default" w:eastAsia="宋体"/>
                <w:color w:val="auto"/>
                <w:lang w:val="en-US" w:eastAsia="zh-CN"/>
              </w:rPr>
            </w:pPr>
            <w:r>
              <w:rPr>
                <w:rFonts w:hint="eastAsia"/>
                <w:color w:val="auto"/>
                <w:lang w:val="en-US" w:eastAsia="zh-CN"/>
              </w:rPr>
              <w:t>处理效率（%）</w:t>
            </w:r>
          </w:p>
        </w:tc>
        <w:tc>
          <w:tcPr>
            <w:tcW w:w="1395" w:type="dxa"/>
            <w:tcBorders>
              <w:top w:val="single" w:color="000000" w:sz="4" w:space="0"/>
              <w:left w:val="single" w:color="000000" w:sz="4" w:space="0"/>
              <w:bottom w:val="single" w:color="000000" w:sz="4" w:space="0"/>
              <w:right w:val="single" w:color="000000" w:sz="4" w:space="0"/>
            </w:tcBorders>
            <w:vAlign w:val="center"/>
          </w:tcPr>
          <w:p w14:paraId="24BC4B14">
            <w:pPr>
              <w:pStyle w:val="56"/>
              <w:bidi w:val="0"/>
              <w:ind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w:t>
            </w:r>
            <w:r>
              <w:rPr>
                <w:rFonts w:hint="eastAsia" w:ascii="Times New Roman" w:hAnsi="Times New Roman" w:cs="Times New Roman"/>
                <w:color w:val="auto"/>
                <w:sz w:val="21"/>
                <w:szCs w:val="21"/>
                <w:lang w:val="en-US" w:eastAsia="zh-CN"/>
              </w:rPr>
              <w:t>84</w:t>
            </w:r>
            <w:r>
              <w:rPr>
                <w:rFonts w:hint="eastAsia"/>
                <w:color w:val="auto"/>
                <w:lang w:val="en-US" w:eastAsia="zh-CN"/>
              </w:rPr>
              <w:t>.62</w:t>
            </w:r>
          </w:p>
        </w:tc>
        <w:tc>
          <w:tcPr>
            <w:tcW w:w="1306" w:type="dxa"/>
            <w:tcBorders>
              <w:top w:val="single" w:color="000000" w:sz="4" w:space="0"/>
              <w:left w:val="single" w:color="000000" w:sz="4" w:space="0"/>
              <w:bottom w:val="single" w:color="000000" w:sz="4" w:space="0"/>
              <w:right w:val="single" w:color="000000" w:sz="4" w:space="0"/>
            </w:tcBorders>
            <w:vAlign w:val="center"/>
          </w:tcPr>
          <w:p w14:paraId="575F1CC5">
            <w:pPr>
              <w:pStyle w:val="56"/>
              <w:bidi w:val="0"/>
              <w:ind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w:t>
            </w:r>
            <w:r>
              <w:rPr>
                <w:rFonts w:hint="eastAsia"/>
                <w:color w:val="auto"/>
                <w:lang w:val="en-US" w:eastAsia="zh-CN"/>
              </w:rPr>
              <w:t>93.33</w:t>
            </w:r>
          </w:p>
        </w:tc>
        <w:tc>
          <w:tcPr>
            <w:tcW w:w="1006" w:type="dxa"/>
            <w:tcBorders>
              <w:top w:val="single" w:color="000000" w:sz="4" w:space="0"/>
              <w:left w:val="single" w:color="000000" w:sz="4" w:space="0"/>
              <w:bottom w:val="single" w:color="000000" w:sz="4" w:space="0"/>
              <w:right w:val="single" w:color="000000" w:sz="4" w:space="0"/>
            </w:tcBorders>
            <w:vAlign w:val="center"/>
          </w:tcPr>
          <w:p w14:paraId="098DF62D">
            <w:pPr>
              <w:pStyle w:val="56"/>
              <w:bidi w:val="0"/>
              <w:ind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w:t>
            </w:r>
            <w:r>
              <w:rPr>
                <w:rFonts w:hint="eastAsia"/>
                <w:color w:val="auto"/>
                <w:lang w:val="en-US" w:eastAsia="zh-CN"/>
              </w:rPr>
              <w:t>93.33</w:t>
            </w:r>
          </w:p>
        </w:tc>
        <w:tc>
          <w:tcPr>
            <w:tcW w:w="1114" w:type="dxa"/>
            <w:tcBorders>
              <w:top w:val="single" w:color="000000" w:sz="4" w:space="0"/>
              <w:left w:val="single" w:color="000000" w:sz="4" w:space="0"/>
              <w:bottom w:val="single" w:color="000000" w:sz="4" w:space="0"/>
              <w:right w:val="single" w:color="000000" w:sz="4" w:space="0"/>
            </w:tcBorders>
            <w:vAlign w:val="center"/>
          </w:tcPr>
          <w:p w14:paraId="3D457276">
            <w:pPr>
              <w:pStyle w:val="56"/>
              <w:bidi w:val="0"/>
              <w:ind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w:t>
            </w:r>
            <w:r>
              <w:rPr>
                <w:rFonts w:hint="eastAsia"/>
                <w:color w:val="auto"/>
                <w:lang w:val="en-US" w:eastAsia="zh-CN"/>
              </w:rPr>
              <w:t>80</w:t>
            </w:r>
          </w:p>
        </w:tc>
        <w:tc>
          <w:tcPr>
            <w:tcW w:w="864" w:type="dxa"/>
            <w:tcBorders>
              <w:top w:val="single" w:color="000000" w:sz="4" w:space="0"/>
              <w:left w:val="single" w:color="000000" w:sz="4" w:space="0"/>
              <w:bottom w:val="single" w:color="000000" w:sz="4" w:space="0"/>
              <w:right w:val="single" w:color="000000" w:sz="4" w:space="0"/>
            </w:tcBorders>
            <w:vAlign w:val="center"/>
          </w:tcPr>
          <w:p w14:paraId="0D8C939B">
            <w:pPr>
              <w:pStyle w:val="56"/>
              <w:bidi w:val="0"/>
              <w:ind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w:t>
            </w:r>
            <w:r>
              <w:rPr>
                <w:rFonts w:hint="eastAsia"/>
                <w:color w:val="auto"/>
                <w:lang w:val="en-US" w:eastAsia="zh-CN"/>
              </w:rPr>
              <w:t>50</w:t>
            </w:r>
          </w:p>
        </w:tc>
        <w:tc>
          <w:tcPr>
            <w:tcW w:w="935" w:type="dxa"/>
            <w:tcBorders>
              <w:top w:val="single" w:color="000000" w:sz="4" w:space="0"/>
              <w:left w:val="single" w:color="000000" w:sz="4" w:space="0"/>
              <w:bottom w:val="single" w:color="000000" w:sz="4" w:space="0"/>
              <w:right w:val="single" w:color="000000" w:sz="4" w:space="0"/>
            </w:tcBorders>
            <w:vAlign w:val="center"/>
          </w:tcPr>
          <w:p w14:paraId="7A618DB7">
            <w:pPr>
              <w:pStyle w:val="56"/>
              <w:bidi w:val="0"/>
              <w:ind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w:t>
            </w:r>
            <w:r>
              <w:rPr>
                <w:rFonts w:hint="eastAsia"/>
                <w:color w:val="auto"/>
                <w:lang w:val="en-US" w:eastAsia="zh-CN"/>
              </w:rPr>
              <w:t>83.33</w:t>
            </w:r>
          </w:p>
        </w:tc>
      </w:tr>
    </w:tbl>
    <w:p w14:paraId="0F6EB0B9">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 xml:space="preserve">污水处理厂总图布置 </w:t>
      </w:r>
    </w:p>
    <w:p w14:paraId="10B3B65A">
      <w:pPr>
        <w:pStyle w:val="7"/>
        <w:keepNext/>
        <w:keepLines/>
        <w:pageBreakBefore w:val="0"/>
        <w:widowControl w:val="0"/>
        <w:numPr>
          <w:ilvl w:val="3"/>
          <w:numId w:val="0"/>
        </w:numPr>
        <w:kinsoku/>
        <w:wordWrap/>
        <w:overflowPunct/>
        <w:topLinePunct w:val="0"/>
        <w:autoSpaceDE/>
        <w:autoSpaceDN/>
        <w:bidi w:val="0"/>
        <w:adjustRightInd/>
        <w:snapToGrid/>
        <w:spacing w:after="0" w:afterLines="50" w:line="360" w:lineRule="auto"/>
        <w:ind w:left="-57" w:leftChars="0" w:firstLine="482" w:firstLineChars="200"/>
        <w:jc w:val="both"/>
        <w:textAlignment w:val="auto"/>
        <w:rPr>
          <w:rFonts w:hint="default"/>
          <w:color w:val="auto"/>
          <w:sz w:val="24"/>
          <w:szCs w:val="24"/>
          <w:lang w:val="en-US" w:eastAsia="zh-CN"/>
        </w:rPr>
      </w:pPr>
      <w:r>
        <w:rPr>
          <w:rFonts w:hint="eastAsia"/>
          <w:color w:val="auto"/>
          <w:sz w:val="24"/>
          <w:szCs w:val="24"/>
          <w:lang w:val="en-US" w:eastAsia="zh-CN"/>
        </w:rPr>
        <w:t>2.3.3.1设</w:t>
      </w:r>
      <w:r>
        <w:rPr>
          <w:rFonts w:hint="eastAsia" w:ascii="Times New Roman" w:hAnsi="Times New Roman" w:eastAsia="宋体" w:cs="Times New Roman"/>
          <w:b/>
          <w:bCs/>
          <w:color w:val="auto"/>
          <w:kern w:val="2"/>
          <w:sz w:val="24"/>
          <w:szCs w:val="32"/>
          <w:lang w:val="en-US" w:eastAsia="zh-CN" w:bidi="ar-SA"/>
        </w:rPr>
        <w:t>计原则</w:t>
      </w:r>
    </w:p>
    <w:p w14:paraId="6A4D3F9B">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 xml:space="preserve">污水处理厂区总平面布置遵循如下原则： </w:t>
      </w:r>
    </w:p>
    <w:p w14:paraId="171E8B24">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（1）功能分区明确，构筑物布置紧凑，减少占地面积。</w:t>
      </w:r>
    </w:p>
    <w:p w14:paraId="1EA75C39">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 xml:space="preserve">（2）生产管理建筑物和生活设施宜集中布置，其位置和朝向应力求合理，并应与相应构筑物保持一定距离。 </w:t>
      </w:r>
    </w:p>
    <w:p w14:paraId="40A7F660">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 xml:space="preserve">（3）污水和污泥的处理构筑物宜根据情况尽可能分别集中布置。 </w:t>
      </w:r>
    </w:p>
    <w:p w14:paraId="6F0F90BD">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 xml:space="preserve">（4）污水厂区的工艺流程、竖向设计宜充分利用地形、进水管路和尾水管道走向，符合排水通畅、降低能耗、平衡土方要求，避免迂回曲折。 </w:t>
      </w:r>
    </w:p>
    <w:p w14:paraId="15145243">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 xml:space="preserve">（5）污水厂区应设置通向各构筑物和附属建筑物的必要通道。 </w:t>
      </w:r>
    </w:p>
    <w:p w14:paraId="7DB440EB">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（6）污水厂周围根据现场条件应设置围墙，其高度不宜小于2.0m。</w:t>
      </w:r>
    </w:p>
    <w:p w14:paraId="4C50EC4E">
      <w:pPr>
        <w:pStyle w:val="7"/>
        <w:keepNext/>
        <w:keepLines/>
        <w:pageBreakBefore w:val="0"/>
        <w:widowControl w:val="0"/>
        <w:numPr>
          <w:ilvl w:val="3"/>
          <w:numId w:val="0"/>
        </w:numPr>
        <w:kinsoku/>
        <w:wordWrap/>
        <w:overflowPunct/>
        <w:topLinePunct w:val="0"/>
        <w:autoSpaceDE/>
        <w:autoSpaceDN/>
        <w:bidi w:val="0"/>
        <w:adjustRightInd/>
        <w:snapToGrid/>
        <w:spacing w:after="0" w:afterLines="50" w:line="360" w:lineRule="auto"/>
        <w:ind w:left="-57" w:leftChars="0" w:firstLine="482" w:firstLineChars="200"/>
        <w:jc w:val="both"/>
        <w:textAlignment w:val="auto"/>
        <w:rPr>
          <w:rFonts w:hint="eastAsia"/>
          <w:color w:val="auto"/>
          <w:sz w:val="24"/>
          <w:szCs w:val="24"/>
          <w:lang w:val="en-US" w:eastAsia="zh-CN"/>
        </w:rPr>
      </w:pPr>
      <w:r>
        <w:rPr>
          <w:rFonts w:hint="eastAsia"/>
          <w:color w:val="auto"/>
          <w:sz w:val="24"/>
          <w:szCs w:val="24"/>
          <w:lang w:val="en-US" w:eastAsia="zh-CN"/>
        </w:rPr>
        <w:t xml:space="preserve">2.3.3.2厂区竖向设计 </w:t>
      </w:r>
    </w:p>
    <w:p w14:paraId="04EF1E8B">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厂区范围内现状地形较为平坦，为</w:t>
      </w:r>
      <w:r>
        <w:rPr>
          <w:rFonts w:hint="eastAsia" w:cs="Times New Roman"/>
          <w:color w:val="auto"/>
          <w:sz w:val="24"/>
          <w:highlight w:val="none"/>
          <w:lang w:val="en-US" w:eastAsia="zh-CN"/>
        </w:rPr>
        <w:t>农用荒地（不涉及耕地）</w:t>
      </w:r>
      <w:r>
        <w:rPr>
          <w:rFonts w:hint="eastAsia"/>
          <w:color w:val="auto"/>
          <w:sz w:val="24"/>
          <w:highlight w:val="none"/>
          <w:lang w:val="en-US" w:eastAsia="zh-CN"/>
        </w:rPr>
        <w:t xml:space="preserve">，现场地标高约17m，拟定厂区设计地坪标高为19m。 </w:t>
      </w:r>
    </w:p>
    <w:p w14:paraId="2F49DA0F">
      <w:pPr>
        <w:pStyle w:val="7"/>
        <w:keepNext/>
        <w:keepLines/>
        <w:pageBreakBefore w:val="0"/>
        <w:widowControl w:val="0"/>
        <w:numPr>
          <w:ilvl w:val="3"/>
          <w:numId w:val="0"/>
        </w:numPr>
        <w:kinsoku/>
        <w:wordWrap/>
        <w:overflowPunct/>
        <w:topLinePunct w:val="0"/>
        <w:autoSpaceDE/>
        <w:autoSpaceDN/>
        <w:bidi w:val="0"/>
        <w:adjustRightInd/>
        <w:snapToGrid/>
        <w:spacing w:after="0" w:afterLines="50" w:line="360" w:lineRule="auto"/>
        <w:ind w:left="-57" w:leftChars="0" w:firstLine="482" w:firstLineChars="200"/>
        <w:jc w:val="both"/>
        <w:textAlignment w:val="auto"/>
        <w:rPr>
          <w:rFonts w:hint="eastAsia"/>
          <w:color w:val="auto"/>
          <w:sz w:val="24"/>
          <w:szCs w:val="24"/>
          <w:lang w:val="en-US" w:eastAsia="zh-CN"/>
        </w:rPr>
      </w:pPr>
      <w:r>
        <w:rPr>
          <w:rFonts w:hint="eastAsia"/>
          <w:color w:val="auto"/>
          <w:sz w:val="24"/>
          <w:szCs w:val="24"/>
          <w:lang w:val="en-US" w:eastAsia="zh-CN"/>
        </w:rPr>
        <w:t xml:space="preserve">2.3.3.3 厂区平面设计 </w:t>
      </w:r>
    </w:p>
    <w:p w14:paraId="41F5BDC2">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 xml:space="preserve">厂区总平面布置是根据厂区地形、厂区周围环境和处理工艺以及进、出水位置等条件，将全厂的管理及处理建、构筑物合理、有机的联系起来，在保证污水、污泥处理工艺布局合理、生产管理方便、联接管线简洁的基本原则下，综合考虑将建、构筑物分区、分类，在空间和外立面设计上协调统一，做到美观、实用、经济。 </w:t>
      </w:r>
    </w:p>
    <w:p w14:paraId="16B6E186">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 xml:space="preserve">根据厂内各部分用地的功能，本项目可划分为三个主要区域：办公管理区、污水处理区、辅助生产区，各区相对独立，便于维护和管理。 </w:t>
      </w:r>
    </w:p>
    <w:p w14:paraId="2A407651">
      <w:pPr>
        <w:pStyle w:val="7"/>
        <w:keepNext/>
        <w:keepLines/>
        <w:pageBreakBefore w:val="0"/>
        <w:widowControl w:val="0"/>
        <w:numPr>
          <w:ilvl w:val="3"/>
          <w:numId w:val="0"/>
        </w:numPr>
        <w:kinsoku/>
        <w:wordWrap/>
        <w:overflowPunct/>
        <w:topLinePunct w:val="0"/>
        <w:autoSpaceDE/>
        <w:autoSpaceDN/>
        <w:bidi w:val="0"/>
        <w:adjustRightInd/>
        <w:snapToGrid/>
        <w:spacing w:after="0" w:afterLines="50" w:line="360" w:lineRule="auto"/>
        <w:ind w:left="-57" w:leftChars="0" w:firstLine="482" w:firstLineChars="200"/>
        <w:jc w:val="both"/>
        <w:textAlignment w:val="auto"/>
        <w:rPr>
          <w:rFonts w:hint="eastAsia"/>
          <w:color w:val="auto"/>
          <w:sz w:val="24"/>
          <w:szCs w:val="24"/>
          <w:lang w:val="en-US" w:eastAsia="zh-CN"/>
        </w:rPr>
      </w:pPr>
      <w:r>
        <w:rPr>
          <w:rFonts w:hint="eastAsia"/>
          <w:color w:val="auto"/>
          <w:sz w:val="24"/>
          <w:szCs w:val="24"/>
          <w:lang w:val="en-US" w:eastAsia="zh-CN"/>
        </w:rPr>
        <w:t>2</w:t>
      </w:r>
      <w:r>
        <w:rPr>
          <w:rFonts w:hint="default"/>
          <w:color w:val="auto"/>
          <w:sz w:val="24"/>
          <w:szCs w:val="24"/>
          <w:lang w:val="en-US" w:eastAsia="zh-CN"/>
        </w:rPr>
        <w:t>.</w:t>
      </w:r>
      <w:r>
        <w:rPr>
          <w:rFonts w:hint="eastAsia"/>
          <w:color w:val="auto"/>
          <w:sz w:val="24"/>
          <w:szCs w:val="24"/>
          <w:lang w:val="en-US" w:eastAsia="zh-CN"/>
        </w:rPr>
        <w:t>3</w:t>
      </w:r>
      <w:r>
        <w:rPr>
          <w:rFonts w:hint="default"/>
          <w:color w:val="auto"/>
          <w:sz w:val="24"/>
          <w:szCs w:val="24"/>
          <w:lang w:val="en-US" w:eastAsia="zh-CN"/>
        </w:rPr>
        <w:t>.</w:t>
      </w:r>
      <w:r>
        <w:rPr>
          <w:rFonts w:hint="eastAsia"/>
          <w:color w:val="auto"/>
          <w:sz w:val="24"/>
          <w:szCs w:val="24"/>
          <w:lang w:val="en-US" w:eastAsia="zh-CN"/>
        </w:rPr>
        <w:t>3</w:t>
      </w:r>
      <w:r>
        <w:rPr>
          <w:rFonts w:hint="default"/>
          <w:color w:val="auto"/>
          <w:sz w:val="24"/>
          <w:szCs w:val="24"/>
          <w:lang w:val="en-US" w:eastAsia="zh-CN"/>
        </w:rPr>
        <w:t xml:space="preserve">.4 </w:t>
      </w:r>
      <w:r>
        <w:rPr>
          <w:rFonts w:hint="eastAsia"/>
          <w:color w:val="auto"/>
          <w:sz w:val="24"/>
          <w:szCs w:val="24"/>
          <w:lang w:val="en-US" w:eastAsia="zh-CN"/>
        </w:rPr>
        <w:t xml:space="preserve">厂区管线和道路设计 </w:t>
      </w:r>
    </w:p>
    <w:p w14:paraId="3F3DC6BD">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厂区管线主要包括污水进、排放管线、空气管线，利用构筑物侧壁作为管道走向的依托。部分污泥管线需穿越道路，采用管沟的方式敷设。项目充分利用原有交通线路，厂区内平面道路以方便厂区生产及维修管理方便为目的。污水处理厂的污水经处理后排放至排水渠。</w:t>
      </w:r>
    </w:p>
    <w:p w14:paraId="74F72C6B">
      <w:pPr>
        <w:pStyle w:val="7"/>
        <w:keepNext/>
        <w:keepLines/>
        <w:pageBreakBefore w:val="0"/>
        <w:widowControl w:val="0"/>
        <w:numPr>
          <w:ilvl w:val="3"/>
          <w:numId w:val="0"/>
        </w:numPr>
        <w:kinsoku/>
        <w:wordWrap/>
        <w:overflowPunct/>
        <w:topLinePunct w:val="0"/>
        <w:autoSpaceDE/>
        <w:autoSpaceDN/>
        <w:bidi w:val="0"/>
        <w:adjustRightInd/>
        <w:snapToGrid/>
        <w:spacing w:after="0" w:afterLines="50" w:line="360" w:lineRule="auto"/>
        <w:ind w:left="-57" w:leftChars="0" w:firstLine="482" w:firstLineChars="200"/>
        <w:jc w:val="both"/>
        <w:textAlignment w:val="auto"/>
        <w:rPr>
          <w:rFonts w:hint="eastAsia"/>
          <w:color w:val="auto"/>
          <w:sz w:val="24"/>
          <w:szCs w:val="24"/>
          <w:lang w:val="en-US" w:eastAsia="zh-CN"/>
        </w:rPr>
      </w:pPr>
      <w:r>
        <w:rPr>
          <w:rFonts w:hint="eastAsia"/>
          <w:color w:val="auto"/>
          <w:sz w:val="24"/>
          <w:szCs w:val="24"/>
          <w:lang w:val="en-US" w:eastAsia="zh-CN"/>
        </w:rPr>
        <w:t xml:space="preserve">2.3.3.5 美化环境及绿化设计 </w:t>
      </w:r>
    </w:p>
    <w:p w14:paraId="27B426A3">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沿污水厂四周围墙内侧及建构筑物四周广植草坪，大量绿化，并种植四季花卉、常绿灌木，以提高污水站的环境质量。</w:t>
      </w:r>
    </w:p>
    <w:p w14:paraId="7C90AD0E">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工程主要建筑物及设备工艺设计</w:t>
      </w:r>
    </w:p>
    <w:p w14:paraId="3261DF47">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本工程主要建筑物及设备如下表所示</w:t>
      </w:r>
      <w:r>
        <w:rPr>
          <w:rFonts w:hint="default"/>
          <w:color w:val="auto"/>
          <w:sz w:val="24"/>
          <w:highlight w:val="none"/>
          <w:lang w:eastAsia="zh-CN"/>
        </w:rPr>
        <w:t>。</w:t>
      </w:r>
    </w:p>
    <w:p w14:paraId="0463E4BC">
      <w:pPr>
        <w:spacing w:line="240" w:lineRule="auto"/>
        <w:ind w:firstLine="480" w:firstLineChars="200"/>
        <w:jc w:val="center"/>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2.3-4</w:t>
      </w:r>
      <w:r>
        <w:rPr>
          <w:rFonts w:hint="eastAsia" w:ascii="Times New Roman" w:hAnsi="Times New Roman" w:eastAsia="宋体" w:cs="Times New Roman"/>
          <w:color w:val="auto"/>
          <w:sz w:val="24"/>
          <w:highlight w:val="none"/>
          <w:lang w:val="en-US" w:eastAsia="zh-CN"/>
        </w:rPr>
        <w:t>主要</w:t>
      </w:r>
      <w:r>
        <w:rPr>
          <w:rFonts w:hint="eastAsia" w:cs="Times New Roman"/>
          <w:color w:val="auto"/>
          <w:sz w:val="24"/>
          <w:highlight w:val="none"/>
          <w:lang w:val="en-US" w:eastAsia="zh-CN"/>
        </w:rPr>
        <w:t>建</w:t>
      </w:r>
      <w:r>
        <w:rPr>
          <w:rFonts w:hint="eastAsia" w:ascii="Times New Roman" w:hAnsi="Times New Roman" w:eastAsia="宋体" w:cs="Times New Roman"/>
          <w:color w:val="auto"/>
          <w:sz w:val="24"/>
          <w:highlight w:val="none"/>
          <w:lang w:val="en-US" w:eastAsia="zh-CN"/>
        </w:rPr>
        <w:t>筑物一览表</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2477"/>
        <w:gridCol w:w="2552"/>
        <w:gridCol w:w="1382"/>
        <w:gridCol w:w="1125"/>
        <w:gridCol w:w="841"/>
      </w:tblGrid>
      <w:tr w14:paraId="5E0A8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800" w:type="dxa"/>
            <w:vAlign w:val="center"/>
          </w:tcPr>
          <w:p w14:paraId="7BE61709">
            <w:pPr>
              <w:pStyle w:val="56"/>
              <w:bidi w:val="0"/>
              <w:jc w:val="center"/>
              <w:rPr>
                <w:rFonts w:hint="eastAsia"/>
                <w:color w:val="auto"/>
                <w:lang w:val="en-US" w:eastAsia="zh-CN"/>
              </w:rPr>
            </w:pPr>
            <w:r>
              <w:rPr>
                <w:rFonts w:hint="eastAsia"/>
                <w:color w:val="auto"/>
                <w:lang w:val="en-US" w:eastAsia="zh-CN"/>
              </w:rPr>
              <w:t>序号</w:t>
            </w:r>
          </w:p>
        </w:tc>
        <w:tc>
          <w:tcPr>
            <w:tcW w:w="2477" w:type="dxa"/>
            <w:vAlign w:val="center"/>
          </w:tcPr>
          <w:p w14:paraId="2C12385B">
            <w:pPr>
              <w:pStyle w:val="56"/>
              <w:bidi w:val="0"/>
              <w:jc w:val="center"/>
              <w:rPr>
                <w:rFonts w:hint="eastAsia"/>
                <w:color w:val="auto"/>
                <w:lang w:val="en-US" w:eastAsia="zh-CN"/>
              </w:rPr>
            </w:pPr>
            <w:r>
              <w:rPr>
                <w:rFonts w:hint="eastAsia"/>
                <w:color w:val="auto"/>
                <w:lang w:val="en-US" w:eastAsia="zh-CN"/>
              </w:rPr>
              <w:t>名称</w:t>
            </w:r>
          </w:p>
        </w:tc>
        <w:tc>
          <w:tcPr>
            <w:tcW w:w="2552" w:type="dxa"/>
            <w:vAlign w:val="center"/>
          </w:tcPr>
          <w:p w14:paraId="7231DE50">
            <w:pPr>
              <w:pStyle w:val="56"/>
              <w:bidi w:val="0"/>
              <w:jc w:val="center"/>
              <w:rPr>
                <w:rFonts w:hint="eastAsia"/>
                <w:color w:val="auto"/>
                <w:lang w:val="en-US" w:eastAsia="zh-CN"/>
              </w:rPr>
            </w:pPr>
            <w:r>
              <w:rPr>
                <w:rFonts w:hint="eastAsia"/>
                <w:color w:val="auto"/>
                <w:lang w:val="en-US" w:eastAsia="zh-CN"/>
              </w:rPr>
              <w:t>规格尺寸</w:t>
            </w:r>
          </w:p>
        </w:tc>
        <w:tc>
          <w:tcPr>
            <w:tcW w:w="1382" w:type="dxa"/>
            <w:vAlign w:val="center"/>
          </w:tcPr>
          <w:p w14:paraId="128FEAD7">
            <w:pPr>
              <w:pStyle w:val="56"/>
              <w:bidi w:val="0"/>
              <w:jc w:val="center"/>
              <w:rPr>
                <w:rFonts w:hint="eastAsia"/>
                <w:color w:val="auto"/>
                <w:lang w:val="en-US" w:eastAsia="zh-CN"/>
              </w:rPr>
            </w:pPr>
            <w:r>
              <w:rPr>
                <w:rFonts w:hint="eastAsia"/>
                <w:color w:val="auto"/>
                <w:lang w:val="en-US" w:eastAsia="zh-CN"/>
              </w:rPr>
              <w:t>结构形式</w:t>
            </w:r>
          </w:p>
        </w:tc>
        <w:tc>
          <w:tcPr>
            <w:tcW w:w="1125" w:type="dxa"/>
            <w:vAlign w:val="center"/>
          </w:tcPr>
          <w:p w14:paraId="2E2ED201">
            <w:pPr>
              <w:pStyle w:val="56"/>
              <w:bidi w:val="0"/>
              <w:jc w:val="center"/>
              <w:rPr>
                <w:rFonts w:hint="eastAsia"/>
                <w:color w:val="auto"/>
                <w:lang w:val="en-US" w:eastAsia="zh-CN"/>
              </w:rPr>
            </w:pPr>
            <w:r>
              <w:rPr>
                <w:rFonts w:hint="eastAsia"/>
                <w:color w:val="auto"/>
                <w:lang w:val="en-US" w:eastAsia="zh-CN"/>
              </w:rPr>
              <w:t>数量</w:t>
            </w:r>
          </w:p>
        </w:tc>
        <w:tc>
          <w:tcPr>
            <w:tcW w:w="841" w:type="dxa"/>
            <w:vAlign w:val="center"/>
          </w:tcPr>
          <w:p w14:paraId="2D2CE975">
            <w:pPr>
              <w:pStyle w:val="56"/>
              <w:bidi w:val="0"/>
              <w:jc w:val="center"/>
              <w:rPr>
                <w:rFonts w:hint="eastAsia"/>
                <w:color w:val="auto"/>
                <w:lang w:val="en-US" w:eastAsia="zh-CN"/>
              </w:rPr>
            </w:pPr>
            <w:r>
              <w:rPr>
                <w:rFonts w:hint="eastAsia"/>
                <w:color w:val="auto"/>
                <w:lang w:val="en-US" w:eastAsia="zh-CN"/>
              </w:rPr>
              <w:t>备注</w:t>
            </w:r>
          </w:p>
        </w:tc>
      </w:tr>
      <w:tr w14:paraId="271B7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800" w:type="dxa"/>
            <w:vAlign w:val="center"/>
          </w:tcPr>
          <w:p w14:paraId="1824B155">
            <w:pPr>
              <w:pStyle w:val="56"/>
              <w:bidi w:val="0"/>
              <w:jc w:val="center"/>
              <w:rPr>
                <w:rFonts w:hint="eastAsia"/>
                <w:color w:val="auto"/>
                <w:lang w:val="en-US" w:eastAsia="zh-CN"/>
              </w:rPr>
            </w:pPr>
            <w:r>
              <w:rPr>
                <w:rFonts w:hint="eastAsia"/>
                <w:color w:val="auto"/>
                <w:lang w:val="en-US" w:eastAsia="zh-CN"/>
              </w:rPr>
              <w:t>1</w:t>
            </w:r>
          </w:p>
        </w:tc>
        <w:tc>
          <w:tcPr>
            <w:tcW w:w="2477" w:type="dxa"/>
            <w:vAlign w:val="center"/>
          </w:tcPr>
          <w:p w14:paraId="4994FC84">
            <w:pPr>
              <w:pStyle w:val="56"/>
              <w:bidi w:val="0"/>
              <w:jc w:val="center"/>
              <w:rPr>
                <w:rFonts w:hint="eastAsia"/>
                <w:color w:val="auto"/>
                <w:lang w:val="en-US" w:eastAsia="zh-CN"/>
              </w:rPr>
            </w:pPr>
            <w:r>
              <w:rPr>
                <w:rFonts w:hint="eastAsia"/>
                <w:color w:val="auto"/>
                <w:lang w:val="en-US" w:eastAsia="zh-CN"/>
              </w:rPr>
              <w:t>粗格栅渠</w:t>
            </w:r>
          </w:p>
        </w:tc>
        <w:tc>
          <w:tcPr>
            <w:tcW w:w="2552" w:type="dxa"/>
            <w:vAlign w:val="center"/>
          </w:tcPr>
          <w:p w14:paraId="0C2B587E">
            <w:pPr>
              <w:pStyle w:val="56"/>
              <w:bidi w:val="0"/>
              <w:jc w:val="center"/>
              <w:rPr>
                <w:rFonts w:hint="eastAsia"/>
                <w:color w:val="auto"/>
                <w:lang w:val="en-US" w:eastAsia="zh-CN"/>
              </w:rPr>
            </w:pPr>
            <w:r>
              <w:rPr>
                <w:rFonts w:hint="eastAsia"/>
                <w:color w:val="auto"/>
                <w:lang w:val="en-US" w:eastAsia="zh-CN"/>
              </w:rPr>
              <w:t>5.35m×2.10m×5.10m</w:t>
            </w:r>
          </w:p>
        </w:tc>
        <w:tc>
          <w:tcPr>
            <w:tcW w:w="1382" w:type="dxa"/>
            <w:vAlign w:val="center"/>
          </w:tcPr>
          <w:p w14:paraId="7105E2DE">
            <w:pPr>
              <w:pStyle w:val="56"/>
              <w:bidi w:val="0"/>
              <w:jc w:val="center"/>
              <w:rPr>
                <w:rFonts w:hint="eastAsia"/>
                <w:color w:val="auto"/>
                <w:lang w:val="en-US" w:eastAsia="zh-CN"/>
              </w:rPr>
            </w:pPr>
            <w:r>
              <w:rPr>
                <w:rFonts w:hint="eastAsia"/>
                <w:color w:val="auto"/>
                <w:lang w:val="en-US" w:eastAsia="zh-CN"/>
              </w:rPr>
              <w:t>钢筋砼</w:t>
            </w:r>
          </w:p>
        </w:tc>
        <w:tc>
          <w:tcPr>
            <w:tcW w:w="1125" w:type="dxa"/>
            <w:vAlign w:val="center"/>
          </w:tcPr>
          <w:p w14:paraId="645B5EDF">
            <w:pPr>
              <w:pStyle w:val="56"/>
              <w:bidi w:val="0"/>
              <w:jc w:val="center"/>
              <w:rPr>
                <w:rFonts w:hint="eastAsia"/>
                <w:color w:val="auto"/>
                <w:lang w:val="en-US" w:eastAsia="zh-CN"/>
              </w:rPr>
            </w:pPr>
            <w:r>
              <w:rPr>
                <w:rFonts w:hint="eastAsia"/>
                <w:color w:val="auto"/>
                <w:lang w:val="en-US" w:eastAsia="zh-CN"/>
              </w:rPr>
              <w:t>1座</w:t>
            </w:r>
          </w:p>
        </w:tc>
        <w:tc>
          <w:tcPr>
            <w:tcW w:w="841" w:type="dxa"/>
            <w:vAlign w:val="center"/>
          </w:tcPr>
          <w:p w14:paraId="391C74E3">
            <w:pPr>
              <w:pStyle w:val="56"/>
              <w:bidi w:val="0"/>
              <w:jc w:val="center"/>
              <w:rPr>
                <w:rFonts w:hint="eastAsia"/>
                <w:color w:val="auto"/>
                <w:lang w:val="en-US" w:eastAsia="zh-CN"/>
              </w:rPr>
            </w:pPr>
          </w:p>
        </w:tc>
      </w:tr>
      <w:tr w14:paraId="4FA54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800" w:type="dxa"/>
            <w:vAlign w:val="center"/>
          </w:tcPr>
          <w:p w14:paraId="5550BB47">
            <w:pPr>
              <w:pStyle w:val="56"/>
              <w:bidi w:val="0"/>
              <w:jc w:val="center"/>
              <w:rPr>
                <w:rFonts w:hint="eastAsia"/>
                <w:color w:val="auto"/>
                <w:lang w:val="en-US" w:eastAsia="zh-CN"/>
              </w:rPr>
            </w:pPr>
            <w:r>
              <w:rPr>
                <w:rFonts w:hint="eastAsia"/>
                <w:color w:val="auto"/>
                <w:lang w:val="en-US" w:eastAsia="zh-CN"/>
              </w:rPr>
              <w:t>2</w:t>
            </w:r>
          </w:p>
        </w:tc>
        <w:tc>
          <w:tcPr>
            <w:tcW w:w="2477" w:type="dxa"/>
            <w:vAlign w:val="center"/>
          </w:tcPr>
          <w:p w14:paraId="42DB9AD3">
            <w:pPr>
              <w:pStyle w:val="56"/>
              <w:bidi w:val="0"/>
              <w:jc w:val="center"/>
              <w:rPr>
                <w:rFonts w:hint="eastAsia"/>
                <w:color w:val="auto"/>
                <w:lang w:val="en-US" w:eastAsia="zh-CN"/>
              </w:rPr>
            </w:pPr>
            <w:r>
              <w:rPr>
                <w:rFonts w:hint="eastAsia"/>
                <w:color w:val="auto"/>
                <w:lang w:val="en-US" w:eastAsia="zh-CN"/>
              </w:rPr>
              <w:t>提升泵站</w:t>
            </w:r>
          </w:p>
        </w:tc>
        <w:tc>
          <w:tcPr>
            <w:tcW w:w="2552" w:type="dxa"/>
            <w:vAlign w:val="center"/>
          </w:tcPr>
          <w:p w14:paraId="2CCF0501">
            <w:pPr>
              <w:pStyle w:val="56"/>
              <w:bidi w:val="0"/>
              <w:jc w:val="center"/>
              <w:rPr>
                <w:rFonts w:hint="eastAsia"/>
                <w:color w:val="auto"/>
                <w:lang w:val="en-US" w:eastAsia="zh-CN"/>
              </w:rPr>
            </w:pPr>
            <w:r>
              <w:rPr>
                <w:rFonts w:hint="eastAsia"/>
                <w:color w:val="auto"/>
                <w:lang w:val="en-US" w:eastAsia="zh-CN"/>
              </w:rPr>
              <w:t>6.65m×6.00m×7.20m</w:t>
            </w:r>
          </w:p>
        </w:tc>
        <w:tc>
          <w:tcPr>
            <w:tcW w:w="1382" w:type="dxa"/>
            <w:vAlign w:val="center"/>
          </w:tcPr>
          <w:p w14:paraId="08009C40">
            <w:pPr>
              <w:pStyle w:val="56"/>
              <w:bidi w:val="0"/>
              <w:jc w:val="center"/>
              <w:rPr>
                <w:rFonts w:hint="eastAsia"/>
                <w:color w:val="auto"/>
                <w:lang w:val="en-US" w:eastAsia="zh-CN"/>
              </w:rPr>
            </w:pPr>
            <w:r>
              <w:rPr>
                <w:rFonts w:hint="eastAsia"/>
                <w:color w:val="auto"/>
                <w:lang w:val="en-US" w:eastAsia="zh-CN"/>
              </w:rPr>
              <w:t>钢筋砼</w:t>
            </w:r>
          </w:p>
        </w:tc>
        <w:tc>
          <w:tcPr>
            <w:tcW w:w="1125" w:type="dxa"/>
            <w:vAlign w:val="center"/>
          </w:tcPr>
          <w:p w14:paraId="1056EC5C">
            <w:pPr>
              <w:pStyle w:val="56"/>
              <w:bidi w:val="0"/>
              <w:jc w:val="center"/>
              <w:rPr>
                <w:rFonts w:hint="eastAsia"/>
                <w:color w:val="auto"/>
                <w:lang w:val="en-US" w:eastAsia="zh-CN"/>
              </w:rPr>
            </w:pPr>
            <w:r>
              <w:rPr>
                <w:rFonts w:hint="eastAsia"/>
                <w:color w:val="auto"/>
                <w:lang w:val="en-US" w:eastAsia="zh-CN"/>
              </w:rPr>
              <w:t>1座</w:t>
            </w:r>
          </w:p>
        </w:tc>
        <w:tc>
          <w:tcPr>
            <w:tcW w:w="841" w:type="dxa"/>
            <w:vAlign w:val="center"/>
          </w:tcPr>
          <w:p w14:paraId="6CEB42A8">
            <w:pPr>
              <w:pStyle w:val="56"/>
              <w:bidi w:val="0"/>
              <w:jc w:val="center"/>
              <w:rPr>
                <w:rFonts w:hint="eastAsia"/>
                <w:color w:val="auto"/>
                <w:lang w:val="en-US" w:eastAsia="zh-CN"/>
              </w:rPr>
            </w:pPr>
          </w:p>
        </w:tc>
      </w:tr>
      <w:tr w14:paraId="512FC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800" w:type="dxa"/>
            <w:vAlign w:val="center"/>
          </w:tcPr>
          <w:p w14:paraId="436E3E2C">
            <w:pPr>
              <w:pStyle w:val="56"/>
              <w:bidi w:val="0"/>
              <w:jc w:val="center"/>
              <w:rPr>
                <w:rFonts w:hint="eastAsia"/>
                <w:color w:val="auto"/>
                <w:lang w:val="en-US" w:eastAsia="zh-CN"/>
              </w:rPr>
            </w:pPr>
            <w:r>
              <w:rPr>
                <w:rFonts w:hint="eastAsia"/>
                <w:color w:val="auto"/>
                <w:lang w:val="en-US" w:eastAsia="zh-CN"/>
              </w:rPr>
              <w:t>3</w:t>
            </w:r>
          </w:p>
        </w:tc>
        <w:tc>
          <w:tcPr>
            <w:tcW w:w="2477" w:type="dxa"/>
            <w:vAlign w:val="center"/>
          </w:tcPr>
          <w:p w14:paraId="1B3E8D97">
            <w:pPr>
              <w:pStyle w:val="56"/>
              <w:bidi w:val="0"/>
              <w:jc w:val="center"/>
              <w:rPr>
                <w:rFonts w:hint="eastAsia"/>
                <w:color w:val="auto"/>
                <w:lang w:val="en-US" w:eastAsia="zh-CN"/>
              </w:rPr>
            </w:pPr>
            <w:r>
              <w:rPr>
                <w:rFonts w:hint="eastAsia"/>
                <w:color w:val="auto"/>
                <w:lang w:val="en-US" w:eastAsia="zh-CN"/>
              </w:rPr>
              <w:t>细格栅池</w:t>
            </w:r>
          </w:p>
        </w:tc>
        <w:tc>
          <w:tcPr>
            <w:tcW w:w="2552" w:type="dxa"/>
            <w:vAlign w:val="center"/>
          </w:tcPr>
          <w:p w14:paraId="1299A92B">
            <w:pPr>
              <w:pStyle w:val="56"/>
              <w:bidi w:val="0"/>
              <w:jc w:val="center"/>
              <w:rPr>
                <w:rFonts w:hint="eastAsia"/>
                <w:color w:val="auto"/>
                <w:lang w:val="en-US" w:eastAsia="zh-CN"/>
              </w:rPr>
            </w:pPr>
            <w:r>
              <w:rPr>
                <w:rFonts w:hint="eastAsia"/>
                <w:color w:val="auto"/>
                <w:lang w:val="en-US" w:eastAsia="zh-CN"/>
              </w:rPr>
              <w:t>5.40m×2.00×1.50</w:t>
            </w:r>
          </w:p>
        </w:tc>
        <w:tc>
          <w:tcPr>
            <w:tcW w:w="1382" w:type="dxa"/>
            <w:vAlign w:val="center"/>
          </w:tcPr>
          <w:p w14:paraId="1D63706E">
            <w:pPr>
              <w:pStyle w:val="56"/>
              <w:bidi w:val="0"/>
              <w:jc w:val="center"/>
              <w:rPr>
                <w:rFonts w:hint="eastAsia"/>
                <w:color w:val="auto"/>
                <w:lang w:val="en-US" w:eastAsia="zh-CN"/>
              </w:rPr>
            </w:pPr>
            <w:r>
              <w:rPr>
                <w:rFonts w:hint="eastAsia"/>
                <w:color w:val="auto"/>
                <w:lang w:val="en-US" w:eastAsia="zh-CN"/>
              </w:rPr>
              <w:t>钢筋砼</w:t>
            </w:r>
          </w:p>
        </w:tc>
        <w:tc>
          <w:tcPr>
            <w:tcW w:w="1125" w:type="dxa"/>
            <w:vAlign w:val="center"/>
          </w:tcPr>
          <w:p w14:paraId="1D47AA38">
            <w:pPr>
              <w:pStyle w:val="56"/>
              <w:bidi w:val="0"/>
              <w:jc w:val="center"/>
              <w:rPr>
                <w:rFonts w:hint="eastAsia"/>
                <w:color w:val="auto"/>
                <w:lang w:val="en-US" w:eastAsia="zh-CN"/>
              </w:rPr>
            </w:pPr>
            <w:r>
              <w:rPr>
                <w:rFonts w:hint="eastAsia"/>
                <w:color w:val="auto"/>
                <w:lang w:val="en-US" w:eastAsia="zh-CN"/>
              </w:rPr>
              <w:t>1座</w:t>
            </w:r>
          </w:p>
        </w:tc>
        <w:tc>
          <w:tcPr>
            <w:tcW w:w="841" w:type="dxa"/>
            <w:vAlign w:val="center"/>
          </w:tcPr>
          <w:p w14:paraId="57DE03DF">
            <w:pPr>
              <w:pStyle w:val="56"/>
              <w:bidi w:val="0"/>
              <w:jc w:val="center"/>
              <w:rPr>
                <w:rFonts w:hint="eastAsia"/>
                <w:color w:val="auto"/>
                <w:lang w:val="en-US" w:eastAsia="zh-CN"/>
              </w:rPr>
            </w:pPr>
          </w:p>
        </w:tc>
      </w:tr>
      <w:tr w14:paraId="52EBA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800" w:type="dxa"/>
            <w:vAlign w:val="center"/>
          </w:tcPr>
          <w:p w14:paraId="03019FFC">
            <w:pPr>
              <w:pStyle w:val="56"/>
              <w:bidi w:val="0"/>
              <w:jc w:val="center"/>
              <w:rPr>
                <w:rFonts w:hint="eastAsia"/>
                <w:color w:val="auto"/>
                <w:lang w:val="en-US" w:eastAsia="zh-CN"/>
              </w:rPr>
            </w:pPr>
            <w:r>
              <w:rPr>
                <w:rFonts w:hint="eastAsia"/>
                <w:color w:val="auto"/>
                <w:lang w:val="en-US" w:eastAsia="zh-CN"/>
              </w:rPr>
              <w:t>4</w:t>
            </w:r>
          </w:p>
        </w:tc>
        <w:tc>
          <w:tcPr>
            <w:tcW w:w="2477" w:type="dxa"/>
            <w:vAlign w:val="center"/>
          </w:tcPr>
          <w:p w14:paraId="0F9CEFCE">
            <w:pPr>
              <w:pStyle w:val="56"/>
              <w:bidi w:val="0"/>
              <w:jc w:val="center"/>
              <w:rPr>
                <w:rFonts w:hint="eastAsia"/>
                <w:color w:val="auto"/>
                <w:lang w:val="en-US" w:eastAsia="zh-CN"/>
              </w:rPr>
            </w:pPr>
            <w:r>
              <w:rPr>
                <w:rFonts w:hint="eastAsia"/>
                <w:color w:val="auto"/>
                <w:lang w:val="en-US" w:eastAsia="zh-CN"/>
              </w:rPr>
              <w:t>沉砂池</w:t>
            </w:r>
          </w:p>
        </w:tc>
        <w:tc>
          <w:tcPr>
            <w:tcW w:w="2552" w:type="dxa"/>
            <w:vAlign w:val="center"/>
          </w:tcPr>
          <w:p w14:paraId="0DE542E6">
            <w:pPr>
              <w:pStyle w:val="56"/>
              <w:bidi w:val="0"/>
              <w:jc w:val="center"/>
              <w:rPr>
                <w:rFonts w:hint="eastAsia"/>
                <w:color w:val="auto"/>
                <w:lang w:val="en-US" w:eastAsia="zh-CN"/>
              </w:rPr>
            </w:pPr>
            <w:r>
              <w:rPr>
                <w:rFonts w:hint="eastAsia"/>
                <w:color w:val="auto"/>
                <w:lang w:val="en-US" w:eastAsia="zh-CN"/>
              </w:rPr>
              <w:t>7.00m×2.00m×3.40m</w:t>
            </w:r>
          </w:p>
        </w:tc>
        <w:tc>
          <w:tcPr>
            <w:tcW w:w="1382" w:type="dxa"/>
            <w:vAlign w:val="center"/>
          </w:tcPr>
          <w:p w14:paraId="361FD08F">
            <w:pPr>
              <w:pStyle w:val="56"/>
              <w:bidi w:val="0"/>
              <w:jc w:val="center"/>
              <w:rPr>
                <w:rFonts w:hint="eastAsia"/>
                <w:color w:val="auto"/>
                <w:lang w:val="en-US" w:eastAsia="zh-CN"/>
              </w:rPr>
            </w:pPr>
            <w:r>
              <w:rPr>
                <w:rFonts w:hint="eastAsia"/>
                <w:color w:val="auto"/>
                <w:lang w:val="en-US" w:eastAsia="zh-CN"/>
              </w:rPr>
              <w:t>钢筋砼</w:t>
            </w:r>
          </w:p>
        </w:tc>
        <w:tc>
          <w:tcPr>
            <w:tcW w:w="1125" w:type="dxa"/>
            <w:vAlign w:val="center"/>
          </w:tcPr>
          <w:p w14:paraId="678B539E">
            <w:pPr>
              <w:pStyle w:val="56"/>
              <w:bidi w:val="0"/>
              <w:jc w:val="center"/>
              <w:rPr>
                <w:rFonts w:hint="eastAsia"/>
                <w:color w:val="auto"/>
                <w:lang w:val="en-US" w:eastAsia="zh-CN"/>
              </w:rPr>
            </w:pPr>
            <w:r>
              <w:rPr>
                <w:rFonts w:hint="eastAsia"/>
                <w:color w:val="auto"/>
                <w:lang w:val="en-US" w:eastAsia="zh-CN"/>
              </w:rPr>
              <w:t>1座</w:t>
            </w:r>
          </w:p>
        </w:tc>
        <w:tc>
          <w:tcPr>
            <w:tcW w:w="841" w:type="dxa"/>
            <w:vAlign w:val="center"/>
          </w:tcPr>
          <w:p w14:paraId="5CB4CB67">
            <w:pPr>
              <w:pStyle w:val="56"/>
              <w:bidi w:val="0"/>
              <w:jc w:val="center"/>
              <w:rPr>
                <w:rFonts w:hint="eastAsia"/>
                <w:color w:val="auto"/>
                <w:lang w:val="en-US" w:eastAsia="zh-CN"/>
              </w:rPr>
            </w:pPr>
          </w:p>
        </w:tc>
      </w:tr>
      <w:tr w14:paraId="28EFD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800" w:type="dxa"/>
            <w:vAlign w:val="center"/>
          </w:tcPr>
          <w:p w14:paraId="429D5CB8">
            <w:pPr>
              <w:pStyle w:val="56"/>
              <w:bidi w:val="0"/>
              <w:jc w:val="center"/>
              <w:rPr>
                <w:rFonts w:hint="eastAsia"/>
                <w:color w:val="auto"/>
                <w:lang w:val="en-US" w:eastAsia="zh-CN"/>
              </w:rPr>
            </w:pPr>
            <w:r>
              <w:rPr>
                <w:rFonts w:hint="eastAsia"/>
                <w:color w:val="auto"/>
                <w:lang w:val="en-US" w:eastAsia="zh-CN"/>
              </w:rPr>
              <w:t>5</w:t>
            </w:r>
          </w:p>
        </w:tc>
        <w:tc>
          <w:tcPr>
            <w:tcW w:w="2477" w:type="dxa"/>
            <w:vAlign w:val="center"/>
          </w:tcPr>
          <w:p w14:paraId="22B0BAC9">
            <w:pPr>
              <w:pStyle w:val="56"/>
              <w:bidi w:val="0"/>
              <w:jc w:val="center"/>
              <w:rPr>
                <w:rFonts w:hint="eastAsia"/>
                <w:color w:val="auto"/>
                <w:lang w:val="en-US" w:eastAsia="zh-CN"/>
              </w:rPr>
            </w:pPr>
            <w:r>
              <w:rPr>
                <w:rFonts w:hint="eastAsia"/>
                <w:color w:val="auto"/>
                <w:lang w:val="en-US" w:eastAsia="zh-CN"/>
              </w:rPr>
              <w:t>改良型卡鲁塞尔氧化沟</w:t>
            </w:r>
          </w:p>
        </w:tc>
        <w:tc>
          <w:tcPr>
            <w:tcW w:w="2552" w:type="dxa"/>
            <w:vAlign w:val="center"/>
          </w:tcPr>
          <w:p w14:paraId="78388008">
            <w:pPr>
              <w:pStyle w:val="56"/>
              <w:bidi w:val="0"/>
              <w:jc w:val="center"/>
              <w:rPr>
                <w:rFonts w:hint="eastAsia"/>
                <w:color w:val="auto"/>
                <w:lang w:val="en-US" w:eastAsia="zh-CN"/>
              </w:rPr>
            </w:pPr>
            <w:r>
              <w:rPr>
                <w:rFonts w:hint="eastAsia"/>
                <w:color w:val="auto"/>
                <w:lang w:val="en-US" w:eastAsia="zh-CN"/>
              </w:rPr>
              <w:t>29.00m×16.00m×5.00m</w:t>
            </w:r>
          </w:p>
        </w:tc>
        <w:tc>
          <w:tcPr>
            <w:tcW w:w="1382" w:type="dxa"/>
            <w:vAlign w:val="center"/>
          </w:tcPr>
          <w:p w14:paraId="0D046A40">
            <w:pPr>
              <w:pStyle w:val="56"/>
              <w:bidi w:val="0"/>
              <w:jc w:val="center"/>
              <w:rPr>
                <w:rFonts w:hint="eastAsia"/>
                <w:color w:val="auto"/>
                <w:lang w:val="en-US" w:eastAsia="zh-CN"/>
              </w:rPr>
            </w:pPr>
            <w:r>
              <w:rPr>
                <w:rFonts w:hint="eastAsia"/>
                <w:color w:val="auto"/>
                <w:lang w:val="en-US" w:eastAsia="zh-CN"/>
              </w:rPr>
              <w:t>钢筋砼</w:t>
            </w:r>
          </w:p>
        </w:tc>
        <w:tc>
          <w:tcPr>
            <w:tcW w:w="1125" w:type="dxa"/>
            <w:vAlign w:val="center"/>
          </w:tcPr>
          <w:p w14:paraId="38CC3B3A">
            <w:pPr>
              <w:pStyle w:val="56"/>
              <w:bidi w:val="0"/>
              <w:jc w:val="center"/>
              <w:rPr>
                <w:rFonts w:hint="eastAsia"/>
                <w:color w:val="auto"/>
                <w:lang w:val="en-US" w:eastAsia="zh-CN"/>
              </w:rPr>
            </w:pPr>
            <w:r>
              <w:rPr>
                <w:rFonts w:hint="eastAsia"/>
                <w:color w:val="auto"/>
                <w:lang w:val="en-US" w:eastAsia="zh-CN"/>
              </w:rPr>
              <w:t>1座</w:t>
            </w:r>
          </w:p>
        </w:tc>
        <w:tc>
          <w:tcPr>
            <w:tcW w:w="841" w:type="dxa"/>
            <w:vAlign w:val="center"/>
          </w:tcPr>
          <w:p w14:paraId="54000525">
            <w:pPr>
              <w:pStyle w:val="56"/>
              <w:bidi w:val="0"/>
              <w:jc w:val="center"/>
              <w:rPr>
                <w:rFonts w:hint="eastAsia"/>
                <w:color w:val="auto"/>
                <w:lang w:val="en-US" w:eastAsia="zh-CN"/>
              </w:rPr>
            </w:pPr>
          </w:p>
        </w:tc>
      </w:tr>
      <w:tr w14:paraId="1DBC2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800" w:type="dxa"/>
            <w:vAlign w:val="center"/>
          </w:tcPr>
          <w:p w14:paraId="7B801736">
            <w:pPr>
              <w:pStyle w:val="56"/>
              <w:bidi w:val="0"/>
              <w:jc w:val="center"/>
              <w:rPr>
                <w:rFonts w:hint="eastAsia"/>
                <w:color w:val="auto"/>
                <w:lang w:val="en-US" w:eastAsia="zh-CN"/>
              </w:rPr>
            </w:pPr>
            <w:r>
              <w:rPr>
                <w:rFonts w:hint="eastAsia"/>
                <w:color w:val="auto"/>
                <w:lang w:val="en-US" w:eastAsia="zh-CN"/>
              </w:rPr>
              <w:t>6</w:t>
            </w:r>
          </w:p>
        </w:tc>
        <w:tc>
          <w:tcPr>
            <w:tcW w:w="2477" w:type="dxa"/>
            <w:vAlign w:val="center"/>
          </w:tcPr>
          <w:p w14:paraId="08F82706">
            <w:pPr>
              <w:pStyle w:val="56"/>
              <w:bidi w:val="0"/>
              <w:jc w:val="center"/>
              <w:rPr>
                <w:rFonts w:hint="eastAsia"/>
                <w:color w:val="auto"/>
                <w:lang w:val="en-US" w:eastAsia="zh-CN"/>
              </w:rPr>
            </w:pPr>
            <w:r>
              <w:rPr>
                <w:rFonts w:hint="eastAsia"/>
                <w:color w:val="auto"/>
                <w:lang w:val="en-US" w:eastAsia="zh-CN"/>
              </w:rPr>
              <w:t>二沉池</w:t>
            </w:r>
          </w:p>
        </w:tc>
        <w:tc>
          <w:tcPr>
            <w:tcW w:w="2552" w:type="dxa"/>
            <w:vAlign w:val="center"/>
          </w:tcPr>
          <w:p w14:paraId="2F131465">
            <w:pPr>
              <w:pStyle w:val="56"/>
              <w:bidi w:val="0"/>
              <w:jc w:val="center"/>
              <w:rPr>
                <w:rFonts w:hint="eastAsia"/>
                <w:color w:val="auto"/>
                <w:lang w:val="en-US" w:eastAsia="zh-CN"/>
              </w:rPr>
            </w:pPr>
            <w:r>
              <w:rPr>
                <w:rFonts w:hint="eastAsia"/>
                <w:color w:val="auto"/>
                <w:lang w:val="en-US" w:eastAsia="zh-CN"/>
              </w:rPr>
              <w:t>φ16.00×4.40m</w:t>
            </w:r>
          </w:p>
        </w:tc>
        <w:tc>
          <w:tcPr>
            <w:tcW w:w="1382" w:type="dxa"/>
            <w:vAlign w:val="center"/>
          </w:tcPr>
          <w:p w14:paraId="7FA1F45F">
            <w:pPr>
              <w:pStyle w:val="56"/>
              <w:bidi w:val="0"/>
              <w:jc w:val="center"/>
              <w:rPr>
                <w:rFonts w:hint="eastAsia"/>
                <w:color w:val="auto"/>
                <w:lang w:val="en-US" w:eastAsia="zh-CN"/>
              </w:rPr>
            </w:pPr>
            <w:r>
              <w:rPr>
                <w:rFonts w:hint="eastAsia"/>
                <w:color w:val="auto"/>
                <w:lang w:val="en-US" w:eastAsia="zh-CN"/>
              </w:rPr>
              <w:t>钢筋砼</w:t>
            </w:r>
          </w:p>
        </w:tc>
        <w:tc>
          <w:tcPr>
            <w:tcW w:w="1125" w:type="dxa"/>
            <w:vAlign w:val="center"/>
          </w:tcPr>
          <w:p w14:paraId="1CAB6980">
            <w:pPr>
              <w:pStyle w:val="56"/>
              <w:bidi w:val="0"/>
              <w:jc w:val="center"/>
              <w:rPr>
                <w:rFonts w:hint="eastAsia"/>
                <w:color w:val="auto"/>
                <w:lang w:val="en-US" w:eastAsia="zh-CN"/>
              </w:rPr>
            </w:pPr>
            <w:r>
              <w:rPr>
                <w:rFonts w:hint="eastAsia"/>
                <w:color w:val="auto"/>
                <w:lang w:val="en-US" w:eastAsia="zh-CN"/>
              </w:rPr>
              <w:t>1座</w:t>
            </w:r>
          </w:p>
        </w:tc>
        <w:tc>
          <w:tcPr>
            <w:tcW w:w="841" w:type="dxa"/>
            <w:vAlign w:val="center"/>
          </w:tcPr>
          <w:p w14:paraId="5AA7002B">
            <w:pPr>
              <w:pStyle w:val="56"/>
              <w:bidi w:val="0"/>
              <w:jc w:val="center"/>
              <w:rPr>
                <w:rFonts w:hint="eastAsia"/>
                <w:color w:val="auto"/>
                <w:lang w:val="en-US" w:eastAsia="zh-CN"/>
              </w:rPr>
            </w:pPr>
          </w:p>
        </w:tc>
      </w:tr>
      <w:tr w14:paraId="03351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800" w:type="dxa"/>
            <w:vAlign w:val="center"/>
          </w:tcPr>
          <w:p w14:paraId="3B1A7AF3">
            <w:pPr>
              <w:pStyle w:val="56"/>
              <w:bidi w:val="0"/>
              <w:jc w:val="center"/>
              <w:rPr>
                <w:rFonts w:hint="eastAsia"/>
                <w:color w:val="auto"/>
                <w:lang w:val="en-US" w:eastAsia="zh-CN"/>
              </w:rPr>
            </w:pPr>
            <w:r>
              <w:rPr>
                <w:rFonts w:hint="eastAsia"/>
                <w:color w:val="auto"/>
                <w:lang w:val="en-US" w:eastAsia="zh-CN"/>
              </w:rPr>
              <w:t>7</w:t>
            </w:r>
          </w:p>
        </w:tc>
        <w:tc>
          <w:tcPr>
            <w:tcW w:w="2477" w:type="dxa"/>
            <w:vAlign w:val="center"/>
          </w:tcPr>
          <w:p w14:paraId="244349C4">
            <w:pPr>
              <w:pStyle w:val="56"/>
              <w:bidi w:val="0"/>
              <w:jc w:val="center"/>
              <w:rPr>
                <w:rFonts w:hint="eastAsia"/>
                <w:color w:val="auto"/>
                <w:lang w:val="en-US" w:eastAsia="zh-CN"/>
              </w:rPr>
            </w:pPr>
            <w:r>
              <w:rPr>
                <w:rFonts w:hint="eastAsia"/>
                <w:color w:val="auto"/>
                <w:lang w:val="en-US" w:eastAsia="zh-CN"/>
              </w:rPr>
              <w:t>污泥泵站</w:t>
            </w:r>
          </w:p>
        </w:tc>
        <w:tc>
          <w:tcPr>
            <w:tcW w:w="2552" w:type="dxa"/>
            <w:vAlign w:val="center"/>
          </w:tcPr>
          <w:p w14:paraId="2256285D">
            <w:pPr>
              <w:pStyle w:val="56"/>
              <w:bidi w:val="0"/>
              <w:jc w:val="center"/>
              <w:rPr>
                <w:rFonts w:hint="eastAsia"/>
                <w:color w:val="auto"/>
                <w:lang w:val="en-US" w:eastAsia="zh-CN"/>
              </w:rPr>
            </w:pPr>
            <w:r>
              <w:rPr>
                <w:rFonts w:hint="eastAsia"/>
                <w:color w:val="auto"/>
                <w:lang w:val="en-US" w:eastAsia="zh-CN"/>
              </w:rPr>
              <w:t>7.00m×3.60m×4.50m</w:t>
            </w:r>
          </w:p>
        </w:tc>
        <w:tc>
          <w:tcPr>
            <w:tcW w:w="1382" w:type="dxa"/>
            <w:vAlign w:val="center"/>
          </w:tcPr>
          <w:p w14:paraId="4A470F69">
            <w:pPr>
              <w:pStyle w:val="56"/>
              <w:bidi w:val="0"/>
              <w:jc w:val="center"/>
              <w:rPr>
                <w:rFonts w:hint="eastAsia"/>
                <w:color w:val="auto"/>
                <w:lang w:val="en-US" w:eastAsia="zh-CN"/>
              </w:rPr>
            </w:pPr>
            <w:r>
              <w:rPr>
                <w:rFonts w:hint="eastAsia"/>
                <w:color w:val="auto"/>
                <w:lang w:val="en-US" w:eastAsia="zh-CN"/>
              </w:rPr>
              <w:t>钢筋砼</w:t>
            </w:r>
          </w:p>
        </w:tc>
        <w:tc>
          <w:tcPr>
            <w:tcW w:w="1125" w:type="dxa"/>
            <w:vAlign w:val="center"/>
          </w:tcPr>
          <w:p w14:paraId="25F318EB">
            <w:pPr>
              <w:pStyle w:val="56"/>
              <w:bidi w:val="0"/>
              <w:jc w:val="center"/>
              <w:rPr>
                <w:rFonts w:hint="eastAsia"/>
                <w:color w:val="auto"/>
                <w:lang w:val="en-US" w:eastAsia="zh-CN"/>
              </w:rPr>
            </w:pPr>
            <w:r>
              <w:rPr>
                <w:rFonts w:hint="eastAsia"/>
                <w:color w:val="auto"/>
                <w:lang w:val="en-US" w:eastAsia="zh-CN"/>
              </w:rPr>
              <w:t>1座</w:t>
            </w:r>
          </w:p>
        </w:tc>
        <w:tc>
          <w:tcPr>
            <w:tcW w:w="841" w:type="dxa"/>
            <w:vAlign w:val="center"/>
          </w:tcPr>
          <w:p w14:paraId="527632F2">
            <w:pPr>
              <w:pStyle w:val="56"/>
              <w:bidi w:val="0"/>
              <w:jc w:val="center"/>
              <w:rPr>
                <w:rFonts w:hint="eastAsia"/>
                <w:color w:val="auto"/>
                <w:lang w:val="en-US" w:eastAsia="zh-CN"/>
              </w:rPr>
            </w:pPr>
          </w:p>
        </w:tc>
      </w:tr>
      <w:tr w14:paraId="4C4EC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800" w:type="dxa"/>
            <w:vAlign w:val="center"/>
          </w:tcPr>
          <w:p w14:paraId="3878380A">
            <w:pPr>
              <w:pStyle w:val="56"/>
              <w:bidi w:val="0"/>
              <w:jc w:val="center"/>
              <w:rPr>
                <w:rFonts w:hint="eastAsia"/>
                <w:color w:val="auto"/>
                <w:lang w:val="en-US" w:eastAsia="zh-CN"/>
              </w:rPr>
            </w:pPr>
            <w:r>
              <w:rPr>
                <w:rFonts w:hint="eastAsia"/>
                <w:color w:val="auto"/>
                <w:lang w:val="en-US" w:eastAsia="zh-CN"/>
              </w:rPr>
              <w:t>8</w:t>
            </w:r>
          </w:p>
        </w:tc>
        <w:tc>
          <w:tcPr>
            <w:tcW w:w="2477" w:type="dxa"/>
            <w:vAlign w:val="center"/>
          </w:tcPr>
          <w:p w14:paraId="62388DC1">
            <w:pPr>
              <w:pStyle w:val="56"/>
              <w:bidi w:val="0"/>
              <w:jc w:val="center"/>
              <w:rPr>
                <w:rFonts w:hint="eastAsia"/>
                <w:color w:val="auto"/>
                <w:lang w:val="en-US" w:eastAsia="zh-CN"/>
              </w:rPr>
            </w:pPr>
            <w:r>
              <w:rPr>
                <w:rFonts w:hint="eastAsia"/>
                <w:color w:val="auto"/>
                <w:lang w:val="en-US" w:eastAsia="zh-CN"/>
              </w:rPr>
              <w:t>混凝沉淀池</w:t>
            </w:r>
          </w:p>
        </w:tc>
        <w:tc>
          <w:tcPr>
            <w:tcW w:w="2552" w:type="dxa"/>
            <w:vAlign w:val="center"/>
          </w:tcPr>
          <w:p w14:paraId="6E6F45B2">
            <w:pPr>
              <w:pStyle w:val="56"/>
              <w:bidi w:val="0"/>
              <w:jc w:val="center"/>
              <w:rPr>
                <w:rFonts w:hint="eastAsia"/>
                <w:color w:val="auto"/>
                <w:lang w:val="en-US" w:eastAsia="zh-CN"/>
              </w:rPr>
            </w:pPr>
            <w:r>
              <w:rPr>
                <w:rFonts w:hint="eastAsia"/>
                <w:color w:val="auto"/>
                <w:lang w:val="en-US" w:eastAsia="zh-CN"/>
              </w:rPr>
              <w:t>10.00m×7.00m×4.50m</w:t>
            </w:r>
          </w:p>
        </w:tc>
        <w:tc>
          <w:tcPr>
            <w:tcW w:w="1382" w:type="dxa"/>
            <w:vAlign w:val="center"/>
          </w:tcPr>
          <w:p w14:paraId="087609B9">
            <w:pPr>
              <w:pStyle w:val="56"/>
              <w:bidi w:val="0"/>
              <w:jc w:val="center"/>
              <w:rPr>
                <w:rFonts w:hint="eastAsia"/>
                <w:color w:val="auto"/>
                <w:lang w:val="en-US" w:eastAsia="zh-CN"/>
              </w:rPr>
            </w:pPr>
            <w:r>
              <w:rPr>
                <w:rFonts w:hint="eastAsia"/>
                <w:color w:val="auto"/>
                <w:lang w:val="en-US" w:eastAsia="zh-CN"/>
              </w:rPr>
              <w:t>钢筋砼</w:t>
            </w:r>
          </w:p>
        </w:tc>
        <w:tc>
          <w:tcPr>
            <w:tcW w:w="1125" w:type="dxa"/>
            <w:vAlign w:val="center"/>
          </w:tcPr>
          <w:p w14:paraId="13E886E5">
            <w:pPr>
              <w:pStyle w:val="56"/>
              <w:bidi w:val="0"/>
              <w:jc w:val="center"/>
              <w:rPr>
                <w:rFonts w:hint="eastAsia"/>
                <w:color w:val="auto"/>
                <w:lang w:val="en-US" w:eastAsia="zh-CN"/>
              </w:rPr>
            </w:pPr>
            <w:r>
              <w:rPr>
                <w:rFonts w:hint="eastAsia"/>
                <w:color w:val="auto"/>
                <w:lang w:val="en-US" w:eastAsia="zh-CN"/>
              </w:rPr>
              <w:t>1座</w:t>
            </w:r>
          </w:p>
        </w:tc>
        <w:tc>
          <w:tcPr>
            <w:tcW w:w="841" w:type="dxa"/>
            <w:vAlign w:val="center"/>
          </w:tcPr>
          <w:p w14:paraId="1EB373B9">
            <w:pPr>
              <w:pStyle w:val="56"/>
              <w:bidi w:val="0"/>
              <w:jc w:val="center"/>
              <w:rPr>
                <w:rFonts w:hint="eastAsia"/>
                <w:color w:val="auto"/>
                <w:lang w:val="en-US" w:eastAsia="zh-CN"/>
              </w:rPr>
            </w:pPr>
          </w:p>
        </w:tc>
      </w:tr>
      <w:tr w14:paraId="0EC2C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800" w:type="dxa"/>
            <w:vAlign w:val="center"/>
          </w:tcPr>
          <w:p w14:paraId="73F982E8">
            <w:pPr>
              <w:pStyle w:val="56"/>
              <w:bidi w:val="0"/>
              <w:jc w:val="center"/>
              <w:rPr>
                <w:rFonts w:hint="eastAsia"/>
                <w:color w:val="auto"/>
                <w:lang w:val="en-US" w:eastAsia="zh-CN"/>
              </w:rPr>
            </w:pPr>
            <w:r>
              <w:rPr>
                <w:rFonts w:hint="eastAsia"/>
                <w:color w:val="auto"/>
                <w:lang w:val="en-US" w:eastAsia="zh-CN"/>
              </w:rPr>
              <w:t>9</w:t>
            </w:r>
          </w:p>
        </w:tc>
        <w:tc>
          <w:tcPr>
            <w:tcW w:w="2477" w:type="dxa"/>
            <w:vAlign w:val="center"/>
          </w:tcPr>
          <w:p w14:paraId="226E3596">
            <w:pPr>
              <w:pStyle w:val="56"/>
              <w:bidi w:val="0"/>
              <w:jc w:val="center"/>
              <w:rPr>
                <w:rFonts w:hint="eastAsia"/>
                <w:color w:val="auto"/>
                <w:lang w:val="en-US" w:eastAsia="zh-CN"/>
              </w:rPr>
            </w:pPr>
            <w:r>
              <w:rPr>
                <w:rFonts w:hint="eastAsia"/>
                <w:color w:val="auto"/>
                <w:lang w:val="en-US" w:eastAsia="zh-CN"/>
              </w:rPr>
              <w:t>紫外线消毒池</w:t>
            </w:r>
          </w:p>
        </w:tc>
        <w:tc>
          <w:tcPr>
            <w:tcW w:w="2552" w:type="dxa"/>
            <w:vAlign w:val="center"/>
          </w:tcPr>
          <w:p w14:paraId="572D27DA">
            <w:pPr>
              <w:pStyle w:val="56"/>
              <w:bidi w:val="0"/>
              <w:jc w:val="center"/>
              <w:rPr>
                <w:rFonts w:hint="eastAsia"/>
                <w:color w:val="auto"/>
                <w:lang w:val="en-US" w:eastAsia="zh-CN"/>
              </w:rPr>
            </w:pPr>
            <w:r>
              <w:rPr>
                <w:rFonts w:hint="eastAsia"/>
                <w:color w:val="auto"/>
                <w:lang w:val="en-US" w:eastAsia="zh-CN"/>
              </w:rPr>
              <w:t>8.00m×2.05m×1.00m</w:t>
            </w:r>
          </w:p>
        </w:tc>
        <w:tc>
          <w:tcPr>
            <w:tcW w:w="1382" w:type="dxa"/>
            <w:vAlign w:val="center"/>
          </w:tcPr>
          <w:p w14:paraId="5FCB8129">
            <w:pPr>
              <w:pStyle w:val="56"/>
              <w:bidi w:val="0"/>
              <w:jc w:val="center"/>
              <w:rPr>
                <w:rFonts w:hint="eastAsia"/>
                <w:color w:val="auto"/>
                <w:lang w:val="en-US" w:eastAsia="zh-CN"/>
              </w:rPr>
            </w:pPr>
            <w:r>
              <w:rPr>
                <w:rFonts w:hint="eastAsia"/>
                <w:color w:val="auto"/>
                <w:lang w:val="en-US" w:eastAsia="zh-CN"/>
              </w:rPr>
              <w:t>钢筋砼</w:t>
            </w:r>
          </w:p>
        </w:tc>
        <w:tc>
          <w:tcPr>
            <w:tcW w:w="1125" w:type="dxa"/>
            <w:vAlign w:val="center"/>
          </w:tcPr>
          <w:p w14:paraId="2ACB7585">
            <w:pPr>
              <w:pStyle w:val="56"/>
              <w:bidi w:val="0"/>
              <w:jc w:val="center"/>
              <w:rPr>
                <w:rFonts w:hint="eastAsia"/>
                <w:color w:val="auto"/>
                <w:lang w:val="en-US" w:eastAsia="zh-CN"/>
              </w:rPr>
            </w:pPr>
            <w:r>
              <w:rPr>
                <w:rFonts w:hint="eastAsia"/>
                <w:color w:val="auto"/>
                <w:lang w:val="en-US" w:eastAsia="zh-CN"/>
              </w:rPr>
              <w:t>1座</w:t>
            </w:r>
          </w:p>
        </w:tc>
        <w:tc>
          <w:tcPr>
            <w:tcW w:w="841" w:type="dxa"/>
            <w:vAlign w:val="center"/>
          </w:tcPr>
          <w:p w14:paraId="71C0E429">
            <w:pPr>
              <w:pStyle w:val="56"/>
              <w:bidi w:val="0"/>
              <w:jc w:val="center"/>
              <w:rPr>
                <w:rFonts w:hint="eastAsia"/>
                <w:color w:val="auto"/>
                <w:lang w:val="en-US" w:eastAsia="zh-CN"/>
              </w:rPr>
            </w:pPr>
          </w:p>
        </w:tc>
      </w:tr>
      <w:tr w14:paraId="12983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800" w:type="dxa"/>
            <w:vAlign w:val="center"/>
          </w:tcPr>
          <w:p w14:paraId="41F7FA84">
            <w:pPr>
              <w:pStyle w:val="56"/>
              <w:bidi w:val="0"/>
              <w:jc w:val="center"/>
              <w:rPr>
                <w:rFonts w:hint="eastAsia"/>
                <w:color w:val="auto"/>
                <w:lang w:val="en-US" w:eastAsia="zh-CN"/>
              </w:rPr>
            </w:pPr>
            <w:r>
              <w:rPr>
                <w:rFonts w:hint="eastAsia"/>
                <w:color w:val="auto"/>
                <w:lang w:val="en-US" w:eastAsia="zh-CN"/>
              </w:rPr>
              <w:t>10</w:t>
            </w:r>
          </w:p>
        </w:tc>
        <w:tc>
          <w:tcPr>
            <w:tcW w:w="2477" w:type="dxa"/>
            <w:vAlign w:val="center"/>
          </w:tcPr>
          <w:p w14:paraId="1F389188">
            <w:pPr>
              <w:pStyle w:val="56"/>
              <w:bidi w:val="0"/>
              <w:jc w:val="center"/>
              <w:rPr>
                <w:rFonts w:hint="eastAsia"/>
                <w:color w:val="auto"/>
                <w:lang w:val="en-US" w:eastAsia="zh-CN"/>
              </w:rPr>
            </w:pPr>
            <w:r>
              <w:rPr>
                <w:rFonts w:hint="eastAsia"/>
                <w:color w:val="auto"/>
                <w:lang w:val="en-US" w:eastAsia="zh-CN"/>
              </w:rPr>
              <w:t>明渠流量计</w:t>
            </w:r>
          </w:p>
        </w:tc>
        <w:tc>
          <w:tcPr>
            <w:tcW w:w="2552" w:type="dxa"/>
            <w:vAlign w:val="center"/>
          </w:tcPr>
          <w:p w14:paraId="4B35AAF7">
            <w:pPr>
              <w:pStyle w:val="56"/>
              <w:bidi w:val="0"/>
              <w:jc w:val="center"/>
              <w:rPr>
                <w:rFonts w:hint="eastAsia"/>
                <w:color w:val="auto"/>
                <w:lang w:val="en-US" w:eastAsia="zh-CN"/>
              </w:rPr>
            </w:pPr>
            <w:r>
              <w:rPr>
                <w:rFonts w:hint="eastAsia"/>
                <w:color w:val="auto"/>
                <w:lang w:val="en-US" w:eastAsia="zh-CN"/>
              </w:rPr>
              <w:t>8.00m×1.50m×0.80m</w:t>
            </w:r>
          </w:p>
        </w:tc>
        <w:tc>
          <w:tcPr>
            <w:tcW w:w="1382" w:type="dxa"/>
            <w:vAlign w:val="center"/>
          </w:tcPr>
          <w:p w14:paraId="37FB3667">
            <w:pPr>
              <w:pStyle w:val="56"/>
              <w:bidi w:val="0"/>
              <w:jc w:val="center"/>
              <w:rPr>
                <w:rFonts w:hint="eastAsia"/>
                <w:color w:val="auto"/>
                <w:lang w:val="en-US" w:eastAsia="zh-CN"/>
              </w:rPr>
            </w:pPr>
            <w:r>
              <w:rPr>
                <w:rFonts w:hint="eastAsia"/>
                <w:color w:val="auto"/>
                <w:lang w:val="en-US" w:eastAsia="zh-CN"/>
              </w:rPr>
              <w:t>钢筋砼</w:t>
            </w:r>
          </w:p>
        </w:tc>
        <w:tc>
          <w:tcPr>
            <w:tcW w:w="1125" w:type="dxa"/>
            <w:vAlign w:val="center"/>
          </w:tcPr>
          <w:p w14:paraId="31A37AD0">
            <w:pPr>
              <w:pStyle w:val="56"/>
              <w:bidi w:val="0"/>
              <w:jc w:val="center"/>
              <w:rPr>
                <w:rFonts w:hint="eastAsia"/>
                <w:color w:val="auto"/>
                <w:lang w:val="en-US" w:eastAsia="zh-CN"/>
              </w:rPr>
            </w:pPr>
            <w:r>
              <w:rPr>
                <w:rFonts w:hint="eastAsia"/>
                <w:color w:val="auto"/>
                <w:lang w:val="en-US" w:eastAsia="zh-CN"/>
              </w:rPr>
              <w:t>1座</w:t>
            </w:r>
          </w:p>
        </w:tc>
        <w:tc>
          <w:tcPr>
            <w:tcW w:w="841" w:type="dxa"/>
            <w:vAlign w:val="center"/>
          </w:tcPr>
          <w:p w14:paraId="620B150C">
            <w:pPr>
              <w:pStyle w:val="56"/>
              <w:bidi w:val="0"/>
              <w:jc w:val="center"/>
              <w:rPr>
                <w:rFonts w:hint="eastAsia"/>
                <w:color w:val="auto"/>
                <w:lang w:val="en-US" w:eastAsia="zh-CN"/>
              </w:rPr>
            </w:pPr>
          </w:p>
        </w:tc>
      </w:tr>
      <w:tr w14:paraId="19600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800" w:type="dxa"/>
            <w:vAlign w:val="center"/>
          </w:tcPr>
          <w:p w14:paraId="4D80BC57">
            <w:pPr>
              <w:pStyle w:val="56"/>
              <w:bidi w:val="0"/>
              <w:jc w:val="center"/>
              <w:rPr>
                <w:rFonts w:hint="eastAsia"/>
                <w:color w:val="auto"/>
                <w:lang w:val="en-US" w:eastAsia="zh-CN"/>
              </w:rPr>
            </w:pPr>
            <w:r>
              <w:rPr>
                <w:rFonts w:hint="eastAsia"/>
                <w:color w:val="auto"/>
                <w:lang w:val="en-US" w:eastAsia="zh-CN"/>
              </w:rPr>
              <w:t>11</w:t>
            </w:r>
          </w:p>
        </w:tc>
        <w:tc>
          <w:tcPr>
            <w:tcW w:w="2477" w:type="dxa"/>
            <w:vAlign w:val="center"/>
          </w:tcPr>
          <w:p w14:paraId="75004ADA">
            <w:pPr>
              <w:pStyle w:val="56"/>
              <w:bidi w:val="0"/>
              <w:jc w:val="center"/>
              <w:rPr>
                <w:rFonts w:hint="eastAsia"/>
                <w:color w:val="auto"/>
                <w:lang w:val="en-US" w:eastAsia="zh-CN"/>
              </w:rPr>
            </w:pPr>
            <w:r>
              <w:rPr>
                <w:rFonts w:hint="eastAsia"/>
                <w:color w:val="auto"/>
                <w:lang w:val="en-US" w:eastAsia="zh-CN"/>
              </w:rPr>
              <w:t>储泥池</w:t>
            </w:r>
          </w:p>
        </w:tc>
        <w:tc>
          <w:tcPr>
            <w:tcW w:w="2552" w:type="dxa"/>
            <w:vAlign w:val="center"/>
          </w:tcPr>
          <w:p w14:paraId="141928C2">
            <w:pPr>
              <w:pStyle w:val="56"/>
              <w:bidi w:val="0"/>
              <w:jc w:val="center"/>
              <w:rPr>
                <w:rFonts w:hint="eastAsia"/>
                <w:color w:val="auto"/>
                <w:lang w:val="en-US" w:eastAsia="zh-CN"/>
              </w:rPr>
            </w:pPr>
            <w:r>
              <w:rPr>
                <w:rFonts w:hint="eastAsia"/>
                <w:color w:val="auto"/>
                <w:lang w:val="en-US" w:eastAsia="zh-CN"/>
              </w:rPr>
              <w:t>6.50m×3.50m ×4.50m</w:t>
            </w:r>
          </w:p>
        </w:tc>
        <w:tc>
          <w:tcPr>
            <w:tcW w:w="1382" w:type="dxa"/>
            <w:vAlign w:val="center"/>
          </w:tcPr>
          <w:p w14:paraId="71407B54">
            <w:pPr>
              <w:pStyle w:val="56"/>
              <w:bidi w:val="0"/>
              <w:jc w:val="center"/>
              <w:rPr>
                <w:rFonts w:hint="eastAsia"/>
                <w:color w:val="auto"/>
                <w:lang w:val="en-US" w:eastAsia="zh-CN"/>
              </w:rPr>
            </w:pPr>
            <w:r>
              <w:rPr>
                <w:rFonts w:hint="eastAsia"/>
                <w:color w:val="auto"/>
                <w:lang w:val="en-US" w:eastAsia="zh-CN"/>
              </w:rPr>
              <w:t>钢筋砼</w:t>
            </w:r>
          </w:p>
        </w:tc>
        <w:tc>
          <w:tcPr>
            <w:tcW w:w="1125" w:type="dxa"/>
            <w:vAlign w:val="center"/>
          </w:tcPr>
          <w:p w14:paraId="28B7E845">
            <w:pPr>
              <w:pStyle w:val="56"/>
              <w:bidi w:val="0"/>
              <w:jc w:val="center"/>
              <w:rPr>
                <w:rFonts w:hint="eastAsia"/>
                <w:color w:val="auto"/>
                <w:lang w:val="en-US" w:eastAsia="zh-CN"/>
              </w:rPr>
            </w:pPr>
            <w:r>
              <w:rPr>
                <w:rFonts w:hint="eastAsia"/>
                <w:color w:val="auto"/>
                <w:lang w:val="en-US" w:eastAsia="zh-CN"/>
              </w:rPr>
              <w:t>1座</w:t>
            </w:r>
          </w:p>
        </w:tc>
        <w:tc>
          <w:tcPr>
            <w:tcW w:w="841" w:type="dxa"/>
            <w:vAlign w:val="center"/>
          </w:tcPr>
          <w:p w14:paraId="1661696D">
            <w:pPr>
              <w:pStyle w:val="56"/>
              <w:bidi w:val="0"/>
              <w:jc w:val="center"/>
              <w:rPr>
                <w:rFonts w:hint="eastAsia"/>
                <w:color w:val="auto"/>
                <w:lang w:val="en-US" w:eastAsia="zh-CN"/>
              </w:rPr>
            </w:pPr>
          </w:p>
        </w:tc>
      </w:tr>
      <w:tr w14:paraId="3C3A0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800" w:type="dxa"/>
            <w:vAlign w:val="center"/>
          </w:tcPr>
          <w:p w14:paraId="19CFF41D">
            <w:pPr>
              <w:pStyle w:val="56"/>
              <w:bidi w:val="0"/>
              <w:jc w:val="center"/>
              <w:rPr>
                <w:rFonts w:hint="eastAsia"/>
                <w:color w:val="auto"/>
                <w:lang w:val="en-US" w:eastAsia="zh-CN"/>
              </w:rPr>
            </w:pPr>
            <w:r>
              <w:rPr>
                <w:rFonts w:hint="eastAsia"/>
                <w:color w:val="auto"/>
                <w:lang w:val="en-US" w:eastAsia="zh-CN"/>
              </w:rPr>
              <w:t>12</w:t>
            </w:r>
          </w:p>
        </w:tc>
        <w:tc>
          <w:tcPr>
            <w:tcW w:w="2477" w:type="dxa"/>
            <w:vAlign w:val="center"/>
          </w:tcPr>
          <w:p w14:paraId="3F68B309">
            <w:pPr>
              <w:pStyle w:val="56"/>
              <w:bidi w:val="0"/>
              <w:jc w:val="center"/>
              <w:rPr>
                <w:rFonts w:hint="eastAsia"/>
                <w:color w:val="auto"/>
                <w:lang w:val="en-US" w:eastAsia="zh-CN"/>
              </w:rPr>
            </w:pPr>
            <w:r>
              <w:rPr>
                <w:rFonts w:hint="eastAsia"/>
                <w:color w:val="auto"/>
                <w:lang w:val="en-US" w:eastAsia="zh-CN"/>
              </w:rPr>
              <w:t>综合设备房 1</w:t>
            </w:r>
          </w:p>
        </w:tc>
        <w:tc>
          <w:tcPr>
            <w:tcW w:w="2552" w:type="dxa"/>
            <w:vAlign w:val="center"/>
          </w:tcPr>
          <w:p w14:paraId="4C877C36">
            <w:pPr>
              <w:pStyle w:val="56"/>
              <w:bidi w:val="0"/>
              <w:jc w:val="center"/>
              <w:rPr>
                <w:rFonts w:hint="eastAsia"/>
                <w:color w:val="auto"/>
                <w:lang w:val="en-US" w:eastAsia="zh-CN"/>
              </w:rPr>
            </w:pPr>
            <w:r>
              <w:rPr>
                <w:rFonts w:hint="eastAsia"/>
                <w:color w:val="auto"/>
                <w:lang w:val="en-US" w:eastAsia="zh-CN"/>
              </w:rPr>
              <w:t>16.75m×8m×4.5m</w:t>
            </w:r>
          </w:p>
        </w:tc>
        <w:tc>
          <w:tcPr>
            <w:tcW w:w="1382" w:type="dxa"/>
            <w:vAlign w:val="center"/>
          </w:tcPr>
          <w:p w14:paraId="6CED5016">
            <w:pPr>
              <w:pStyle w:val="56"/>
              <w:bidi w:val="0"/>
              <w:jc w:val="center"/>
              <w:rPr>
                <w:rFonts w:hint="eastAsia"/>
                <w:color w:val="auto"/>
                <w:lang w:val="en-US" w:eastAsia="zh-CN"/>
              </w:rPr>
            </w:pPr>
            <w:r>
              <w:rPr>
                <w:rFonts w:hint="eastAsia"/>
                <w:color w:val="auto"/>
                <w:lang w:val="en-US" w:eastAsia="zh-CN"/>
              </w:rPr>
              <w:t>框架结构</w:t>
            </w:r>
          </w:p>
        </w:tc>
        <w:tc>
          <w:tcPr>
            <w:tcW w:w="1125" w:type="dxa"/>
            <w:vAlign w:val="center"/>
          </w:tcPr>
          <w:p w14:paraId="59D6E864">
            <w:pPr>
              <w:pStyle w:val="56"/>
              <w:bidi w:val="0"/>
              <w:jc w:val="center"/>
              <w:rPr>
                <w:rFonts w:hint="eastAsia"/>
                <w:color w:val="auto"/>
                <w:lang w:val="en-US" w:eastAsia="zh-CN"/>
              </w:rPr>
            </w:pPr>
            <w:r>
              <w:rPr>
                <w:rFonts w:hint="eastAsia"/>
                <w:color w:val="auto"/>
                <w:lang w:val="en-US" w:eastAsia="zh-CN"/>
              </w:rPr>
              <w:t>1座</w:t>
            </w:r>
          </w:p>
        </w:tc>
        <w:tc>
          <w:tcPr>
            <w:tcW w:w="841" w:type="dxa"/>
            <w:vAlign w:val="center"/>
          </w:tcPr>
          <w:p w14:paraId="45D8F5C9">
            <w:pPr>
              <w:pStyle w:val="56"/>
              <w:bidi w:val="0"/>
              <w:jc w:val="center"/>
              <w:rPr>
                <w:rFonts w:hint="eastAsia"/>
                <w:color w:val="auto"/>
                <w:lang w:val="en-US" w:eastAsia="zh-CN"/>
              </w:rPr>
            </w:pPr>
          </w:p>
        </w:tc>
      </w:tr>
      <w:tr w14:paraId="23D27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800" w:type="dxa"/>
            <w:vAlign w:val="center"/>
          </w:tcPr>
          <w:p w14:paraId="3EEA2EDF">
            <w:pPr>
              <w:pStyle w:val="56"/>
              <w:bidi w:val="0"/>
              <w:jc w:val="center"/>
              <w:rPr>
                <w:rFonts w:hint="eastAsia"/>
                <w:color w:val="auto"/>
                <w:lang w:val="en-US" w:eastAsia="zh-CN"/>
              </w:rPr>
            </w:pPr>
            <w:r>
              <w:rPr>
                <w:rFonts w:hint="eastAsia"/>
                <w:color w:val="auto"/>
                <w:lang w:val="en-US" w:eastAsia="zh-CN"/>
              </w:rPr>
              <w:t>13</w:t>
            </w:r>
          </w:p>
        </w:tc>
        <w:tc>
          <w:tcPr>
            <w:tcW w:w="2477" w:type="dxa"/>
            <w:vAlign w:val="center"/>
          </w:tcPr>
          <w:p w14:paraId="3325E63B">
            <w:pPr>
              <w:pStyle w:val="56"/>
              <w:bidi w:val="0"/>
              <w:jc w:val="center"/>
              <w:rPr>
                <w:rFonts w:hint="eastAsia"/>
                <w:color w:val="auto"/>
                <w:lang w:val="en-US" w:eastAsia="zh-CN"/>
              </w:rPr>
            </w:pPr>
            <w:r>
              <w:rPr>
                <w:rFonts w:hint="eastAsia"/>
                <w:color w:val="auto"/>
                <w:lang w:val="en-US" w:eastAsia="zh-CN"/>
              </w:rPr>
              <w:t>综合设备房 2</w:t>
            </w:r>
          </w:p>
        </w:tc>
        <w:tc>
          <w:tcPr>
            <w:tcW w:w="2552" w:type="dxa"/>
            <w:vAlign w:val="center"/>
          </w:tcPr>
          <w:p w14:paraId="3F89C151">
            <w:pPr>
              <w:pStyle w:val="56"/>
              <w:bidi w:val="0"/>
              <w:jc w:val="center"/>
              <w:rPr>
                <w:rFonts w:hint="eastAsia"/>
                <w:color w:val="auto"/>
                <w:lang w:val="en-US" w:eastAsia="zh-CN"/>
              </w:rPr>
            </w:pPr>
            <w:r>
              <w:rPr>
                <w:rFonts w:hint="eastAsia"/>
                <w:color w:val="auto"/>
                <w:lang w:val="en-US" w:eastAsia="zh-CN"/>
              </w:rPr>
              <w:t>31m×8m×4.50m</w:t>
            </w:r>
          </w:p>
        </w:tc>
        <w:tc>
          <w:tcPr>
            <w:tcW w:w="1382" w:type="dxa"/>
            <w:vAlign w:val="center"/>
          </w:tcPr>
          <w:p w14:paraId="64AB0D59">
            <w:pPr>
              <w:pStyle w:val="56"/>
              <w:bidi w:val="0"/>
              <w:jc w:val="center"/>
              <w:rPr>
                <w:rFonts w:hint="eastAsia"/>
                <w:color w:val="auto"/>
                <w:lang w:val="en-US" w:eastAsia="zh-CN"/>
              </w:rPr>
            </w:pPr>
            <w:r>
              <w:rPr>
                <w:rFonts w:hint="eastAsia"/>
                <w:color w:val="auto"/>
              </w:rPr>
              <w:t>框架结构</w:t>
            </w:r>
          </w:p>
        </w:tc>
        <w:tc>
          <w:tcPr>
            <w:tcW w:w="1125" w:type="dxa"/>
            <w:vAlign w:val="center"/>
          </w:tcPr>
          <w:p w14:paraId="0B168CE2">
            <w:pPr>
              <w:pStyle w:val="56"/>
              <w:bidi w:val="0"/>
              <w:jc w:val="center"/>
              <w:rPr>
                <w:rFonts w:hint="eastAsia"/>
                <w:color w:val="auto"/>
                <w:lang w:val="en-US" w:eastAsia="zh-CN"/>
              </w:rPr>
            </w:pPr>
            <w:r>
              <w:rPr>
                <w:rFonts w:hint="eastAsia"/>
                <w:color w:val="auto"/>
                <w:lang w:val="en-US" w:eastAsia="zh-CN"/>
              </w:rPr>
              <w:t>1座</w:t>
            </w:r>
          </w:p>
        </w:tc>
        <w:tc>
          <w:tcPr>
            <w:tcW w:w="841" w:type="dxa"/>
            <w:vAlign w:val="center"/>
          </w:tcPr>
          <w:p w14:paraId="5524AE88">
            <w:pPr>
              <w:pStyle w:val="56"/>
              <w:bidi w:val="0"/>
              <w:jc w:val="center"/>
              <w:rPr>
                <w:rFonts w:hint="eastAsia"/>
                <w:color w:val="auto"/>
                <w:lang w:val="en-US" w:eastAsia="zh-CN"/>
              </w:rPr>
            </w:pPr>
          </w:p>
        </w:tc>
      </w:tr>
      <w:tr w14:paraId="60BE3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800" w:type="dxa"/>
            <w:vAlign w:val="center"/>
          </w:tcPr>
          <w:p w14:paraId="5EDF3B54">
            <w:pPr>
              <w:pStyle w:val="56"/>
              <w:bidi w:val="0"/>
              <w:jc w:val="center"/>
              <w:rPr>
                <w:rFonts w:hint="eastAsia"/>
                <w:color w:val="auto"/>
                <w:lang w:val="en-US" w:eastAsia="zh-CN"/>
              </w:rPr>
            </w:pPr>
            <w:r>
              <w:rPr>
                <w:rFonts w:hint="eastAsia"/>
                <w:color w:val="auto"/>
                <w:lang w:val="en-US" w:eastAsia="zh-CN"/>
              </w:rPr>
              <w:t>14</w:t>
            </w:r>
          </w:p>
        </w:tc>
        <w:tc>
          <w:tcPr>
            <w:tcW w:w="2477" w:type="dxa"/>
            <w:vAlign w:val="center"/>
          </w:tcPr>
          <w:p w14:paraId="146AC6BD">
            <w:pPr>
              <w:pStyle w:val="56"/>
              <w:bidi w:val="0"/>
              <w:jc w:val="center"/>
              <w:rPr>
                <w:rFonts w:hint="eastAsia"/>
                <w:color w:val="auto"/>
                <w:lang w:val="en-US" w:eastAsia="zh-CN"/>
              </w:rPr>
            </w:pPr>
            <w:r>
              <w:rPr>
                <w:rFonts w:hint="eastAsia"/>
                <w:color w:val="auto"/>
                <w:lang w:val="en-US" w:eastAsia="zh-CN"/>
              </w:rPr>
              <w:t>综合楼</w:t>
            </w:r>
          </w:p>
        </w:tc>
        <w:tc>
          <w:tcPr>
            <w:tcW w:w="2552" w:type="dxa"/>
            <w:vAlign w:val="center"/>
          </w:tcPr>
          <w:p w14:paraId="7D7D94B8">
            <w:pPr>
              <w:pStyle w:val="56"/>
              <w:bidi w:val="0"/>
              <w:jc w:val="center"/>
              <w:rPr>
                <w:rFonts w:hint="eastAsia"/>
                <w:color w:val="auto"/>
                <w:lang w:val="en-US" w:eastAsia="zh-CN"/>
              </w:rPr>
            </w:pPr>
            <w:r>
              <w:rPr>
                <w:rFonts w:hint="eastAsia"/>
                <w:color w:val="auto"/>
                <w:lang w:val="en-US" w:eastAsia="zh-CN"/>
              </w:rPr>
              <w:t>18.00m×11.00m×7.00m</w:t>
            </w:r>
          </w:p>
        </w:tc>
        <w:tc>
          <w:tcPr>
            <w:tcW w:w="1382" w:type="dxa"/>
            <w:vAlign w:val="center"/>
          </w:tcPr>
          <w:p w14:paraId="3B826F72">
            <w:pPr>
              <w:pStyle w:val="56"/>
              <w:bidi w:val="0"/>
              <w:jc w:val="center"/>
              <w:rPr>
                <w:rFonts w:hint="eastAsia"/>
                <w:color w:val="auto"/>
                <w:lang w:val="en-US" w:eastAsia="zh-CN"/>
              </w:rPr>
            </w:pPr>
            <w:r>
              <w:rPr>
                <w:rFonts w:hint="eastAsia"/>
                <w:color w:val="auto"/>
              </w:rPr>
              <w:t>框架结构</w:t>
            </w:r>
          </w:p>
        </w:tc>
        <w:tc>
          <w:tcPr>
            <w:tcW w:w="1125" w:type="dxa"/>
            <w:vAlign w:val="center"/>
          </w:tcPr>
          <w:p w14:paraId="52559C82">
            <w:pPr>
              <w:pStyle w:val="56"/>
              <w:bidi w:val="0"/>
              <w:jc w:val="center"/>
              <w:rPr>
                <w:rFonts w:hint="eastAsia"/>
                <w:color w:val="auto"/>
                <w:lang w:val="en-US" w:eastAsia="zh-CN"/>
              </w:rPr>
            </w:pPr>
            <w:r>
              <w:rPr>
                <w:rFonts w:hint="eastAsia"/>
                <w:color w:val="auto"/>
                <w:lang w:val="en-US" w:eastAsia="zh-CN"/>
              </w:rPr>
              <w:t>1座</w:t>
            </w:r>
          </w:p>
        </w:tc>
        <w:tc>
          <w:tcPr>
            <w:tcW w:w="841" w:type="dxa"/>
            <w:vAlign w:val="center"/>
          </w:tcPr>
          <w:p w14:paraId="4EEB6DF1">
            <w:pPr>
              <w:pStyle w:val="56"/>
              <w:bidi w:val="0"/>
              <w:jc w:val="center"/>
              <w:rPr>
                <w:rFonts w:hint="eastAsia"/>
                <w:color w:val="auto"/>
                <w:lang w:val="en-US" w:eastAsia="zh-CN"/>
              </w:rPr>
            </w:pPr>
          </w:p>
        </w:tc>
      </w:tr>
      <w:tr w14:paraId="48733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800" w:type="dxa"/>
            <w:vAlign w:val="center"/>
          </w:tcPr>
          <w:p w14:paraId="4B8FC906">
            <w:pPr>
              <w:pStyle w:val="56"/>
              <w:bidi w:val="0"/>
              <w:jc w:val="center"/>
              <w:rPr>
                <w:rFonts w:hint="eastAsia"/>
                <w:color w:val="auto"/>
                <w:lang w:val="en-US" w:eastAsia="zh-CN"/>
              </w:rPr>
            </w:pPr>
            <w:r>
              <w:rPr>
                <w:rFonts w:hint="eastAsia"/>
                <w:color w:val="auto"/>
                <w:lang w:val="en-US" w:eastAsia="zh-CN"/>
              </w:rPr>
              <w:t>15</w:t>
            </w:r>
          </w:p>
        </w:tc>
        <w:tc>
          <w:tcPr>
            <w:tcW w:w="2477" w:type="dxa"/>
            <w:vAlign w:val="center"/>
          </w:tcPr>
          <w:p w14:paraId="196D8D5F">
            <w:pPr>
              <w:pStyle w:val="56"/>
              <w:bidi w:val="0"/>
              <w:jc w:val="center"/>
              <w:rPr>
                <w:rFonts w:hint="eastAsia"/>
                <w:color w:val="auto"/>
                <w:lang w:val="en-US" w:eastAsia="zh-CN"/>
              </w:rPr>
            </w:pPr>
            <w:r>
              <w:rPr>
                <w:rFonts w:hint="eastAsia"/>
                <w:color w:val="auto"/>
                <w:lang w:val="en-US" w:eastAsia="zh-CN"/>
              </w:rPr>
              <w:t>门卫值班室</w:t>
            </w:r>
          </w:p>
        </w:tc>
        <w:tc>
          <w:tcPr>
            <w:tcW w:w="2552" w:type="dxa"/>
            <w:vAlign w:val="center"/>
          </w:tcPr>
          <w:p w14:paraId="33BABEA2">
            <w:pPr>
              <w:pStyle w:val="56"/>
              <w:bidi w:val="0"/>
              <w:jc w:val="center"/>
              <w:rPr>
                <w:rFonts w:hint="eastAsia"/>
                <w:color w:val="auto"/>
                <w:lang w:val="en-US" w:eastAsia="zh-CN"/>
              </w:rPr>
            </w:pPr>
            <w:r>
              <w:rPr>
                <w:rFonts w:hint="eastAsia"/>
                <w:color w:val="auto"/>
                <w:lang w:val="en-US" w:eastAsia="zh-CN"/>
              </w:rPr>
              <w:t>4.00m×3.00m×3.00m</w:t>
            </w:r>
          </w:p>
        </w:tc>
        <w:tc>
          <w:tcPr>
            <w:tcW w:w="1382" w:type="dxa"/>
            <w:vAlign w:val="center"/>
          </w:tcPr>
          <w:p w14:paraId="4CBF6704">
            <w:pPr>
              <w:pStyle w:val="56"/>
              <w:bidi w:val="0"/>
              <w:jc w:val="center"/>
              <w:rPr>
                <w:rFonts w:hint="eastAsia"/>
                <w:color w:val="auto"/>
                <w:lang w:val="en-US" w:eastAsia="zh-CN"/>
              </w:rPr>
            </w:pPr>
            <w:r>
              <w:rPr>
                <w:rFonts w:hint="eastAsia"/>
                <w:color w:val="auto"/>
              </w:rPr>
              <w:t>框架结构</w:t>
            </w:r>
          </w:p>
        </w:tc>
        <w:tc>
          <w:tcPr>
            <w:tcW w:w="1125" w:type="dxa"/>
            <w:vAlign w:val="center"/>
          </w:tcPr>
          <w:p w14:paraId="0BB658B9">
            <w:pPr>
              <w:pStyle w:val="56"/>
              <w:bidi w:val="0"/>
              <w:jc w:val="center"/>
              <w:rPr>
                <w:rFonts w:hint="eastAsia"/>
                <w:color w:val="auto"/>
                <w:lang w:val="en-US" w:eastAsia="zh-CN"/>
              </w:rPr>
            </w:pPr>
            <w:r>
              <w:rPr>
                <w:rFonts w:hint="eastAsia"/>
                <w:color w:val="auto"/>
                <w:lang w:val="en-US" w:eastAsia="zh-CN"/>
              </w:rPr>
              <w:t>1座</w:t>
            </w:r>
          </w:p>
        </w:tc>
        <w:tc>
          <w:tcPr>
            <w:tcW w:w="841" w:type="dxa"/>
            <w:vAlign w:val="center"/>
          </w:tcPr>
          <w:p w14:paraId="50578592">
            <w:pPr>
              <w:pStyle w:val="56"/>
              <w:bidi w:val="0"/>
              <w:jc w:val="center"/>
              <w:rPr>
                <w:rFonts w:hint="eastAsia"/>
                <w:color w:val="auto"/>
                <w:lang w:val="en-US" w:eastAsia="zh-CN"/>
              </w:rPr>
            </w:pPr>
          </w:p>
        </w:tc>
      </w:tr>
    </w:tbl>
    <w:p w14:paraId="4E384DF0">
      <w:pPr>
        <w:pStyle w:val="2"/>
        <w:rPr>
          <w:rFonts w:hint="eastAsia"/>
          <w:color w:val="auto"/>
          <w:lang w:val="en-US" w:eastAsia="zh-CN"/>
        </w:rPr>
      </w:pPr>
    </w:p>
    <w:p w14:paraId="1016A6A7">
      <w:pPr>
        <w:spacing w:line="240" w:lineRule="auto"/>
        <w:ind w:firstLine="482" w:firstLineChars="200"/>
        <w:jc w:val="center"/>
        <w:rPr>
          <w:rFonts w:hint="eastAsia" w:ascii="Times New Roman" w:hAnsi="Times New Roman" w:eastAsia="宋体" w:cs="Times New Roman"/>
          <w:b/>
          <w:bCs/>
          <w:color w:val="auto"/>
          <w:sz w:val="24"/>
          <w:highlight w:val="none"/>
          <w:lang w:val="en-US" w:eastAsia="zh-CN"/>
        </w:rPr>
      </w:pPr>
      <w:r>
        <w:rPr>
          <w:rFonts w:hint="eastAsia" w:cs="Times New Roman"/>
          <w:b/>
          <w:bCs/>
          <w:color w:val="auto"/>
          <w:sz w:val="24"/>
          <w:highlight w:val="none"/>
          <w:lang w:val="en-US" w:eastAsia="zh-CN"/>
        </w:rPr>
        <w:t>表2.3-5</w:t>
      </w:r>
      <w:r>
        <w:rPr>
          <w:rFonts w:hint="eastAsia" w:ascii="Times New Roman" w:hAnsi="Times New Roman" w:eastAsia="宋体" w:cs="Times New Roman"/>
          <w:b/>
          <w:bCs/>
          <w:color w:val="auto"/>
          <w:sz w:val="24"/>
          <w:highlight w:val="none"/>
          <w:lang w:val="en-US" w:eastAsia="zh-CN"/>
        </w:rPr>
        <w:t>主要</w:t>
      </w:r>
      <w:r>
        <w:rPr>
          <w:rFonts w:hint="eastAsia" w:cs="Times New Roman"/>
          <w:b/>
          <w:bCs/>
          <w:color w:val="auto"/>
          <w:sz w:val="24"/>
          <w:highlight w:val="none"/>
          <w:lang w:val="en-US" w:eastAsia="zh-CN"/>
        </w:rPr>
        <w:t>设备</w:t>
      </w:r>
      <w:r>
        <w:rPr>
          <w:rFonts w:hint="eastAsia" w:ascii="Times New Roman" w:hAnsi="Times New Roman" w:eastAsia="宋体" w:cs="Times New Roman"/>
          <w:b/>
          <w:bCs/>
          <w:color w:val="auto"/>
          <w:sz w:val="24"/>
          <w:highlight w:val="none"/>
          <w:lang w:val="en-US" w:eastAsia="zh-CN"/>
        </w:rPr>
        <w:t>一览表</w:t>
      </w:r>
    </w:p>
    <w:tbl>
      <w:tblPr>
        <w:tblStyle w:val="81"/>
        <w:tblW w:w="937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0"/>
        <w:gridCol w:w="1827"/>
        <w:gridCol w:w="4421"/>
        <w:gridCol w:w="1483"/>
        <w:gridCol w:w="763"/>
      </w:tblGrid>
      <w:tr w14:paraId="7D59B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 w:hRule="atLeast"/>
          <w:jc w:val="center"/>
        </w:trPr>
        <w:tc>
          <w:tcPr>
            <w:tcW w:w="880" w:type="dxa"/>
            <w:vAlign w:val="center"/>
          </w:tcPr>
          <w:p w14:paraId="02EDA2F2">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序号</w:t>
            </w:r>
          </w:p>
        </w:tc>
        <w:tc>
          <w:tcPr>
            <w:tcW w:w="1827" w:type="dxa"/>
            <w:vAlign w:val="center"/>
          </w:tcPr>
          <w:p w14:paraId="06FA7A4D">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设备名称</w:t>
            </w:r>
          </w:p>
        </w:tc>
        <w:tc>
          <w:tcPr>
            <w:tcW w:w="4421" w:type="dxa"/>
            <w:vAlign w:val="center"/>
          </w:tcPr>
          <w:p w14:paraId="50B7974D">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规格参数</w:t>
            </w:r>
          </w:p>
        </w:tc>
        <w:tc>
          <w:tcPr>
            <w:tcW w:w="1483" w:type="dxa"/>
            <w:vAlign w:val="center"/>
          </w:tcPr>
          <w:p w14:paraId="5002B429">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材质</w:t>
            </w:r>
          </w:p>
        </w:tc>
        <w:tc>
          <w:tcPr>
            <w:tcW w:w="763" w:type="dxa"/>
            <w:vAlign w:val="center"/>
          </w:tcPr>
          <w:p w14:paraId="49DD7370">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数量</w:t>
            </w:r>
          </w:p>
        </w:tc>
      </w:tr>
      <w:tr w14:paraId="4B3F6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 w:hRule="atLeast"/>
          <w:jc w:val="center"/>
        </w:trPr>
        <w:tc>
          <w:tcPr>
            <w:tcW w:w="880" w:type="dxa"/>
            <w:vAlign w:val="center"/>
          </w:tcPr>
          <w:p w14:paraId="26730607">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w:t>
            </w:r>
          </w:p>
        </w:tc>
        <w:tc>
          <w:tcPr>
            <w:tcW w:w="1827" w:type="dxa"/>
            <w:vAlign w:val="center"/>
          </w:tcPr>
          <w:p w14:paraId="0AB41801">
            <w:pPr>
              <w:autoSpaceDE w:val="0"/>
              <w:autoSpaceDN w:val="0"/>
              <w:jc w:val="center"/>
              <w:rPr>
                <w:rFonts w:hint="default" w:ascii="Times New Roman" w:hAnsi="Times New Roman" w:eastAsia="宋体" w:cs="Times New Roman"/>
                <w:color w:val="auto"/>
                <w:sz w:val="21"/>
                <w:szCs w:val="21"/>
              </w:rPr>
            </w:pPr>
          </w:p>
        </w:tc>
        <w:tc>
          <w:tcPr>
            <w:tcW w:w="4421" w:type="dxa"/>
            <w:vAlign w:val="center"/>
          </w:tcPr>
          <w:p w14:paraId="4D26E214">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预处理部分</w:t>
            </w:r>
          </w:p>
        </w:tc>
        <w:tc>
          <w:tcPr>
            <w:tcW w:w="1483" w:type="dxa"/>
            <w:vAlign w:val="center"/>
          </w:tcPr>
          <w:p w14:paraId="2A9DED5C">
            <w:pPr>
              <w:autoSpaceDE w:val="0"/>
              <w:autoSpaceDN w:val="0"/>
              <w:jc w:val="center"/>
              <w:rPr>
                <w:rFonts w:hint="default" w:ascii="Times New Roman" w:hAnsi="Times New Roman" w:eastAsia="宋体" w:cs="Times New Roman"/>
                <w:color w:val="auto"/>
                <w:sz w:val="21"/>
                <w:szCs w:val="21"/>
              </w:rPr>
            </w:pPr>
          </w:p>
        </w:tc>
        <w:tc>
          <w:tcPr>
            <w:tcW w:w="763" w:type="dxa"/>
            <w:vAlign w:val="center"/>
          </w:tcPr>
          <w:p w14:paraId="2AC48352">
            <w:pPr>
              <w:autoSpaceDE w:val="0"/>
              <w:autoSpaceDN w:val="0"/>
              <w:jc w:val="center"/>
              <w:rPr>
                <w:rFonts w:hint="default" w:ascii="Times New Roman" w:hAnsi="Times New Roman" w:eastAsia="宋体" w:cs="Times New Roman"/>
                <w:color w:val="auto"/>
                <w:sz w:val="21"/>
                <w:szCs w:val="21"/>
              </w:rPr>
            </w:pPr>
          </w:p>
        </w:tc>
      </w:tr>
      <w:tr w14:paraId="616AC0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jc w:val="center"/>
        </w:trPr>
        <w:tc>
          <w:tcPr>
            <w:tcW w:w="880" w:type="dxa"/>
            <w:vAlign w:val="center"/>
          </w:tcPr>
          <w:p w14:paraId="0489D8E2">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827" w:type="dxa"/>
            <w:vAlign w:val="center"/>
          </w:tcPr>
          <w:p w14:paraId="05A39054">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回转式格栅</w:t>
            </w:r>
          </w:p>
        </w:tc>
        <w:tc>
          <w:tcPr>
            <w:tcW w:w="4421" w:type="dxa"/>
            <w:vAlign w:val="center"/>
          </w:tcPr>
          <w:p w14:paraId="550945EE">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Q＝3000m/d,B=600mm,b=20mm,P=1.5kw,渠深 9.3 米</w:t>
            </w:r>
          </w:p>
        </w:tc>
        <w:tc>
          <w:tcPr>
            <w:tcW w:w="1483" w:type="dxa"/>
            <w:vAlign w:val="center"/>
          </w:tcPr>
          <w:p w14:paraId="56FC858A">
            <w:pPr>
              <w:autoSpaceDE w:val="0"/>
              <w:autoSpaceDN w:val="0"/>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不锈钢304</w:t>
            </w:r>
          </w:p>
        </w:tc>
        <w:tc>
          <w:tcPr>
            <w:tcW w:w="763" w:type="dxa"/>
            <w:vAlign w:val="center"/>
          </w:tcPr>
          <w:p w14:paraId="213EF313">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2套</w:t>
            </w:r>
          </w:p>
        </w:tc>
      </w:tr>
      <w:tr w14:paraId="76FD54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 w:hRule="atLeast"/>
          <w:jc w:val="center"/>
        </w:trPr>
        <w:tc>
          <w:tcPr>
            <w:tcW w:w="880" w:type="dxa"/>
            <w:vAlign w:val="center"/>
          </w:tcPr>
          <w:p w14:paraId="1C4B88F7">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1827" w:type="dxa"/>
            <w:vAlign w:val="center"/>
          </w:tcPr>
          <w:p w14:paraId="4FB5E11B">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LS 型螺旋输送机</w:t>
            </w:r>
          </w:p>
        </w:tc>
        <w:tc>
          <w:tcPr>
            <w:tcW w:w="4421" w:type="dxa"/>
            <w:vAlign w:val="center"/>
          </w:tcPr>
          <w:p w14:paraId="3E480510">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LS-260，L=4.5m，P=1.0kw</w:t>
            </w:r>
          </w:p>
        </w:tc>
        <w:tc>
          <w:tcPr>
            <w:tcW w:w="1483" w:type="dxa"/>
            <w:vAlign w:val="center"/>
          </w:tcPr>
          <w:p w14:paraId="6AA26AED">
            <w:pPr>
              <w:autoSpaceDE w:val="0"/>
              <w:autoSpaceDN w:val="0"/>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不锈钢304</w:t>
            </w:r>
          </w:p>
        </w:tc>
        <w:tc>
          <w:tcPr>
            <w:tcW w:w="763" w:type="dxa"/>
            <w:vAlign w:val="center"/>
          </w:tcPr>
          <w:p w14:paraId="7CBFF5F3">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1套</w:t>
            </w:r>
          </w:p>
        </w:tc>
      </w:tr>
      <w:tr w14:paraId="16B262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 w:hRule="atLeast"/>
          <w:jc w:val="center"/>
        </w:trPr>
        <w:tc>
          <w:tcPr>
            <w:tcW w:w="880" w:type="dxa"/>
            <w:vAlign w:val="center"/>
          </w:tcPr>
          <w:p w14:paraId="395973BC">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1827" w:type="dxa"/>
            <w:vAlign w:val="center"/>
          </w:tcPr>
          <w:p w14:paraId="70EE24BF">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集渣车</w:t>
            </w:r>
          </w:p>
        </w:tc>
        <w:tc>
          <w:tcPr>
            <w:tcW w:w="4421" w:type="dxa"/>
            <w:vAlign w:val="center"/>
          </w:tcPr>
          <w:p w14:paraId="17016056">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2500X1000</w:t>
            </w:r>
          </w:p>
        </w:tc>
        <w:tc>
          <w:tcPr>
            <w:tcW w:w="1483" w:type="dxa"/>
            <w:vAlign w:val="center"/>
          </w:tcPr>
          <w:p w14:paraId="52D1A8BE">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成品</w:t>
            </w:r>
          </w:p>
        </w:tc>
        <w:tc>
          <w:tcPr>
            <w:tcW w:w="763" w:type="dxa"/>
            <w:vAlign w:val="center"/>
          </w:tcPr>
          <w:p w14:paraId="0C62B02B">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721A20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 w:hRule="atLeast"/>
          <w:jc w:val="center"/>
        </w:trPr>
        <w:tc>
          <w:tcPr>
            <w:tcW w:w="880" w:type="dxa"/>
            <w:vAlign w:val="center"/>
          </w:tcPr>
          <w:p w14:paraId="1A0BAC59">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1827" w:type="dxa"/>
            <w:vAlign w:val="center"/>
          </w:tcPr>
          <w:p w14:paraId="2D944974">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铸铁镶铜闸门</w:t>
            </w:r>
          </w:p>
        </w:tc>
        <w:tc>
          <w:tcPr>
            <w:tcW w:w="4421" w:type="dxa"/>
            <w:vAlign w:val="center"/>
          </w:tcPr>
          <w:p w14:paraId="7DC25CCD">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距离池顶 9.05 米</w:t>
            </w:r>
          </w:p>
        </w:tc>
        <w:tc>
          <w:tcPr>
            <w:tcW w:w="1483" w:type="dxa"/>
            <w:vAlign w:val="center"/>
          </w:tcPr>
          <w:p w14:paraId="2C08B002">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铸铁镶铜</w:t>
            </w:r>
          </w:p>
        </w:tc>
        <w:tc>
          <w:tcPr>
            <w:tcW w:w="763" w:type="dxa"/>
            <w:vAlign w:val="center"/>
          </w:tcPr>
          <w:p w14:paraId="41181CAE">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4套</w:t>
            </w:r>
          </w:p>
        </w:tc>
      </w:tr>
      <w:tr w14:paraId="63E0A7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 w:hRule="atLeast"/>
          <w:jc w:val="center"/>
        </w:trPr>
        <w:tc>
          <w:tcPr>
            <w:tcW w:w="880" w:type="dxa"/>
            <w:vAlign w:val="center"/>
          </w:tcPr>
          <w:p w14:paraId="37C0294A">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1827" w:type="dxa"/>
            <w:vAlign w:val="center"/>
          </w:tcPr>
          <w:p w14:paraId="2A64B25A">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一级提升泵</w:t>
            </w:r>
          </w:p>
        </w:tc>
        <w:tc>
          <w:tcPr>
            <w:tcW w:w="4421" w:type="dxa"/>
            <w:vAlign w:val="center"/>
          </w:tcPr>
          <w:p w14:paraId="54A5F2F5">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Q=115m/h，H=11m，P=5.5kw</w:t>
            </w:r>
          </w:p>
        </w:tc>
        <w:tc>
          <w:tcPr>
            <w:tcW w:w="1483" w:type="dxa"/>
            <w:vAlign w:val="center"/>
          </w:tcPr>
          <w:p w14:paraId="3470DC1F">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成品</w:t>
            </w:r>
          </w:p>
        </w:tc>
        <w:tc>
          <w:tcPr>
            <w:tcW w:w="763" w:type="dxa"/>
            <w:vAlign w:val="center"/>
          </w:tcPr>
          <w:p w14:paraId="7714F3AA">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3台</w:t>
            </w:r>
          </w:p>
        </w:tc>
      </w:tr>
      <w:tr w14:paraId="710FBF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jc w:val="center"/>
        </w:trPr>
        <w:tc>
          <w:tcPr>
            <w:tcW w:w="880" w:type="dxa"/>
            <w:vAlign w:val="center"/>
          </w:tcPr>
          <w:p w14:paraId="2C5F1C4C">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w:t>
            </w:r>
          </w:p>
        </w:tc>
        <w:tc>
          <w:tcPr>
            <w:tcW w:w="1827" w:type="dxa"/>
            <w:vAlign w:val="center"/>
          </w:tcPr>
          <w:p w14:paraId="630E1C90">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回转式格栅</w:t>
            </w:r>
          </w:p>
        </w:tc>
        <w:tc>
          <w:tcPr>
            <w:tcW w:w="4421" w:type="dxa"/>
            <w:vAlign w:val="center"/>
          </w:tcPr>
          <w:p w14:paraId="32E8BE0B">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Q＝3000m/d,B=600mm,b=3mm,P=1.1kw,渠深 1.5 米</w:t>
            </w:r>
          </w:p>
        </w:tc>
        <w:tc>
          <w:tcPr>
            <w:tcW w:w="1483" w:type="dxa"/>
            <w:vAlign w:val="center"/>
          </w:tcPr>
          <w:p w14:paraId="25E27E0C">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不锈钢304</w:t>
            </w:r>
          </w:p>
        </w:tc>
        <w:tc>
          <w:tcPr>
            <w:tcW w:w="763" w:type="dxa"/>
            <w:vAlign w:val="center"/>
          </w:tcPr>
          <w:p w14:paraId="4D61D78A">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2套</w:t>
            </w:r>
          </w:p>
        </w:tc>
      </w:tr>
      <w:tr w14:paraId="28BD84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 w:hRule="atLeast"/>
          <w:jc w:val="center"/>
        </w:trPr>
        <w:tc>
          <w:tcPr>
            <w:tcW w:w="880" w:type="dxa"/>
            <w:vAlign w:val="center"/>
          </w:tcPr>
          <w:p w14:paraId="06B37354">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w:t>
            </w:r>
          </w:p>
        </w:tc>
        <w:tc>
          <w:tcPr>
            <w:tcW w:w="1827" w:type="dxa"/>
            <w:vAlign w:val="center"/>
          </w:tcPr>
          <w:p w14:paraId="37C910DE">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LS 型螺旋输送机</w:t>
            </w:r>
          </w:p>
        </w:tc>
        <w:tc>
          <w:tcPr>
            <w:tcW w:w="4421" w:type="dxa"/>
            <w:vAlign w:val="center"/>
          </w:tcPr>
          <w:p w14:paraId="6613E414">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LS-260，L=4.5m，P=1.0kw</w:t>
            </w:r>
          </w:p>
        </w:tc>
        <w:tc>
          <w:tcPr>
            <w:tcW w:w="1483" w:type="dxa"/>
            <w:vAlign w:val="center"/>
          </w:tcPr>
          <w:p w14:paraId="50B8C900">
            <w:pPr>
              <w:autoSpaceDE w:val="0"/>
              <w:autoSpaceDN w:val="0"/>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不锈钢304</w:t>
            </w:r>
          </w:p>
        </w:tc>
        <w:tc>
          <w:tcPr>
            <w:tcW w:w="763" w:type="dxa"/>
            <w:vAlign w:val="center"/>
          </w:tcPr>
          <w:p w14:paraId="0D335EE7">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1套</w:t>
            </w:r>
          </w:p>
        </w:tc>
      </w:tr>
      <w:tr w14:paraId="76DBD0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 w:hRule="atLeast"/>
          <w:jc w:val="center"/>
        </w:trPr>
        <w:tc>
          <w:tcPr>
            <w:tcW w:w="880" w:type="dxa"/>
            <w:vAlign w:val="center"/>
          </w:tcPr>
          <w:p w14:paraId="0FD48906">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w:t>
            </w:r>
          </w:p>
        </w:tc>
        <w:tc>
          <w:tcPr>
            <w:tcW w:w="1827" w:type="dxa"/>
            <w:vAlign w:val="center"/>
          </w:tcPr>
          <w:p w14:paraId="4B4F87F7">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集渣车</w:t>
            </w:r>
          </w:p>
        </w:tc>
        <w:tc>
          <w:tcPr>
            <w:tcW w:w="4421" w:type="dxa"/>
            <w:vAlign w:val="center"/>
          </w:tcPr>
          <w:p w14:paraId="497C0678">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2500mmX1000mm</w:t>
            </w:r>
          </w:p>
        </w:tc>
        <w:tc>
          <w:tcPr>
            <w:tcW w:w="1483" w:type="dxa"/>
            <w:vAlign w:val="center"/>
          </w:tcPr>
          <w:p w14:paraId="329A19E1">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成品</w:t>
            </w:r>
          </w:p>
        </w:tc>
        <w:tc>
          <w:tcPr>
            <w:tcW w:w="763" w:type="dxa"/>
            <w:vAlign w:val="center"/>
          </w:tcPr>
          <w:p w14:paraId="3FD8D625">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1台</w:t>
            </w:r>
          </w:p>
        </w:tc>
      </w:tr>
      <w:tr w14:paraId="165BD8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 w:hRule="atLeast"/>
          <w:jc w:val="center"/>
        </w:trPr>
        <w:tc>
          <w:tcPr>
            <w:tcW w:w="880" w:type="dxa"/>
            <w:vAlign w:val="center"/>
          </w:tcPr>
          <w:p w14:paraId="4F4C5E63">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w:t>
            </w:r>
          </w:p>
        </w:tc>
        <w:tc>
          <w:tcPr>
            <w:tcW w:w="1827" w:type="dxa"/>
            <w:vAlign w:val="center"/>
          </w:tcPr>
          <w:p w14:paraId="122B4A3C">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插板闸门</w:t>
            </w:r>
          </w:p>
        </w:tc>
        <w:tc>
          <w:tcPr>
            <w:tcW w:w="4421" w:type="dxa"/>
            <w:vAlign w:val="center"/>
          </w:tcPr>
          <w:p w14:paraId="39CCF686">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B＝600mm，H=1500mm</w:t>
            </w:r>
          </w:p>
        </w:tc>
        <w:tc>
          <w:tcPr>
            <w:tcW w:w="1483" w:type="dxa"/>
            <w:vAlign w:val="center"/>
          </w:tcPr>
          <w:p w14:paraId="46C8BC57">
            <w:pPr>
              <w:autoSpaceDE w:val="0"/>
              <w:autoSpaceDN w:val="0"/>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不锈钢304</w:t>
            </w:r>
          </w:p>
        </w:tc>
        <w:tc>
          <w:tcPr>
            <w:tcW w:w="763" w:type="dxa"/>
            <w:vAlign w:val="center"/>
          </w:tcPr>
          <w:p w14:paraId="109206A8">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2套</w:t>
            </w:r>
          </w:p>
        </w:tc>
      </w:tr>
      <w:tr w14:paraId="13435F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 w:hRule="atLeast"/>
          <w:jc w:val="center"/>
        </w:trPr>
        <w:tc>
          <w:tcPr>
            <w:tcW w:w="880" w:type="dxa"/>
            <w:vAlign w:val="center"/>
          </w:tcPr>
          <w:p w14:paraId="6BA71BD2">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c>
          <w:tcPr>
            <w:tcW w:w="1827" w:type="dxa"/>
            <w:vAlign w:val="center"/>
          </w:tcPr>
          <w:p w14:paraId="10854A9D">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插板闸门</w:t>
            </w:r>
          </w:p>
        </w:tc>
        <w:tc>
          <w:tcPr>
            <w:tcW w:w="4421" w:type="dxa"/>
            <w:vAlign w:val="center"/>
          </w:tcPr>
          <w:p w14:paraId="53DF102E">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B＝600mm，H=1500mm</w:t>
            </w:r>
          </w:p>
        </w:tc>
        <w:tc>
          <w:tcPr>
            <w:tcW w:w="1483" w:type="dxa"/>
            <w:vAlign w:val="center"/>
          </w:tcPr>
          <w:p w14:paraId="5DBCA594">
            <w:pPr>
              <w:autoSpaceDE w:val="0"/>
              <w:autoSpaceDN w:val="0"/>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不锈钢304</w:t>
            </w:r>
          </w:p>
        </w:tc>
        <w:tc>
          <w:tcPr>
            <w:tcW w:w="763" w:type="dxa"/>
            <w:vAlign w:val="center"/>
          </w:tcPr>
          <w:p w14:paraId="430780A8">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2套</w:t>
            </w:r>
          </w:p>
        </w:tc>
      </w:tr>
      <w:tr w14:paraId="3C59C9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 w:hRule="atLeast"/>
          <w:jc w:val="center"/>
        </w:trPr>
        <w:tc>
          <w:tcPr>
            <w:tcW w:w="880" w:type="dxa"/>
            <w:vAlign w:val="center"/>
          </w:tcPr>
          <w:p w14:paraId="19158B04">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11</w:t>
            </w:r>
          </w:p>
        </w:tc>
        <w:tc>
          <w:tcPr>
            <w:tcW w:w="1827" w:type="dxa"/>
            <w:vAlign w:val="center"/>
          </w:tcPr>
          <w:p w14:paraId="1F62F155">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抽砂泵</w:t>
            </w:r>
          </w:p>
        </w:tc>
        <w:tc>
          <w:tcPr>
            <w:tcW w:w="4421" w:type="dxa"/>
            <w:vAlign w:val="center"/>
          </w:tcPr>
          <w:p w14:paraId="3C5A00FB">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Q=15m/h,H=8m，P=4.0kw</w:t>
            </w:r>
          </w:p>
        </w:tc>
        <w:tc>
          <w:tcPr>
            <w:tcW w:w="1483" w:type="dxa"/>
            <w:vAlign w:val="center"/>
          </w:tcPr>
          <w:p w14:paraId="359FFFA3">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成品</w:t>
            </w:r>
          </w:p>
        </w:tc>
        <w:tc>
          <w:tcPr>
            <w:tcW w:w="763" w:type="dxa"/>
            <w:vAlign w:val="center"/>
          </w:tcPr>
          <w:p w14:paraId="54B324BE">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2台</w:t>
            </w:r>
          </w:p>
        </w:tc>
      </w:tr>
      <w:tr w14:paraId="1D7098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 w:hRule="atLeast"/>
          <w:jc w:val="center"/>
        </w:trPr>
        <w:tc>
          <w:tcPr>
            <w:tcW w:w="880" w:type="dxa"/>
            <w:vAlign w:val="center"/>
          </w:tcPr>
          <w:p w14:paraId="77B4B8BF">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1827" w:type="dxa"/>
            <w:vAlign w:val="center"/>
          </w:tcPr>
          <w:p w14:paraId="2A7B586F">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不锈钢砂水分离器</w:t>
            </w:r>
          </w:p>
        </w:tc>
        <w:tc>
          <w:tcPr>
            <w:tcW w:w="4421" w:type="dxa"/>
            <w:vAlign w:val="center"/>
          </w:tcPr>
          <w:p w14:paraId="74973DCD">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处理量 Q=12L/s，P=0.37kw</w:t>
            </w:r>
          </w:p>
        </w:tc>
        <w:tc>
          <w:tcPr>
            <w:tcW w:w="1483" w:type="dxa"/>
            <w:vAlign w:val="center"/>
          </w:tcPr>
          <w:p w14:paraId="6C38BE4A">
            <w:pPr>
              <w:autoSpaceDE w:val="0"/>
              <w:autoSpaceDN w:val="0"/>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不锈钢304</w:t>
            </w:r>
          </w:p>
        </w:tc>
        <w:tc>
          <w:tcPr>
            <w:tcW w:w="763" w:type="dxa"/>
            <w:vAlign w:val="center"/>
          </w:tcPr>
          <w:p w14:paraId="1D14BD4C">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1套</w:t>
            </w:r>
          </w:p>
        </w:tc>
      </w:tr>
      <w:tr w14:paraId="4888A2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02" w:hRule="atLeast"/>
          <w:jc w:val="center"/>
        </w:trPr>
        <w:tc>
          <w:tcPr>
            <w:tcW w:w="880" w:type="dxa"/>
            <w:vAlign w:val="center"/>
          </w:tcPr>
          <w:p w14:paraId="7368D9AD">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13</w:t>
            </w:r>
          </w:p>
        </w:tc>
        <w:tc>
          <w:tcPr>
            <w:tcW w:w="1827" w:type="dxa"/>
            <w:vAlign w:val="center"/>
          </w:tcPr>
          <w:p w14:paraId="1BE4E90F">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二级提升泵</w:t>
            </w:r>
          </w:p>
        </w:tc>
        <w:tc>
          <w:tcPr>
            <w:tcW w:w="4421" w:type="dxa"/>
            <w:vAlign w:val="center"/>
          </w:tcPr>
          <w:p w14:paraId="2D4C3AA0">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Q=65m/h，H=8m，P=3.0kw</w:t>
            </w:r>
          </w:p>
        </w:tc>
        <w:tc>
          <w:tcPr>
            <w:tcW w:w="1483" w:type="dxa"/>
            <w:vAlign w:val="center"/>
          </w:tcPr>
          <w:p w14:paraId="08DC8E7D">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成品</w:t>
            </w:r>
          </w:p>
        </w:tc>
        <w:tc>
          <w:tcPr>
            <w:tcW w:w="763" w:type="dxa"/>
            <w:vAlign w:val="center"/>
          </w:tcPr>
          <w:p w14:paraId="63A54961">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3台</w:t>
            </w:r>
          </w:p>
        </w:tc>
      </w:tr>
      <w:tr w14:paraId="5DF939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 w:hRule="atLeast"/>
          <w:jc w:val="center"/>
        </w:trPr>
        <w:tc>
          <w:tcPr>
            <w:tcW w:w="880" w:type="dxa"/>
            <w:vAlign w:val="center"/>
          </w:tcPr>
          <w:p w14:paraId="17F0714A">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14</w:t>
            </w:r>
          </w:p>
        </w:tc>
        <w:tc>
          <w:tcPr>
            <w:tcW w:w="1827" w:type="dxa"/>
            <w:vAlign w:val="center"/>
          </w:tcPr>
          <w:p w14:paraId="7D3B7F3C">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潜水搅拌器</w:t>
            </w:r>
          </w:p>
        </w:tc>
        <w:tc>
          <w:tcPr>
            <w:tcW w:w="4421" w:type="dxa"/>
            <w:vAlign w:val="center"/>
          </w:tcPr>
          <w:p w14:paraId="00BAA02D">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P=3.3kw，池深 5.3m</w:t>
            </w:r>
          </w:p>
        </w:tc>
        <w:tc>
          <w:tcPr>
            <w:tcW w:w="1483" w:type="dxa"/>
            <w:vAlign w:val="center"/>
          </w:tcPr>
          <w:p w14:paraId="26BA26C4">
            <w:pPr>
              <w:autoSpaceDE w:val="0"/>
              <w:autoSpaceDN w:val="0"/>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不锈钢304</w:t>
            </w:r>
          </w:p>
        </w:tc>
        <w:tc>
          <w:tcPr>
            <w:tcW w:w="763" w:type="dxa"/>
            <w:vAlign w:val="center"/>
          </w:tcPr>
          <w:p w14:paraId="261DAEC3">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2台</w:t>
            </w:r>
          </w:p>
        </w:tc>
      </w:tr>
      <w:tr w14:paraId="5BC1A8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jc w:val="center"/>
        </w:trPr>
        <w:tc>
          <w:tcPr>
            <w:tcW w:w="880" w:type="dxa"/>
            <w:vAlign w:val="center"/>
          </w:tcPr>
          <w:p w14:paraId="7E3D3548">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w:t>
            </w:r>
          </w:p>
        </w:tc>
        <w:tc>
          <w:tcPr>
            <w:tcW w:w="1827" w:type="dxa"/>
            <w:vAlign w:val="center"/>
          </w:tcPr>
          <w:p w14:paraId="0406A904">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超细格栅</w:t>
            </w:r>
          </w:p>
        </w:tc>
        <w:tc>
          <w:tcPr>
            <w:tcW w:w="4421" w:type="dxa"/>
            <w:vAlign w:val="center"/>
          </w:tcPr>
          <w:p w14:paraId="4CB16C39">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Q＝3000m/d,B＝600mm,\U+03C6＝1mm,P=1.5KW 槽深 1.5m</w:t>
            </w:r>
          </w:p>
        </w:tc>
        <w:tc>
          <w:tcPr>
            <w:tcW w:w="1483" w:type="dxa"/>
            <w:vAlign w:val="center"/>
          </w:tcPr>
          <w:p w14:paraId="54E86BA2">
            <w:pPr>
              <w:autoSpaceDE w:val="0"/>
              <w:autoSpaceDN w:val="0"/>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不锈钢304</w:t>
            </w:r>
          </w:p>
        </w:tc>
        <w:tc>
          <w:tcPr>
            <w:tcW w:w="763" w:type="dxa"/>
            <w:vAlign w:val="center"/>
          </w:tcPr>
          <w:p w14:paraId="1982BB1A">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2套</w:t>
            </w:r>
          </w:p>
        </w:tc>
      </w:tr>
      <w:tr w14:paraId="265FA3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 w:hRule="atLeast"/>
          <w:jc w:val="center"/>
        </w:trPr>
        <w:tc>
          <w:tcPr>
            <w:tcW w:w="880" w:type="dxa"/>
            <w:vAlign w:val="center"/>
          </w:tcPr>
          <w:p w14:paraId="10E550EF">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16</w:t>
            </w:r>
          </w:p>
        </w:tc>
        <w:tc>
          <w:tcPr>
            <w:tcW w:w="1827" w:type="dxa"/>
            <w:vAlign w:val="center"/>
          </w:tcPr>
          <w:p w14:paraId="2785B089">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插板闸门</w:t>
            </w:r>
          </w:p>
        </w:tc>
        <w:tc>
          <w:tcPr>
            <w:tcW w:w="4421" w:type="dxa"/>
            <w:vAlign w:val="center"/>
          </w:tcPr>
          <w:p w14:paraId="32A58449">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B＝600mm，H=1500mm</w:t>
            </w:r>
          </w:p>
        </w:tc>
        <w:tc>
          <w:tcPr>
            <w:tcW w:w="1483" w:type="dxa"/>
            <w:vAlign w:val="center"/>
          </w:tcPr>
          <w:p w14:paraId="6EEECAE1">
            <w:pPr>
              <w:autoSpaceDE w:val="0"/>
              <w:autoSpaceDN w:val="0"/>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不锈钢304</w:t>
            </w:r>
          </w:p>
        </w:tc>
        <w:tc>
          <w:tcPr>
            <w:tcW w:w="763" w:type="dxa"/>
            <w:vAlign w:val="center"/>
          </w:tcPr>
          <w:p w14:paraId="3E9FB1F0">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2套</w:t>
            </w:r>
          </w:p>
        </w:tc>
      </w:tr>
      <w:tr w14:paraId="3520BC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 w:hRule="atLeast"/>
          <w:jc w:val="center"/>
        </w:trPr>
        <w:tc>
          <w:tcPr>
            <w:tcW w:w="880" w:type="dxa"/>
            <w:vAlign w:val="center"/>
          </w:tcPr>
          <w:p w14:paraId="3F75C472">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17</w:t>
            </w:r>
          </w:p>
        </w:tc>
        <w:tc>
          <w:tcPr>
            <w:tcW w:w="1827" w:type="dxa"/>
            <w:vAlign w:val="center"/>
          </w:tcPr>
          <w:p w14:paraId="35570F9D">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插板闸门</w:t>
            </w:r>
          </w:p>
        </w:tc>
        <w:tc>
          <w:tcPr>
            <w:tcW w:w="4421" w:type="dxa"/>
            <w:vAlign w:val="center"/>
          </w:tcPr>
          <w:p w14:paraId="3281FCCC">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B＝600mm，H=1500mm</w:t>
            </w:r>
          </w:p>
        </w:tc>
        <w:tc>
          <w:tcPr>
            <w:tcW w:w="1483" w:type="dxa"/>
            <w:vAlign w:val="center"/>
          </w:tcPr>
          <w:p w14:paraId="4BABCEFD">
            <w:pPr>
              <w:autoSpaceDE w:val="0"/>
              <w:autoSpaceDN w:val="0"/>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不锈钢304</w:t>
            </w:r>
          </w:p>
        </w:tc>
        <w:tc>
          <w:tcPr>
            <w:tcW w:w="763" w:type="dxa"/>
            <w:vAlign w:val="center"/>
          </w:tcPr>
          <w:p w14:paraId="1E1CEA91">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2套</w:t>
            </w:r>
          </w:p>
        </w:tc>
      </w:tr>
      <w:tr w14:paraId="5AEC47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 w:hRule="atLeast"/>
          <w:jc w:val="center"/>
        </w:trPr>
        <w:tc>
          <w:tcPr>
            <w:tcW w:w="880" w:type="dxa"/>
            <w:vAlign w:val="center"/>
          </w:tcPr>
          <w:p w14:paraId="3EEFE0F1">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18</w:t>
            </w:r>
          </w:p>
        </w:tc>
        <w:tc>
          <w:tcPr>
            <w:tcW w:w="1827" w:type="dxa"/>
            <w:vAlign w:val="center"/>
          </w:tcPr>
          <w:p w14:paraId="2114C74D">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手动调节堰门</w:t>
            </w:r>
          </w:p>
        </w:tc>
        <w:tc>
          <w:tcPr>
            <w:tcW w:w="4421" w:type="dxa"/>
            <w:vAlign w:val="center"/>
          </w:tcPr>
          <w:p w14:paraId="2C889E85">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400x300，H＝1.15m</w:t>
            </w:r>
          </w:p>
        </w:tc>
        <w:tc>
          <w:tcPr>
            <w:tcW w:w="1483" w:type="dxa"/>
            <w:vAlign w:val="center"/>
          </w:tcPr>
          <w:p w14:paraId="295C65A0">
            <w:pPr>
              <w:autoSpaceDE w:val="0"/>
              <w:autoSpaceDN w:val="0"/>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不锈钢304</w:t>
            </w:r>
          </w:p>
        </w:tc>
        <w:tc>
          <w:tcPr>
            <w:tcW w:w="763" w:type="dxa"/>
            <w:vAlign w:val="center"/>
          </w:tcPr>
          <w:p w14:paraId="6C73415B">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2套</w:t>
            </w:r>
          </w:p>
        </w:tc>
      </w:tr>
      <w:tr w14:paraId="566F1B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880" w:type="dxa"/>
            <w:vAlign w:val="center"/>
          </w:tcPr>
          <w:p w14:paraId="20DCBCFE">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二</w:t>
            </w:r>
          </w:p>
        </w:tc>
        <w:tc>
          <w:tcPr>
            <w:tcW w:w="1827" w:type="dxa"/>
            <w:vAlign w:val="center"/>
          </w:tcPr>
          <w:p w14:paraId="3F2C3B18">
            <w:pPr>
              <w:autoSpaceDE w:val="0"/>
              <w:autoSpaceDN w:val="0"/>
              <w:jc w:val="center"/>
              <w:rPr>
                <w:rFonts w:hint="default" w:ascii="Times New Roman" w:hAnsi="Times New Roman" w:eastAsia="宋体" w:cs="Times New Roman"/>
                <w:color w:val="auto"/>
                <w:sz w:val="21"/>
                <w:szCs w:val="21"/>
              </w:rPr>
            </w:pPr>
          </w:p>
        </w:tc>
        <w:tc>
          <w:tcPr>
            <w:tcW w:w="4421" w:type="dxa"/>
            <w:vAlign w:val="center"/>
          </w:tcPr>
          <w:p w14:paraId="2B69822F">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生化组合池</w:t>
            </w:r>
          </w:p>
        </w:tc>
        <w:tc>
          <w:tcPr>
            <w:tcW w:w="1483" w:type="dxa"/>
            <w:vAlign w:val="center"/>
          </w:tcPr>
          <w:p w14:paraId="286B1381">
            <w:pPr>
              <w:autoSpaceDE w:val="0"/>
              <w:autoSpaceDN w:val="0"/>
              <w:jc w:val="center"/>
              <w:rPr>
                <w:rFonts w:hint="default" w:ascii="Times New Roman" w:hAnsi="Times New Roman" w:eastAsia="宋体" w:cs="Times New Roman"/>
                <w:color w:val="auto"/>
                <w:sz w:val="21"/>
                <w:szCs w:val="21"/>
              </w:rPr>
            </w:pPr>
          </w:p>
        </w:tc>
        <w:tc>
          <w:tcPr>
            <w:tcW w:w="763" w:type="dxa"/>
            <w:vAlign w:val="center"/>
          </w:tcPr>
          <w:p w14:paraId="7081E689">
            <w:pPr>
              <w:autoSpaceDE w:val="0"/>
              <w:autoSpaceDN w:val="0"/>
              <w:jc w:val="center"/>
              <w:rPr>
                <w:rFonts w:hint="default" w:ascii="Times New Roman" w:hAnsi="Times New Roman" w:eastAsia="宋体" w:cs="Times New Roman"/>
                <w:color w:val="auto"/>
                <w:sz w:val="21"/>
                <w:szCs w:val="21"/>
              </w:rPr>
            </w:pPr>
          </w:p>
        </w:tc>
      </w:tr>
      <w:tr w14:paraId="22FCC1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 w:hRule="atLeast"/>
          <w:jc w:val="center"/>
        </w:trPr>
        <w:tc>
          <w:tcPr>
            <w:tcW w:w="880" w:type="dxa"/>
            <w:vAlign w:val="center"/>
          </w:tcPr>
          <w:p w14:paraId="2A604F43">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19</w:t>
            </w:r>
          </w:p>
        </w:tc>
        <w:tc>
          <w:tcPr>
            <w:tcW w:w="1827" w:type="dxa"/>
            <w:vAlign w:val="center"/>
          </w:tcPr>
          <w:p w14:paraId="1A436840">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潜水搅拌器</w:t>
            </w:r>
          </w:p>
        </w:tc>
        <w:tc>
          <w:tcPr>
            <w:tcW w:w="4421" w:type="dxa"/>
            <w:vAlign w:val="center"/>
          </w:tcPr>
          <w:p w14:paraId="25392129">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P=1.5kw，池深 5.3m；</w:t>
            </w:r>
          </w:p>
        </w:tc>
        <w:tc>
          <w:tcPr>
            <w:tcW w:w="1483" w:type="dxa"/>
            <w:vAlign w:val="center"/>
          </w:tcPr>
          <w:p w14:paraId="556AB351">
            <w:pPr>
              <w:autoSpaceDE w:val="0"/>
              <w:autoSpaceDN w:val="0"/>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不锈钢304</w:t>
            </w:r>
          </w:p>
        </w:tc>
        <w:tc>
          <w:tcPr>
            <w:tcW w:w="763" w:type="dxa"/>
            <w:vAlign w:val="center"/>
          </w:tcPr>
          <w:p w14:paraId="3FEF6E40">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2台</w:t>
            </w:r>
          </w:p>
        </w:tc>
      </w:tr>
      <w:tr w14:paraId="4A1A0F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 w:hRule="atLeast"/>
          <w:jc w:val="center"/>
        </w:trPr>
        <w:tc>
          <w:tcPr>
            <w:tcW w:w="880" w:type="dxa"/>
            <w:vAlign w:val="center"/>
          </w:tcPr>
          <w:p w14:paraId="186CE5A9">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w:t>
            </w:r>
          </w:p>
        </w:tc>
        <w:tc>
          <w:tcPr>
            <w:tcW w:w="1827" w:type="dxa"/>
            <w:vAlign w:val="center"/>
          </w:tcPr>
          <w:p w14:paraId="220A0C04">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潜水搅拌器</w:t>
            </w:r>
          </w:p>
        </w:tc>
        <w:tc>
          <w:tcPr>
            <w:tcW w:w="4421" w:type="dxa"/>
            <w:vAlign w:val="center"/>
          </w:tcPr>
          <w:p w14:paraId="33204092">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P=2.5kw，池深 5.3m；</w:t>
            </w:r>
          </w:p>
        </w:tc>
        <w:tc>
          <w:tcPr>
            <w:tcW w:w="1483" w:type="dxa"/>
            <w:vAlign w:val="center"/>
          </w:tcPr>
          <w:p w14:paraId="051A593B">
            <w:pPr>
              <w:autoSpaceDE w:val="0"/>
              <w:autoSpaceDN w:val="0"/>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不锈钢304</w:t>
            </w:r>
          </w:p>
        </w:tc>
        <w:tc>
          <w:tcPr>
            <w:tcW w:w="763" w:type="dxa"/>
            <w:vAlign w:val="center"/>
          </w:tcPr>
          <w:p w14:paraId="7FECB9FA">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2台</w:t>
            </w:r>
          </w:p>
        </w:tc>
      </w:tr>
      <w:tr w14:paraId="2BC72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jc w:val="center"/>
        </w:trPr>
        <w:tc>
          <w:tcPr>
            <w:tcW w:w="880" w:type="dxa"/>
            <w:vAlign w:val="center"/>
          </w:tcPr>
          <w:p w14:paraId="7A36151A">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21</w:t>
            </w:r>
          </w:p>
        </w:tc>
        <w:tc>
          <w:tcPr>
            <w:tcW w:w="1827" w:type="dxa"/>
            <w:vAlign w:val="center"/>
          </w:tcPr>
          <w:p w14:paraId="4B79DA2C">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缺-厌回流泵</w:t>
            </w:r>
          </w:p>
        </w:tc>
        <w:tc>
          <w:tcPr>
            <w:tcW w:w="4421" w:type="dxa"/>
            <w:vAlign w:val="center"/>
          </w:tcPr>
          <w:p w14:paraId="46F17326">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Q=125m/h,H=4m，N=11.0kw，变频控制， 潜水排污泵，池深 5.3 米</w:t>
            </w:r>
          </w:p>
        </w:tc>
        <w:tc>
          <w:tcPr>
            <w:tcW w:w="1483" w:type="dxa"/>
            <w:vAlign w:val="center"/>
          </w:tcPr>
          <w:p w14:paraId="7EAABBF3">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成品</w:t>
            </w:r>
          </w:p>
        </w:tc>
        <w:tc>
          <w:tcPr>
            <w:tcW w:w="763" w:type="dxa"/>
            <w:vAlign w:val="center"/>
          </w:tcPr>
          <w:p w14:paraId="396D1DEE">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2台</w:t>
            </w:r>
          </w:p>
        </w:tc>
      </w:tr>
      <w:tr w14:paraId="3142A8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jc w:val="center"/>
        </w:trPr>
        <w:tc>
          <w:tcPr>
            <w:tcW w:w="880" w:type="dxa"/>
            <w:vAlign w:val="center"/>
          </w:tcPr>
          <w:p w14:paraId="67BFDC64">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22</w:t>
            </w:r>
          </w:p>
        </w:tc>
        <w:tc>
          <w:tcPr>
            <w:tcW w:w="1827" w:type="dxa"/>
            <w:vAlign w:val="center"/>
          </w:tcPr>
          <w:p w14:paraId="03610642">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好-缺回流泵</w:t>
            </w:r>
          </w:p>
        </w:tc>
        <w:tc>
          <w:tcPr>
            <w:tcW w:w="4421" w:type="dxa"/>
            <w:vAlign w:val="center"/>
          </w:tcPr>
          <w:p w14:paraId="08EDB31D">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Q=200m/h,H=4m，N=11.0kw，变频控制， 潜水排污泵，池深 5.3 米</w:t>
            </w:r>
          </w:p>
        </w:tc>
        <w:tc>
          <w:tcPr>
            <w:tcW w:w="1483" w:type="dxa"/>
            <w:vAlign w:val="center"/>
          </w:tcPr>
          <w:p w14:paraId="7E692F5C">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成品</w:t>
            </w:r>
          </w:p>
        </w:tc>
        <w:tc>
          <w:tcPr>
            <w:tcW w:w="763" w:type="dxa"/>
            <w:vAlign w:val="center"/>
          </w:tcPr>
          <w:p w14:paraId="4B28C9D6">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2台</w:t>
            </w:r>
          </w:p>
        </w:tc>
      </w:tr>
      <w:tr w14:paraId="38454C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jc w:val="center"/>
        </w:trPr>
        <w:tc>
          <w:tcPr>
            <w:tcW w:w="880" w:type="dxa"/>
            <w:vAlign w:val="center"/>
          </w:tcPr>
          <w:p w14:paraId="55EA3652">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23</w:t>
            </w:r>
          </w:p>
        </w:tc>
        <w:tc>
          <w:tcPr>
            <w:tcW w:w="1827" w:type="dxa"/>
            <w:vAlign w:val="center"/>
          </w:tcPr>
          <w:p w14:paraId="305698EC">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膜-好回流泵</w:t>
            </w:r>
          </w:p>
        </w:tc>
        <w:tc>
          <w:tcPr>
            <w:tcW w:w="4421" w:type="dxa"/>
            <w:vAlign w:val="center"/>
          </w:tcPr>
          <w:p w14:paraId="5EE19B99">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Q=250m/h,H=4m，N=15kw，变频控制， 潜水排污泵，池深 5.05 米</w:t>
            </w:r>
          </w:p>
        </w:tc>
        <w:tc>
          <w:tcPr>
            <w:tcW w:w="1483" w:type="dxa"/>
            <w:vAlign w:val="center"/>
          </w:tcPr>
          <w:p w14:paraId="1145DD7F">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成品</w:t>
            </w:r>
          </w:p>
        </w:tc>
        <w:tc>
          <w:tcPr>
            <w:tcW w:w="763" w:type="dxa"/>
            <w:vAlign w:val="center"/>
          </w:tcPr>
          <w:p w14:paraId="4A2A85D2">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2台</w:t>
            </w:r>
          </w:p>
        </w:tc>
      </w:tr>
      <w:tr w14:paraId="441094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vAlign w:val="center"/>
          </w:tcPr>
          <w:p w14:paraId="3C3EF85D">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24</w:t>
            </w:r>
          </w:p>
        </w:tc>
        <w:tc>
          <w:tcPr>
            <w:tcW w:w="1827" w:type="dxa"/>
            <w:vAlign w:val="center"/>
          </w:tcPr>
          <w:p w14:paraId="165F4471">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电磁流量计</w:t>
            </w:r>
          </w:p>
        </w:tc>
        <w:tc>
          <w:tcPr>
            <w:tcW w:w="4421" w:type="dxa"/>
            <w:vAlign w:val="center"/>
          </w:tcPr>
          <w:p w14:paraId="6B0B9EFA">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DN200，PN=1.6Mpa，测量流速范围 34~792m/h，P=20w</w:t>
            </w:r>
          </w:p>
        </w:tc>
        <w:tc>
          <w:tcPr>
            <w:tcW w:w="1483" w:type="dxa"/>
            <w:vAlign w:val="center"/>
          </w:tcPr>
          <w:p w14:paraId="5CA9C43F">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成品</w:t>
            </w:r>
          </w:p>
        </w:tc>
        <w:tc>
          <w:tcPr>
            <w:tcW w:w="763" w:type="dxa"/>
            <w:vAlign w:val="center"/>
          </w:tcPr>
          <w:p w14:paraId="77B7C806">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2台</w:t>
            </w:r>
          </w:p>
        </w:tc>
      </w:tr>
      <w:tr w14:paraId="2ADE83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6B3C97F6">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25</w:t>
            </w:r>
          </w:p>
        </w:tc>
        <w:tc>
          <w:tcPr>
            <w:tcW w:w="1827" w:type="dxa"/>
            <w:shd w:val="clear" w:color="auto" w:fill="auto"/>
            <w:vAlign w:val="center"/>
          </w:tcPr>
          <w:p w14:paraId="3CFF14D6">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电磁流量计</w:t>
            </w:r>
          </w:p>
        </w:tc>
        <w:tc>
          <w:tcPr>
            <w:tcW w:w="4421" w:type="dxa"/>
            <w:shd w:val="clear" w:color="auto" w:fill="auto"/>
            <w:vAlign w:val="center"/>
          </w:tcPr>
          <w:p w14:paraId="488134B2">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DN200，PN=1.6Mpa，测量流速范围 34~792m/h，P=20w</w:t>
            </w:r>
          </w:p>
        </w:tc>
        <w:tc>
          <w:tcPr>
            <w:tcW w:w="1483" w:type="dxa"/>
            <w:shd w:val="clear" w:color="auto" w:fill="auto"/>
            <w:vAlign w:val="center"/>
          </w:tcPr>
          <w:p w14:paraId="5C77594F">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成品</w:t>
            </w:r>
          </w:p>
        </w:tc>
        <w:tc>
          <w:tcPr>
            <w:tcW w:w="763" w:type="dxa"/>
            <w:shd w:val="clear" w:color="auto" w:fill="auto"/>
            <w:vAlign w:val="center"/>
          </w:tcPr>
          <w:p w14:paraId="369ABCA6">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2台</w:t>
            </w:r>
          </w:p>
        </w:tc>
      </w:tr>
      <w:tr w14:paraId="640F9F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0E5E1A95">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26</w:t>
            </w:r>
          </w:p>
        </w:tc>
        <w:tc>
          <w:tcPr>
            <w:tcW w:w="1827" w:type="dxa"/>
            <w:shd w:val="clear" w:color="auto" w:fill="auto"/>
            <w:vAlign w:val="center"/>
          </w:tcPr>
          <w:p w14:paraId="13AECD97">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电磁流量计</w:t>
            </w:r>
          </w:p>
        </w:tc>
        <w:tc>
          <w:tcPr>
            <w:tcW w:w="4421" w:type="dxa"/>
            <w:shd w:val="clear" w:color="auto" w:fill="auto"/>
            <w:vAlign w:val="center"/>
          </w:tcPr>
          <w:p w14:paraId="748E2D84">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DN250，PN=1.6Mpa，测量流速范围 53~1237m/h，P=20w</w:t>
            </w:r>
          </w:p>
        </w:tc>
        <w:tc>
          <w:tcPr>
            <w:tcW w:w="1483" w:type="dxa"/>
            <w:shd w:val="clear" w:color="auto" w:fill="auto"/>
            <w:vAlign w:val="center"/>
          </w:tcPr>
          <w:p w14:paraId="13376A91">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成品</w:t>
            </w:r>
          </w:p>
        </w:tc>
        <w:tc>
          <w:tcPr>
            <w:tcW w:w="763" w:type="dxa"/>
            <w:shd w:val="clear" w:color="auto" w:fill="auto"/>
            <w:vAlign w:val="center"/>
          </w:tcPr>
          <w:p w14:paraId="1BB96783">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2台</w:t>
            </w:r>
          </w:p>
        </w:tc>
      </w:tr>
      <w:tr w14:paraId="18B894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0AF15E2A">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27</w:t>
            </w:r>
          </w:p>
        </w:tc>
        <w:tc>
          <w:tcPr>
            <w:tcW w:w="1827" w:type="dxa"/>
            <w:shd w:val="clear" w:color="auto" w:fill="auto"/>
            <w:vAlign w:val="center"/>
          </w:tcPr>
          <w:p w14:paraId="16CFF24A">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微孔曝气装置</w:t>
            </w:r>
          </w:p>
        </w:tc>
        <w:tc>
          <w:tcPr>
            <w:tcW w:w="4421" w:type="dxa"/>
            <w:shd w:val="clear" w:color="auto" w:fill="auto"/>
            <w:vAlign w:val="center"/>
          </w:tcPr>
          <w:p w14:paraId="717C7FAA">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%%C260，微孔可变曝气盘，气量 2.5m/h,</w:t>
            </w:r>
          </w:p>
          <w:p w14:paraId="7EA4A3CF">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含池底 1m 以上管道</w:t>
            </w:r>
          </w:p>
        </w:tc>
        <w:tc>
          <w:tcPr>
            <w:tcW w:w="1483" w:type="dxa"/>
            <w:shd w:val="clear" w:color="auto" w:fill="auto"/>
            <w:vAlign w:val="center"/>
          </w:tcPr>
          <w:p w14:paraId="07929EB4">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EPDM</w:t>
            </w:r>
          </w:p>
        </w:tc>
        <w:tc>
          <w:tcPr>
            <w:tcW w:w="763" w:type="dxa"/>
            <w:shd w:val="clear" w:color="auto" w:fill="auto"/>
            <w:vAlign w:val="center"/>
          </w:tcPr>
          <w:p w14:paraId="651E46FF">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668套</w:t>
            </w:r>
          </w:p>
        </w:tc>
      </w:tr>
      <w:tr w14:paraId="416969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7BFB380F">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28</w:t>
            </w:r>
          </w:p>
        </w:tc>
        <w:tc>
          <w:tcPr>
            <w:tcW w:w="1827" w:type="dxa"/>
            <w:shd w:val="clear" w:color="auto" w:fill="auto"/>
            <w:vAlign w:val="center"/>
          </w:tcPr>
          <w:p w14:paraId="0FC966D9">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膜组件</w:t>
            </w:r>
          </w:p>
        </w:tc>
        <w:tc>
          <w:tcPr>
            <w:tcW w:w="4421" w:type="dxa"/>
            <w:shd w:val="clear" w:color="auto" w:fill="auto"/>
            <w:vAlign w:val="center"/>
          </w:tcPr>
          <w:p w14:paraId="4801B477">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3 平均产水量 560m/d，RF-Ⅲ , 单个组器 40 片膜</w:t>
            </w:r>
          </w:p>
        </w:tc>
        <w:tc>
          <w:tcPr>
            <w:tcW w:w="1483" w:type="dxa"/>
            <w:shd w:val="clear" w:color="auto" w:fill="auto"/>
            <w:vAlign w:val="center"/>
          </w:tcPr>
          <w:p w14:paraId="33A361BF">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成品</w:t>
            </w:r>
          </w:p>
        </w:tc>
        <w:tc>
          <w:tcPr>
            <w:tcW w:w="763" w:type="dxa"/>
            <w:shd w:val="clear" w:color="auto" w:fill="auto"/>
            <w:vAlign w:val="center"/>
          </w:tcPr>
          <w:p w14:paraId="79E4D600">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6组</w:t>
            </w:r>
          </w:p>
        </w:tc>
      </w:tr>
      <w:tr w14:paraId="1B8F06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0B987655">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29</w:t>
            </w:r>
          </w:p>
        </w:tc>
        <w:tc>
          <w:tcPr>
            <w:tcW w:w="1827" w:type="dxa"/>
            <w:shd w:val="clear" w:color="auto" w:fill="auto"/>
            <w:vAlign w:val="center"/>
          </w:tcPr>
          <w:p w14:paraId="64A79055">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不锈钢软管</w:t>
            </w:r>
          </w:p>
        </w:tc>
        <w:tc>
          <w:tcPr>
            <w:tcW w:w="4421" w:type="dxa"/>
            <w:shd w:val="clear" w:color="auto" w:fill="auto"/>
            <w:vAlign w:val="center"/>
          </w:tcPr>
          <w:p w14:paraId="2B8A018D">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DN125，2.5m/根，SS304，含 1 个法兰、1 个快速接头</w:t>
            </w:r>
          </w:p>
        </w:tc>
        <w:tc>
          <w:tcPr>
            <w:tcW w:w="1483" w:type="dxa"/>
            <w:shd w:val="clear" w:color="auto" w:fill="auto"/>
            <w:vAlign w:val="center"/>
          </w:tcPr>
          <w:p w14:paraId="4F524674">
            <w:pPr>
              <w:autoSpaceDE w:val="0"/>
              <w:autoSpaceDN w:val="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eastAsia="zh-CN"/>
              </w:rPr>
              <w:t>不锈钢304</w:t>
            </w:r>
          </w:p>
        </w:tc>
        <w:tc>
          <w:tcPr>
            <w:tcW w:w="763" w:type="dxa"/>
            <w:shd w:val="clear" w:color="auto" w:fill="auto"/>
            <w:vAlign w:val="center"/>
          </w:tcPr>
          <w:p w14:paraId="2414EDC3">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6根</w:t>
            </w:r>
          </w:p>
        </w:tc>
      </w:tr>
      <w:tr w14:paraId="7F9294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674E064B">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30</w:t>
            </w:r>
          </w:p>
        </w:tc>
        <w:tc>
          <w:tcPr>
            <w:tcW w:w="1827" w:type="dxa"/>
            <w:shd w:val="clear" w:color="auto" w:fill="auto"/>
            <w:vAlign w:val="center"/>
          </w:tcPr>
          <w:p w14:paraId="00AB1105">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不锈钢软管</w:t>
            </w:r>
          </w:p>
        </w:tc>
        <w:tc>
          <w:tcPr>
            <w:tcW w:w="4421" w:type="dxa"/>
            <w:shd w:val="clear" w:color="auto" w:fill="auto"/>
            <w:vAlign w:val="center"/>
          </w:tcPr>
          <w:p w14:paraId="78257843">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DN80，2.5m/根，SS304，含 1 个法兰、1 个快速接头</w:t>
            </w:r>
          </w:p>
        </w:tc>
        <w:tc>
          <w:tcPr>
            <w:tcW w:w="1483" w:type="dxa"/>
            <w:shd w:val="clear" w:color="auto" w:fill="auto"/>
            <w:vAlign w:val="center"/>
          </w:tcPr>
          <w:p w14:paraId="4A63B87F">
            <w:pPr>
              <w:autoSpaceDE w:val="0"/>
              <w:autoSpaceDN w:val="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eastAsia="zh-CN"/>
              </w:rPr>
              <w:t>不锈钢304</w:t>
            </w:r>
          </w:p>
        </w:tc>
        <w:tc>
          <w:tcPr>
            <w:tcW w:w="763" w:type="dxa"/>
            <w:shd w:val="clear" w:color="auto" w:fill="auto"/>
            <w:vAlign w:val="center"/>
          </w:tcPr>
          <w:p w14:paraId="6609574C">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16根</w:t>
            </w:r>
          </w:p>
        </w:tc>
      </w:tr>
      <w:tr w14:paraId="6E1027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00CDE789">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31</w:t>
            </w:r>
          </w:p>
        </w:tc>
        <w:tc>
          <w:tcPr>
            <w:tcW w:w="1827" w:type="dxa"/>
            <w:shd w:val="clear" w:color="auto" w:fill="auto"/>
            <w:vAlign w:val="center"/>
          </w:tcPr>
          <w:p w14:paraId="1109BCFE">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电动葫芦</w:t>
            </w:r>
          </w:p>
        </w:tc>
        <w:tc>
          <w:tcPr>
            <w:tcW w:w="4421" w:type="dxa"/>
            <w:shd w:val="clear" w:color="auto" w:fill="auto"/>
            <w:vAlign w:val="center"/>
          </w:tcPr>
          <w:p w14:paraId="674CCE9F">
            <w:pPr>
              <w:autoSpaceDE w:val="0"/>
              <w:autoSpaceDN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T=2t，H=8m，起吊功率 N=3kw，行车功率 0.4kw，</w:t>
            </w:r>
          </w:p>
          <w:p w14:paraId="41CDB3E9">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导轨长度 21.25m</w:t>
            </w:r>
          </w:p>
        </w:tc>
        <w:tc>
          <w:tcPr>
            <w:tcW w:w="1483" w:type="dxa"/>
            <w:shd w:val="clear" w:color="auto" w:fill="auto"/>
            <w:vAlign w:val="center"/>
          </w:tcPr>
          <w:p w14:paraId="1CDFDFD0">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成品</w:t>
            </w:r>
          </w:p>
        </w:tc>
        <w:tc>
          <w:tcPr>
            <w:tcW w:w="763" w:type="dxa"/>
            <w:shd w:val="clear" w:color="auto" w:fill="auto"/>
            <w:vAlign w:val="center"/>
          </w:tcPr>
          <w:p w14:paraId="3E7193C5">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1台</w:t>
            </w:r>
          </w:p>
        </w:tc>
      </w:tr>
      <w:tr w14:paraId="073B5E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73F263B5">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32</w:t>
            </w:r>
          </w:p>
        </w:tc>
        <w:tc>
          <w:tcPr>
            <w:tcW w:w="1827" w:type="dxa"/>
            <w:shd w:val="clear" w:color="auto" w:fill="auto"/>
            <w:vAlign w:val="center"/>
          </w:tcPr>
          <w:p w14:paraId="245D4CA0">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铸铁镶铜闸门</w:t>
            </w:r>
          </w:p>
        </w:tc>
        <w:tc>
          <w:tcPr>
            <w:tcW w:w="4421" w:type="dxa"/>
            <w:shd w:val="clear" w:color="auto" w:fill="auto"/>
            <w:vAlign w:val="center"/>
          </w:tcPr>
          <w:p w14:paraId="56CBFADD">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400X400，P=0.75kw，配手电两用启闭机 1 套</w:t>
            </w:r>
          </w:p>
        </w:tc>
        <w:tc>
          <w:tcPr>
            <w:tcW w:w="1483" w:type="dxa"/>
            <w:shd w:val="clear" w:color="auto" w:fill="auto"/>
            <w:vAlign w:val="center"/>
          </w:tcPr>
          <w:p w14:paraId="05ECD7D8">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铸铁镶铜</w:t>
            </w:r>
          </w:p>
        </w:tc>
        <w:tc>
          <w:tcPr>
            <w:tcW w:w="763" w:type="dxa"/>
            <w:shd w:val="clear" w:color="auto" w:fill="auto"/>
            <w:vAlign w:val="center"/>
          </w:tcPr>
          <w:p w14:paraId="5B405E8F">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1套</w:t>
            </w:r>
          </w:p>
        </w:tc>
      </w:tr>
      <w:tr w14:paraId="4520F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5CF64C8C">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三</w:t>
            </w:r>
          </w:p>
        </w:tc>
        <w:tc>
          <w:tcPr>
            <w:tcW w:w="1827" w:type="dxa"/>
            <w:shd w:val="clear" w:color="auto" w:fill="auto"/>
            <w:vAlign w:val="center"/>
          </w:tcPr>
          <w:p w14:paraId="7942D312">
            <w:pPr>
              <w:autoSpaceDE w:val="0"/>
              <w:autoSpaceDN w:val="0"/>
              <w:jc w:val="center"/>
              <w:rPr>
                <w:rFonts w:hint="default" w:ascii="Times New Roman" w:hAnsi="Times New Roman" w:eastAsia="宋体" w:cs="Times New Roman"/>
                <w:color w:val="auto"/>
                <w:sz w:val="21"/>
                <w:szCs w:val="21"/>
                <w:lang w:val="en-US" w:eastAsia="zh-CN"/>
              </w:rPr>
            </w:pPr>
          </w:p>
        </w:tc>
        <w:tc>
          <w:tcPr>
            <w:tcW w:w="4421" w:type="dxa"/>
            <w:shd w:val="clear" w:color="auto" w:fill="auto"/>
            <w:vAlign w:val="center"/>
          </w:tcPr>
          <w:p w14:paraId="030BEFB7">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设备间</w:t>
            </w:r>
          </w:p>
        </w:tc>
        <w:tc>
          <w:tcPr>
            <w:tcW w:w="1483" w:type="dxa"/>
            <w:shd w:val="clear" w:color="auto" w:fill="auto"/>
            <w:vAlign w:val="center"/>
          </w:tcPr>
          <w:p w14:paraId="46C778D3">
            <w:pPr>
              <w:autoSpaceDE w:val="0"/>
              <w:autoSpaceDN w:val="0"/>
              <w:jc w:val="center"/>
              <w:rPr>
                <w:rFonts w:hint="default" w:ascii="Times New Roman" w:hAnsi="Times New Roman" w:eastAsia="宋体" w:cs="Times New Roman"/>
                <w:color w:val="auto"/>
                <w:sz w:val="21"/>
                <w:szCs w:val="21"/>
                <w:lang w:val="en-US" w:eastAsia="zh-CN"/>
              </w:rPr>
            </w:pPr>
          </w:p>
        </w:tc>
        <w:tc>
          <w:tcPr>
            <w:tcW w:w="763" w:type="dxa"/>
            <w:shd w:val="clear" w:color="auto" w:fill="auto"/>
            <w:vAlign w:val="center"/>
          </w:tcPr>
          <w:p w14:paraId="5B2402CB">
            <w:pPr>
              <w:autoSpaceDE w:val="0"/>
              <w:autoSpaceDN w:val="0"/>
              <w:jc w:val="center"/>
              <w:rPr>
                <w:rFonts w:hint="default" w:ascii="Times New Roman" w:hAnsi="Times New Roman" w:eastAsia="宋体" w:cs="Times New Roman"/>
                <w:color w:val="auto"/>
                <w:sz w:val="21"/>
                <w:szCs w:val="21"/>
                <w:lang w:val="en-US" w:eastAsia="zh-CN"/>
              </w:rPr>
            </w:pPr>
          </w:p>
        </w:tc>
      </w:tr>
      <w:tr w14:paraId="5232DB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6CB2E7A5">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33</w:t>
            </w:r>
          </w:p>
        </w:tc>
        <w:tc>
          <w:tcPr>
            <w:tcW w:w="1827" w:type="dxa"/>
            <w:shd w:val="clear" w:color="auto" w:fill="auto"/>
            <w:vAlign w:val="center"/>
          </w:tcPr>
          <w:p w14:paraId="437AAA34">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产水泵</w:t>
            </w:r>
          </w:p>
        </w:tc>
        <w:tc>
          <w:tcPr>
            <w:tcW w:w="4421" w:type="dxa"/>
            <w:shd w:val="clear" w:color="auto" w:fill="auto"/>
            <w:vAlign w:val="center"/>
          </w:tcPr>
          <w:p w14:paraId="4A7AC5B9">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Q=85m/h，H=10m,吸程 6m,N=5.5kw，变频控制</w:t>
            </w:r>
          </w:p>
        </w:tc>
        <w:tc>
          <w:tcPr>
            <w:tcW w:w="1483" w:type="dxa"/>
            <w:shd w:val="clear" w:color="auto" w:fill="auto"/>
            <w:vAlign w:val="center"/>
          </w:tcPr>
          <w:p w14:paraId="6E256648">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成品</w:t>
            </w:r>
          </w:p>
        </w:tc>
        <w:tc>
          <w:tcPr>
            <w:tcW w:w="763" w:type="dxa"/>
            <w:shd w:val="clear" w:color="auto" w:fill="auto"/>
            <w:vAlign w:val="center"/>
          </w:tcPr>
          <w:p w14:paraId="505910DE">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4台</w:t>
            </w:r>
          </w:p>
        </w:tc>
      </w:tr>
      <w:tr w14:paraId="1625A4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5B1FD912">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34</w:t>
            </w:r>
          </w:p>
        </w:tc>
        <w:tc>
          <w:tcPr>
            <w:tcW w:w="1827" w:type="dxa"/>
            <w:shd w:val="clear" w:color="auto" w:fill="auto"/>
            <w:vAlign w:val="center"/>
          </w:tcPr>
          <w:p w14:paraId="24DD4B55">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CIP 泵</w:t>
            </w:r>
          </w:p>
        </w:tc>
        <w:tc>
          <w:tcPr>
            <w:tcW w:w="4421" w:type="dxa"/>
            <w:shd w:val="clear" w:color="auto" w:fill="auto"/>
            <w:vAlign w:val="center"/>
          </w:tcPr>
          <w:p w14:paraId="2ECFF169">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Q=40m/h，H=12m，N=5.5kw，变频控制</w:t>
            </w:r>
          </w:p>
        </w:tc>
        <w:tc>
          <w:tcPr>
            <w:tcW w:w="1483" w:type="dxa"/>
            <w:shd w:val="clear" w:color="auto" w:fill="auto"/>
            <w:vAlign w:val="center"/>
          </w:tcPr>
          <w:p w14:paraId="58E9C943">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成品</w:t>
            </w:r>
          </w:p>
        </w:tc>
        <w:tc>
          <w:tcPr>
            <w:tcW w:w="763" w:type="dxa"/>
            <w:shd w:val="clear" w:color="auto" w:fill="auto"/>
            <w:vAlign w:val="center"/>
          </w:tcPr>
          <w:p w14:paraId="2EB91308">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2台</w:t>
            </w:r>
          </w:p>
        </w:tc>
      </w:tr>
      <w:tr w14:paraId="1E4848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4E9F609F">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35</w:t>
            </w:r>
          </w:p>
        </w:tc>
        <w:tc>
          <w:tcPr>
            <w:tcW w:w="1827" w:type="dxa"/>
            <w:shd w:val="clear" w:color="auto" w:fill="auto"/>
            <w:vAlign w:val="center"/>
          </w:tcPr>
          <w:p w14:paraId="50135581">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膜格栅冲洗水泵</w:t>
            </w:r>
          </w:p>
        </w:tc>
        <w:tc>
          <w:tcPr>
            <w:tcW w:w="4421" w:type="dxa"/>
            <w:shd w:val="clear" w:color="auto" w:fill="auto"/>
            <w:vAlign w:val="center"/>
          </w:tcPr>
          <w:p w14:paraId="17EE94A6">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Q=20m/h，H=100m，N=18.5kw</w:t>
            </w:r>
          </w:p>
        </w:tc>
        <w:tc>
          <w:tcPr>
            <w:tcW w:w="1483" w:type="dxa"/>
            <w:shd w:val="clear" w:color="auto" w:fill="auto"/>
            <w:vAlign w:val="center"/>
          </w:tcPr>
          <w:p w14:paraId="1F835EA4">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成品</w:t>
            </w:r>
          </w:p>
        </w:tc>
        <w:tc>
          <w:tcPr>
            <w:tcW w:w="763" w:type="dxa"/>
            <w:shd w:val="clear" w:color="auto" w:fill="auto"/>
            <w:vAlign w:val="center"/>
          </w:tcPr>
          <w:p w14:paraId="1976AD00">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2台</w:t>
            </w:r>
          </w:p>
        </w:tc>
      </w:tr>
      <w:tr w14:paraId="43E76D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008D2BDA">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36</w:t>
            </w:r>
          </w:p>
        </w:tc>
        <w:tc>
          <w:tcPr>
            <w:tcW w:w="1827" w:type="dxa"/>
            <w:shd w:val="clear" w:color="auto" w:fill="auto"/>
            <w:vAlign w:val="center"/>
          </w:tcPr>
          <w:p w14:paraId="0A0831EF">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设备间排水泵</w:t>
            </w:r>
          </w:p>
        </w:tc>
        <w:tc>
          <w:tcPr>
            <w:tcW w:w="4421" w:type="dxa"/>
            <w:shd w:val="clear" w:color="auto" w:fill="auto"/>
            <w:vAlign w:val="center"/>
          </w:tcPr>
          <w:p w14:paraId="2033B092">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Q=7m/h,H=10m，N=0.75kw；</w:t>
            </w:r>
          </w:p>
        </w:tc>
        <w:tc>
          <w:tcPr>
            <w:tcW w:w="1483" w:type="dxa"/>
            <w:shd w:val="clear" w:color="auto" w:fill="auto"/>
            <w:vAlign w:val="center"/>
          </w:tcPr>
          <w:p w14:paraId="3ED2612B">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成品</w:t>
            </w:r>
          </w:p>
        </w:tc>
        <w:tc>
          <w:tcPr>
            <w:tcW w:w="763" w:type="dxa"/>
            <w:shd w:val="clear" w:color="auto" w:fill="auto"/>
            <w:vAlign w:val="center"/>
          </w:tcPr>
          <w:p w14:paraId="17D205FE">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1台</w:t>
            </w:r>
          </w:p>
        </w:tc>
      </w:tr>
      <w:tr w14:paraId="249F8A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8" w:hRule="atLeast"/>
          <w:jc w:val="center"/>
        </w:trPr>
        <w:tc>
          <w:tcPr>
            <w:tcW w:w="880" w:type="dxa"/>
            <w:shd w:val="clear" w:color="auto" w:fill="auto"/>
            <w:vAlign w:val="center"/>
          </w:tcPr>
          <w:p w14:paraId="1132B6E7">
            <w:pPr>
              <w:autoSpaceDE w:val="0"/>
              <w:autoSpaceDN w:val="0"/>
              <w:jc w:val="center"/>
              <w:rPr>
                <w:rFonts w:hint="default" w:ascii="Times New Roman" w:hAnsi="Times New Roman" w:eastAsia="宋体" w:cs="Times New Roman"/>
                <w:color w:val="auto"/>
                <w:sz w:val="21"/>
                <w:szCs w:val="21"/>
              </w:rPr>
            </w:pPr>
          </w:p>
          <w:p w14:paraId="59CA3E0C">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37</w:t>
            </w:r>
          </w:p>
        </w:tc>
        <w:tc>
          <w:tcPr>
            <w:tcW w:w="1827" w:type="dxa"/>
            <w:shd w:val="clear" w:color="auto" w:fill="auto"/>
            <w:vAlign w:val="center"/>
          </w:tcPr>
          <w:p w14:paraId="3516FD24">
            <w:pPr>
              <w:autoSpaceDE w:val="0"/>
              <w:autoSpaceDN w:val="0"/>
              <w:jc w:val="center"/>
              <w:rPr>
                <w:rFonts w:hint="default" w:ascii="Times New Roman" w:hAnsi="Times New Roman" w:eastAsia="宋体" w:cs="Times New Roman"/>
                <w:color w:val="auto"/>
                <w:sz w:val="21"/>
                <w:szCs w:val="21"/>
              </w:rPr>
            </w:pPr>
          </w:p>
          <w:p w14:paraId="28F0FFB7">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吹扫用罗茨鼓风机</w:t>
            </w:r>
          </w:p>
        </w:tc>
        <w:tc>
          <w:tcPr>
            <w:tcW w:w="4421" w:type="dxa"/>
            <w:shd w:val="clear" w:color="auto" w:fill="auto"/>
            <w:vAlign w:val="center"/>
          </w:tcPr>
          <w:p w14:paraId="7076A887">
            <w:pPr>
              <w:autoSpaceDE w:val="0"/>
              <w:autoSpaceDN w:val="0"/>
              <w:jc w:val="center"/>
              <w:rPr>
                <w:rFonts w:hint="default" w:ascii="Times New Roman" w:hAnsi="Times New Roman" w:eastAsia="宋体" w:cs="Times New Roman"/>
                <w:color w:val="auto"/>
                <w:sz w:val="21"/>
                <w:szCs w:val="21"/>
              </w:rPr>
            </w:pPr>
          </w:p>
          <w:p w14:paraId="149E6299">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35m/min,\U+0394P=44.1kPa,N=55kw，变频控制</w:t>
            </w:r>
          </w:p>
        </w:tc>
        <w:tc>
          <w:tcPr>
            <w:tcW w:w="1483" w:type="dxa"/>
            <w:shd w:val="clear" w:color="auto" w:fill="auto"/>
            <w:vAlign w:val="center"/>
          </w:tcPr>
          <w:p w14:paraId="756DCF71">
            <w:pPr>
              <w:autoSpaceDE w:val="0"/>
              <w:autoSpaceDN w:val="0"/>
              <w:jc w:val="center"/>
              <w:rPr>
                <w:rFonts w:hint="default" w:ascii="Times New Roman" w:hAnsi="Times New Roman" w:eastAsia="宋体" w:cs="Times New Roman"/>
                <w:color w:val="auto"/>
                <w:sz w:val="21"/>
                <w:szCs w:val="21"/>
              </w:rPr>
            </w:pPr>
          </w:p>
          <w:p w14:paraId="6271483E">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成品</w:t>
            </w:r>
          </w:p>
        </w:tc>
        <w:tc>
          <w:tcPr>
            <w:tcW w:w="763" w:type="dxa"/>
            <w:shd w:val="clear" w:color="auto" w:fill="auto"/>
            <w:vAlign w:val="center"/>
          </w:tcPr>
          <w:p w14:paraId="0EC9CF5D">
            <w:pPr>
              <w:autoSpaceDE w:val="0"/>
              <w:autoSpaceDN w:val="0"/>
              <w:jc w:val="center"/>
              <w:rPr>
                <w:rFonts w:hint="default" w:ascii="Times New Roman" w:hAnsi="Times New Roman" w:eastAsia="宋体" w:cs="Times New Roman"/>
                <w:color w:val="auto"/>
                <w:sz w:val="21"/>
                <w:szCs w:val="21"/>
              </w:rPr>
            </w:pPr>
          </w:p>
          <w:p w14:paraId="7C224517">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2台</w:t>
            </w:r>
          </w:p>
        </w:tc>
      </w:tr>
      <w:tr w14:paraId="1665B7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014FC933">
            <w:pPr>
              <w:autoSpaceDE w:val="0"/>
              <w:autoSpaceDN w:val="0"/>
              <w:jc w:val="center"/>
              <w:rPr>
                <w:rFonts w:hint="default" w:ascii="Times New Roman" w:hAnsi="Times New Roman" w:eastAsia="宋体" w:cs="Times New Roman"/>
                <w:color w:val="auto"/>
                <w:sz w:val="21"/>
                <w:szCs w:val="21"/>
              </w:rPr>
            </w:pPr>
          </w:p>
          <w:p w14:paraId="13AFF98E">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38</w:t>
            </w:r>
          </w:p>
        </w:tc>
        <w:tc>
          <w:tcPr>
            <w:tcW w:w="1827" w:type="dxa"/>
            <w:shd w:val="clear" w:color="auto" w:fill="auto"/>
            <w:vAlign w:val="center"/>
          </w:tcPr>
          <w:p w14:paraId="4A432D07">
            <w:pPr>
              <w:autoSpaceDE w:val="0"/>
              <w:autoSpaceDN w:val="0"/>
              <w:jc w:val="center"/>
              <w:rPr>
                <w:rFonts w:hint="default" w:ascii="Times New Roman" w:hAnsi="Times New Roman" w:eastAsia="宋体" w:cs="Times New Roman"/>
                <w:color w:val="auto"/>
                <w:sz w:val="21"/>
                <w:szCs w:val="21"/>
              </w:rPr>
            </w:pPr>
          </w:p>
          <w:p w14:paraId="0803DEB3">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曝气用罗茨鼓风机</w:t>
            </w:r>
          </w:p>
        </w:tc>
        <w:tc>
          <w:tcPr>
            <w:tcW w:w="4421" w:type="dxa"/>
            <w:shd w:val="clear" w:color="auto" w:fill="auto"/>
            <w:vAlign w:val="center"/>
          </w:tcPr>
          <w:p w14:paraId="1ABD0703">
            <w:pPr>
              <w:autoSpaceDE w:val="0"/>
              <w:autoSpaceDN w:val="0"/>
              <w:jc w:val="center"/>
              <w:rPr>
                <w:rFonts w:hint="default" w:ascii="Times New Roman" w:hAnsi="Times New Roman" w:eastAsia="宋体" w:cs="Times New Roman"/>
                <w:color w:val="auto"/>
                <w:sz w:val="21"/>
                <w:szCs w:val="21"/>
              </w:rPr>
            </w:pPr>
          </w:p>
          <w:p w14:paraId="49D3E590">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20m/min,\U+0394P=53.9kPa,N=30.0kw，变频控制</w:t>
            </w:r>
          </w:p>
        </w:tc>
        <w:tc>
          <w:tcPr>
            <w:tcW w:w="1483" w:type="dxa"/>
            <w:shd w:val="clear" w:color="auto" w:fill="auto"/>
            <w:vAlign w:val="center"/>
          </w:tcPr>
          <w:p w14:paraId="1F6937CE">
            <w:pPr>
              <w:autoSpaceDE w:val="0"/>
              <w:autoSpaceDN w:val="0"/>
              <w:jc w:val="center"/>
              <w:rPr>
                <w:rFonts w:hint="default" w:ascii="Times New Roman" w:hAnsi="Times New Roman" w:eastAsia="宋体" w:cs="Times New Roman"/>
                <w:color w:val="auto"/>
                <w:sz w:val="21"/>
                <w:szCs w:val="21"/>
              </w:rPr>
            </w:pPr>
          </w:p>
          <w:p w14:paraId="6C8F6EF6">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成品</w:t>
            </w:r>
          </w:p>
        </w:tc>
        <w:tc>
          <w:tcPr>
            <w:tcW w:w="763" w:type="dxa"/>
            <w:shd w:val="clear" w:color="auto" w:fill="auto"/>
            <w:vAlign w:val="center"/>
          </w:tcPr>
          <w:p w14:paraId="0164A246">
            <w:pPr>
              <w:autoSpaceDE w:val="0"/>
              <w:autoSpaceDN w:val="0"/>
              <w:jc w:val="center"/>
              <w:rPr>
                <w:rFonts w:hint="default" w:ascii="Times New Roman" w:hAnsi="Times New Roman" w:eastAsia="宋体" w:cs="Times New Roman"/>
                <w:color w:val="auto"/>
                <w:sz w:val="21"/>
                <w:szCs w:val="21"/>
              </w:rPr>
            </w:pPr>
          </w:p>
          <w:p w14:paraId="00A9C01A">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2台</w:t>
            </w:r>
          </w:p>
        </w:tc>
      </w:tr>
      <w:tr w14:paraId="436F81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3445E2D6">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39</w:t>
            </w:r>
          </w:p>
        </w:tc>
        <w:tc>
          <w:tcPr>
            <w:tcW w:w="1827" w:type="dxa"/>
            <w:shd w:val="clear" w:color="auto" w:fill="auto"/>
            <w:vAlign w:val="center"/>
          </w:tcPr>
          <w:p w14:paraId="607E2462">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电动蝶阀</w:t>
            </w:r>
          </w:p>
        </w:tc>
        <w:tc>
          <w:tcPr>
            <w:tcW w:w="4421" w:type="dxa"/>
            <w:shd w:val="clear" w:color="auto" w:fill="auto"/>
            <w:vAlign w:val="center"/>
          </w:tcPr>
          <w:p w14:paraId="717E81F2">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DN150，PN=1.0Mpa，P=0.09kw</w:t>
            </w:r>
          </w:p>
        </w:tc>
        <w:tc>
          <w:tcPr>
            <w:tcW w:w="1483" w:type="dxa"/>
            <w:shd w:val="clear" w:color="auto" w:fill="auto"/>
            <w:vAlign w:val="center"/>
          </w:tcPr>
          <w:p w14:paraId="55E5DE92">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球墨铸铁</w:t>
            </w:r>
          </w:p>
        </w:tc>
        <w:tc>
          <w:tcPr>
            <w:tcW w:w="763" w:type="dxa"/>
            <w:shd w:val="clear" w:color="auto" w:fill="auto"/>
            <w:vAlign w:val="center"/>
          </w:tcPr>
          <w:p w14:paraId="21971F1B">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4台</w:t>
            </w:r>
          </w:p>
        </w:tc>
      </w:tr>
      <w:tr w14:paraId="0361AD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1C06BDC0">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40</w:t>
            </w:r>
          </w:p>
        </w:tc>
        <w:tc>
          <w:tcPr>
            <w:tcW w:w="1827" w:type="dxa"/>
            <w:shd w:val="clear" w:color="auto" w:fill="auto"/>
            <w:vAlign w:val="center"/>
          </w:tcPr>
          <w:p w14:paraId="5C51179B">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电动蝶阀</w:t>
            </w:r>
          </w:p>
        </w:tc>
        <w:tc>
          <w:tcPr>
            <w:tcW w:w="4421" w:type="dxa"/>
            <w:shd w:val="clear" w:color="auto" w:fill="auto"/>
            <w:vAlign w:val="center"/>
          </w:tcPr>
          <w:p w14:paraId="3117AE38">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DN80，PN=1.0Mpa，P=0.03kw</w:t>
            </w:r>
          </w:p>
        </w:tc>
        <w:tc>
          <w:tcPr>
            <w:tcW w:w="1483" w:type="dxa"/>
            <w:shd w:val="clear" w:color="auto" w:fill="auto"/>
            <w:vAlign w:val="center"/>
          </w:tcPr>
          <w:p w14:paraId="0BA0229F">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球墨铸铁</w:t>
            </w:r>
          </w:p>
        </w:tc>
        <w:tc>
          <w:tcPr>
            <w:tcW w:w="763" w:type="dxa"/>
            <w:shd w:val="clear" w:color="auto" w:fill="auto"/>
            <w:vAlign w:val="center"/>
          </w:tcPr>
          <w:p w14:paraId="0CA31059">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2台</w:t>
            </w:r>
          </w:p>
        </w:tc>
      </w:tr>
      <w:tr w14:paraId="3B3EB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77A52C85">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41</w:t>
            </w:r>
          </w:p>
        </w:tc>
        <w:tc>
          <w:tcPr>
            <w:tcW w:w="1827" w:type="dxa"/>
            <w:shd w:val="clear" w:color="auto" w:fill="auto"/>
            <w:vAlign w:val="center"/>
          </w:tcPr>
          <w:p w14:paraId="5E30D36B">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电磁流量计</w:t>
            </w:r>
          </w:p>
        </w:tc>
        <w:tc>
          <w:tcPr>
            <w:tcW w:w="4421" w:type="dxa"/>
            <w:shd w:val="clear" w:color="auto" w:fill="auto"/>
            <w:vAlign w:val="center"/>
          </w:tcPr>
          <w:p w14:paraId="2077A6E8">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DN150，PN=1.6Mpa，测量流速范围 19~446m/h，P=20w</w:t>
            </w:r>
          </w:p>
        </w:tc>
        <w:tc>
          <w:tcPr>
            <w:tcW w:w="1483" w:type="dxa"/>
            <w:shd w:val="clear" w:color="auto" w:fill="auto"/>
            <w:vAlign w:val="center"/>
          </w:tcPr>
          <w:p w14:paraId="002EAA85">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成品</w:t>
            </w:r>
          </w:p>
        </w:tc>
        <w:tc>
          <w:tcPr>
            <w:tcW w:w="763" w:type="dxa"/>
            <w:shd w:val="clear" w:color="auto" w:fill="auto"/>
            <w:vAlign w:val="center"/>
          </w:tcPr>
          <w:p w14:paraId="43B7C75D">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1台</w:t>
            </w:r>
          </w:p>
        </w:tc>
      </w:tr>
      <w:tr w14:paraId="00D73F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44F787C1">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42</w:t>
            </w:r>
          </w:p>
        </w:tc>
        <w:tc>
          <w:tcPr>
            <w:tcW w:w="1827" w:type="dxa"/>
            <w:shd w:val="clear" w:color="auto" w:fill="auto"/>
            <w:vAlign w:val="center"/>
          </w:tcPr>
          <w:p w14:paraId="3C70CF99">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电磁流量计</w:t>
            </w:r>
          </w:p>
        </w:tc>
        <w:tc>
          <w:tcPr>
            <w:tcW w:w="4421" w:type="dxa"/>
            <w:shd w:val="clear" w:color="auto" w:fill="auto"/>
            <w:vAlign w:val="center"/>
          </w:tcPr>
          <w:p w14:paraId="6EEEEB2D">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DN150，PN=1.6Mpa，测量流速范围 19~446m/h，P=20w</w:t>
            </w:r>
          </w:p>
        </w:tc>
        <w:tc>
          <w:tcPr>
            <w:tcW w:w="1483" w:type="dxa"/>
            <w:shd w:val="clear" w:color="auto" w:fill="auto"/>
            <w:vAlign w:val="center"/>
          </w:tcPr>
          <w:p w14:paraId="04592F97">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成品</w:t>
            </w:r>
          </w:p>
        </w:tc>
        <w:tc>
          <w:tcPr>
            <w:tcW w:w="763" w:type="dxa"/>
            <w:shd w:val="clear" w:color="auto" w:fill="auto"/>
            <w:vAlign w:val="center"/>
          </w:tcPr>
          <w:p w14:paraId="615898E6">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1台</w:t>
            </w:r>
          </w:p>
        </w:tc>
      </w:tr>
      <w:tr w14:paraId="15F615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1B0AFC06">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43</w:t>
            </w:r>
          </w:p>
        </w:tc>
        <w:tc>
          <w:tcPr>
            <w:tcW w:w="1827" w:type="dxa"/>
            <w:shd w:val="clear" w:color="auto" w:fill="auto"/>
            <w:vAlign w:val="center"/>
          </w:tcPr>
          <w:p w14:paraId="1799E17D">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电磁流量计</w:t>
            </w:r>
          </w:p>
        </w:tc>
        <w:tc>
          <w:tcPr>
            <w:tcW w:w="4421" w:type="dxa"/>
            <w:shd w:val="clear" w:color="auto" w:fill="auto"/>
            <w:vAlign w:val="center"/>
          </w:tcPr>
          <w:p w14:paraId="2526A95B">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DN80，PN=1.6Mpa，测量流速范围 6~127m/h，P=20w</w:t>
            </w:r>
          </w:p>
        </w:tc>
        <w:tc>
          <w:tcPr>
            <w:tcW w:w="1483" w:type="dxa"/>
            <w:shd w:val="clear" w:color="auto" w:fill="auto"/>
            <w:vAlign w:val="center"/>
          </w:tcPr>
          <w:p w14:paraId="31F64C95">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成品</w:t>
            </w:r>
          </w:p>
        </w:tc>
        <w:tc>
          <w:tcPr>
            <w:tcW w:w="763" w:type="dxa"/>
            <w:shd w:val="clear" w:color="auto" w:fill="auto"/>
            <w:vAlign w:val="center"/>
          </w:tcPr>
          <w:p w14:paraId="12126F12">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1台</w:t>
            </w:r>
          </w:p>
        </w:tc>
      </w:tr>
      <w:tr w14:paraId="3477CF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247759A3">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44</w:t>
            </w:r>
          </w:p>
        </w:tc>
        <w:tc>
          <w:tcPr>
            <w:tcW w:w="1827" w:type="dxa"/>
            <w:shd w:val="clear" w:color="auto" w:fill="auto"/>
            <w:vAlign w:val="center"/>
          </w:tcPr>
          <w:p w14:paraId="7D780E4A">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气体流量计</w:t>
            </w:r>
          </w:p>
        </w:tc>
        <w:tc>
          <w:tcPr>
            <w:tcW w:w="4421" w:type="dxa"/>
            <w:shd w:val="clear" w:color="auto" w:fill="auto"/>
            <w:vAlign w:val="center"/>
          </w:tcPr>
          <w:p w14:paraId="42128484">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DN225，测量流量范围 150~2250m/h，P=1.0w</w:t>
            </w:r>
          </w:p>
        </w:tc>
        <w:tc>
          <w:tcPr>
            <w:tcW w:w="1483" w:type="dxa"/>
            <w:shd w:val="clear" w:color="auto" w:fill="auto"/>
            <w:vAlign w:val="center"/>
          </w:tcPr>
          <w:p w14:paraId="2275AD33">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成品</w:t>
            </w:r>
          </w:p>
        </w:tc>
        <w:tc>
          <w:tcPr>
            <w:tcW w:w="763" w:type="dxa"/>
            <w:shd w:val="clear" w:color="auto" w:fill="auto"/>
            <w:vAlign w:val="center"/>
          </w:tcPr>
          <w:p w14:paraId="3C6FCE61">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1台</w:t>
            </w:r>
          </w:p>
        </w:tc>
      </w:tr>
      <w:tr w14:paraId="59471C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7BB0B748">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45</w:t>
            </w:r>
          </w:p>
        </w:tc>
        <w:tc>
          <w:tcPr>
            <w:tcW w:w="1827" w:type="dxa"/>
            <w:shd w:val="clear" w:color="auto" w:fill="auto"/>
            <w:vAlign w:val="center"/>
          </w:tcPr>
          <w:p w14:paraId="25015620">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气体流量计</w:t>
            </w:r>
          </w:p>
        </w:tc>
        <w:tc>
          <w:tcPr>
            <w:tcW w:w="4421" w:type="dxa"/>
            <w:shd w:val="clear" w:color="auto" w:fill="auto"/>
            <w:vAlign w:val="center"/>
          </w:tcPr>
          <w:p w14:paraId="3022D93F">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DN150，测量流量范围 125~1875m/h，P=1.0w</w:t>
            </w:r>
          </w:p>
        </w:tc>
        <w:tc>
          <w:tcPr>
            <w:tcW w:w="1483" w:type="dxa"/>
            <w:shd w:val="clear" w:color="auto" w:fill="auto"/>
            <w:vAlign w:val="center"/>
          </w:tcPr>
          <w:p w14:paraId="383E7B08">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成品</w:t>
            </w:r>
          </w:p>
        </w:tc>
        <w:tc>
          <w:tcPr>
            <w:tcW w:w="763" w:type="dxa"/>
            <w:shd w:val="clear" w:color="auto" w:fill="auto"/>
            <w:vAlign w:val="center"/>
          </w:tcPr>
          <w:p w14:paraId="7369815C">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1台</w:t>
            </w:r>
          </w:p>
        </w:tc>
      </w:tr>
      <w:tr w14:paraId="210E2D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4489DE25">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四</w:t>
            </w:r>
          </w:p>
        </w:tc>
        <w:tc>
          <w:tcPr>
            <w:tcW w:w="1827" w:type="dxa"/>
            <w:shd w:val="clear" w:color="auto" w:fill="auto"/>
            <w:vAlign w:val="center"/>
          </w:tcPr>
          <w:p w14:paraId="5797C2C1">
            <w:pPr>
              <w:autoSpaceDE w:val="0"/>
              <w:autoSpaceDN w:val="0"/>
              <w:jc w:val="center"/>
              <w:rPr>
                <w:rFonts w:hint="default" w:ascii="Times New Roman" w:hAnsi="Times New Roman" w:eastAsia="宋体" w:cs="Times New Roman"/>
                <w:color w:val="auto"/>
                <w:sz w:val="21"/>
                <w:szCs w:val="21"/>
                <w:lang w:val="en-US" w:eastAsia="zh-CN"/>
              </w:rPr>
            </w:pPr>
          </w:p>
        </w:tc>
        <w:tc>
          <w:tcPr>
            <w:tcW w:w="4421" w:type="dxa"/>
            <w:shd w:val="clear" w:color="auto" w:fill="auto"/>
            <w:vAlign w:val="center"/>
          </w:tcPr>
          <w:p w14:paraId="0FCB3C2D">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污水站设备间</w:t>
            </w:r>
          </w:p>
        </w:tc>
        <w:tc>
          <w:tcPr>
            <w:tcW w:w="1483" w:type="dxa"/>
            <w:shd w:val="clear" w:color="auto" w:fill="auto"/>
            <w:vAlign w:val="center"/>
          </w:tcPr>
          <w:p w14:paraId="0CAC9C16">
            <w:pPr>
              <w:autoSpaceDE w:val="0"/>
              <w:autoSpaceDN w:val="0"/>
              <w:jc w:val="center"/>
              <w:rPr>
                <w:rFonts w:hint="default" w:ascii="Times New Roman" w:hAnsi="Times New Roman" w:eastAsia="宋体" w:cs="Times New Roman"/>
                <w:color w:val="auto"/>
                <w:sz w:val="21"/>
                <w:szCs w:val="21"/>
                <w:lang w:val="en-US" w:eastAsia="zh-CN"/>
              </w:rPr>
            </w:pPr>
          </w:p>
        </w:tc>
        <w:tc>
          <w:tcPr>
            <w:tcW w:w="763" w:type="dxa"/>
            <w:shd w:val="clear" w:color="auto" w:fill="auto"/>
            <w:vAlign w:val="center"/>
          </w:tcPr>
          <w:p w14:paraId="005C340D">
            <w:pPr>
              <w:autoSpaceDE w:val="0"/>
              <w:autoSpaceDN w:val="0"/>
              <w:jc w:val="center"/>
              <w:rPr>
                <w:rFonts w:hint="default" w:ascii="Times New Roman" w:hAnsi="Times New Roman" w:eastAsia="宋体" w:cs="Times New Roman"/>
                <w:color w:val="auto"/>
                <w:sz w:val="21"/>
                <w:szCs w:val="21"/>
                <w:lang w:val="en-US" w:eastAsia="zh-CN"/>
              </w:rPr>
            </w:pPr>
          </w:p>
        </w:tc>
      </w:tr>
      <w:tr w14:paraId="69C81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5761056A">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46</w:t>
            </w:r>
          </w:p>
        </w:tc>
        <w:tc>
          <w:tcPr>
            <w:tcW w:w="1827" w:type="dxa"/>
            <w:shd w:val="clear" w:color="auto" w:fill="auto"/>
            <w:vAlign w:val="center"/>
          </w:tcPr>
          <w:p w14:paraId="152281F9">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PAC 计量泵</w:t>
            </w:r>
          </w:p>
        </w:tc>
        <w:tc>
          <w:tcPr>
            <w:tcW w:w="4421" w:type="dxa"/>
            <w:shd w:val="clear" w:color="auto" w:fill="auto"/>
            <w:vAlign w:val="center"/>
          </w:tcPr>
          <w:p w14:paraId="51EB9751">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Q=18L/h，3.0bar，22w；220V</w:t>
            </w:r>
          </w:p>
        </w:tc>
        <w:tc>
          <w:tcPr>
            <w:tcW w:w="1483" w:type="dxa"/>
            <w:shd w:val="clear" w:color="auto" w:fill="auto"/>
            <w:vAlign w:val="center"/>
          </w:tcPr>
          <w:p w14:paraId="2326F92B">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成品</w:t>
            </w:r>
          </w:p>
        </w:tc>
        <w:tc>
          <w:tcPr>
            <w:tcW w:w="763" w:type="dxa"/>
            <w:shd w:val="clear" w:color="auto" w:fill="auto"/>
            <w:vAlign w:val="center"/>
          </w:tcPr>
          <w:p w14:paraId="1CF7BDB2">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2台</w:t>
            </w:r>
          </w:p>
        </w:tc>
      </w:tr>
      <w:tr w14:paraId="0CDB64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187CAAE8">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47</w:t>
            </w:r>
          </w:p>
        </w:tc>
        <w:tc>
          <w:tcPr>
            <w:tcW w:w="1827" w:type="dxa"/>
            <w:shd w:val="clear" w:color="auto" w:fill="auto"/>
            <w:vAlign w:val="center"/>
          </w:tcPr>
          <w:p w14:paraId="0A036D3E">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次氯酸钠计量泵</w:t>
            </w:r>
          </w:p>
        </w:tc>
        <w:tc>
          <w:tcPr>
            <w:tcW w:w="4421" w:type="dxa"/>
            <w:shd w:val="clear" w:color="auto" w:fill="auto"/>
            <w:vAlign w:val="center"/>
          </w:tcPr>
          <w:p w14:paraId="1272570C">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Q=1020L/h，3.0bar，4.0kw；380V</w:t>
            </w:r>
          </w:p>
        </w:tc>
        <w:tc>
          <w:tcPr>
            <w:tcW w:w="1483" w:type="dxa"/>
            <w:shd w:val="clear" w:color="auto" w:fill="auto"/>
            <w:vAlign w:val="center"/>
          </w:tcPr>
          <w:p w14:paraId="43891582">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成品</w:t>
            </w:r>
          </w:p>
        </w:tc>
        <w:tc>
          <w:tcPr>
            <w:tcW w:w="763" w:type="dxa"/>
            <w:shd w:val="clear" w:color="auto" w:fill="auto"/>
            <w:vAlign w:val="center"/>
          </w:tcPr>
          <w:p w14:paraId="222325C8">
            <w:pPr>
              <w:autoSpaceDE w:val="0"/>
              <w:autoSpaceDN w:val="0"/>
              <w:jc w:val="center"/>
              <w:rPr>
                <w:rFonts w:hint="default" w:ascii="Times New Roman" w:hAnsi="Times New Roman" w:eastAsia="宋体" w:cs="Times New Roman"/>
                <w:color w:val="auto"/>
                <w:sz w:val="21"/>
                <w:szCs w:val="21"/>
                <w:lang w:val="en-US" w:eastAsia="en-US"/>
              </w:rPr>
            </w:pPr>
            <w:r>
              <w:rPr>
                <w:rFonts w:hint="default" w:ascii="Times New Roman" w:hAnsi="Times New Roman" w:eastAsia="宋体" w:cs="Times New Roman"/>
                <w:color w:val="auto"/>
                <w:sz w:val="21"/>
                <w:szCs w:val="21"/>
              </w:rPr>
              <w:t>2台</w:t>
            </w:r>
          </w:p>
        </w:tc>
      </w:tr>
      <w:tr w14:paraId="3E1D39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560F5AAE">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48</w:t>
            </w:r>
          </w:p>
        </w:tc>
        <w:tc>
          <w:tcPr>
            <w:tcW w:w="1827" w:type="dxa"/>
            <w:shd w:val="clear" w:color="auto" w:fill="auto"/>
            <w:vAlign w:val="center"/>
          </w:tcPr>
          <w:p w14:paraId="0F7A7404">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柠檬酸计量泵</w:t>
            </w:r>
          </w:p>
        </w:tc>
        <w:tc>
          <w:tcPr>
            <w:tcW w:w="4421" w:type="dxa"/>
            <w:shd w:val="clear" w:color="auto" w:fill="auto"/>
            <w:vAlign w:val="center"/>
          </w:tcPr>
          <w:p w14:paraId="34432C55">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Q=800L/h，3.0bar，3.0kw；380V</w:t>
            </w:r>
          </w:p>
        </w:tc>
        <w:tc>
          <w:tcPr>
            <w:tcW w:w="1483" w:type="dxa"/>
            <w:shd w:val="clear" w:color="auto" w:fill="auto"/>
            <w:vAlign w:val="center"/>
          </w:tcPr>
          <w:p w14:paraId="3E5DA238">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成品</w:t>
            </w:r>
          </w:p>
        </w:tc>
        <w:tc>
          <w:tcPr>
            <w:tcW w:w="763" w:type="dxa"/>
            <w:shd w:val="clear" w:color="auto" w:fill="auto"/>
            <w:vAlign w:val="center"/>
          </w:tcPr>
          <w:p w14:paraId="2FDC0477">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2</w:t>
            </w:r>
            <w:r>
              <w:rPr>
                <w:rFonts w:hint="default" w:ascii="Times New Roman" w:hAnsi="Times New Roman" w:eastAsia="宋体" w:cs="Times New Roman"/>
                <w:color w:val="auto"/>
                <w:sz w:val="21"/>
                <w:szCs w:val="21"/>
              </w:rPr>
              <w:t>台</w:t>
            </w:r>
          </w:p>
        </w:tc>
      </w:tr>
      <w:tr w14:paraId="116EE9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14334C21">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49</w:t>
            </w:r>
          </w:p>
        </w:tc>
        <w:tc>
          <w:tcPr>
            <w:tcW w:w="1827" w:type="dxa"/>
            <w:shd w:val="clear" w:color="auto" w:fill="auto"/>
            <w:vAlign w:val="center"/>
          </w:tcPr>
          <w:p w14:paraId="0D2D68AD">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葡萄糖计量泵</w:t>
            </w:r>
          </w:p>
        </w:tc>
        <w:tc>
          <w:tcPr>
            <w:tcW w:w="4421" w:type="dxa"/>
            <w:shd w:val="clear" w:color="auto" w:fill="auto"/>
            <w:vAlign w:val="center"/>
          </w:tcPr>
          <w:p w14:paraId="01073946">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Q=120L/h，3.0bar，0.15kw；380V</w:t>
            </w:r>
          </w:p>
        </w:tc>
        <w:tc>
          <w:tcPr>
            <w:tcW w:w="1483" w:type="dxa"/>
            <w:shd w:val="clear" w:color="auto" w:fill="auto"/>
            <w:vAlign w:val="center"/>
          </w:tcPr>
          <w:p w14:paraId="48C688DE">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成品</w:t>
            </w:r>
          </w:p>
        </w:tc>
        <w:tc>
          <w:tcPr>
            <w:tcW w:w="763" w:type="dxa"/>
            <w:shd w:val="clear" w:color="auto" w:fill="auto"/>
            <w:vAlign w:val="center"/>
          </w:tcPr>
          <w:p w14:paraId="789274C6">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2</w:t>
            </w:r>
            <w:r>
              <w:rPr>
                <w:rFonts w:hint="default" w:ascii="Times New Roman" w:hAnsi="Times New Roman" w:eastAsia="宋体" w:cs="Times New Roman"/>
                <w:color w:val="auto"/>
                <w:sz w:val="21"/>
                <w:szCs w:val="21"/>
              </w:rPr>
              <w:t>台</w:t>
            </w:r>
          </w:p>
        </w:tc>
      </w:tr>
      <w:tr w14:paraId="062CF6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5C484114">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50</w:t>
            </w:r>
          </w:p>
        </w:tc>
        <w:tc>
          <w:tcPr>
            <w:tcW w:w="1827" w:type="dxa"/>
            <w:shd w:val="clear" w:color="auto" w:fill="auto"/>
            <w:vAlign w:val="center"/>
          </w:tcPr>
          <w:p w14:paraId="13FA886A">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消毒计量泵</w:t>
            </w:r>
          </w:p>
        </w:tc>
        <w:tc>
          <w:tcPr>
            <w:tcW w:w="4421" w:type="dxa"/>
            <w:shd w:val="clear" w:color="auto" w:fill="auto"/>
            <w:vAlign w:val="center"/>
          </w:tcPr>
          <w:p w14:paraId="3CA54F94">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Q=11.4L/h，3.0bar，22w；220V</w:t>
            </w:r>
          </w:p>
        </w:tc>
        <w:tc>
          <w:tcPr>
            <w:tcW w:w="1483" w:type="dxa"/>
            <w:shd w:val="clear" w:color="auto" w:fill="auto"/>
            <w:vAlign w:val="center"/>
          </w:tcPr>
          <w:p w14:paraId="132FA705">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成品</w:t>
            </w:r>
          </w:p>
        </w:tc>
        <w:tc>
          <w:tcPr>
            <w:tcW w:w="763" w:type="dxa"/>
            <w:shd w:val="clear" w:color="auto" w:fill="auto"/>
            <w:vAlign w:val="center"/>
          </w:tcPr>
          <w:p w14:paraId="2BB819D4">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2</w:t>
            </w:r>
            <w:r>
              <w:rPr>
                <w:rFonts w:hint="default" w:ascii="Times New Roman" w:hAnsi="Times New Roman" w:eastAsia="宋体" w:cs="Times New Roman"/>
                <w:color w:val="auto"/>
                <w:sz w:val="21"/>
                <w:szCs w:val="21"/>
              </w:rPr>
              <w:t>台</w:t>
            </w:r>
          </w:p>
        </w:tc>
      </w:tr>
      <w:tr w14:paraId="3E1DE5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767F5CE9">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51</w:t>
            </w:r>
          </w:p>
        </w:tc>
        <w:tc>
          <w:tcPr>
            <w:tcW w:w="1827" w:type="dxa"/>
            <w:shd w:val="clear" w:color="auto" w:fill="auto"/>
            <w:vAlign w:val="center"/>
          </w:tcPr>
          <w:p w14:paraId="2F88719A">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PAC 储罐</w:t>
            </w:r>
          </w:p>
        </w:tc>
        <w:tc>
          <w:tcPr>
            <w:tcW w:w="4421" w:type="dxa"/>
            <w:shd w:val="clear" w:color="auto" w:fill="auto"/>
            <w:vAlign w:val="center"/>
          </w:tcPr>
          <w:p w14:paraId="49D50311">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V=3.0m，PE</w:t>
            </w:r>
          </w:p>
        </w:tc>
        <w:tc>
          <w:tcPr>
            <w:tcW w:w="1483" w:type="dxa"/>
            <w:shd w:val="clear" w:color="auto" w:fill="auto"/>
            <w:vAlign w:val="center"/>
          </w:tcPr>
          <w:p w14:paraId="443A85A9">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PE</w:t>
            </w:r>
          </w:p>
        </w:tc>
        <w:tc>
          <w:tcPr>
            <w:tcW w:w="763" w:type="dxa"/>
            <w:shd w:val="clear" w:color="auto" w:fill="auto"/>
            <w:vAlign w:val="center"/>
          </w:tcPr>
          <w:p w14:paraId="6D6EC217">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1套</w:t>
            </w:r>
          </w:p>
        </w:tc>
      </w:tr>
      <w:tr w14:paraId="4EE476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3FCFA89A">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52</w:t>
            </w:r>
          </w:p>
        </w:tc>
        <w:tc>
          <w:tcPr>
            <w:tcW w:w="1827" w:type="dxa"/>
            <w:shd w:val="clear" w:color="auto" w:fill="auto"/>
            <w:vAlign w:val="center"/>
          </w:tcPr>
          <w:p w14:paraId="70690130">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次氯酸钠储罐</w:t>
            </w:r>
          </w:p>
        </w:tc>
        <w:tc>
          <w:tcPr>
            <w:tcW w:w="4421" w:type="dxa"/>
            <w:shd w:val="clear" w:color="auto" w:fill="auto"/>
            <w:vAlign w:val="center"/>
          </w:tcPr>
          <w:p w14:paraId="1EE68666">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V=3.0m，PE</w:t>
            </w:r>
          </w:p>
        </w:tc>
        <w:tc>
          <w:tcPr>
            <w:tcW w:w="1483" w:type="dxa"/>
            <w:shd w:val="clear" w:color="auto" w:fill="auto"/>
            <w:vAlign w:val="center"/>
          </w:tcPr>
          <w:p w14:paraId="6784DDAC">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PE</w:t>
            </w:r>
          </w:p>
        </w:tc>
        <w:tc>
          <w:tcPr>
            <w:tcW w:w="763" w:type="dxa"/>
            <w:shd w:val="clear" w:color="auto" w:fill="auto"/>
            <w:vAlign w:val="center"/>
          </w:tcPr>
          <w:p w14:paraId="27C05217">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1套</w:t>
            </w:r>
          </w:p>
        </w:tc>
      </w:tr>
      <w:tr w14:paraId="57586F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08C5B69F">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53</w:t>
            </w:r>
          </w:p>
        </w:tc>
        <w:tc>
          <w:tcPr>
            <w:tcW w:w="1827" w:type="dxa"/>
            <w:shd w:val="clear" w:color="auto" w:fill="auto"/>
            <w:vAlign w:val="center"/>
          </w:tcPr>
          <w:p w14:paraId="1ACD4976">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柠檬酸储罐</w:t>
            </w:r>
          </w:p>
        </w:tc>
        <w:tc>
          <w:tcPr>
            <w:tcW w:w="4421" w:type="dxa"/>
            <w:shd w:val="clear" w:color="auto" w:fill="auto"/>
            <w:vAlign w:val="center"/>
          </w:tcPr>
          <w:p w14:paraId="04FE0391">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V=3.0m，PE</w:t>
            </w:r>
          </w:p>
        </w:tc>
        <w:tc>
          <w:tcPr>
            <w:tcW w:w="1483" w:type="dxa"/>
            <w:shd w:val="clear" w:color="auto" w:fill="auto"/>
            <w:vAlign w:val="center"/>
          </w:tcPr>
          <w:p w14:paraId="34639C91">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PE</w:t>
            </w:r>
          </w:p>
        </w:tc>
        <w:tc>
          <w:tcPr>
            <w:tcW w:w="763" w:type="dxa"/>
            <w:shd w:val="clear" w:color="auto" w:fill="auto"/>
            <w:vAlign w:val="center"/>
          </w:tcPr>
          <w:p w14:paraId="43D6A947">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1套</w:t>
            </w:r>
          </w:p>
        </w:tc>
      </w:tr>
      <w:tr w14:paraId="5BE14C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29FD657C">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54</w:t>
            </w:r>
          </w:p>
        </w:tc>
        <w:tc>
          <w:tcPr>
            <w:tcW w:w="1827" w:type="dxa"/>
            <w:shd w:val="clear" w:color="auto" w:fill="auto"/>
            <w:vAlign w:val="center"/>
          </w:tcPr>
          <w:p w14:paraId="6B1579F6">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葡萄糖储罐（碳源）</w:t>
            </w:r>
          </w:p>
        </w:tc>
        <w:tc>
          <w:tcPr>
            <w:tcW w:w="4421" w:type="dxa"/>
            <w:shd w:val="clear" w:color="auto" w:fill="auto"/>
            <w:vAlign w:val="center"/>
          </w:tcPr>
          <w:p w14:paraId="4A89D981">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V=3.0m，PE</w:t>
            </w:r>
          </w:p>
        </w:tc>
        <w:tc>
          <w:tcPr>
            <w:tcW w:w="1483" w:type="dxa"/>
            <w:shd w:val="clear" w:color="auto" w:fill="auto"/>
            <w:vAlign w:val="center"/>
          </w:tcPr>
          <w:p w14:paraId="502D27A0">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PE</w:t>
            </w:r>
          </w:p>
        </w:tc>
        <w:tc>
          <w:tcPr>
            <w:tcW w:w="763" w:type="dxa"/>
            <w:shd w:val="clear" w:color="auto" w:fill="auto"/>
            <w:vAlign w:val="center"/>
          </w:tcPr>
          <w:p w14:paraId="0BBDA787">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1套</w:t>
            </w:r>
          </w:p>
        </w:tc>
      </w:tr>
      <w:tr w14:paraId="58F2C1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2B3EE651">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55</w:t>
            </w:r>
          </w:p>
        </w:tc>
        <w:tc>
          <w:tcPr>
            <w:tcW w:w="1827" w:type="dxa"/>
            <w:shd w:val="clear" w:color="auto" w:fill="auto"/>
            <w:vAlign w:val="center"/>
          </w:tcPr>
          <w:p w14:paraId="39CDA6CF">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化料器</w:t>
            </w:r>
          </w:p>
        </w:tc>
        <w:tc>
          <w:tcPr>
            <w:tcW w:w="4421" w:type="dxa"/>
            <w:shd w:val="clear" w:color="auto" w:fill="auto"/>
            <w:vAlign w:val="center"/>
          </w:tcPr>
          <w:p w14:paraId="683FD3DE">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1100x600x710mm，P=0.55kw</w:t>
            </w:r>
          </w:p>
        </w:tc>
        <w:tc>
          <w:tcPr>
            <w:tcW w:w="1483" w:type="dxa"/>
            <w:shd w:val="clear" w:color="auto" w:fill="auto"/>
            <w:vAlign w:val="center"/>
          </w:tcPr>
          <w:p w14:paraId="74D3CAB1">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成品</w:t>
            </w:r>
          </w:p>
        </w:tc>
        <w:tc>
          <w:tcPr>
            <w:tcW w:w="763" w:type="dxa"/>
            <w:shd w:val="clear" w:color="auto" w:fill="auto"/>
            <w:vAlign w:val="center"/>
          </w:tcPr>
          <w:p w14:paraId="4F6EE681">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1套</w:t>
            </w:r>
          </w:p>
        </w:tc>
      </w:tr>
      <w:tr w14:paraId="532025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5232FCAF">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五</w:t>
            </w:r>
          </w:p>
        </w:tc>
        <w:tc>
          <w:tcPr>
            <w:tcW w:w="1827" w:type="dxa"/>
            <w:shd w:val="clear" w:color="auto" w:fill="auto"/>
            <w:vAlign w:val="center"/>
          </w:tcPr>
          <w:p w14:paraId="0EC4FAAB">
            <w:pPr>
              <w:autoSpaceDE w:val="0"/>
              <w:autoSpaceDN w:val="0"/>
              <w:jc w:val="center"/>
              <w:rPr>
                <w:rFonts w:hint="default" w:ascii="Times New Roman" w:hAnsi="Times New Roman" w:cs="Times New Roman" w:eastAsiaTheme="minorEastAsia"/>
                <w:color w:val="auto"/>
                <w:sz w:val="21"/>
                <w:szCs w:val="21"/>
                <w:lang w:val="en-US" w:eastAsia="zh-CN"/>
              </w:rPr>
            </w:pPr>
          </w:p>
        </w:tc>
        <w:tc>
          <w:tcPr>
            <w:tcW w:w="4421" w:type="dxa"/>
            <w:shd w:val="clear" w:color="auto" w:fill="auto"/>
            <w:vAlign w:val="center"/>
          </w:tcPr>
          <w:p w14:paraId="1B71F0AF">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储泥池</w:t>
            </w:r>
          </w:p>
        </w:tc>
        <w:tc>
          <w:tcPr>
            <w:tcW w:w="1483" w:type="dxa"/>
            <w:shd w:val="clear" w:color="auto" w:fill="auto"/>
            <w:vAlign w:val="center"/>
          </w:tcPr>
          <w:p w14:paraId="5E01FB46">
            <w:pPr>
              <w:autoSpaceDE w:val="0"/>
              <w:autoSpaceDN w:val="0"/>
              <w:jc w:val="center"/>
              <w:rPr>
                <w:rFonts w:hint="default" w:ascii="Times New Roman" w:hAnsi="Times New Roman" w:cs="Times New Roman" w:eastAsiaTheme="minorEastAsia"/>
                <w:color w:val="auto"/>
                <w:sz w:val="21"/>
                <w:szCs w:val="21"/>
                <w:lang w:val="en-US" w:eastAsia="zh-CN"/>
              </w:rPr>
            </w:pPr>
          </w:p>
        </w:tc>
        <w:tc>
          <w:tcPr>
            <w:tcW w:w="763" w:type="dxa"/>
            <w:shd w:val="clear" w:color="auto" w:fill="auto"/>
            <w:vAlign w:val="center"/>
          </w:tcPr>
          <w:p w14:paraId="2FF32E43">
            <w:pPr>
              <w:autoSpaceDE w:val="0"/>
              <w:autoSpaceDN w:val="0"/>
              <w:jc w:val="center"/>
              <w:rPr>
                <w:rFonts w:hint="default" w:ascii="Times New Roman" w:hAnsi="Times New Roman" w:cs="Times New Roman" w:eastAsiaTheme="minorEastAsia"/>
                <w:color w:val="auto"/>
                <w:sz w:val="21"/>
                <w:szCs w:val="21"/>
                <w:lang w:val="en-US" w:eastAsia="zh-CN"/>
              </w:rPr>
            </w:pPr>
          </w:p>
        </w:tc>
      </w:tr>
      <w:tr w14:paraId="30EDD5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05414303">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56</w:t>
            </w:r>
          </w:p>
        </w:tc>
        <w:tc>
          <w:tcPr>
            <w:tcW w:w="1827" w:type="dxa"/>
            <w:shd w:val="clear" w:color="auto" w:fill="auto"/>
            <w:vAlign w:val="center"/>
          </w:tcPr>
          <w:p w14:paraId="5DEB911A">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移动式水池放空排水泵</w:t>
            </w:r>
          </w:p>
        </w:tc>
        <w:tc>
          <w:tcPr>
            <w:tcW w:w="4421" w:type="dxa"/>
            <w:shd w:val="clear" w:color="auto" w:fill="auto"/>
            <w:vAlign w:val="center"/>
          </w:tcPr>
          <w:p w14:paraId="683790CB">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潜污泵，Q=7m/h,H=10m，N=0.75kw；</w:t>
            </w:r>
          </w:p>
        </w:tc>
        <w:tc>
          <w:tcPr>
            <w:tcW w:w="1483" w:type="dxa"/>
            <w:shd w:val="clear" w:color="auto" w:fill="auto"/>
            <w:vAlign w:val="center"/>
          </w:tcPr>
          <w:p w14:paraId="24DB7F85">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成品</w:t>
            </w:r>
          </w:p>
        </w:tc>
        <w:tc>
          <w:tcPr>
            <w:tcW w:w="763" w:type="dxa"/>
            <w:shd w:val="clear" w:color="auto" w:fill="auto"/>
            <w:vAlign w:val="center"/>
          </w:tcPr>
          <w:p w14:paraId="4D6FBE08">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1台</w:t>
            </w:r>
          </w:p>
        </w:tc>
      </w:tr>
      <w:tr w14:paraId="4D8DB0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2BD9F56F">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57</w:t>
            </w:r>
          </w:p>
        </w:tc>
        <w:tc>
          <w:tcPr>
            <w:tcW w:w="1827" w:type="dxa"/>
            <w:shd w:val="clear" w:color="auto" w:fill="auto"/>
            <w:vAlign w:val="center"/>
          </w:tcPr>
          <w:p w14:paraId="0A6553D0">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电磁流量计</w:t>
            </w:r>
          </w:p>
        </w:tc>
        <w:tc>
          <w:tcPr>
            <w:tcW w:w="4421" w:type="dxa"/>
            <w:shd w:val="clear" w:color="auto" w:fill="auto"/>
            <w:vAlign w:val="center"/>
          </w:tcPr>
          <w:p w14:paraId="26C05E5B">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DN250，PN=1.6Mpa，测量流速范围 53~1237m/h，P=20w</w:t>
            </w:r>
          </w:p>
        </w:tc>
        <w:tc>
          <w:tcPr>
            <w:tcW w:w="1483" w:type="dxa"/>
            <w:shd w:val="clear" w:color="auto" w:fill="auto"/>
            <w:vAlign w:val="center"/>
          </w:tcPr>
          <w:p w14:paraId="3C6DFD8B">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成品</w:t>
            </w:r>
          </w:p>
        </w:tc>
        <w:tc>
          <w:tcPr>
            <w:tcW w:w="763" w:type="dxa"/>
            <w:shd w:val="clear" w:color="auto" w:fill="auto"/>
            <w:vAlign w:val="center"/>
          </w:tcPr>
          <w:p w14:paraId="29517978">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1台</w:t>
            </w:r>
          </w:p>
        </w:tc>
      </w:tr>
      <w:tr w14:paraId="06892B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0FDCA935">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六</w:t>
            </w:r>
          </w:p>
        </w:tc>
        <w:tc>
          <w:tcPr>
            <w:tcW w:w="1827" w:type="dxa"/>
            <w:shd w:val="clear" w:color="auto" w:fill="auto"/>
            <w:vAlign w:val="center"/>
          </w:tcPr>
          <w:p w14:paraId="54CBE38E">
            <w:pPr>
              <w:autoSpaceDE w:val="0"/>
              <w:autoSpaceDN w:val="0"/>
              <w:jc w:val="center"/>
              <w:rPr>
                <w:rFonts w:hint="default" w:ascii="Times New Roman" w:hAnsi="Times New Roman" w:cs="Times New Roman" w:eastAsiaTheme="minorEastAsia"/>
                <w:color w:val="auto"/>
                <w:sz w:val="21"/>
                <w:szCs w:val="21"/>
                <w:lang w:val="en-US" w:eastAsia="zh-CN"/>
              </w:rPr>
            </w:pPr>
          </w:p>
        </w:tc>
        <w:tc>
          <w:tcPr>
            <w:tcW w:w="4421" w:type="dxa"/>
            <w:shd w:val="clear" w:color="auto" w:fill="auto"/>
            <w:vAlign w:val="center"/>
          </w:tcPr>
          <w:p w14:paraId="72E598B8">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通风设备</w:t>
            </w:r>
          </w:p>
        </w:tc>
        <w:tc>
          <w:tcPr>
            <w:tcW w:w="1483" w:type="dxa"/>
            <w:shd w:val="clear" w:color="auto" w:fill="auto"/>
            <w:vAlign w:val="center"/>
          </w:tcPr>
          <w:p w14:paraId="0BF317B9">
            <w:pPr>
              <w:autoSpaceDE w:val="0"/>
              <w:autoSpaceDN w:val="0"/>
              <w:jc w:val="center"/>
              <w:rPr>
                <w:rFonts w:hint="default" w:ascii="Times New Roman" w:hAnsi="Times New Roman" w:cs="Times New Roman" w:eastAsiaTheme="minorEastAsia"/>
                <w:color w:val="auto"/>
                <w:sz w:val="21"/>
                <w:szCs w:val="21"/>
                <w:lang w:val="en-US" w:eastAsia="zh-CN"/>
              </w:rPr>
            </w:pPr>
          </w:p>
        </w:tc>
        <w:tc>
          <w:tcPr>
            <w:tcW w:w="763" w:type="dxa"/>
            <w:shd w:val="clear" w:color="auto" w:fill="auto"/>
            <w:vAlign w:val="center"/>
          </w:tcPr>
          <w:p w14:paraId="15684762">
            <w:pPr>
              <w:autoSpaceDE w:val="0"/>
              <w:autoSpaceDN w:val="0"/>
              <w:jc w:val="center"/>
              <w:rPr>
                <w:rFonts w:hint="default" w:ascii="Times New Roman" w:hAnsi="Times New Roman" w:cs="Times New Roman" w:eastAsiaTheme="minorEastAsia"/>
                <w:color w:val="auto"/>
                <w:sz w:val="21"/>
                <w:szCs w:val="21"/>
                <w:lang w:val="en-US" w:eastAsia="zh-CN"/>
              </w:rPr>
            </w:pPr>
          </w:p>
        </w:tc>
      </w:tr>
      <w:tr w14:paraId="63A492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4" w:hRule="atLeast"/>
          <w:jc w:val="center"/>
        </w:trPr>
        <w:tc>
          <w:tcPr>
            <w:tcW w:w="880" w:type="dxa"/>
            <w:shd w:val="clear" w:color="auto" w:fill="auto"/>
            <w:vAlign w:val="center"/>
          </w:tcPr>
          <w:p w14:paraId="0FE17DB5">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58</w:t>
            </w:r>
          </w:p>
        </w:tc>
        <w:tc>
          <w:tcPr>
            <w:tcW w:w="1827" w:type="dxa"/>
            <w:shd w:val="clear" w:color="auto" w:fill="auto"/>
            <w:vAlign w:val="center"/>
          </w:tcPr>
          <w:p w14:paraId="3F2018D7">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轴流式通风机</w:t>
            </w:r>
          </w:p>
        </w:tc>
        <w:tc>
          <w:tcPr>
            <w:tcW w:w="4421" w:type="dxa"/>
            <w:shd w:val="clear" w:color="auto" w:fill="auto"/>
            <w:vAlign w:val="center"/>
          </w:tcPr>
          <w:p w14:paraId="4EF85A97">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Q=1100m/h，N=0.04kw</w:t>
            </w:r>
          </w:p>
        </w:tc>
        <w:tc>
          <w:tcPr>
            <w:tcW w:w="1483" w:type="dxa"/>
            <w:shd w:val="clear" w:color="auto" w:fill="auto"/>
            <w:vAlign w:val="center"/>
          </w:tcPr>
          <w:p w14:paraId="52F82EFB">
            <w:pPr>
              <w:autoSpaceDE w:val="0"/>
              <w:autoSpaceDN w:val="0"/>
              <w:jc w:val="center"/>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eastAsia="zh-CN"/>
              </w:rPr>
              <w:t>不锈钢304</w:t>
            </w:r>
          </w:p>
        </w:tc>
        <w:tc>
          <w:tcPr>
            <w:tcW w:w="763" w:type="dxa"/>
            <w:shd w:val="clear" w:color="auto" w:fill="auto"/>
            <w:vAlign w:val="center"/>
          </w:tcPr>
          <w:p w14:paraId="52B710E6">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1台</w:t>
            </w:r>
          </w:p>
        </w:tc>
      </w:tr>
      <w:tr w14:paraId="041089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76F5C002">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59</w:t>
            </w:r>
          </w:p>
        </w:tc>
        <w:tc>
          <w:tcPr>
            <w:tcW w:w="1827" w:type="dxa"/>
            <w:shd w:val="clear" w:color="auto" w:fill="auto"/>
            <w:vAlign w:val="center"/>
          </w:tcPr>
          <w:p w14:paraId="3C8BDD68">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轴流式通风机</w:t>
            </w:r>
          </w:p>
        </w:tc>
        <w:tc>
          <w:tcPr>
            <w:tcW w:w="4421" w:type="dxa"/>
            <w:shd w:val="clear" w:color="auto" w:fill="auto"/>
            <w:vAlign w:val="center"/>
          </w:tcPr>
          <w:p w14:paraId="4960D3C8">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Q=800m/h，N=0.04kw</w:t>
            </w:r>
          </w:p>
        </w:tc>
        <w:tc>
          <w:tcPr>
            <w:tcW w:w="1483" w:type="dxa"/>
            <w:shd w:val="clear" w:color="auto" w:fill="auto"/>
            <w:vAlign w:val="center"/>
          </w:tcPr>
          <w:p w14:paraId="02D5C292">
            <w:pPr>
              <w:autoSpaceDE w:val="0"/>
              <w:autoSpaceDN w:val="0"/>
              <w:jc w:val="center"/>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eastAsia="zh-CN"/>
              </w:rPr>
              <w:t>不锈钢304</w:t>
            </w:r>
          </w:p>
        </w:tc>
        <w:tc>
          <w:tcPr>
            <w:tcW w:w="763" w:type="dxa"/>
            <w:shd w:val="clear" w:color="auto" w:fill="auto"/>
            <w:vAlign w:val="center"/>
          </w:tcPr>
          <w:p w14:paraId="61EA63E8">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2台</w:t>
            </w:r>
          </w:p>
        </w:tc>
      </w:tr>
      <w:tr w14:paraId="3D3BEC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6AB74BF8">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60</w:t>
            </w:r>
          </w:p>
        </w:tc>
        <w:tc>
          <w:tcPr>
            <w:tcW w:w="1827" w:type="dxa"/>
            <w:shd w:val="clear" w:color="auto" w:fill="auto"/>
            <w:vAlign w:val="center"/>
          </w:tcPr>
          <w:p w14:paraId="749CF6DF">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罩型通风管</w:t>
            </w:r>
          </w:p>
        </w:tc>
        <w:tc>
          <w:tcPr>
            <w:tcW w:w="4421" w:type="dxa"/>
            <w:shd w:val="clear" w:color="auto" w:fill="auto"/>
            <w:vAlign w:val="center"/>
          </w:tcPr>
          <w:p w14:paraId="587EBBDD">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Z-400</w:t>
            </w:r>
          </w:p>
        </w:tc>
        <w:tc>
          <w:tcPr>
            <w:tcW w:w="1483" w:type="dxa"/>
            <w:shd w:val="clear" w:color="auto" w:fill="auto"/>
            <w:vAlign w:val="center"/>
          </w:tcPr>
          <w:p w14:paraId="2CCDC502">
            <w:pPr>
              <w:autoSpaceDE w:val="0"/>
              <w:autoSpaceDN w:val="0"/>
              <w:jc w:val="center"/>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eastAsia="zh-CN"/>
              </w:rPr>
              <w:t>不锈钢304</w:t>
            </w:r>
          </w:p>
        </w:tc>
        <w:tc>
          <w:tcPr>
            <w:tcW w:w="763" w:type="dxa"/>
            <w:shd w:val="clear" w:color="auto" w:fill="auto"/>
            <w:vAlign w:val="center"/>
          </w:tcPr>
          <w:p w14:paraId="056E62D1">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3套</w:t>
            </w:r>
          </w:p>
        </w:tc>
      </w:tr>
      <w:tr w14:paraId="63E7F5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5465CDF3">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七</w:t>
            </w:r>
          </w:p>
        </w:tc>
        <w:tc>
          <w:tcPr>
            <w:tcW w:w="1827" w:type="dxa"/>
            <w:shd w:val="clear" w:color="auto" w:fill="auto"/>
            <w:vAlign w:val="center"/>
          </w:tcPr>
          <w:p w14:paraId="59C34394">
            <w:pPr>
              <w:autoSpaceDE w:val="0"/>
              <w:autoSpaceDN w:val="0"/>
              <w:jc w:val="center"/>
              <w:rPr>
                <w:rFonts w:hint="default" w:ascii="Times New Roman" w:hAnsi="Times New Roman" w:cs="Times New Roman" w:eastAsiaTheme="minorEastAsia"/>
                <w:color w:val="auto"/>
                <w:sz w:val="21"/>
                <w:szCs w:val="21"/>
                <w:lang w:val="en-US" w:eastAsia="zh-CN"/>
              </w:rPr>
            </w:pPr>
          </w:p>
        </w:tc>
        <w:tc>
          <w:tcPr>
            <w:tcW w:w="4421" w:type="dxa"/>
            <w:shd w:val="clear" w:color="auto" w:fill="auto"/>
            <w:vAlign w:val="center"/>
          </w:tcPr>
          <w:p w14:paraId="6A83964C">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流量计井</w:t>
            </w:r>
          </w:p>
        </w:tc>
        <w:tc>
          <w:tcPr>
            <w:tcW w:w="1483" w:type="dxa"/>
            <w:shd w:val="clear" w:color="auto" w:fill="auto"/>
            <w:vAlign w:val="center"/>
          </w:tcPr>
          <w:p w14:paraId="1047D47E">
            <w:pPr>
              <w:autoSpaceDE w:val="0"/>
              <w:autoSpaceDN w:val="0"/>
              <w:jc w:val="center"/>
              <w:rPr>
                <w:rFonts w:hint="default" w:ascii="Times New Roman" w:hAnsi="Times New Roman" w:cs="Times New Roman" w:eastAsiaTheme="minorEastAsia"/>
                <w:color w:val="auto"/>
                <w:sz w:val="21"/>
                <w:szCs w:val="21"/>
                <w:lang w:val="en-US" w:eastAsia="zh-CN"/>
              </w:rPr>
            </w:pPr>
          </w:p>
        </w:tc>
        <w:tc>
          <w:tcPr>
            <w:tcW w:w="763" w:type="dxa"/>
            <w:shd w:val="clear" w:color="auto" w:fill="auto"/>
            <w:vAlign w:val="center"/>
          </w:tcPr>
          <w:p w14:paraId="2D47D49F">
            <w:pPr>
              <w:autoSpaceDE w:val="0"/>
              <w:autoSpaceDN w:val="0"/>
              <w:jc w:val="center"/>
              <w:rPr>
                <w:rFonts w:hint="default" w:ascii="Times New Roman" w:hAnsi="Times New Roman" w:cs="Times New Roman" w:eastAsiaTheme="minorEastAsia"/>
                <w:color w:val="auto"/>
                <w:sz w:val="21"/>
                <w:szCs w:val="21"/>
                <w:lang w:val="en-US" w:eastAsia="zh-CN"/>
              </w:rPr>
            </w:pPr>
          </w:p>
        </w:tc>
      </w:tr>
      <w:tr w14:paraId="5BC86E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5DE690E8">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61</w:t>
            </w:r>
          </w:p>
        </w:tc>
        <w:tc>
          <w:tcPr>
            <w:tcW w:w="1827" w:type="dxa"/>
            <w:shd w:val="clear" w:color="auto" w:fill="auto"/>
            <w:vAlign w:val="center"/>
          </w:tcPr>
          <w:p w14:paraId="22F6BD87">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电磁流量计</w:t>
            </w:r>
          </w:p>
        </w:tc>
        <w:tc>
          <w:tcPr>
            <w:tcW w:w="4421" w:type="dxa"/>
            <w:shd w:val="clear" w:color="auto" w:fill="auto"/>
            <w:vAlign w:val="center"/>
          </w:tcPr>
          <w:p w14:paraId="2A42BD9C">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DN225，PN=1.6Mpa，测量流速范围 34~792m/h，P=20w</w:t>
            </w:r>
          </w:p>
        </w:tc>
        <w:tc>
          <w:tcPr>
            <w:tcW w:w="1483" w:type="dxa"/>
            <w:shd w:val="clear" w:color="auto" w:fill="auto"/>
            <w:vAlign w:val="center"/>
          </w:tcPr>
          <w:p w14:paraId="6E11B6B7">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成品</w:t>
            </w:r>
          </w:p>
        </w:tc>
        <w:tc>
          <w:tcPr>
            <w:tcW w:w="763" w:type="dxa"/>
            <w:shd w:val="clear" w:color="auto" w:fill="auto"/>
            <w:vAlign w:val="center"/>
          </w:tcPr>
          <w:p w14:paraId="2549355B">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1台</w:t>
            </w:r>
          </w:p>
        </w:tc>
      </w:tr>
      <w:tr w14:paraId="2F221E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3E339FE0">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八</w:t>
            </w:r>
          </w:p>
        </w:tc>
        <w:tc>
          <w:tcPr>
            <w:tcW w:w="1827" w:type="dxa"/>
            <w:shd w:val="clear" w:color="auto" w:fill="auto"/>
            <w:vAlign w:val="center"/>
          </w:tcPr>
          <w:p w14:paraId="78DBF819">
            <w:pPr>
              <w:autoSpaceDE w:val="0"/>
              <w:autoSpaceDN w:val="0"/>
              <w:jc w:val="center"/>
              <w:rPr>
                <w:rFonts w:hint="default" w:ascii="Times New Roman" w:hAnsi="Times New Roman" w:cs="Times New Roman" w:eastAsiaTheme="minorEastAsia"/>
                <w:color w:val="auto"/>
                <w:sz w:val="21"/>
                <w:szCs w:val="21"/>
                <w:lang w:val="en-US" w:eastAsia="zh-CN"/>
              </w:rPr>
            </w:pPr>
          </w:p>
        </w:tc>
        <w:tc>
          <w:tcPr>
            <w:tcW w:w="4421" w:type="dxa"/>
            <w:shd w:val="clear" w:color="auto" w:fill="auto"/>
            <w:vAlign w:val="center"/>
          </w:tcPr>
          <w:p w14:paraId="053B1689">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平流沉砂池</w:t>
            </w:r>
          </w:p>
        </w:tc>
        <w:tc>
          <w:tcPr>
            <w:tcW w:w="1483" w:type="dxa"/>
            <w:shd w:val="clear" w:color="auto" w:fill="auto"/>
            <w:vAlign w:val="center"/>
          </w:tcPr>
          <w:p w14:paraId="2DFD778C">
            <w:pPr>
              <w:autoSpaceDE w:val="0"/>
              <w:autoSpaceDN w:val="0"/>
              <w:jc w:val="center"/>
              <w:rPr>
                <w:rFonts w:hint="default" w:ascii="Times New Roman" w:hAnsi="Times New Roman" w:cs="Times New Roman" w:eastAsiaTheme="minorEastAsia"/>
                <w:color w:val="auto"/>
                <w:sz w:val="21"/>
                <w:szCs w:val="21"/>
                <w:lang w:val="en-US" w:eastAsia="zh-CN"/>
              </w:rPr>
            </w:pPr>
          </w:p>
        </w:tc>
        <w:tc>
          <w:tcPr>
            <w:tcW w:w="763" w:type="dxa"/>
            <w:shd w:val="clear" w:color="auto" w:fill="auto"/>
            <w:vAlign w:val="center"/>
          </w:tcPr>
          <w:p w14:paraId="590D7169">
            <w:pPr>
              <w:autoSpaceDE w:val="0"/>
              <w:autoSpaceDN w:val="0"/>
              <w:jc w:val="center"/>
              <w:rPr>
                <w:rFonts w:hint="default" w:ascii="Times New Roman" w:hAnsi="Times New Roman" w:cs="Times New Roman" w:eastAsiaTheme="minorEastAsia"/>
                <w:color w:val="auto"/>
                <w:sz w:val="21"/>
                <w:szCs w:val="21"/>
                <w:lang w:val="en-US" w:eastAsia="zh-CN"/>
              </w:rPr>
            </w:pPr>
          </w:p>
        </w:tc>
      </w:tr>
      <w:tr w14:paraId="44B6E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75726A82">
            <w:pPr>
              <w:autoSpaceDE w:val="0"/>
              <w:autoSpaceDN w:val="0"/>
              <w:jc w:val="center"/>
              <w:rPr>
                <w:rFonts w:hint="default" w:ascii="Times New Roman" w:hAnsi="Times New Roman" w:cs="Times New Roman" w:eastAsiaTheme="minorEastAsia"/>
                <w:color w:val="auto"/>
                <w:sz w:val="21"/>
                <w:szCs w:val="21"/>
              </w:rPr>
            </w:pPr>
          </w:p>
          <w:p w14:paraId="0183B02A">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62</w:t>
            </w:r>
          </w:p>
        </w:tc>
        <w:tc>
          <w:tcPr>
            <w:tcW w:w="1827" w:type="dxa"/>
            <w:shd w:val="clear" w:color="auto" w:fill="auto"/>
            <w:vAlign w:val="center"/>
          </w:tcPr>
          <w:p w14:paraId="42F04430">
            <w:pPr>
              <w:autoSpaceDE w:val="0"/>
              <w:autoSpaceDN w:val="0"/>
              <w:jc w:val="center"/>
              <w:rPr>
                <w:rFonts w:hint="default" w:ascii="Times New Roman" w:hAnsi="Times New Roman" w:cs="Times New Roman" w:eastAsiaTheme="minorEastAsia"/>
                <w:color w:val="auto"/>
                <w:sz w:val="21"/>
                <w:szCs w:val="21"/>
              </w:rPr>
            </w:pPr>
          </w:p>
          <w:p w14:paraId="707888F8">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铸铁镶铜闸门</w:t>
            </w:r>
          </w:p>
        </w:tc>
        <w:tc>
          <w:tcPr>
            <w:tcW w:w="4421" w:type="dxa"/>
            <w:shd w:val="clear" w:color="auto" w:fill="auto"/>
            <w:vAlign w:val="center"/>
          </w:tcPr>
          <w:p w14:paraId="24DE2CDE">
            <w:pPr>
              <w:autoSpaceDE w:val="0"/>
              <w:autoSpaceDN w:val="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500X500，P=0.75kw，配手电两用启闭机 1 套，</w:t>
            </w:r>
          </w:p>
          <w:p w14:paraId="2D6FB672">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过水洞中心距离池顶 1.25 米</w:t>
            </w:r>
          </w:p>
        </w:tc>
        <w:tc>
          <w:tcPr>
            <w:tcW w:w="1483" w:type="dxa"/>
            <w:shd w:val="clear" w:color="auto" w:fill="auto"/>
            <w:vAlign w:val="center"/>
          </w:tcPr>
          <w:p w14:paraId="5980133F">
            <w:pPr>
              <w:autoSpaceDE w:val="0"/>
              <w:autoSpaceDN w:val="0"/>
              <w:jc w:val="center"/>
              <w:rPr>
                <w:rFonts w:hint="default" w:ascii="Times New Roman" w:hAnsi="Times New Roman" w:cs="Times New Roman" w:eastAsiaTheme="minorEastAsia"/>
                <w:color w:val="auto"/>
                <w:sz w:val="21"/>
                <w:szCs w:val="21"/>
              </w:rPr>
            </w:pPr>
          </w:p>
          <w:p w14:paraId="0ACDECDB">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铸铁镶铜</w:t>
            </w:r>
          </w:p>
        </w:tc>
        <w:tc>
          <w:tcPr>
            <w:tcW w:w="763" w:type="dxa"/>
            <w:shd w:val="clear" w:color="auto" w:fill="auto"/>
            <w:vAlign w:val="center"/>
          </w:tcPr>
          <w:p w14:paraId="760CAE9A">
            <w:pPr>
              <w:autoSpaceDE w:val="0"/>
              <w:autoSpaceDN w:val="0"/>
              <w:jc w:val="center"/>
              <w:rPr>
                <w:rFonts w:hint="default" w:ascii="Times New Roman" w:hAnsi="Times New Roman" w:cs="Times New Roman" w:eastAsiaTheme="minorEastAsia"/>
                <w:color w:val="auto"/>
                <w:sz w:val="21"/>
                <w:szCs w:val="21"/>
              </w:rPr>
            </w:pPr>
          </w:p>
          <w:p w14:paraId="141C84AA">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2套</w:t>
            </w:r>
          </w:p>
        </w:tc>
      </w:tr>
      <w:tr w14:paraId="5901A3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880" w:type="dxa"/>
            <w:shd w:val="clear" w:color="auto" w:fill="auto"/>
            <w:vAlign w:val="center"/>
          </w:tcPr>
          <w:p w14:paraId="2179A8E9">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63</w:t>
            </w:r>
          </w:p>
        </w:tc>
        <w:tc>
          <w:tcPr>
            <w:tcW w:w="1827" w:type="dxa"/>
            <w:shd w:val="clear" w:color="auto" w:fill="auto"/>
            <w:vAlign w:val="center"/>
          </w:tcPr>
          <w:p w14:paraId="2058FFAF">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插板闸门</w:t>
            </w:r>
          </w:p>
        </w:tc>
        <w:tc>
          <w:tcPr>
            <w:tcW w:w="4421" w:type="dxa"/>
            <w:shd w:val="clear" w:color="auto" w:fill="auto"/>
            <w:vAlign w:val="center"/>
          </w:tcPr>
          <w:p w14:paraId="42F25486">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B＝600mm，H=1500mm</w:t>
            </w:r>
          </w:p>
        </w:tc>
        <w:tc>
          <w:tcPr>
            <w:tcW w:w="1483" w:type="dxa"/>
            <w:shd w:val="clear" w:color="auto" w:fill="auto"/>
            <w:vAlign w:val="center"/>
          </w:tcPr>
          <w:p w14:paraId="4CD591B3">
            <w:pPr>
              <w:autoSpaceDE w:val="0"/>
              <w:autoSpaceDN w:val="0"/>
              <w:jc w:val="center"/>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eastAsia="zh-CN"/>
              </w:rPr>
              <w:t>不锈钢304</w:t>
            </w:r>
          </w:p>
        </w:tc>
        <w:tc>
          <w:tcPr>
            <w:tcW w:w="763" w:type="dxa"/>
            <w:shd w:val="clear" w:color="auto" w:fill="auto"/>
            <w:vAlign w:val="center"/>
          </w:tcPr>
          <w:p w14:paraId="082BD64D">
            <w:pPr>
              <w:autoSpaceDE w:val="0"/>
              <w:autoSpaceDN w:val="0"/>
              <w:jc w:val="center"/>
              <w:rPr>
                <w:rFonts w:hint="default" w:ascii="Times New Roman" w:hAnsi="Times New Roman" w:cs="Times New Roman" w:eastAsiaTheme="minorEastAsia"/>
                <w:color w:val="auto"/>
                <w:sz w:val="21"/>
                <w:szCs w:val="21"/>
                <w:lang w:val="en-US" w:eastAsia="en-US"/>
              </w:rPr>
            </w:pPr>
            <w:r>
              <w:rPr>
                <w:rFonts w:hint="default" w:ascii="Times New Roman" w:hAnsi="Times New Roman" w:cs="Times New Roman" w:eastAsiaTheme="minorEastAsia"/>
                <w:color w:val="auto"/>
                <w:sz w:val="21"/>
                <w:szCs w:val="21"/>
              </w:rPr>
              <w:t>4套</w:t>
            </w:r>
          </w:p>
        </w:tc>
      </w:tr>
    </w:tbl>
    <w:p w14:paraId="6A3FD5CF">
      <w:pPr>
        <w:spacing w:line="240" w:lineRule="auto"/>
        <w:ind w:firstLine="480" w:firstLineChars="200"/>
        <w:jc w:val="center"/>
        <w:rPr>
          <w:rFonts w:hint="eastAsia" w:ascii="Times New Roman" w:hAnsi="Times New Roman" w:eastAsia="宋体" w:cs="Times New Roman"/>
          <w:color w:val="auto"/>
          <w:sz w:val="24"/>
          <w:highlight w:val="none"/>
          <w:lang w:val="en-US" w:eastAsia="zh-CN"/>
        </w:rPr>
      </w:pPr>
    </w:p>
    <w:p w14:paraId="05762206">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生产工艺流程</w:t>
      </w:r>
    </w:p>
    <w:p w14:paraId="4F24EE7A">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 xml:space="preserve">项目运营期工艺流程图如下所示： </w:t>
      </w:r>
    </w:p>
    <w:p w14:paraId="408BFEBB">
      <w:pPr>
        <w:bidi w:val="0"/>
        <w:jc w:val="center"/>
        <w:rPr>
          <w:color w:val="auto"/>
        </w:rPr>
      </w:pPr>
      <w:r>
        <w:rPr>
          <w:color w:val="auto"/>
        </w:rPr>
        <w:object>
          <v:shape id="_x0000_i1025" o:spt="75" type="#_x0000_t75" style="height:419.55pt;width:441.45pt;" o:ole="t" filled="f" o:preferrelative="t" stroked="f" coordsize="21600,21600">
            <v:path/>
            <v:fill on="f" focussize="0,0"/>
            <v:stroke on="f"/>
            <v:imagedata r:id="rId22" o:title=""/>
            <o:lock v:ext="edit" aspectratio="t"/>
            <w10:wrap type="none"/>
            <w10:anchorlock/>
          </v:shape>
          <o:OLEObject Type="Embed" ProgID="Visio.Drawing.11" ShapeID="_x0000_i1025" DrawAspect="Content" ObjectID="_1468075725" r:id="rId21">
            <o:LockedField>false</o:LockedField>
          </o:OLEObject>
        </w:object>
      </w:r>
    </w:p>
    <w:p w14:paraId="75958F3F">
      <w:pPr>
        <w:spacing w:line="360" w:lineRule="auto"/>
        <w:ind w:firstLine="480" w:firstLineChars="200"/>
        <w:jc w:val="center"/>
        <w:rPr>
          <w:rFonts w:ascii="Times New Roman" w:hAnsi="Times New Roman"/>
          <w:color w:val="auto"/>
          <w:sz w:val="24"/>
          <w:highlight w:val="none"/>
          <w:lang w:val="en-US" w:eastAsia="zh-CN"/>
        </w:rPr>
      </w:pPr>
      <w:r>
        <w:rPr>
          <w:rFonts w:hint="eastAsia" w:ascii="Times New Roman" w:hAnsi="Times New Roman"/>
          <w:color w:val="auto"/>
          <w:sz w:val="24"/>
          <w:highlight w:val="none"/>
          <w:lang w:val="en-US" w:eastAsia="zh-CN"/>
        </w:rPr>
        <w:t>图2.</w:t>
      </w:r>
      <w:r>
        <w:rPr>
          <w:rFonts w:hint="eastAsia"/>
          <w:color w:val="auto"/>
          <w:sz w:val="24"/>
          <w:highlight w:val="none"/>
          <w:lang w:val="en-US" w:eastAsia="zh-CN"/>
        </w:rPr>
        <w:t>3</w:t>
      </w:r>
      <w:r>
        <w:rPr>
          <w:rFonts w:hint="eastAsia" w:ascii="Times New Roman" w:hAnsi="Times New Roman"/>
          <w:color w:val="auto"/>
          <w:sz w:val="24"/>
          <w:highlight w:val="none"/>
          <w:lang w:val="en-US" w:eastAsia="zh-CN"/>
        </w:rPr>
        <w:t>-1产污工艺流程图</w:t>
      </w:r>
    </w:p>
    <w:p w14:paraId="54EC9111">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工艺流程简述：</w:t>
      </w:r>
    </w:p>
    <w:p w14:paraId="1B302E32">
      <w:pPr>
        <w:spacing w:line="360" w:lineRule="auto"/>
        <w:ind w:firstLine="480" w:firstLineChars="200"/>
        <w:rPr>
          <w:rFonts w:ascii="Times New Roman" w:hAnsi="Times New Roman"/>
          <w:color w:val="auto"/>
          <w:sz w:val="24"/>
        </w:rPr>
      </w:pPr>
      <w:r>
        <w:rPr>
          <w:rFonts w:ascii="Times New Roman" w:hAnsi="Times New Roman"/>
          <w:color w:val="auto"/>
          <w:sz w:val="24"/>
        </w:rPr>
        <w:t>（1）预处理(</w:t>
      </w:r>
      <w:r>
        <w:rPr>
          <w:color w:val="auto"/>
          <w:sz w:val="24"/>
        </w:rPr>
        <w:t>粗格栅渠、进水泵站、细格栅渠、沉砂池</w:t>
      </w:r>
      <w:r>
        <w:rPr>
          <w:rFonts w:ascii="Times New Roman" w:hAnsi="Times New Roman"/>
          <w:color w:val="auto"/>
          <w:sz w:val="24"/>
        </w:rPr>
        <w:t xml:space="preserve">) </w:t>
      </w:r>
    </w:p>
    <w:p w14:paraId="67A226EA">
      <w:pPr>
        <w:spacing w:line="360" w:lineRule="auto"/>
        <w:ind w:firstLine="480" w:firstLineChars="200"/>
        <w:rPr>
          <w:rFonts w:ascii="Times New Roman" w:hAnsi="Times New Roman"/>
          <w:color w:val="auto"/>
          <w:sz w:val="24"/>
        </w:rPr>
      </w:pPr>
      <w:r>
        <w:rPr>
          <w:color w:val="auto"/>
          <w:sz w:val="24"/>
        </w:rPr>
        <w:t>污水通过进水管进入粗格栅渠，去除较粗大的漂浮物后，经提升后进入细格栅、沉砂池，分离出较细小的悬浮物和密度较大的无机颗粒，再进入生化段进行处理</w:t>
      </w:r>
      <w:r>
        <w:rPr>
          <w:rFonts w:ascii="Times New Roman" w:hAnsi="Times New Roman"/>
          <w:color w:val="auto"/>
          <w:sz w:val="24"/>
        </w:rPr>
        <w:t xml:space="preserve">； </w:t>
      </w:r>
    </w:p>
    <w:p w14:paraId="28F69F9C">
      <w:pPr>
        <w:spacing w:line="360" w:lineRule="auto"/>
        <w:ind w:firstLine="480" w:firstLineChars="200"/>
        <w:rPr>
          <w:rFonts w:ascii="Times New Roman" w:hAnsi="Times New Roman"/>
          <w:color w:val="auto"/>
          <w:sz w:val="24"/>
        </w:rPr>
      </w:pPr>
      <w:r>
        <w:rPr>
          <w:rFonts w:ascii="Times New Roman" w:hAnsi="Times New Roman"/>
          <w:color w:val="auto"/>
          <w:sz w:val="24"/>
        </w:rPr>
        <w:t xml:space="preserve">（2）生物处理 </w:t>
      </w:r>
    </w:p>
    <w:p w14:paraId="05D67EF4">
      <w:pPr>
        <w:spacing w:line="360" w:lineRule="auto"/>
        <w:ind w:firstLine="480" w:firstLineChars="200"/>
        <w:rPr>
          <w:color w:val="auto"/>
          <w:sz w:val="24"/>
        </w:rPr>
      </w:pPr>
      <w:r>
        <w:rPr>
          <w:color w:val="auto"/>
          <w:sz w:val="24"/>
        </w:rPr>
        <w:t>卡鲁赛尔氧化沟为多沟串联系统，在沟体内存在缺氧区和好氧区，可实现同时脱氮除磷的目的。但由于缺氧区要求的充足碳源和较好的缺氧条件不能很好地满足，所以脱氮能力受到一定的限制。针对以上问题，改良型卡鲁赛尔氧化沟在原有工艺的基础上增设了厌氧选择区、厌氧区和缺氧区（前置反硝化区），从而在有效利用氧化沟内水力循环和无动力内回流等特点的同时，实现了氧化沟与AAO工艺的结合，使其在预防污泥膨胀和提高脱氮除磷能力方面更具显著优势。</w:t>
      </w:r>
    </w:p>
    <w:p w14:paraId="40890BD0">
      <w:pPr>
        <w:spacing w:line="360" w:lineRule="auto"/>
        <w:ind w:firstLine="480" w:firstLineChars="200"/>
        <w:rPr>
          <w:color w:val="auto"/>
          <w:sz w:val="24"/>
        </w:rPr>
      </w:pPr>
      <w:r>
        <w:rPr>
          <w:color w:val="auto"/>
          <w:sz w:val="24"/>
        </w:rPr>
        <w:t>在改良型卡鲁赛尔氧化沟系统的活性污泥中，菌群主要由硝化菌、反硝化菌和聚磷菌组成。在厌氧区，污水在碱性厌氧发酵菌的作用下，将部分易生物降解的大分子有机物转化成小分子的挥发性脂肪酸（VFA），聚磷菌吸收这些小分子有机物合成PHB并贮存在体内作为营养源，同时将体内存贮的聚磷酸盐以PO</w:t>
      </w:r>
      <w:r>
        <w:rPr>
          <w:color w:val="auto"/>
          <w:sz w:val="24"/>
          <w:vertAlign w:val="subscript"/>
        </w:rPr>
        <w:t>4</w:t>
      </w:r>
      <w:r>
        <w:rPr>
          <w:color w:val="auto"/>
          <w:sz w:val="24"/>
          <w:vertAlign w:val="superscript"/>
        </w:rPr>
        <w:t>3-</w:t>
      </w:r>
      <w:r>
        <w:rPr>
          <w:color w:val="auto"/>
          <w:sz w:val="24"/>
        </w:rPr>
        <w:t>-P的形式释放出来，释放的能量可供兼性的聚磷菌在厌氧的压抑环境下维持生存。在前置缺氧区，反硝化菌利用污水中的有机物和内回流中的硝化盐通过反硝化作用，将NO</w:t>
      </w:r>
      <w:r>
        <w:rPr>
          <w:color w:val="auto"/>
          <w:sz w:val="24"/>
          <w:vertAlign w:val="subscript"/>
        </w:rPr>
        <w:t>2</w:t>
      </w:r>
      <w:r>
        <w:rPr>
          <w:color w:val="auto"/>
          <w:sz w:val="24"/>
          <w:vertAlign w:val="superscript"/>
        </w:rPr>
        <w:t>-</w:t>
      </w:r>
      <w:r>
        <w:rPr>
          <w:color w:val="auto"/>
          <w:sz w:val="24"/>
        </w:rPr>
        <w:t>-N，NO</w:t>
      </w:r>
      <w:r>
        <w:rPr>
          <w:color w:val="auto"/>
          <w:sz w:val="24"/>
          <w:vertAlign w:val="subscript"/>
        </w:rPr>
        <w:t>2</w:t>
      </w:r>
      <w:r>
        <w:rPr>
          <w:color w:val="auto"/>
          <w:sz w:val="24"/>
          <w:vertAlign w:val="superscript"/>
        </w:rPr>
        <w:t>-</w:t>
      </w:r>
      <w:r>
        <w:rPr>
          <w:color w:val="auto"/>
          <w:sz w:val="24"/>
        </w:rPr>
        <w:t>-N转化成N</w:t>
      </w:r>
      <w:r>
        <w:rPr>
          <w:color w:val="auto"/>
          <w:sz w:val="24"/>
          <w:vertAlign w:val="subscript"/>
        </w:rPr>
        <w:t>2</w:t>
      </w:r>
      <w:r>
        <w:rPr>
          <w:color w:val="auto"/>
          <w:sz w:val="24"/>
        </w:rPr>
        <w:t>逸出；同时一部分聚磷菌利用内回流带来的硝酸盐作为最终电子受体以分解细胞内的PHB，产生的能量用于磷的吸收和聚磷的合成，从而达到脱氮和部分脱氮除磷的目的，而且可恢复硝化阶段约50%的碱度。在好氧状态下则将体内存贮的PHB氧化分解，获取能量供自身生长、繁殖，同时将污水中的溶解性磷超量吸收至体内，以聚磷酸盐的形式贮存起来。在随后的沉淀分离中，含有大量磷的污泥以剩余污泥的形式送至污泥脱水系统，从而达到除磷的目的。</w:t>
      </w:r>
    </w:p>
    <w:p w14:paraId="541C8730">
      <w:pPr>
        <w:spacing w:line="360" w:lineRule="auto"/>
        <w:ind w:firstLine="480" w:firstLineChars="200"/>
        <w:rPr>
          <w:rStyle w:val="86"/>
          <w:rFonts w:hint="eastAsia"/>
          <w:color w:val="auto"/>
          <w:sz w:val="24"/>
        </w:rPr>
      </w:pPr>
      <w:r>
        <w:rPr>
          <w:color w:val="auto"/>
          <w:sz w:val="24"/>
        </w:rPr>
        <w:t>生化池出水进入二沉池、混凝沉淀池、转鼓微过滤器，</w:t>
      </w:r>
      <w:r>
        <w:rPr>
          <w:color w:val="auto"/>
          <w:kern w:val="0"/>
          <w:sz w:val="24"/>
        </w:rPr>
        <w:t>进行混合液固液分离，确保污水厂出水SS 和BOD</w:t>
      </w:r>
      <w:r>
        <w:rPr>
          <w:color w:val="auto"/>
          <w:kern w:val="0"/>
          <w:sz w:val="24"/>
          <w:vertAlign w:val="subscript"/>
        </w:rPr>
        <w:t>5</w:t>
      </w:r>
      <w:r>
        <w:rPr>
          <w:color w:val="auto"/>
          <w:kern w:val="0"/>
          <w:sz w:val="24"/>
        </w:rPr>
        <w:t>等达到所要求的排放标准</w:t>
      </w:r>
      <w:r>
        <w:rPr>
          <w:color w:val="auto"/>
          <w:sz w:val="24"/>
        </w:rPr>
        <w:t>，沉淀下来的污泥一部分回流至氧化沟，剩余污泥排到</w:t>
      </w:r>
      <w:r>
        <w:rPr>
          <w:rStyle w:val="86"/>
          <w:color w:val="auto"/>
          <w:sz w:val="24"/>
        </w:rPr>
        <w:t>贮泥池，浓缩的污泥引致污泥脱水间</w:t>
      </w:r>
      <w:r>
        <w:rPr>
          <w:color w:val="auto"/>
          <w:kern w:val="0"/>
          <w:sz w:val="24"/>
        </w:rPr>
        <w:t>对污泥进行加药调理后，使用</w:t>
      </w:r>
      <w:r>
        <w:rPr>
          <w:color w:val="auto"/>
          <w:sz w:val="24"/>
        </w:rPr>
        <w:t>叠螺式脱水机</w:t>
      </w:r>
      <w:r>
        <w:rPr>
          <w:color w:val="auto"/>
          <w:kern w:val="0"/>
          <w:sz w:val="24"/>
        </w:rPr>
        <w:t>脱水处理</w:t>
      </w:r>
      <w:r>
        <w:rPr>
          <w:color w:val="auto"/>
          <w:sz w:val="24"/>
        </w:rPr>
        <w:t>，叠螺污泥脱水机产生的废水输送至污水处理厂进水口，经项目污水处理厂处理达标后排放。转鼓微过滤器出水经紫外线</w:t>
      </w:r>
      <w:r>
        <w:rPr>
          <w:color w:val="auto"/>
          <w:kern w:val="0"/>
          <w:sz w:val="24"/>
        </w:rPr>
        <w:t>消毒</w:t>
      </w:r>
      <w:r>
        <w:rPr>
          <w:color w:val="auto"/>
          <w:sz w:val="24"/>
        </w:rPr>
        <w:t>后污水达标排放</w:t>
      </w:r>
      <w:r>
        <w:rPr>
          <w:rFonts w:ascii="Times New Roman" w:hAnsi="Times New Roman"/>
          <w:color w:val="auto"/>
          <w:sz w:val="24"/>
        </w:rPr>
        <w:t xml:space="preserve">。 </w:t>
      </w:r>
    </w:p>
    <w:p w14:paraId="30A2AEC6">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水污染源分析</w:t>
      </w:r>
    </w:p>
    <w:p w14:paraId="3429DCBB">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w:t>
      </w:r>
      <w:r>
        <w:rPr>
          <w:rFonts w:hint="default"/>
          <w:color w:val="auto"/>
          <w:sz w:val="24"/>
          <w:highlight w:val="none"/>
          <w:lang w:val="en-US" w:eastAsia="zh-CN"/>
        </w:rPr>
        <w:t>1</w:t>
      </w:r>
      <w:r>
        <w:rPr>
          <w:rFonts w:hint="eastAsia"/>
          <w:color w:val="auto"/>
          <w:sz w:val="24"/>
          <w:highlight w:val="none"/>
          <w:lang w:val="en-US" w:eastAsia="zh-CN"/>
        </w:rPr>
        <w:t>）处理尾水</w:t>
      </w:r>
    </w:p>
    <w:p w14:paraId="42F5A858">
      <w:pPr>
        <w:spacing w:line="360" w:lineRule="auto"/>
        <w:ind w:firstLine="480" w:firstLineChars="200"/>
        <w:rPr>
          <w:rFonts w:hint="eastAsia"/>
          <w:color w:val="auto"/>
          <w:sz w:val="24"/>
          <w:highlight w:val="none"/>
          <w:lang w:val="en-US" w:eastAsia="zh-CN"/>
        </w:rPr>
      </w:pPr>
      <w:r>
        <w:rPr>
          <w:rFonts w:hint="eastAsia"/>
          <w:color w:val="auto"/>
          <w:sz w:val="24"/>
        </w:rPr>
        <w:t>本项目主要收集处理城镇生活污水，设计规模为</w:t>
      </w:r>
      <w:r>
        <w:rPr>
          <w:color w:val="auto"/>
          <w:sz w:val="24"/>
        </w:rPr>
        <w:t>3000m</w:t>
      </w:r>
      <w:r>
        <w:rPr>
          <w:color w:val="auto"/>
          <w:sz w:val="24"/>
          <w:vertAlign w:val="superscript"/>
        </w:rPr>
        <w:t>3</w:t>
      </w:r>
      <w:r>
        <w:rPr>
          <w:color w:val="auto"/>
          <w:sz w:val="24"/>
        </w:rPr>
        <w:t>/d</w:t>
      </w:r>
      <w:r>
        <w:rPr>
          <w:rFonts w:hint="eastAsia"/>
          <w:bCs/>
          <w:color w:val="auto"/>
          <w:kern w:val="0"/>
          <w:sz w:val="24"/>
        </w:rPr>
        <w:t>。污水处理厂的</w:t>
      </w:r>
      <w:r>
        <w:rPr>
          <w:rFonts w:hint="eastAsia"/>
          <w:color w:val="auto"/>
          <w:sz w:val="24"/>
        </w:rPr>
        <w:t>工作时间按</w:t>
      </w:r>
      <w:r>
        <w:rPr>
          <w:color w:val="auto"/>
          <w:sz w:val="24"/>
        </w:rPr>
        <w:t>365</w:t>
      </w:r>
      <w:r>
        <w:rPr>
          <w:rFonts w:hint="eastAsia"/>
          <w:color w:val="auto"/>
          <w:sz w:val="24"/>
        </w:rPr>
        <w:t>天计，则本项目总处理量为：</w:t>
      </w:r>
      <w:r>
        <w:rPr>
          <w:color w:val="auto"/>
          <w:sz w:val="24"/>
        </w:rPr>
        <w:t>109.5</w:t>
      </w:r>
      <w:r>
        <w:rPr>
          <w:rFonts w:hint="eastAsia"/>
          <w:color w:val="auto"/>
          <w:sz w:val="24"/>
        </w:rPr>
        <w:t>万</w:t>
      </w:r>
      <w:r>
        <w:rPr>
          <w:color w:val="auto"/>
          <w:sz w:val="24"/>
        </w:rPr>
        <w:t>m</w:t>
      </w:r>
      <w:r>
        <w:rPr>
          <w:color w:val="auto"/>
          <w:sz w:val="24"/>
          <w:vertAlign w:val="superscript"/>
        </w:rPr>
        <w:t>3</w:t>
      </w:r>
      <w:r>
        <w:rPr>
          <w:color w:val="auto"/>
          <w:sz w:val="24"/>
        </w:rPr>
        <w:t>/a</w:t>
      </w:r>
      <w:r>
        <w:rPr>
          <w:rFonts w:hint="eastAsia"/>
          <w:color w:val="auto"/>
          <w:sz w:val="24"/>
        </w:rPr>
        <w:t>。根据本项目设计进出水水质，分别计算进水处理前后污染物量</w:t>
      </w:r>
      <w:r>
        <w:rPr>
          <w:rFonts w:hint="eastAsia"/>
          <w:color w:val="auto"/>
          <w:sz w:val="24"/>
          <w:highlight w:val="none"/>
          <w:lang w:val="en-US" w:eastAsia="zh-CN"/>
        </w:rPr>
        <w:t>，见下表。</w:t>
      </w:r>
    </w:p>
    <w:p w14:paraId="6A0822EC">
      <w:pPr>
        <w:spacing w:line="240" w:lineRule="auto"/>
        <w:ind w:firstLine="422" w:firstLineChars="200"/>
        <w:jc w:val="center"/>
        <w:rPr>
          <w:rFonts w:hint="eastAsia" w:ascii="Times New Roman" w:hAnsi="Times New Roman" w:eastAsia="宋体" w:cs="Times New Roman"/>
          <w:b/>
          <w:bCs/>
          <w:color w:val="auto"/>
          <w:sz w:val="21"/>
          <w:szCs w:val="18"/>
          <w:highlight w:val="none"/>
          <w:lang w:val="en-US" w:eastAsia="zh-CN"/>
        </w:rPr>
      </w:pPr>
      <w:r>
        <w:rPr>
          <w:rFonts w:hint="eastAsia" w:cs="Times New Roman"/>
          <w:b/>
          <w:bCs/>
          <w:color w:val="auto"/>
          <w:sz w:val="21"/>
          <w:szCs w:val="18"/>
          <w:highlight w:val="none"/>
          <w:lang w:val="en-US" w:eastAsia="zh-CN"/>
        </w:rPr>
        <w:t>2.3-5</w:t>
      </w:r>
      <w:r>
        <w:rPr>
          <w:rFonts w:hint="eastAsia" w:ascii="Times New Roman" w:hAnsi="Times New Roman" w:eastAsia="宋体" w:cs="Times New Roman"/>
          <w:b/>
          <w:bCs/>
          <w:color w:val="auto"/>
          <w:sz w:val="21"/>
          <w:szCs w:val="18"/>
          <w:highlight w:val="none"/>
          <w:lang w:val="en-US" w:eastAsia="zh-CN"/>
        </w:rPr>
        <w:t>项目污水产排情况一览表</w:t>
      </w:r>
    </w:p>
    <w:tbl>
      <w:tblPr>
        <w:tblStyle w:val="31"/>
        <w:tblW w:w="4673" w:type="pct"/>
        <w:tblInd w:w="646" w:type="dxa"/>
        <w:tblLayout w:type="autofit"/>
        <w:tblCellMar>
          <w:top w:w="0" w:type="dxa"/>
          <w:left w:w="0" w:type="dxa"/>
          <w:bottom w:w="0" w:type="dxa"/>
          <w:right w:w="0" w:type="dxa"/>
        </w:tblCellMar>
      </w:tblPr>
      <w:tblGrid>
        <w:gridCol w:w="1142"/>
        <w:gridCol w:w="1229"/>
        <w:gridCol w:w="1819"/>
        <w:gridCol w:w="798"/>
        <w:gridCol w:w="880"/>
        <w:gridCol w:w="814"/>
        <w:gridCol w:w="731"/>
        <w:gridCol w:w="746"/>
        <w:gridCol w:w="776"/>
      </w:tblGrid>
      <w:tr w14:paraId="5D0D787B">
        <w:tblPrEx>
          <w:tblCellMar>
            <w:top w:w="0" w:type="dxa"/>
            <w:left w:w="0" w:type="dxa"/>
            <w:bottom w:w="0" w:type="dxa"/>
            <w:right w:w="0" w:type="dxa"/>
          </w:tblCellMar>
        </w:tblPrEx>
        <w:trPr>
          <w:cantSplit/>
          <w:trHeight w:val="395" w:hRule="atLeast"/>
        </w:trPr>
        <w:tc>
          <w:tcPr>
            <w:tcW w:w="639" w:type="pct"/>
            <w:tcBorders>
              <w:top w:val="single" w:color="000000" w:sz="4" w:space="0"/>
              <w:left w:val="single" w:color="000000" w:sz="4" w:space="0"/>
              <w:bottom w:val="single" w:color="000000" w:sz="4" w:space="0"/>
              <w:right w:val="single" w:color="000000" w:sz="4" w:space="0"/>
            </w:tcBorders>
            <w:vAlign w:val="center"/>
          </w:tcPr>
          <w:p w14:paraId="0D02C58E">
            <w:pPr>
              <w:pStyle w:val="53"/>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b/>
                <w:bCs/>
                <w:color w:val="auto"/>
                <w:sz w:val="21"/>
                <w:szCs w:val="21"/>
              </w:rPr>
            </w:pPr>
            <w:r>
              <w:rPr>
                <w:rFonts w:hint="default" w:ascii="Times New Roman" w:hAnsi="Times New Roman" w:cs="Times New Roman"/>
                <w:b/>
                <w:bCs/>
                <w:color w:val="auto"/>
                <w:kern w:val="0"/>
                <w:szCs w:val="21"/>
              </w:rPr>
              <w:t>废水类型</w:t>
            </w:r>
          </w:p>
        </w:tc>
        <w:tc>
          <w:tcPr>
            <w:tcW w:w="687" w:type="pct"/>
            <w:tcBorders>
              <w:top w:val="single" w:color="000000" w:sz="4" w:space="0"/>
              <w:left w:val="single" w:color="000000" w:sz="4" w:space="0"/>
              <w:bottom w:val="single" w:color="000000" w:sz="4" w:space="0"/>
              <w:right w:val="single" w:color="000000" w:sz="4" w:space="0"/>
            </w:tcBorders>
            <w:vAlign w:val="center"/>
          </w:tcPr>
          <w:p w14:paraId="6587DB53">
            <w:pPr>
              <w:pStyle w:val="53"/>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sz w:val="21"/>
                <w:szCs w:val="21"/>
              </w:rPr>
              <w:t>水量</w:t>
            </w:r>
          </w:p>
        </w:tc>
        <w:tc>
          <w:tcPr>
            <w:tcW w:w="1017" w:type="pct"/>
            <w:tcBorders>
              <w:top w:val="single" w:color="000000" w:sz="4" w:space="0"/>
              <w:left w:val="single" w:color="000000" w:sz="4" w:space="0"/>
              <w:bottom w:val="single" w:color="000000" w:sz="4" w:space="0"/>
              <w:right w:val="single" w:color="000000" w:sz="4" w:space="0"/>
            </w:tcBorders>
            <w:vAlign w:val="center"/>
          </w:tcPr>
          <w:p w14:paraId="31101275">
            <w:pPr>
              <w:jc w:val="center"/>
              <w:rPr>
                <w:rFonts w:hint="default" w:ascii="Times New Roman" w:hAnsi="Times New Roman" w:eastAsia="宋体" w:cs="Times New Roman"/>
                <w:b/>
                <w:bCs/>
                <w:color w:val="auto"/>
                <w:kern w:val="2"/>
                <w:sz w:val="21"/>
                <w:szCs w:val="20"/>
                <w:lang w:val="en-US" w:eastAsia="zh-CN" w:bidi="ar-SA"/>
              </w:rPr>
            </w:pPr>
            <w:r>
              <w:rPr>
                <w:rFonts w:hint="default" w:ascii="Times New Roman" w:hAnsi="Times New Roman" w:eastAsia="宋体" w:cs="Times New Roman"/>
                <w:b/>
                <w:bCs/>
                <w:color w:val="auto"/>
                <w:szCs w:val="20"/>
              </w:rPr>
              <w:t>污染物</w:t>
            </w:r>
          </w:p>
        </w:tc>
        <w:tc>
          <w:tcPr>
            <w:tcW w:w="446" w:type="pct"/>
            <w:tcBorders>
              <w:top w:val="single" w:color="000000" w:sz="4" w:space="0"/>
              <w:left w:val="single" w:color="000000" w:sz="4" w:space="0"/>
              <w:bottom w:val="single" w:color="000000" w:sz="4" w:space="0"/>
              <w:right w:val="single" w:color="000000" w:sz="4" w:space="0"/>
            </w:tcBorders>
            <w:vAlign w:val="center"/>
          </w:tcPr>
          <w:p w14:paraId="5F0EBBD3">
            <w:pPr>
              <w:jc w:val="center"/>
              <w:rPr>
                <w:rFonts w:hint="default" w:ascii="Times New Roman" w:hAnsi="Times New Roman" w:eastAsia="宋体" w:cs="Times New Roman"/>
                <w:b/>
                <w:bCs/>
                <w:color w:val="auto"/>
                <w:kern w:val="2"/>
                <w:sz w:val="21"/>
                <w:szCs w:val="20"/>
                <w:lang w:val="en-US" w:eastAsia="zh-CN" w:bidi="ar-SA"/>
              </w:rPr>
            </w:pPr>
            <w:r>
              <w:rPr>
                <w:rFonts w:hint="default" w:ascii="Times New Roman" w:hAnsi="Times New Roman" w:eastAsia="宋体" w:cs="Times New Roman"/>
                <w:b/>
                <w:bCs/>
                <w:color w:val="auto"/>
                <w:szCs w:val="20"/>
              </w:rPr>
              <w:t>COD</w:t>
            </w:r>
            <w:r>
              <w:rPr>
                <w:rFonts w:hint="default" w:ascii="Times New Roman" w:hAnsi="Times New Roman" w:eastAsia="宋体" w:cs="Times New Roman"/>
                <w:b/>
                <w:bCs/>
                <w:color w:val="auto"/>
                <w:szCs w:val="20"/>
                <w:vertAlign w:val="subscript"/>
              </w:rPr>
              <w:t>Cr</w:t>
            </w:r>
          </w:p>
        </w:tc>
        <w:tc>
          <w:tcPr>
            <w:tcW w:w="492" w:type="pct"/>
            <w:tcBorders>
              <w:top w:val="single" w:color="000000" w:sz="4" w:space="0"/>
              <w:left w:val="single" w:color="000000" w:sz="4" w:space="0"/>
              <w:bottom w:val="single" w:color="000000" w:sz="4" w:space="0"/>
              <w:right w:val="single" w:color="000000" w:sz="4" w:space="0"/>
            </w:tcBorders>
            <w:vAlign w:val="center"/>
          </w:tcPr>
          <w:p w14:paraId="581270F7">
            <w:pPr>
              <w:jc w:val="center"/>
              <w:rPr>
                <w:rFonts w:hint="default" w:ascii="Times New Roman" w:hAnsi="Times New Roman" w:eastAsia="宋体" w:cs="Times New Roman"/>
                <w:b/>
                <w:bCs/>
                <w:color w:val="auto"/>
                <w:kern w:val="2"/>
                <w:sz w:val="21"/>
                <w:szCs w:val="20"/>
                <w:lang w:val="en-US" w:eastAsia="zh-CN" w:bidi="ar-SA"/>
              </w:rPr>
            </w:pPr>
            <w:r>
              <w:rPr>
                <w:rFonts w:hint="default" w:ascii="Times New Roman" w:hAnsi="Times New Roman" w:eastAsia="宋体" w:cs="Times New Roman"/>
                <w:b/>
                <w:bCs/>
                <w:color w:val="auto"/>
                <w:szCs w:val="20"/>
              </w:rPr>
              <w:t>BOD</w:t>
            </w:r>
            <w:r>
              <w:rPr>
                <w:rFonts w:hint="default" w:ascii="Times New Roman" w:hAnsi="Times New Roman" w:eastAsia="宋体" w:cs="Times New Roman"/>
                <w:b/>
                <w:bCs/>
                <w:color w:val="auto"/>
                <w:szCs w:val="20"/>
                <w:vertAlign w:val="subscript"/>
              </w:rPr>
              <w:t>5</w:t>
            </w:r>
          </w:p>
        </w:tc>
        <w:tc>
          <w:tcPr>
            <w:tcW w:w="455" w:type="pct"/>
            <w:tcBorders>
              <w:top w:val="single" w:color="000000" w:sz="4" w:space="0"/>
              <w:left w:val="single" w:color="000000" w:sz="4" w:space="0"/>
              <w:bottom w:val="single" w:color="000000" w:sz="4" w:space="0"/>
              <w:right w:val="single" w:color="000000" w:sz="4" w:space="0"/>
            </w:tcBorders>
            <w:vAlign w:val="center"/>
          </w:tcPr>
          <w:p w14:paraId="29EA08F5">
            <w:pPr>
              <w:jc w:val="center"/>
              <w:rPr>
                <w:rFonts w:hint="default" w:ascii="Times New Roman" w:hAnsi="Times New Roman" w:eastAsia="宋体" w:cs="Times New Roman"/>
                <w:b/>
                <w:bCs/>
                <w:color w:val="auto"/>
                <w:kern w:val="2"/>
                <w:sz w:val="21"/>
                <w:szCs w:val="20"/>
                <w:lang w:val="en-US" w:eastAsia="zh-CN" w:bidi="ar-SA"/>
              </w:rPr>
            </w:pPr>
            <w:r>
              <w:rPr>
                <w:rFonts w:hint="default" w:ascii="Times New Roman" w:hAnsi="Times New Roman" w:eastAsia="宋体" w:cs="Times New Roman"/>
                <w:b/>
                <w:bCs/>
                <w:color w:val="auto"/>
                <w:szCs w:val="20"/>
              </w:rPr>
              <w:t>SS</w:t>
            </w:r>
          </w:p>
        </w:tc>
        <w:tc>
          <w:tcPr>
            <w:tcW w:w="409" w:type="pct"/>
            <w:tcBorders>
              <w:top w:val="single" w:color="000000" w:sz="4" w:space="0"/>
              <w:left w:val="single" w:color="000000" w:sz="4" w:space="0"/>
              <w:bottom w:val="single" w:color="000000" w:sz="4" w:space="0"/>
              <w:right w:val="single" w:color="000000" w:sz="4" w:space="0"/>
            </w:tcBorders>
            <w:vAlign w:val="center"/>
          </w:tcPr>
          <w:p w14:paraId="7E20CDB0">
            <w:pPr>
              <w:jc w:val="center"/>
              <w:rPr>
                <w:rFonts w:hint="default" w:ascii="Times New Roman" w:hAnsi="Times New Roman" w:eastAsia="宋体" w:cs="Times New Roman"/>
                <w:b/>
                <w:bCs/>
                <w:color w:val="auto"/>
                <w:kern w:val="2"/>
                <w:sz w:val="21"/>
                <w:szCs w:val="20"/>
                <w:lang w:val="en-US" w:eastAsia="zh-CN" w:bidi="ar-SA"/>
              </w:rPr>
            </w:pPr>
            <w:r>
              <w:rPr>
                <w:rFonts w:hint="default" w:ascii="Times New Roman" w:hAnsi="Times New Roman" w:eastAsia="宋体" w:cs="Times New Roman"/>
                <w:b/>
                <w:bCs/>
                <w:color w:val="auto"/>
                <w:szCs w:val="20"/>
              </w:rPr>
              <w:t>NH</w:t>
            </w:r>
            <w:r>
              <w:rPr>
                <w:rFonts w:hint="default" w:ascii="Times New Roman" w:hAnsi="Times New Roman" w:eastAsia="宋体" w:cs="Times New Roman"/>
                <w:b/>
                <w:bCs/>
                <w:color w:val="auto"/>
                <w:szCs w:val="20"/>
                <w:vertAlign w:val="subscript"/>
              </w:rPr>
              <w:t>3</w:t>
            </w:r>
            <w:r>
              <w:rPr>
                <w:rFonts w:hint="default" w:ascii="Times New Roman" w:hAnsi="Times New Roman" w:eastAsia="宋体" w:cs="Times New Roman"/>
                <w:b/>
                <w:bCs/>
                <w:color w:val="auto"/>
                <w:szCs w:val="20"/>
              </w:rPr>
              <w:t>-N</w:t>
            </w:r>
          </w:p>
        </w:tc>
        <w:tc>
          <w:tcPr>
            <w:tcW w:w="417" w:type="pct"/>
            <w:tcBorders>
              <w:top w:val="single" w:color="000000" w:sz="4" w:space="0"/>
              <w:left w:val="single" w:color="000000" w:sz="4" w:space="0"/>
              <w:bottom w:val="single" w:color="000000" w:sz="4" w:space="0"/>
              <w:right w:val="single" w:color="000000" w:sz="4" w:space="0"/>
            </w:tcBorders>
            <w:vAlign w:val="center"/>
          </w:tcPr>
          <w:p w14:paraId="78DF086E">
            <w:pPr>
              <w:jc w:val="center"/>
              <w:rPr>
                <w:rFonts w:hint="default" w:ascii="Times New Roman" w:hAnsi="Times New Roman" w:eastAsia="宋体" w:cs="Times New Roman"/>
                <w:b/>
                <w:bCs/>
                <w:color w:val="auto"/>
                <w:kern w:val="2"/>
                <w:sz w:val="21"/>
                <w:szCs w:val="20"/>
                <w:lang w:val="en-US" w:eastAsia="zh-CN" w:bidi="ar-SA"/>
              </w:rPr>
            </w:pPr>
            <w:r>
              <w:rPr>
                <w:rFonts w:hint="default" w:ascii="Times New Roman" w:hAnsi="Times New Roman" w:eastAsia="宋体" w:cs="Times New Roman"/>
                <w:b/>
                <w:bCs/>
                <w:color w:val="auto"/>
                <w:szCs w:val="20"/>
              </w:rPr>
              <w:t>TN</w:t>
            </w:r>
          </w:p>
        </w:tc>
        <w:tc>
          <w:tcPr>
            <w:tcW w:w="434" w:type="pct"/>
            <w:tcBorders>
              <w:top w:val="single" w:color="000000" w:sz="4" w:space="0"/>
              <w:left w:val="single" w:color="000000" w:sz="4" w:space="0"/>
              <w:bottom w:val="single" w:color="000000" w:sz="4" w:space="0"/>
              <w:right w:val="single" w:color="000000" w:sz="4" w:space="0"/>
            </w:tcBorders>
            <w:vAlign w:val="center"/>
          </w:tcPr>
          <w:p w14:paraId="3593FF49">
            <w:pPr>
              <w:jc w:val="center"/>
              <w:rPr>
                <w:rFonts w:hint="default" w:ascii="Times New Roman" w:hAnsi="Times New Roman" w:eastAsia="宋体" w:cs="Times New Roman"/>
                <w:b/>
                <w:bCs/>
                <w:color w:val="auto"/>
                <w:kern w:val="2"/>
                <w:sz w:val="21"/>
                <w:szCs w:val="20"/>
                <w:lang w:val="en-US" w:eastAsia="zh-CN" w:bidi="ar-SA"/>
              </w:rPr>
            </w:pPr>
            <w:r>
              <w:rPr>
                <w:rFonts w:hint="default" w:ascii="Times New Roman" w:hAnsi="Times New Roman" w:eastAsia="宋体" w:cs="Times New Roman"/>
                <w:b/>
                <w:bCs/>
                <w:color w:val="auto"/>
                <w:szCs w:val="20"/>
              </w:rPr>
              <w:t>TP</w:t>
            </w:r>
          </w:p>
        </w:tc>
      </w:tr>
      <w:tr w14:paraId="60827F8D">
        <w:tblPrEx>
          <w:tblCellMar>
            <w:top w:w="0" w:type="dxa"/>
            <w:left w:w="0" w:type="dxa"/>
            <w:bottom w:w="0" w:type="dxa"/>
            <w:right w:w="0" w:type="dxa"/>
          </w:tblCellMar>
        </w:tblPrEx>
        <w:trPr>
          <w:cantSplit/>
          <w:trHeight w:val="395" w:hRule="atLeast"/>
        </w:trPr>
        <w:tc>
          <w:tcPr>
            <w:tcW w:w="639" w:type="pct"/>
            <w:vMerge w:val="restart"/>
            <w:tcBorders>
              <w:top w:val="single" w:color="000000" w:sz="4" w:space="0"/>
              <w:left w:val="single" w:color="000000" w:sz="4" w:space="0"/>
              <w:right w:val="single" w:color="000000" w:sz="4" w:space="0"/>
            </w:tcBorders>
            <w:vAlign w:val="center"/>
          </w:tcPr>
          <w:p w14:paraId="220D464B">
            <w:pPr>
              <w:pStyle w:val="53"/>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cs="Times New Roman"/>
                <w:color w:val="auto"/>
                <w:szCs w:val="21"/>
              </w:rPr>
              <w:t>生活污水</w:t>
            </w:r>
          </w:p>
        </w:tc>
        <w:tc>
          <w:tcPr>
            <w:tcW w:w="687" w:type="pct"/>
            <w:vMerge w:val="restart"/>
            <w:tcBorders>
              <w:top w:val="single" w:color="000000" w:sz="4" w:space="0"/>
              <w:left w:val="single" w:color="000000" w:sz="4" w:space="0"/>
              <w:right w:val="single" w:color="000000" w:sz="4" w:space="0"/>
            </w:tcBorders>
            <w:vAlign w:val="center"/>
          </w:tcPr>
          <w:p w14:paraId="3711BB2D">
            <w:pPr>
              <w:pStyle w:val="53"/>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Times New Roman" w:cs="Times New Roman"/>
                <w:color w:val="auto"/>
                <w:sz w:val="21"/>
                <w:szCs w:val="21"/>
              </w:rPr>
            </w:pPr>
            <w:r>
              <w:rPr>
                <w:rFonts w:hint="default" w:ascii="Times New Roman" w:hAnsi="Times New Roman" w:cs="Times New Roman"/>
                <w:color w:val="auto"/>
                <w:sz w:val="21"/>
                <w:lang w:val="en-US" w:eastAsia="zh-CN"/>
              </w:rPr>
              <w:t>3000m</w:t>
            </w:r>
            <w:r>
              <w:rPr>
                <w:rFonts w:hint="default" w:ascii="Times New Roman" w:hAnsi="Times New Roman" w:cs="Times New Roman"/>
                <w:color w:val="auto"/>
                <w:position w:val="7"/>
                <w:sz w:val="13"/>
              </w:rPr>
              <w:t>3</w:t>
            </w:r>
            <w:r>
              <w:rPr>
                <w:rFonts w:hint="default" w:ascii="Times New Roman" w:hAnsi="Times New Roman" w:cs="Times New Roman"/>
                <w:color w:val="auto"/>
                <w:sz w:val="21"/>
              </w:rPr>
              <w:t>/d</w:t>
            </w:r>
          </w:p>
          <w:p w14:paraId="3ECABCAB">
            <w:pPr>
              <w:pStyle w:val="53"/>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r>
              <w:rPr>
                <w:rFonts w:hint="default" w:ascii="Times New Roman" w:hAnsi="Times New Roman" w:cs="Times New Roman"/>
                <w:color w:val="auto"/>
                <w:sz w:val="21"/>
                <w:szCs w:val="21"/>
                <w:lang w:val="en-US" w:eastAsia="zh-CN"/>
              </w:rPr>
              <w:t>109.5</w:t>
            </w:r>
            <w:r>
              <w:rPr>
                <w:rFonts w:hint="default" w:ascii="Times New Roman" w:hAnsi="Times New Roman" w:eastAsia="宋体" w:cs="Times New Roman"/>
                <w:color w:val="auto"/>
                <w:sz w:val="21"/>
                <w:szCs w:val="21"/>
              </w:rPr>
              <w:t>万</w:t>
            </w:r>
            <w:r>
              <w:rPr>
                <w:rFonts w:hint="default" w:ascii="Times New Roman" w:hAnsi="Times New Roman" w:eastAsia="Times New Roman" w:cs="Times New Roman"/>
                <w:color w:val="auto"/>
                <w:sz w:val="21"/>
                <w:szCs w:val="21"/>
              </w:rPr>
              <w:t>m</w:t>
            </w:r>
            <w:r>
              <w:rPr>
                <w:rFonts w:hint="default" w:ascii="Times New Roman" w:hAnsi="Times New Roman" w:eastAsia="Times New Roman" w:cs="Times New Roman"/>
                <w:color w:val="auto"/>
                <w:position w:val="7"/>
                <w:sz w:val="13"/>
                <w:szCs w:val="13"/>
              </w:rPr>
              <w:t>3</w:t>
            </w:r>
            <w:r>
              <w:rPr>
                <w:rFonts w:hint="default" w:ascii="Times New Roman" w:hAnsi="Times New Roman" w:eastAsia="Times New Roman" w:cs="Times New Roman"/>
                <w:color w:val="auto"/>
                <w:sz w:val="21"/>
                <w:szCs w:val="21"/>
              </w:rPr>
              <w:t>/a</w:t>
            </w:r>
            <w:r>
              <w:rPr>
                <w:rFonts w:hint="default" w:ascii="Times New Roman" w:hAnsi="Times New Roman" w:eastAsia="宋体" w:cs="Times New Roman"/>
                <w:color w:val="auto"/>
                <w:sz w:val="21"/>
                <w:szCs w:val="21"/>
              </w:rPr>
              <w:t>）</w:t>
            </w:r>
          </w:p>
        </w:tc>
        <w:tc>
          <w:tcPr>
            <w:tcW w:w="1017" w:type="pct"/>
            <w:tcBorders>
              <w:top w:val="single" w:color="000000" w:sz="4" w:space="0"/>
              <w:left w:val="single" w:color="000000" w:sz="4" w:space="0"/>
              <w:bottom w:val="single" w:color="000000" w:sz="4" w:space="0"/>
              <w:right w:val="single" w:color="000000" w:sz="4" w:space="0"/>
            </w:tcBorders>
            <w:vAlign w:val="center"/>
          </w:tcPr>
          <w:p w14:paraId="6ADE09F2">
            <w:pPr>
              <w:widowControl/>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kern w:val="0"/>
                <w:szCs w:val="21"/>
              </w:rPr>
              <w:t>进水浓度（mg/L）</w:t>
            </w:r>
          </w:p>
        </w:tc>
        <w:tc>
          <w:tcPr>
            <w:tcW w:w="446" w:type="pct"/>
            <w:tcBorders>
              <w:top w:val="single" w:color="000000" w:sz="4" w:space="0"/>
              <w:left w:val="single" w:color="000000" w:sz="4" w:space="0"/>
              <w:bottom w:val="single" w:color="000000" w:sz="4" w:space="0"/>
              <w:right w:val="single" w:color="000000" w:sz="4" w:space="0"/>
            </w:tcBorders>
            <w:vAlign w:val="center"/>
          </w:tcPr>
          <w:p w14:paraId="4F742739">
            <w:pPr>
              <w:widowControl/>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kern w:val="0"/>
                <w:szCs w:val="21"/>
              </w:rPr>
              <w:t>260</w:t>
            </w:r>
          </w:p>
        </w:tc>
        <w:tc>
          <w:tcPr>
            <w:tcW w:w="492" w:type="pct"/>
            <w:tcBorders>
              <w:top w:val="single" w:color="000000" w:sz="4" w:space="0"/>
              <w:left w:val="single" w:color="000000" w:sz="4" w:space="0"/>
              <w:bottom w:val="single" w:color="000000" w:sz="4" w:space="0"/>
              <w:right w:val="single" w:color="000000" w:sz="4" w:space="0"/>
            </w:tcBorders>
            <w:vAlign w:val="center"/>
          </w:tcPr>
          <w:p w14:paraId="6604B781">
            <w:pPr>
              <w:widowControl/>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kern w:val="0"/>
                <w:szCs w:val="21"/>
              </w:rPr>
              <w:t>150</w:t>
            </w:r>
          </w:p>
        </w:tc>
        <w:tc>
          <w:tcPr>
            <w:tcW w:w="455" w:type="pct"/>
            <w:tcBorders>
              <w:top w:val="single" w:color="000000" w:sz="4" w:space="0"/>
              <w:left w:val="single" w:color="000000" w:sz="4" w:space="0"/>
              <w:bottom w:val="single" w:color="000000" w:sz="4" w:space="0"/>
              <w:right w:val="single" w:color="000000" w:sz="4" w:space="0"/>
            </w:tcBorders>
            <w:vAlign w:val="center"/>
          </w:tcPr>
          <w:p w14:paraId="2042E651">
            <w:pPr>
              <w:widowControl/>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kern w:val="0"/>
                <w:szCs w:val="21"/>
              </w:rPr>
              <w:t>150</w:t>
            </w:r>
          </w:p>
        </w:tc>
        <w:tc>
          <w:tcPr>
            <w:tcW w:w="409" w:type="pct"/>
            <w:tcBorders>
              <w:top w:val="single" w:color="000000" w:sz="4" w:space="0"/>
              <w:left w:val="single" w:color="000000" w:sz="4" w:space="0"/>
              <w:bottom w:val="single" w:color="000000" w:sz="4" w:space="0"/>
              <w:right w:val="single" w:color="000000" w:sz="4" w:space="0"/>
            </w:tcBorders>
            <w:vAlign w:val="center"/>
          </w:tcPr>
          <w:p w14:paraId="763E2188">
            <w:pPr>
              <w:widowControl/>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kern w:val="0"/>
                <w:szCs w:val="21"/>
              </w:rPr>
              <w:t>25</w:t>
            </w:r>
          </w:p>
        </w:tc>
        <w:tc>
          <w:tcPr>
            <w:tcW w:w="417" w:type="pct"/>
            <w:tcBorders>
              <w:top w:val="single" w:color="000000" w:sz="4" w:space="0"/>
              <w:left w:val="single" w:color="000000" w:sz="4" w:space="0"/>
              <w:bottom w:val="single" w:color="000000" w:sz="4" w:space="0"/>
              <w:right w:val="single" w:color="000000" w:sz="4" w:space="0"/>
            </w:tcBorders>
            <w:vAlign w:val="center"/>
          </w:tcPr>
          <w:p w14:paraId="05B60ADC">
            <w:pPr>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szCs w:val="21"/>
              </w:rPr>
              <w:t>30</w:t>
            </w:r>
          </w:p>
        </w:tc>
        <w:tc>
          <w:tcPr>
            <w:tcW w:w="434" w:type="pct"/>
            <w:tcBorders>
              <w:top w:val="single" w:color="000000" w:sz="4" w:space="0"/>
              <w:left w:val="single" w:color="000000" w:sz="4" w:space="0"/>
              <w:bottom w:val="single" w:color="000000" w:sz="4" w:space="0"/>
              <w:right w:val="single" w:color="000000" w:sz="4" w:space="0"/>
            </w:tcBorders>
            <w:vAlign w:val="center"/>
          </w:tcPr>
          <w:p w14:paraId="6A2CADB5">
            <w:pPr>
              <w:widowControl/>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kern w:val="0"/>
                <w:szCs w:val="21"/>
              </w:rPr>
              <w:t>3</w:t>
            </w:r>
          </w:p>
        </w:tc>
      </w:tr>
      <w:tr w14:paraId="305A3480">
        <w:tblPrEx>
          <w:tblCellMar>
            <w:top w:w="0" w:type="dxa"/>
            <w:left w:w="0" w:type="dxa"/>
            <w:bottom w:w="0" w:type="dxa"/>
            <w:right w:w="0" w:type="dxa"/>
          </w:tblCellMar>
        </w:tblPrEx>
        <w:trPr>
          <w:cantSplit/>
          <w:trHeight w:val="395" w:hRule="atLeast"/>
        </w:trPr>
        <w:tc>
          <w:tcPr>
            <w:tcW w:w="639" w:type="pct"/>
            <w:vMerge w:val="continue"/>
            <w:tcBorders>
              <w:left w:val="single" w:color="000000" w:sz="4" w:space="0"/>
              <w:right w:val="single" w:color="000000" w:sz="4" w:space="0"/>
            </w:tcBorders>
            <w:vAlign w:val="center"/>
          </w:tcPr>
          <w:p w14:paraId="1CAE043F">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cs="Times New Roman"/>
                <w:color w:val="auto"/>
              </w:rPr>
            </w:pPr>
          </w:p>
        </w:tc>
        <w:tc>
          <w:tcPr>
            <w:tcW w:w="687" w:type="pct"/>
            <w:vMerge w:val="continue"/>
            <w:tcBorders>
              <w:left w:val="single" w:color="000000" w:sz="4" w:space="0"/>
              <w:right w:val="single" w:color="000000" w:sz="4" w:space="0"/>
            </w:tcBorders>
            <w:vAlign w:val="center"/>
          </w:tcPr>
          <w:p w14:paraId="6F9559A4">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cs="Times New Roman"/>
                <w:color w:val="auto"/>
              </w:rPr>
            </w:pPr>
          </w:p>
        </w:tc>
        <w:tc>
          <w:tcPr>
            <w:tcW w:w="1017" w:type="pct"/>
            <w:tcBorders>
              <w:top w:val="single" w:color="000000" w:sz="4" w:space="0"/>
              <w:left w:val="single" w:color="000000" w:sz="4" w:space="0"/>
              <w:bottom w:val="single" w:color="000000" w:sz="4" w:space="0"/>
              <w:right w:val="single" w:color="000000" w:sz="4" w:space="0"/>
            </w:tcBorders>
            <w:vAlign w:val="center"/>
          </w:tcPr>
          <w:p w14:paraId="4D4A3195">
            <w:pPr>
              <w:widowControl/>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kern w:val="0"/>
                <w:szCs w:val="21"/>
              </w:rPr>
              <w:t>出水浓度（mg/L）</w:t>
            </w:r>
          </w:p>
        </w:tc>
        <w:tc>
          <w:tcPr>
            <w:tcW w:w="446" w:type="pct"/>
            <w:tcBorders>
              <w:top w:val="single" w:color="000000" w:sz="4" w:space="0"/>
              <w:left w:val="single" w:color="000000" w:sz="4" w:space="0"/>
              <w:bottom w:val="single" w:color="000000" w:sz="4" w:space="0"/>
              <w:right w:val="single" w:color="000000" w:sz="4" w:space="0"/>
            </w:tcBorders>
            <w:vAlign w:val="center"/>
          </w:tcPr>
          <w:p w14:paraId="59E858E8">
            <w:pPr>
              <w:widowControl/>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kern w:val="0"/>
                <w:szCs w:val="21"/>
              </w:rPr>
              <w:t>40</w:t>
            </w:r>
          </w:p>
        </w:tc>
        <w:tc>
          <w:tcPr>
            <w:tcW w:w="492" w:type="pct"/>
            <w:tcBorders>
              <w:top w:val="single" w:color="000000" w:sz="4" w:space="0"/>
              <w:left w:val="single" w:color="000000" w:sz="4" w:space="0"/>
              <w:bottom w:val="single" w:color="000000" w:sz="4" w:space="0"/>
              <w:right w:val="single" w:color="000000" w:sz="4" w:space="0"/>
            </w:tcBorders>
            <w:vAlign w:val="center"/>
          </w:tcPr>
          <w:p w14:paraId="0AC5653A">
            <w:pPr>
              <w:widowControl/>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kern w:val="0"/>
                <w:szCs w:val="21"/>
              </w:rPr>
              <w:t>10</w:t>
            </w:r>
          </w:p>
        </w:tc>
        <w:tc>
          <w:tcPr>
            <w:tcW w:w="455" w:type="pct"/>
            <w:tcBorders>
              <w:top w:val="single" w:color="000000" w:sz="4" w:space="0"/>
              <w:left w:val="single" w:color="000000" w:sz="4" w:space="0"/>
              <w:bottom w:val="single" w:color="000000" w:sz="4" w:space="0"/>
              <w:right w:val="single" w:color="000000" w:sz="4" w:space="0"/>
            </w:tcBorders>
            <w:vAlign w:val="center"/>
          </w:tcPr>
          <w:p w14:paraId="16E2B219">
            <w:pPr>
              <w:widowControl/>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kern w:val="0"/>
                <w:szCs w:val="21"/>
              </w:rPr>
              <w:t>10</w:t>
            </w:r>
          </w:p>
        </w:tc>
        <w:tc>
          <w:tcPr>
            <w:tcW w:w="409" w:type="pct"/>
            <w:tcBorders>
              <w:top w:val="single" w:color="000000" w:sz="4" w:space="0"/>
              <w:left w:val="single" w:color="000000" w:sz="4" w:space="0"/>
              <w:bottom w:val="single" w:color="000000" w:sz="4" w:space="0"/>
              <w:right w:val="single" w:color="000000" w:sz="4" w:space="0"/>
            </w:tcBorders>
            <w:vAlign w:val="center"/>
          </w:tcPr>
          <w:p w14:paraId="1B4E9A93">
            <w:pPr>
              <w:widowControl/>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kern w:val="0"/>
                <w:szCs w:val="21"/>
              </w:rPr>
              <w:t>5</w:t>
            </w:r>
          </w:p>
        </w:tc>
        <w:tc>
          <w:tcPr>
            <w:tcW w:w="417" w:type="pct"/>
            <w:tcBorders>
              <w:top w:val="single" w:color="000000" w:sz="4" w:space="0"/>
              <w:left w:val="single" w:color="000000" w:sz="4" w:space="0"/>
              <w:bottom w:val="single" w:color="000000" w:sz="4" w:space="0"/>
              <w:right w:val="single" w:color="000000" w:sz="4" w:space="0"/>
            </w:tcBorders>
            <w:vAlign w:val="center"/>
          </w:tcPr>
          <w:p w14:paraId="29B0FA23">
            <w:pPr>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szCs w:val="21"/>
              </w:rPr>
              <w:t>15</w:t>
            </w:r>
          </w:p>
        </w:tc>
        <w:tc>
          <w:tcPr>
            <w:tcW w:w="434" w:type="pct"/>
            <w:tcBorders>
              <w:top w:val="single" w:color="000000" w:sz="4" w:space="0"/>
              <w:left w:val="single" w:color="000000" w:sz="4" w:space="0"/>
              <w:bottom w:val="single" w:color="000000" w:sz="4" w:space="0"/>
              <w:right w:val="single" w:color="000000" w:sz="4" w:space="0"/>
            </w:tcBorders>
            <w:vAlign w:val="center"/>
          </w:tcPr>
          <w:p w14:paraId="57A0C508">
            <w:pPr>
              <w:widowControl/>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kern w:val="0"/>
                <w:szCs w:val="21"/>
              </w:rPr>
              <w:t>0.5</w:t>
            </w:r>
          </w:p>
        </w:tc>
      </w:tr>
      <w:tr w14:paraId="7E4F50ED">
        <w:tblPrEx>
          <w:tblCellMar>
            <w:top w:w="0" w:type="dxa"/>
            <w:left w:w="0" w:type="dxa"/>
            <w:bottom w:w="0" w:type="dxa"/>
            <w:right w:w="0" w:type="dxa"/>
          </w:tblCellMar>
        </w:tblPrEx>
        <w:trPr>
          <w:cantSplit/>
          <w:trHeight w:val="395" w:hRule="atLeast"/>
        </w:trPr>
        <w:tc>
          <w:tcPr>
            <w:tcW w:w="639" w:type="pct"/>
            <w:vMerge w:val="continue"/>
            <w:tcBorders>
              <w:left w:val="single" w:color="000000" w:sz="4" w:space="0"/>
              <w:right w:val="single" w:color="000000" w:sz="4" w:space="0"/>
            </w:tcBorders>
            <w:vAlign w:val="center"/>
          </w:tcPr>
          <w:p w14:paraId="6C004BF2">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cs="Times New Roman"/>
                <w:color w:val="auto"/>
              </w:rPr>
            </w:pPr>
          </w:p>
        </w:tc>
        <w:tc>
          <w:tcPr>
            <w:tcW w:w="687" w:type="pct"/>
            <w:vMerge w:val="continue"/>
            <w:tcBorders>
              <w:left w:val="single" w:color="000000" w:sz="4" w:space="0"/>
              <w:right w:val="single" w:color="000000" w:sz="4" w:space="0"/>
            </w:tcBorders>
            <w:vAlign w:val="center"/>
          </w:tcPr>
          <w:p w14:paraId="63F50621">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cs="Times New Roman"/>
                <w:color w:val="auto"/>
              </w:rPr>
            </w:pPr>
          </w:p>
        </w:tc>
        <w:tc>
          <w:tcPr>
            <w:tcW w:w="1017" w:type="pct"/>
            <w:tcBorders>
              <w:top w:val="single" w:color="000000" w:sz="4" w:space="0"/>
              <w:left w:val="single" w:color="000000" w:sz="4" w:space="0"/>
              <w:bottom w:val="single" w:color="000000" w:sz="4" w:space="0"/>
              <w:right w:val="single" w:color="000000" w:sz="4" w:space="0"/>
            </w:tcBorders>
            <w:vAlign w:val="center"/>
          </w:tcPr>
          <w:p w14:paraId="70EDCB41">
            <w:pPr>
              <w:widowControl/>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kern w:val="0"/>
                <w:szCs w:val="21"/>
              </w:rPr>
              <w:t>纳污量（t/a）</w:t>
            </w:r>
          </w:p>
        </w:tc>
        <w:tc>
          <w:tcPr>
            <w:tcW w:w="446" w:type="pct"/>
            <w:tcBorders>
              <w:top w:val="single" w:color="000000" w:sz="4" w:space="0"/>
              <w:left w:val="single" w:color="000000" w:sz="4" w:space="0"/>
              <w:bottom w:val="single" w:color="000000" w:sz="4" w:space="0"/>
              <w:right w:val="single" w:color="000000" w:sz="4" w:space="0"/>
            </w:tcBorders>
            <w:vAlign w:val="center"/>
          </w:tcPr>
          <w:p w14:paraId="2BE634EB">
            <w:pPr>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szCs w:val="21"/>
              </w:rPr>
              <w:t>284.7</w:t>
            </w:r>
          </w:p>
        </w:tc>
        <w:tc>
          <w:tcPr>
            <w:tcW w:w="492" w:type="pct"/>
            <w:tcBorders>
              <w:top w:val="single" w:color="000000" w:sz="4" w:space="0"/>
              <w:left w:val="single" w:color="000000" w:sz="4" w:space="0"/>
              <w:bottom w:val="single" w:color="000000" w:sz="4" w:space="0"/>
              <w:right w:val="single" w:color="000000" w:sz="4" w:space="0"/>
            </w:tcBorders>
            <w:vAlign w:val="center"/>
          </w:tcPr>
          <w:p w14:paraId="44C829A9">
            <w:pPr>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szCs w:val="21"/>
              </w:rPr>
              <w:t>164.25</w:t>
            </w:r>
          </w:p>
        </w:tc>
        <w:tc>
          <w:tcPr>
            <w:tcW w:w="455" w:type="pct"/>
            <w:tcBorders>
              <w:top w:val="single" w:color="000000" w:sz="4" w:space="0"/>
              <w:left w:val="single" w:color="000000" w:sz="4" w:space="0"/>
              <w:bottom w:val="single" w:color="000000" w:sz="4" w:space="0"/>
              <w:right w:val="single" w:color="000000" w:sz="4" w:space="0"/>
            </w:tcBorders>
            <w:vAlign w:val="center"/>
          </w:tcPr>
          <w:p w14:paraId="2F9FA832">
            <w:pPr>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szCs w:val="21"/>
              </w:rPr>
              <w:t>164.25</w:t>
            </w:r>
          </w:p>
        </w:tc>
        <w:tc>
          <w:tcPr>
            <w:tcW w:w="409" w:type="pct"/>
            <w:tcBorders>
              <w:top w:val="single" w:color="000000" w:sz="4" w:space="0"/>
              <w:left w:val="single" w:color="000000" w:sz="4" w:space="0"/>
              <w:bottom w:val="single" w:color="000000" w:sz="4" w:space="0"/>
              <w:right w:val="single" w:color="000000" w:sz="4" w:space="0"/>
            </w:tcBorders>
            <w:vAlign w:val="center"/>
          </w:tcPr>
          <w:p w14:paraId="674091A7">
            <w:pPr>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szCs w:val="21"/>
              </w:rPr>
              <w:t>27.375</w:t>
            </w:r>
          </w:p>
        </w:tc>
        <w:tc>
          <w:tcPr>
            <w:tcW w:w="417" w:type="pct"/>
            <w:tcBorders>
              <w:top w:val="single" w:color="000000" w:sz="4" w:space="0"/>
              <w:left w:val="single" w:color="000000" w:sz="4" w:space="0"/>
              <w:bottom w:val="single" w:color="000000" w:sz="4" w:space="0"/>
              <w:right w:val="single" w:color="000000" w:sz="4" w:space="0"/>
            </w:tcBorders>
            <w:vAlign w:val="center"/>
          </w:tcPr>
          <w:p w14:paraId="1D20F888">
            <w:pPr>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szCs w:val="21"/>
              </w:rPr>
              <w:t>32.85</w:t>
            </w:r>
          </w:p>
        </w:tc>
        <w:tc>
          <w:tcPr>
            <w:tcW w:w="434" w:type="pct"/>
            <w:tcBorders>
              <w:top w:val="single" w:color="000000" w:sz="4" w:space="0"/>
              <w:left w:val="single" w:color="000000" w:sz="4" w:space="0"/>
              <w:bottom w:val="single" w:color="000000" w:sz="4" w:space="0"/>
              <w:right w:val="single" w:color="000000" w:sz="4" w:space="0"/>
            </w:tcBorders>
            <w:vAlign w:val="center"/>
          </w:tcPr>
          <w:p w14:paraId="678A22A3">
            <w:pPr>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szCs w:val="21"/>
              </w:rPr>
              <w:t>3.285</w:t>
            </w:r>
          </w:p>
        </w:tc>
      </w:tr>
      <w:tr w14:paraId="5097A488">
        <w:tblPrEx>
          <w:tblCellMar>
            <w:top w:w="0" w:type="dxa"/>
            <w:left w:w="0" w:type="dxa"/>
            <w:bottom w:w="0" w:type="dxa"/>
            <w:right w:w="0" w:type="dxa"/>
          </w:tblCellMar>
        </w:tblPrEx>
        <w:trPr>
          <w:cantSplit/>
          <w:trHeight w:val="395" w:hRule="atLeast"/>
        </w:trPr>
        <w:tc>
          <w:tcPr>
            <w:tcW w:w="639" w:type="pct"/>
            <w:vMerge w:val="continue"/>
            <w:tcBorders>
              <w:left w:val="single" w:color="000000" w:sz="4" w:space="0"/>
              <w:right w:val="single" w:color="000000" w:sz="4" w:space="0"/>
            </w:tcBorders>
            <w:vAlign w:val="center"/>
          </w:tcPr>
          <w:p w14:paraId="1D9D57C9">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cs="Times New Roman"/>
                <w:color w:val="auto"/>
              </w:rPr>
            </w:pPr>
          </w:p>
        </w:tc>
        <w:tc>
          <w:tcPr>
            <w:tcW w:w="687" w:type="pct"/>
            <w:vMerge w:val="continue"/>
            <w:tcBorders>
              <w:left w:val="single" w:color="000000" w:sz="4" w:space="0"/>
              <w:right w:val="single" w:color="000000" w:sz="4" w:space="0"/>
            </w:tcBorders>
            <w:vAlign w:val="center"/>
          </w:tcPr>
          <w:p w14:paraId="30D6ED16">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cs="Times New Roman"/>
                <w:color w:val="auto"/>
              </w:rPr>
            </w:pPr>
          </w:p>
        </w:tc>
        <w:tc>
          <w:tcPr>
            <w:tcW w:w="1017" w:type="pct"/>
            <w:tcBorders>
              <w:top w:val="single" w:color="000000" w:sz="4" w:space="0"/>
              <w:left w:val="single" w:color="000000" w:sz="4" w:space="0"/>
              <w:bottom w:val="single" w:color="000000" w:sz="4" w:space="0"/>
              <w:right w:val="single" w:color="000000" w:sz="4" w:space="0"/>
            </w:tcBorders>
            <w:vAlign w:val="center"/>
          </w:tcPr>
          <w:p w14:paraId="507DAD5F">
            <w:pPr>
              <w:widowControl/>
              <w:jc w:val="center"/>
              <w:rPr>
                <w:rFonts w:hint="default" w:ascii="Times New Roman" w:hAnsi="Times New Roman" w:eastAsia="宋体" w:cs="Times New Roman"/>
                <w:color w:val="auto"/>
                <w:szCs w:val="20"/>
              </w:rPr>
            </w:pPr>
            <w:r>
              <w:rPr>
                <w:rFonts w:hint="default" w:ascii="Times New Roman" w:hAnsi="Times New Roman" w:cs="Times New Roman"/>
                <w:color w:val="auto"/>
                <w:kern w:val="0"/>
                <w:szCs w:val="21"/>
              </w:rPr>
              <w:t>排污量（t/a）</w:t>
            </w:r>
          </w:p>
        </w:tc>
        <w:tc>
          <w:tcPr>
            <w:tcW w:w="446" w:type="pct"/>
            <w:tcBorders>
              <w:top w:val="single" w:color="000000" w:sz="4" w:space="0"/>
              <w:left w:val="single" w:color="000000" w:sz="4" w:space="0"/>
              <w:bottom w:val="single" w:color="000000" w:sz="4" w:space="0"/>
              <w:right w:val="single" w:color="000000" w:sz="4" w:space="0"/>
            </w:tcBorders>
            <w:vAlign w:val="center"/>
          </w:tcPr>
          <w:p w14:paraId="1135A3F3">
            <w:pPr>
              <w:jc w:val="center"/>
              <w:rPr>
                <w:rFonts w:hint="default" w:ascii="Times New Roman" w:hAnsi="Times New Roman" w:eastAsia="宋体" w:cs="Times New Roman"/>
                <w:color w:val="auto"/>
                <w:szCs w:val="20"/>
                <w:lang w:val="en-US" w:eastAsia="zh-CN"/>
              </w:rPr>
            </w:pPr>
            <w:r>
              <w:rPr>
                <w:rFonts w:hint="default" w:ascii="Times New Roman" w:hAnsi="Times New Roman" w:cs="Times New Roman"/>
                <w:color w:val="auto"/>
                <w:szCs w:val="21"/>
              </w:rPr>
              <w:t>43.8</w:t>
            </w:r>
          </w:p>
        </w:tc>
        <w:tc>
          <w:tcPr>
            <w:tcW w:w="492" w:type="pct"/>
            <w:tcBorders>
              <w:top w:val="single" w:color="000000" w:sz="4" w:space="0"/>
              <w:left w:val="single" w:color="000000" w:sz="4" w:space="0"/>
              <w:bottom w:val="single" w:color="000000" w:sz="4" w:space="0"/>
              <w:right w:val="single" w:color="000000" w:sz="4" w:space="0"/>
            </w:tcBorders>
            <w:vAlign w:val="center"/>
          </w:tcPr>
          <w:p w14:paraId="245A36BE">
            <w:pPr>
              <w:jc w:val="center"/>
              <w:rPr>
                <w:rFonts w:hint="default" w:ascii="Times New Roman" w:hAnsi="Times New Roman" w:eastAsia="宋体" w:cs="Times New Roman"/>
                <w:color w:val="auto"/>
                <w:szCs w:val="20"/>
                <w:lang w:val="en-US" w:eastAsia="zh-CN"/>
              </w:rPr>
            </w:pPr>
            <w:r>
              <w:rPr>
                <w:rFonts w:hint="default" w:ascii="Times New Roman" w:hAnsi="Times New Roman" w:cs="Times New Roman"/>
                <w:color w:val="auto"/>
                <w:szCs w:val="21"/>
              </w:rPr>
              <w:t>10.95</w:t>
            </w:r>
          </w:p>
        </w:tc>
        <w:tc>
          <w:tcPr>
            <w:tcW w:w="455" w:type="pct"/>
            <w:tcBorders>
              <w:top w:val="single" w:color="000000" w:sz="4" w:space="0"/>
              <w:left w:val="single" w:color="000000" w:sz="4" w:space="0"/>
              <w:bottom w:val="single" w:color="000000" w:sz="4" w:space="0"/>
              <w:right w:val="single" w:color="000000" w:sz="4" w:space="0"/>
            </w:tcBorders>
            <w:vAlign w:val="center"/>
          </w:tcPr>
          <w:p w14:paraId="031B9992">
            <w:pPr>
              <w:jc w:val="center"/>
              <w:rPr>
                <w:rFonts w:hint="default" w:ascii="Times New Roman" w:hAnsi="Times New Roman" w:eastAsia="宋体" w:cs="Times New Roman"/>
                <w:color w:val="auto"/>
                <w:szCs w:val="20"/>
                <w:lang w:val="en-US" w:eastAsia="zh-CN"/>
              </w:rPr>
            </w:pPr>
            <w:r>
              <w:rPr>
                <w:rFonts w:hint="default" w:ascii="Times New Roman" w:hAnsi="Times New Roman" w:cs="Times New Roman"/>
                <w:color w:val="auto"/>
                <w:szCs w:val="21"/>
              </w:rPr>
              <w:t>10.95</w:t>
            </w:r>
          </w:p>
        </w:tc>
        <w:tc>
          <w:tcPr>
            <w:tcW w:w="409" w:type="pct"/>
            <w:tcBorders>
              <w:top w:val="single" w:color="000000" w:sz="4" w:space="0"/>
              <w:left w:val="single" w:color="000000" w:sz="4" w:space="0"/>
              <w:bottom w:val="single" w:color="000000" w:sz="4" w:space="0"/>
              <w:right w:val="single" w:color="000000" w:sz="4" w:space="0"/>
            </w:tcBorders>
            <w:vAlign w:val="center"/>
          </w:tcPr>
          <w:p w14:paraId="0C3FEB8C">
            <w:pPr>
              <w:jc w:val="center"/>
              <w:rPr>
                <w:rFonts w:hint="default" w:ascii="Times New Roman" w:hAnsi="Times New Roman" w:eastAsia="宋体" w:cs="Times New Roman"/>
                <w:color w:val="auto"/>
                <w:szCs w:val="20"/>
                <w:lang w:val="en-US" w:eastAsia="zh-CN"/>
              </w:rPr>
            </w:pPr>
            <w:r>
              <w:rPr>
                <w:rFonts w:hint="default" w:ascii="Times New Roman" w:hAnsi="Times New Roman" w:cs="Times New Roman"/>
                <w:color w:val="auto"/>
                <w:szCs w:val="21"/>
              </w:rPr>
              <w:t>5.475</w:t>
            </w:r>
          </w:p>
        </w:tc>
        <w:tc>
          <w:tcPr>
            <w:tcW w:w="417" w:type="pct"/>
            <w:tcBorders>
              <w:top w:val="single" w:color="000000" w:sz="4" w:space="0"/>
              <w:left w:val="single" w:color="000000" w:sz="4" w:space="0"/>
              <w:bottom w:val="single" w:color="000000" w:sz="4" w:space="0"/>
              <w:right w:val="single" w:color="000000" w:sz="4" w:space="0"/>
            </w:tcBorders>
            <w:vAlign w:val="center"/>
          </w:tcPr>
          <w:p w14:paraId="58DD6AF0">
            <w:pPr>
              <w:jc w:val="center"/>
              <w:rPr>
                <w:rFonts w:hint="default" w:ascii="Times New Roman" w:hAnsi="Times New Roman" w:eastAsia="宋体" w:cs="Times New Roman"/>
                <w:color w:val="auto"/>
                <w:szCs w:val="20"/>
                <w:lang w:val="en-US" w:eastAsia="zh-CN"/>
              </w:rPr>
            </w:pPr>
            <w:r>
              <w:rPr>
                <w:rFonts w:hint="default" w:ascii="Times New Roman" w:hAnsi="Times New Roman" w:cs="Times New Roman"/>
                <w:color w:val="auto"/>
                <w:szCs w:val="21"/>
              </w:rPr>
              <w:t>16.425</w:t>
            </w:r>
          </w:p>
        </w:tc>
        <w:tc>
          <w:tcPr>
            <w:tcW w:w="434" w:type="pct"/>
            <w:tcBorders>
              <w:top w:val="single" w:color="000000" w:sz="4" w:space="0"/>
              <w:left w:val="single" w:color="000000" w:sz="4" w:space="0"/>
              <w:bottom w:val="single" w:color="000000" w:sz="4" w:space="0"/>
              <w:right w:val="single" w:color="000000" w:sz="4" w:space="0"/>
            </w:tcBorders>
            <w:vAlign w:val="center"/>
          </w:tcPr>
          <w:p w14:paraId="5C49D11C">
            <w:pPr>
              <w:jc w:val="center"/>
              <w:rPr>
                <w:rFonts w:hint="default" w:ascii="Times New Roman" w:hAnsi="Times New Roman" w:eastAsia="宋体" w:cs="Times New Roman"/>
                <w:color w:val="auto"/>
                <w:szCs w:val="20"/>
                <w:lang w:val="en-US" w:eastAsia="zh-CN"/>
              </w:rPr>
            </w:pPr>
            <w:r>
              <w:rPr>
                <w:rFonts w:hint="default" w:ascii="Times New Roman" w:hAnsi="Times New Roman" w:cs="Times New Roman"/>
                <w:color w:val="auto"/>
                <w:szCs w:val="21"/>
              </w:rPr>
              <w:t>0.5475</w:t>
            </w:r>
          </w:p>
        </w:tc>
      </w:tr>
      <w:tr w14:paraId="1FA6846F">
        <w:tblPrEx>
          <w:tblCellMar>
            <w:top w:w="0" w:type="dxa"/>
            <w:left w:w="0" w:type="dxa"/>
            <w:bottom w:w="0" w:type="dxa"/>
            <w:right w:w="0" w:type="dxa"/>
          </w:tblCellMar>
        </w:tblPrEx>
        <w:trPr>
          <w:cantSplit/>
          <w:trHeight w:val="409" w:hRule="atLeast"/>
        </w:trPr>
        <w:tc>
          <w:tcPr>
            <w:tcW w:w="639" w:type="pct"/>
            <w:vMerge w:val="continue"/>
            <w:tcBorders>
              <w:left w:val="single" w:color="000000" w:sz="4" w:space="0"/>
              <w:bottom w:val="single" w:color="000000" w:sz="4" w:space="0"/>
              <w:right w:val="single" w:color="000000" w:sz="4" w:space="0"/>
            </w:tcBorders>
            <w:vAlign w:val="center"/>
          </w:tcPr>
          <w:p w14:paraId="5FF732C2">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cs="Times New Roman"/>
                <w:color w:val="auto"/>
              </w:rPr>
            </w:pPr>
          </w:p>
        </w:tc>
        <w:tc>
          <w:tcPr>
            <w:tcW w:w="687" w:type="pct"/>
            <w:vMerge w:val="continue"/>
            <w:tcBorders>
              <w:left w:val="single" w:color="000000" w:sz="4" w:space="0"/>
              <w:bottom w:val="single" w:color="000000" w:sz="4" w:space="0"/>
              <w:right w:val="single" w:color="000000" w:sz="4" w:space="0"/>
            </w:tcBorders>
            <w:vAlign w:val="center"/>
          </w:tcPr>
          <w:p w14:paraId="05EE7764">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cs="Times New Roman"/>
                <w:color w:val="auto"/>
              </w:rPr>
            </w:pPr>
          </w:p>
        </w:tc>
        <w:tc>
          <w:tcPr>
            <w:tcW w:w="1017" w:type="pct"/>
            <w:tcBorders>
              <w:top w:val="single" w:color="000000" w:sz="4" w:space="0"/>
              <w:left w:val="single" w:color="000000" w:sz="4" w:space="0"/>
              <w:bottom w:val="single" w:color="000000" w:sz="4" w:space="0"/>
              <w:right w:val="single" w:color="000000" w:sz="4" w:space="0"/>
            </w:tcBorders>
            <w:vAlign w:val="center"/>
          </w:tcPr>
          <w:p w14:paraId="0F559E87">
            <w:pPr>
              <w:widowControl/>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kern w:val="0"/>
                <w:szCs w:val="21"/>
              </w:rPr>
              <w:t>去除率%</w:t>
            </w:r>
          </w:p>
        </w:tc>
        <w:tc>
          <w:tcPr>
            <w:tcW w:w="446" w:type="pct"/>
            <w:tcBorders>
              <w:top w:val="single" w:color="000000" w:sz="4" w:space="0"/>
              <w:left w:val="single" w:color="000000" w:sz="4" w:space="0"/>
              <w:bottom w:val="single" w:color="000000" w:sz="4" w:space="0"/>
              <w:right w:val="single" w:color="000000" w:sz="4" w:space="0"/>
            </w:tcBorders>
            <w:vAlign w:val="center"/>
          </w:tcPr>
          <w:p w14:paraId="39FCCF41">
            <w:pPr>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szCs w:val="21"/>
              </w:rPr>
              <w:t xml:space="preserve">84.62 </w:t>
            </w:r>
          </w:p>
        </w:tc>
        <w:tc>
          <w:tcPr>
            <w:tcW w:w="492" w:type="pct"/>
            <w:tcBorders>
              <w:top w:val="single" w:color="000000" w:sz="4" w:space="0"/>
              <w:left w:val="single" w:color="000000" w:sz="4" w:space="0"/>
              <w:bottom w:val="single" w:color="000000" w:sz="4" w:space="0"/>
              <w:right w:val="single" w:color="000000" w:sz="4" w:space="0"/>
            </w:tcBorders>
            <w:vAlign w:val="center"/>
          </w:tcPr>
          <w:p w14:paraId="4B8F7E57">
            <w:pPr>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szCs w:val="21"/>
              </w:rPr>
              <w:t xml:space="preserve">93.33 </w:t>
            </w:r>
          </w:p>
        </w:tc>
        <w:tc>
          <w:tcPr>
            <w:tcW w:w="455" w:type="pct"/>
            <w:tcBorders>
              <w:top w:val="single" w:color="000000" w:sz="4" w:space="0"/>
              <w:left w:val="single" w:color="000000" w:sz="4" w:space="0"/>
              <w:bottom w:val="single" w:color="000000" w:sz="4" w:space="0"/>
              <w:right w:val="single" w:color="000000" w:sz="4" w:space="0"/>
            </w:tcBorders>
            <w:vAlign w:val="center"/>
          </w:tcPr>
          <w:p w14:paraId="03EF6BF7">
            <w:pPr>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szCs w:val="21"/>
              </w:rPr>
              <w:t xml:space="preserve">93.33 </w:t>
            </w:r>
          </w:p>
        </w:tc>
        <w:tc>
          <w:tcPr>
            <w:tcW w:w="409" w:type="pct"/>
            <w:tcBorders>
              <w:top w:val="single" w:color="000000" w:sz="4" w:space="0"/>
              <w:left w:val="single" w:color="000000" w:sz="4" w:space="0"/>
              <w:bottom w:val="single" w:color="000000" w:sz="4" w:space="0"/>
              <w:right w:val="single" w:color="000000" w:sz="4" w:space="0"/>
            </w:tcBorders>
            <w:vAlign w:val="center"/>
          </w:tcPr>
          <w:p w14:paraId="0C19519E">
            <w:pPr>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szCs w:val="21"/>
              </w:rPr>
              <w:t xml:space="preserve">80.00 </w:t>
            </w:r>
          </w:p>
        </w:tc>
        <w:tc>
          <w:tcPr>
            <w:tcW w:w="417" w:type="pct"/>
            <w:tcBorders>
              <w:top w:val="single" w:color="000000" w:sz="4" w:space="0"/>
              <w:left w:val="single" w:color="000000" w:sz="4" w:space="0"/>
              <w:bottom w:val="single" w:color="000000" w:sz="4" w:space="0"/>
              <w:right w:val="single" w:color="000000" w:sz="4" w:space="0"/>
            </w:tcBorders>
            <w:vAlign w:val="center"/>
          </w:tcPr>
          <w:p w14:paraId="331BCE35">
            <w:pPr>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szCs w:val="21"/>
              </w:rPr>
              <w:t xml:space="preserve">50.00 </w:t>
            </w:r>
          </w:p>
        </w:tc>
        <w:tc>
          <w:tcPr>
            <w:tcW w:w="434" w:type="pct"/>
            <w:tcBorders>
              <w:top w:val="single" w:color="000000" w:sz="4" w:space="0"/>
              <w:left w:val="single" w:color="000000" w:sz="4" w:space="0"/>
              <w:bottom w:val="single" w:color="000000" w:sz="4" w:space="0"/>
              <w:right w:val="single" w:color="000000" w:sz="4" w:space="0"/>
            </w:tcBorders>
            <w:vAlign w:val="center"/>
          </w:tcPr>
          <w:p w14:paraId="6977DE65">
            <w:pPr>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szCs w:val="21"/>
              </w:rPr>
              <w:t xml:space="preserve">83.33 </w:t>
            </w:r>
          </w:p>
        </w:tc>
      </w:tr>
    </w:tbl>
    <w:p w14:paraId="5980C370">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污水处理厂尾水排放方案</w:t>
      </w:r>
    </w:p>
    <w:p w14:paraId="6633C93C">
      <w:pPr>
        <w:numPr>
          <w:ilvl w:val="0"/>
          <w:numId w:val="0"/>
        </w:numPr>
        <w:spacing w:line="360" w:lineRule="auto"/>
        <w:ind w:firstLine="480" w:firstLineChars="200"/>
        <w:rPr>
          <w:rFonts w:hint="eastAsia"/>
          <w:color w:val="auto"/>
          <w:sz w:val="24"/>
          <w:highlight w:val="none"/>
          <w:lang w:val="en-US" w:eastAsia="zh-CN"/>
        </w:rPr>
      </w:pPr>
      <w:r>
        <w:rPr>
          <w:rFonts w:hint="eastAsia" w:cs="Times New Roman"/>
          <w:color w:val="auto"/>
          <w:sz w:val="24"/>
          <w:highlight w:val="none"/>
          <w:lang w:val="en-US" w:eastAsia="zh-CN"/>
        </w:rPr>
        <w:t>阳东区大八镇污水处理厂尾水排放管从污水处理厂厂区东北面出厂后，自西直接排入排水渠，堤内设尾水排放口。尾水管管材拟采用HDPE 排水管，热熔连接管径大小为 DN600，此方案尾水管长度约300m。</w:t>
      </w:r>
    </w:p>
    <w:p w14:paraId="0D59A5B4">
      <w:pPr>
        <w:numPr>
          <w:ilvl w:val="0"/>
          <w:numId w:val="0"/>
        </w:numPr>
        <w:spacing w:line="360" w:lineRule="auto"/>
        <w:ind w:firstLine="480" w:firstLineChars="200"/>
        <w:rPr>
          <w:rFonts w:hint="eastAsia" w:cs="Times New Roman"/>
          <w:color w:val="auto"/>
          <w:sz w:val="24"/>
          <w:highlight w:val="none"/>
          <w:lang w:val="en-US" w:eastAsia="zh-CN"/>
        </w:rPr>
      </w:pPr>
      <w:r>
        <w:rPr>
          <w:rFonts w:hint="eastAsia"/>
          <w:color w:val="auto"/>
          <w:sz w:val="24"/>
          <w:highlight w:val="none"/>
          <w:lang w:val="en-US" w:eastAsia="zh-CN"/>
        </w:rPr>
        <w:br w:type="page"/>
      </w:r>
    </w:p>
    <w:p w14:paraId="7E99F40D">
      <w:pPr>
        <w:pStyle w:val="3"/>
        <w:bidi w:val="0"/>
        <w:rPr>
          <w:color w:val="auto"/>
        </w:rPr>
      </w:pPr>
      <w:bookmarkStart w:id="34" w:name="_Toc15520"/>
      <w:bookmarkStart w:id="35" w:name="_Toc31100"/>
      <w:r>
        <w:rPr>
          <w:color w:val="auto"/>
          <w:lang w:val="en-US" w:eastAsia="zh-CN"/>
        </w:rPr>
        <w:t>项目所在区域概况</w:t>
      </w:r>
      <w:bookmarkEnd w:id="34"/>
      <w:bookmarkEnd w:id="35"/>
      <w:r>
        <w:rPr>
          <w:color w:val="auto"/>
          <w:lang w:val="en-US" w:eastAsia="zh-CN"/>
        </w:rPr>
        <w:t xml:space="preserve"> </w:t>
      </w:r>
    </w:p>
    <w:p w14:paraId="53852064">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bookmarkStart w:id="36" w:name="_Toc17029"/>
      <w:bookmarkStart w:id="37" w:name="_Toc20292"/>
      <w:r>
        <w:rPr>
          <w:rFonts w:hint="eastAsia"/>
          <w:color w:val="auto"/>
          <w:lang w:val="en-US" w:eastAsia="zh-CN"/>
        </w:rPr>
        <w:t>自然地理概况</w:t>
      </w:r>
      <w:bookmarkEnd w:id="36"/>
      <w:bookmarkEnd w:id="37"/>
      <w:r>
        <w:rPr>
          <w:rFonts w:hint="eastAsia"/>
          <w:color w:val="auto"/>
          <w:lang w:val="en-US" w:eastAsia="zh-CN"/>
        </w:rPr>
        <w:t xml:space="preserve"> </w:t>
      </w:r>
    </w:p>
    <w:p w14:paraId="2906EE3D">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地理位置</w:t>
      </w:r>
    </w:p>
    <w:p w14:paraId="24656EEE">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阳江市位于广东省西南沿海、珠三角西缘，东与江门市的恩平、台山市交界；北同云浮市的罗定市、新兴县及茂名市的信宜市接壤；西接茂名市的高州市、电白县；南临南海；海上有海陵、南鹏、大镬、二镬、大树、青洲等大小岛屿34个，大陆海岸线长341.5公里，岛屿岸线长49.3公里。</w:t>
      </w:r>
    </w:p>
    <w:p w14:paraId="3E1ECA43">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地势由北向南倾斜，依山傍海，东北有天露山屏障，西北有云雾山环绕。境内最高山峰为望夫山脉的鹅凰嶂，海拨 1338 米，最长河流为漠阳江，全长 199 公里，南北贯穿全市，自北向南流入南海。</w:t>
      </w:r>
    </w:p>
    <w:p w14:paraId="764B96E2">
      <w:pPr>
        <w:spacing w:line="360" w:lineRule="auto"/>
        <w:ind w:firstLine="420" w:firstLineChars="200"/>
        <w:jc w:val="center"/>
        <w:rPr>
          <w:rFonts w:hint="eastAsia"/>
          <w:color w:val="auto"/>
          <w:sz w:val="24"/>
          <w:highlight w:val="none"/>
          <w:lang w:val="en-US" w:eastAsia="zh-CN"/>
        </w:rPr>
      </w:pPr>
      <w:r>
        <w:rPr>
          <w:color w:val="auto"/>
        </w:rPr>
        <w:drawing>
          <wp:inline distT="0" distB="0" distL="114300" distR="114300">
            <wp:extent cx="5103495" cy="4034790"/>
            <wp:effectExtent l="0" t="0" r="1905" b="3810"/>
            <wp:docPr id="5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9"/>
                    <pic:cNvPicPr>
                      <a:picLocks noChangeAspect="1"/>
                    </pic:cNvPicPr>
                  </pic:nvPicPr>
                  <pic:blipFill>
                    <a:blip r:embed="rId23"/>
                    <a:stretch>
                      <a:fillRect/>
                    </a:stretch>
                  </pic:blipFill>
                  <pic:spPr>
                    <a:xfrm>
                      <a:off x="0" y="0"/>
                      <a:ext cx="5103495" cy="4034790"/>
                    </a:xfrm>
                    <a:prstGeom prst="rect">
                      <a:avLst/>
                    </a:prstGeom>
                    <a:noFill/>
                    <a:ln>
                      <a:noFill/>
                    </a:ln>
                  </pic:spPr>
                </pic:pic>
              </a:graphicData>
            </a:graphic>
          </wp:inline>
        </w:drawing>
      </w:r>
    </w:p>
    <w:p w14:paraId="4214E55A">
      <w:pPr>
        <w:spacing w:line="360" w:lineRule="auto"/>
        <w:ind w:firstLine="480" w:firstLineChars="200"/>
        <w:jc w:val="center"/>
        <w:rPr>
          <w:rFonts w:hint="default"/>
          <w:color w:val="auto"/>
          <w:sz w:val="24"/>
          <w:highlight w:val="none"/>
          <w:lang w:val="en-US" w:eastAsia="zh-CN"/>
        </w:rPr>
      </w:pPr>
      <w:r>
        <w:rPr>
          <w:rFonts w:hint="eastAsia"/>
          <w:color w:val="auto"/>
          <w:sz w:val="24"/>
          <w:highlight w:val="none"/>
          <w:lang w:val="en-US" w:eastAsia="zh-CN"/>
        </w:rPr>
        <w:t>图3-1阳江市位置图</w:t>
      </w:r>
    </w:p>
    <w:p w14:paraId="14ABA8DC">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市域位置界于北纬</w:t>
      </w:r>
      <w:r>
        <w:rPr>
          <w:rFonts w:hint="default" w:ascii="Times New Roman" w:hAnsi="Times New Roman" w:cs="Times New Roman"/>
          <w:color w:val="auto"/>
          <w:sz w:val="24"/>
          <w:szCs w:val="24"/>
          <w:highlight w:val="none"/>
          <w:lang w:val="en-US" w:eastAsia="zh-CN"/>
        </w:rPr>
        <w:t>21</w:t>
      </w:r>
      <w:r>
        <w:rPr>
          <w:rFonts w:hint="default" w:ascii="Times New Roman" w:hAnsi="Times New Roman" w:cs="Times New Roman"/>
          <w:color w:val="auto"/>
          <w:sz w:val="24"/>
          <w:szCs w:val="24"/>
          <w:u w:val="none"/>
          <w:lang w:val="en-US" w:eastAsia="zh-CN"/>
        </w:rPr>
        <w:t>°</w:t>
      </w:r>
      <w:r>
        <w:rPr>
          <w:rFonts w:hint="default" w:ascii="Times New Roman" w:hAnsi="Times New Roman" w:cs="Times New Roman"/>
          <w:color w:val="auto"/>
          <w:sz w:val="24"/>
          <w:szCs w:val="24"/>
          <w:highlight w:val="none"/>
          <w:lang w:val="en-US" w:eastAsia="zh-CN"/>
        </w:rPr>
        <w:t>31</w:t>
      </w:r>
      <w:r>
        <w:rPr>
          <w:rFonts w:hint="default" w:ascii="Times New Roman" w:hAnsi="Times New Roman" w:cs="Times New Roman"/>
          <w:color w:val="auto"/>
          <w:sz w:val="24"/>
          <w:szCs w:val="24"/>
          <w:u w:val="none"/>
          <w:lang w:val="en-US" w:eastAsia="zh-CN"/>
        </w:rPr>
        <w:t>′</w:t>
      </w:r>
      <w:r>
        <w:rPr>
          <w:rFonts w:hint="default" w:ascii="Times New Roman" w:hAnsi="Times New Roman" w:cs="Times New Roman"/>
          <w:color w:val="auto"/>
          <w:sz w:val="24"/>
          <w:szCs w:val="24"/>
          <w:highlight w:val="none"/>
          <w:lang w:val="en-US" w:eastAsia="zh-CN"/>
        </w:rPr>
        <w:t>19″-22</w:t>
      </w:r>
      <w:r>
        <w:rPr>
          <w:rFonts w:hint="default" w:ascii="Times New Roman" w:hAnsi="Times New Roman" w:cs="Times New Roman"/>
          <w:color w:val="auto"/>
          <w:sz w:val="24"/>
          <w:szCs w:val="24"/>
          <w:u w:val="none"/>
          <w:lang w:val="en-US" w:eastAsia="zh-CN"/>
        </w:rPr>
        <w:t>°</w:t>
      </w:r>
      <w:r>
        <w:rPr>
          <w:rFonts w:hint="default" w:ascii="Times New Roman" w:hAnsi="Times New Roman" w:cs="Times New Roman"/>
          <w:color w:val="auto"/>
          <w:sz w:val="24"/>
          <w:szCs w:val="24"/>
          <w:highlight w:val="none"/>
          <w:lang w:val="en-US" w:eastAsia="zh-CN"/>
        </w:rPr>
        <w:t>15</w:t>
      </w:r>
      <w:r>
        <w:rPr>
          <w:rFonts w:hint="default" w:ascii="Times New Roman" w:hAnsi="Times New Roman" w:cs="Times New Roman"/>
          <w:color w:val="auto"/>
          <w:sz w:val="24"/>
          <w:szCs w:val="24"/>
          <w:u w:val="none"/>
          <w:lang w:val="en-US" w:eastAsia="zh-CN"/>
        </w:rPr>
        <w:t>′</w:t>
      </w:r>
      <w:r>
        <w:rPr>
          <w:rFonts w:hint="default" w:ascii="Times New Roman" w:hAnsi="Times New Roman" w:cs="Times New Roman"/>
          <w:color w:val="auto"/>
          <w:sz w:val="24"/>
          <w:szCs w:val="24"/>
          <w:highlight w:val="none"/>
          <w:lang w:val="en-US" w:eastAsia="zh-CN"/>
        </w:rPr>
        <w:t>33″，东经111</w:t>
      </w:r>
      <w:r>
        <w:rPr>
          <w:rFonts w:hint="default" w:ascii="Times New Roman" w:hAnsi="Times New Roman" w:cs="Times New Roman"/>
          <w:color w:val="auto"/>
          <w:sz w:val="24"/>
          <w:szCs w:val="24"/>
          <w:u w:val="none"/>
          <w:lang w:val="en-US" w:eastAsia="zh-CN"/>
        </w:rPr>
        <w:t>°</w:t>
      </w:r>
      <w:r>
        <w:rPr>
          <w:rFonts w:hint="default" w:ascii="Times New Roman" w:hAnsi="Times New Roman" w:cs="Times New Roman"/>
          <w:color w:val="auto"/>
          <w:sz w:val="24"/>
          <w:szCs w:val="24"/>
          <w:highlight w:val="none"/>
          <w:lang w:val="en-US" w:eastAsia="zh-CN"/>
        </w:rPr>
        <w:t>22</w:t>
      </w:r>
      <w:r>
        <w:rPr>
          <w:rFonts w:hint="default" w:ascii="Times New Roman" w:hAnsi="Times New Roman" w:cs="Times New Roman"/>
          <w:color w:val="auto"/>
          <w:sz w:val="24"/>
          <w:szCs w:val="24"/>
          <w:u w:val="none"/>
          <w:lang w:val="en-US" w:eastAsia="zh-CN"/>
        </w:rPr>
        <w:t>′</w:t>
      </w:r>
      <w:r>
        <w:rPr>
          <w:rFonts w:hint="default" w:ascii="Times New Roman" w:hAnsi="Times New Roman" w:cs="Times New Roman"/>
          <w:color w:val="auto"/>
          <w:sz w:val="24"/>
          <w:szCs w:val="24"/>
          <w:highlight w:val="none"/>
          <w:lang w:val="en-US" w:eastAsia="zh-CN"/>
        </w:rPr>
        <w:t>42″至 112</w:t>
      </w:r>
      <w:r>
        <w:rPr>
          <w:rFonts w:hint="default" w:ascii="Times New Roman" w:hAnsi="Times New Roman" w:cs="Times New Roman"/>
          <w:color w:val="auto"/>
          <w:sz w:val="24"/>
          <w:szCs w:val="24"/>
          <w:u w:val="none"/>
          <w:lang w:val="en-US" w:eastAsia="zh-CN"/>
        </w:rPr>
        <w:t>°</w:t>
      </w:r>
      <w:r>
        <w:rPr>
          <w:rFonts w:hint="default" w:ascii="Times New Roman" w:hAnsi="Times New Roman" w:cs="Times New Roman"/>
          <w:color w:val="auto"/>
          <w:sz w:val="24"/>
          <w:szCs w:val="24"/>
          <w:highlight w:val="none"/>
          <w:lang w:val="en-US" w:eastAsia="zh-CN"/>
        </w:rPr>
        <w:t>21</w:t>
      </w:r>
      <w:r>
        <w:rPr>
          <w:rFonts w:hint="default" w:ascii="Times New Roman" w:hAnsi="Times New Roman" w:cs="Times New Roman"/>
          <w:color w:val="auto"/>
          <w:sz w:val="24"/>
          <w:szCs w:val="24"/>
          <w:u w:val="none"/>
          <w:lang w:val="en-US" w:eastAsia="zh-CN"/>
        </w:rPr>
        <w:t>′</w:t>
      </w:r>
      <w:r>
        <w:rPr>
          <w:rFonts w:hint="default" w:ascii="Times New Roman" w:hAnsi="Times New Roman" w:cs="Times New Roman"/>
          <w:color w:val="auto"/>
          <w:sz w:val="24"/>
          <w:szCs w:val="24"/>
          <w:highlight w:val="none"/>
          <w:lang w:val="en-US" w:eastAsia="zh-CN"/>
        </w:rPr>
        <w:t>16″</w:t>
      </w:r>
      <w:r>
        <w:rPr>
          <w:rFonts w:hint="eastAsia"/>
          <w:color w:val="auto"/>
          <w:sz w:val="24"/>
          <w:szCs w:val="24"/>
          <w:highlight w:val="none"/>
          <w:lang w:val="en-US" w:eastAsia="zh-CN"/>
        </w:rPr>
        <w:t>，属热带向亚热带的过度地带。市域国土面积 7813.4 平方公里，占广东省国土面积的 3.36%。</w:t>
      </w:r>
    </w:p>
    <w:p w14:paraId="1C0CD866">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 xml:space="preserve">阳江是广湛水陆交通的必经之地，阳江至广州 257公里，至深圳 429 公里，至湛江 230 公里，海运东距澳门 126 海里，距香港 145 海里。阳江交通便利，已融入珠三角 2 小时经济圈。广湛高速公路、西部沿海高速公路、国道 325 线一级公路、三茂铁路、阳阳铁路贯穿全境；阳江港是国家对外开放一类口岸，可通航世界各地，6 万吨级轮船可进港停泊。 </w:t>
      </w:r>
    </w:p>
    <w:p w14:paraId="063ADCD6">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 xml:space="preserve">阳东区地处广东省西南沿海、珠江三角洲西缘，隶属阳江市管辖。经过改革开放四十多年的发展与积累，阳东的国民经济综合实力已有了显著的增强，随着广东发展重点向粤东、粤西沿海经济带逐步铺开和广湛高速公路、沿海高速公路的建成通车，使阳东以往区位偏远、通信困难等制约问题，得到很大程度的解决，为发挥阳东的区位优势提供了更有利的条件。 </w:t>
      </w:r>
    </w:p>
    <w:p w14:paraId="7FB88AD8">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 xml:space="preserve">大八镇是山区镇，又是革命老区镇，位于阳江市阳东区北部，距市区约 28 公里。东与那龙镇相邻，东南与合山、北惯镇接壤；南与西南连接塘坪镇，东北与恩平市毗邻，西北与阳春市接壤。 </w:t>
      </w:r>
    </w:p>
    <w:p w14:paraId="64E62614">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总之，现在的阳江，交通设施完善、产业加快集聚、生活环境舒适、投资环境优越，是广东省最具发展潜力的地区之一。</w:t>
      </w:r>
    </w:p>
    <w:p w14:paraId="2FB2E538">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行政区划</w:t>
      </w:r>
    </w:p>
    <w:p w14:paraId="279115B4">
      <w:pPr>
        <w:pStyle w:val="28"/>
        <w:spacing w:before="0" w:beforeAutospacing="0" w:after="0" w:afterAutospacing="0" w:line="360" w:lineRule="auto"/>
        <w:ind w:firstLine="432" w:firstLineChars="180"/>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1988年1月7日，阳江撤县设市(地级)，设立阳江市阳东区，因其地域处于阳江东部，故称阳东。1991年6月22日，经省人民政府同意，国务院批准，撤销阳江市阳东区，设立阳东县，县府所在地为新建的东城镇。2014年10月20日，经省人民政府同意，国务院批准，撤销阳东县，设立阳江市阳东区，管辖原阳东县行政区域。2015年1月21日举行成立阳江市阳东区挂牌仪式。</w:t>
      </w:r>
    </w:p>
    <w:p w14:paraId="790AD12C">
      <w:pPr>
        <w:pStyle w:val="28"/>
        <w:spacing w:before="0" w:beforeAutospacing="0" w:after="0" w:afterAutospacing="0" w:line="360" w:lineRule="auto"/>
        <w:ind w:firstLine="432" w:firstLineChars="180"/>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阳东区地处东经</w:t>
      </w:r>
      <w:r>
        <w:rPr>
          <w:rFonts w:hint="default" w:ascii="Times New Roman" w:hAnsi="Times New Roman" w:cs="Times New Roman"/>
          <w:color w:val="auto"/>
          <w:sz w:val="24"/>
          <w:szCs w:val="24"/>
          <w:lang w:val="en-US" w:eastAsia="zh-CN"/>
        </w:rPr>
        <w:t>111</w:t>
      </w:r>
      <w:r>
        <w:rPr>
          <w:rFonts w:hint="default" w:ascii="Times New Roman" w:hAnsi="Times New Roman" w:cs="Times New Roman"/>
          <w:color w:val="auto"/>
          <w:sz w:val="24"/>
          <w:szCs w:val="24"/>
          <w:u w:val="none"/>
          <w:lang w:val="en-US" w:eastAsia="zh-CN"/>
        </w:rPr>
        <w:t>°</w:t>
      </w:r>
      <w:r>
        <w:rPr>
          <w:rFonts w:hint="default" w:ascii="Times New Roman" w:hAnsi="Times New Roman" w:cs="Times New Roman"/>
          <w:color w:val="auto"/>
          <w:sz w:val="24"/>
          <w:szCs w:val="24"/>
          <w:lang w:val="en-US" w:eastAsia="zh-CN"/>
        </w:rPr>
        <w:t>45</w:t>
      </w:r>
      <w:r>
        <w:rPr>
          <w:rFonts w:hint="default" w:ascii="Times New Roman" w:hAnsi="Times New Roman" w:cs="Times New Roman"/>
          <w:color w:val="auto"/>
          <w:sz w:val="24"/>
          <w:szCs w:val="24"/>
          <w:u w:val="none"/>
          <w:lang w:val="en-US" w:eastAsia="zh-CN"/>
        </w:rPr>
        <w:t>′</w:t>
      </w:r>
      <w:r>
        <w:rPr>
          <w:rFonts w:hint="default" w:ascii="Times New Roman" w:hAnsi="Times New Roman" w:cs="Times New Roman"/>
          <w:color w:val="auto"/>
          <w:sz w:val="24"/>
          <w:szCs w:val="24"/>
          <w:lang w:val="en-US" w:eastAsia="zh-CN"/>
        </w:rPr>
        <w:t>45″—112</w:t>
      </w:r>
      <w:r>
        <w:rPr>
          <w:rFonts w:hint="default" w:ascii="Times New Roman" w:hAnsi="Times New Roman" w:cs="Times New Roman"/>
          <w:color w:val="auto"/>
          <w:sz w:val="24"/>
          <w:szCs w:val="24"/>
          <w:u w:val="none"/>
          <w:lang w:val="en-US" w:eastAsia="zh-CN"/>
        </w:rPr>
        <w:t>°</w:t>
      </w:r>
      <w:r>
        <w:rPr>
          <w:rFonts w:hint="default" w:ascii="Times New Roman" w:hAnsi="Times New Roman" w:cs="Times New Roman"/>
          <w:color w:val="auto"/>
          <w:sz w:val="24"/>
          <w:szCs w:val="24"/>
          <w:lang w:val="en-US" w:eastAsia="zh-CN"/>
        </w:rPr>
        <w:t>21</w:t>
      </w:r>
      <w:r>
        <w:rPr>
          <w:rFonts w:hint="default" w:ascii="Times New Roman" w:hAnsi="Times New Roman" w:cs="Times New Roman"/>
          <w:color w:val="auto"/>
          <w:sz w:val="24"/>
          <w:szCs w:val="24"/>
          <w:u w:val="none"/>
          <w:lang w:val="en-US" w:eastAsia="zh-CN"/>
        </w:rPr>
        <w:t>′</w:t>
      </w:r>
      <w:r>
        <w:rPr>
          <w:rFonts w:hint="default" w:ascii="Times New Roman" w:hAnsi="Times New Roman" w:cs="Times New Roman"/>
          <w:color w:val="auto"/>
          <w:sz w:val="24"/>
          <w:szCs w:val="24"/>
          <w:lang w:val="en-US" w:eastAsia="zh-CN"/>
        </w:rPr>
        <w:t>16″，北纬21</w:t>
      </w:r>
      <w:r>
        <w:rPr>
          <w:rFonts w:hint="default" w:ascii="Times New Roman" w:hAnsi="Times New Roman" w:cs="Times New Roman"/>
          <w:color w:val="auto"/>
          <w:sz w:val="24"/>
          <w:szCs w:val="24"/>
          <w:u w:val="none"/>
          <w:lang w:val="en-US" w:eastAsia="zh-CN"/>
        </w:rPr>
        <w:t>°</w:t>
      </w:r>
      <w:r>
        <w:rPr>
          <w:rFonts w:hint="default" w:ascii="Times New Roman" w:hAnsi="Times New Roman" w:cs="Times New Roman"/>
          <w:color w:val="auto"/>
          <w:sz w:val="24"/>
          <w:szCs w:val="24"/>
          <w:lang w:val="en-US" w:eastAsia="zh-CN"/>
        </w:rPr>
        <w:t>42</w:t>
      </w:r>
      <w:r>
        <w:rPr>
          <w:rFonts w:hint="default" w:ascii="Times New Roman" w:hAnsi="Times New Roman" w:cs="Times New Roman"/>
          <w:color w:val="auto"/>
          <w:sz w:val="24"/>
          <w:szCs w:val="24"/>
          <w:u w:val="none"/>
          <w:lang w:val="en-US" w:eastAsia="zh-CN"/>
        </w:rPr>
        <w:t>′</w:t>
      </w:r>
      <w:r>
        <w:rPr>
          <w:rFonts w:hint="default" w:ascii="Times New Roman" w:hAnsi="Times New Roman" w:cs="Times New Roman"/>
          <w:color w:val="auto"/>
          <w:sz w:val="24"/>
          <w:szCs w:val="24"/>
          <w:lang w:val="en-US" w:eastAsia="zh-CN"/>
        </w:rPr>
        <w:t>10″—22</w:t>
      </w:r>
      <w:r>
        <w:rPr>
          <w:rFonts w:hint="default" w:ascii="Times New Roman" w:hAnsi="Times New Roman" w:cs="Times New Roman"/>
          <w:color w:val="auto"/>
          <w:sz w:val="24"/>
          <w:szCs w:val="24"/>
          <w:u w:val="none"/>
          <w:lang w:val="en-US" w:eastAsia="zh-CN"/>
        </w:rPr>
        <w:t>°</w:t>
      </w:r>
      <w:r>
        <w:rPr>
          <w:rFonts w:hint="default" w:ascii="Times New Roman" w:hAnsi="Times New Roman" w:cs="Times New Roman"/>
          <w:color w:val="auto"/>
          <w:sz w:val="24"/>
          <w:szCs w:val="24"/>
          <w:lang w:val="en-US" w:eastAsia="zh-CN"/>
        </w:rPr>
        <w:t>15</w:t>
      </w:r>
      <w:r>
        <w:rPr>
          <w:rFonts w:hint="default" w:ascii="Times New Roman" w:hAnsi="Times New Roman" w:cs="Times New Roman"/>
          <w:color w:val="auto"/>
          <w:sz w:val="24"/>
          <w:szCs w:val="24"/>
          <w:u w:val="none"/>
          <w:lang w:val="en-US" w:eastAsia="zh-CN"/>
        </w:rPr>
        <w:t>′</w:t>
      </w:r>
      <w:r>
        <w:rPr>
          <w:rFonts w:hint="default" w:ascii="Times New Roman" w:hAnsi="Times New Roman" w:cs="Times New Roman"/>
          <w:color w:val="auto"/>
          <w:sz w:val="24"/>
          <w:szCs w:val="24"/>
          <w:lang w:val="en-US" w:eastAsia="zh-CN"/>
        </w:rPr>
        <w:t>33″</w:t>
      </w:r>
      <w:r>
        <w:rPr>
          <w:rFonts w:hint="eastAsia" w:ascii="Times New Roman" w:hAnsi="Times New Roman" w:cs="Times New Roman"/>
          <w:color w:val="auto"/>
          <w:sz w:val="24"/>
          <w:lang w:val="en-US" w:eastAsia="zh-CN"/>
        </w:rPr>
        <w:t>，东西长61.4公里，南北长62.5公里，行政区域面积1703.03平方公里。境内东部、北部和西部多为山地，呈三面环山的“马蹄状”地形，海岸线长130公里。325国道、沈海高速公路、西部沿海高速公路贯通境内，交通便利；阳江民用飞机场设在境内合山镇；东平渔港是国家中心渔港。</w:t>
      </w:r>
    </w:p>
    <w:p w14:paraId="089BF2AB">
      <w:pPr>
        <w:pStyle w:val="28"/>
        <w:spacing w:before="0" w:beforeAutospacing="0" w:after="0" w:afterAutospacing="0" w:line="360" w:lineRule="auto"/>
        <w:ind w:firstLine="432" w:firstLineChars="180"/>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2021年，全区辖11个镇，年末户籍人口52.01万人；耕地面积22816.8公顷；森林覆盖率53.48％；活立木蓄积量446.07万立方米；林地面积81722.83公顷；粮食播种面积400298亩，粮食产量136075吨。</w:t>
      </w:r>
    </w:p>
    <w:p w14:paraId="16542960">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社会经济</w:t>
      </w:r>
    </w:p>
    <w:p w14:paraId="335D8693">
      <w:pPr>
        <w:pStyle w:val="28"/>
        <w:spacing w:before="0" w:beforeAutospacing="0" w:after="0" w:afterAutospacing="0" w:line="360" w:lineRule="auto"/>
        <w:ind w:firstLine="432" w:firstLineChars="180"/>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2021年全区生产总值（快报数，下同）343.6亿元，比上年增长7.9%。其中：第一产业增加值57.66亿元，增长2.4%；第二产业增加值179.25亿元，增长10.7%（规模以上工业增加值132.7亿元，增长11.7%）；第三产业增加值106.69亿元，增长6.6%。固定资产投资下降0.5%。社会消费品零售总额69.17亿元，增长7.5%。外贸出口额63.47亿元，增长7.87%。地方一般公共预算收入15.54亿元，增长10.6%。全体居民人均可支配收入30115元，增长7.8%。</w:t>
      </w:r>
    </w:p>
    <w:p w14:paraId="29A140EE">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default"/>
          <w:color w:val="auto"/>
          <w:lang w:val="en-US" w:eastAsia="zh-CN"/>
        </w:rPr>
      </w:pPr>
      <w:bookmarkStart w:id="38" w:name="_Toc8142"/>
      <w:bookmarkStart w:id="39" w:name="_Toc30719"/>
      <w:r>
        <w:rPr>
          <w:rFonts w:hint="eastAsia"/>
          <w:color w:val="auto"/>
          <w:lang w:val="en-US" w:eastAsia="zh-CN"/>
        </w:rPr>
        <w:t>自然条件</w:t>
      </w:r>
      <w:bookmarkEnd w:id="38"/>
      <w:bookmarkEnd w:id="39"/>
    </w:p>
    <w:p w14:paraId="2605D15E">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地形地貌</w:t>
      </w:r>
    </w:p>
    <w:p w14:paraId="0A4B1818">
      <w:pPr>
        <w:pStyle w:val="28"/>
        <w:spacing w:before="0" w:beforeAutospacing="0" w:after="0" w:afterAutospacing="0" w:line="360" w:lineRule="auto"/>
        <w:ind w:firstLine="432" w:firstLineChars="180"/>
        <w:rPr>
          <w:rFonts w:hint="eastAsia"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阳江市阳东区属滨海丘陵地区，区域三面环山、南面临海，中部为漠阳江流域地势从北向南倾斜，河谷交错，地貌由山区、丘陵区、河谷平原和海脊平原区等多种地貌单元组成</w:t>
      </w:r>
      <w:r>
        <w:rPr>
          <w:rFonts w:hint="eastAsia" w:ascii="Times New Roman" w:hAnsi="Times New Roman" w:cs="Times New Roman"/>
          <w:color w:val="auto"/>
          <w:sz w:val="24"/>
          <w:lang w:val="en-US" w:eastAsia="zh-CN"/>
        </w:rPr>
        <w:t>，</w:t>
      </w:r>
      <w:r>
        <w:rPr>
          <w:rFonts w:hint="default" w:ascii="Times New Roman" w:hAnsi="Times New Roman" w:cs="Times New Roman"/>
          <w:color w:val="auto"/>
          <w:sz w:val="24"/>
          <w:lang w:val="en-US" w:eastAsia="zh-CN"/>
        </w:rPr>
        <w:t>其中山区面积占26%，丘陵区占42%，河谷平原和海脊平原占13%</w:t>
      </w:r>
      <w:r>
        <w:rPr>
          <w:rFonts w:hint="eastAsia" w:ascii="Times New Roman" w:hAnsi="Times New Roman" w:cs="Times New Roman"/>
          <w:color w:val="auto"/>
          <w:sz w:val="24"/>
          <w:lang w:val="en-US" w:eastAsia="zh-CN"/>
        </w:rPr>
        <w:t>。</w:t>
      </w:r>
      <w:r>
        <w:rPr>
          <w:rFonts w:hint="default" w:ascii="Times New Roman" w:hAnsi="Times New Roman" w:cs="Times New Roman"/>
          <w:color w:val="auto"/>
          <w:sz w:val="24"/>
          <w:lang w:val="en-US" w:eastAsia="zh-CN"/>
        </w:rPr>
        <w:t>东部山地属紫罗山，主要在新洲、东平等镇，最高峰在新洲镇的紫罗山，海拔793m；北部山地为珠环山，位于大八镇，绵延至阳东、阳春及恩平三地，是阳东区北部的天然屏障，最高峰烂头岭海拔1014.6m为区内最高峰；在中部的塘坪、合山至北惯镇一带，分布有东岸山，最高峰海拔574m</w:t>
      </w:r>
      <w:r>
        <w:rPr>
          <w:rFonts w:hint="eastAsia" w:ascii="Times New Roman" w:hAnsi="Times New Roman" w:cs="Times New Roman"/>
          <w:color w:val="auto"/>
          <w:sz w:val="24"/>
          <w:lang w:val="en-US" w:eastAsia="zh-CN"/>
        </w:rPr>
        <w:t>。</w:t>
      </w:r>
      <w:r>
        <w:rPr>
          <w:rFonts w:hint="default" w:ascii="Times New Roman" w:hAnsi="Times New Roman" w:cs="Times New Roman"/>
          <w:color w:val="auto"/>
          <w:sz w:val="24"/>
          <w:lang w:val="en-US" w:eastAsia="zh-CN"/>
        </w:rPr>
        <w:t>丘陵台地主要分布在区境中部及南部各镇。河流冲积平原主要分布在漠阳江及那龙河中下游两岸的各镇，包括北惯、雅韶等镇。滨海平原主要分布在沿海一带</w:t>
      </w:r>
      <w:r>
        <w:rPr>
          <w:rFonts w:hint="eastAsia" w:ascii="Times New Roman" w:hAnsi="Times New Roman" w:cs="Times New Roman"/>
          <w:color w:val="auto"/>
          <w:sz w:val="24"/>
          <w:lang w:val="en-US" w:eastAsia="zh-CN"/>
        </w:rPr>
        <w:t>。</w:t>
      </w:r>
    </w:p>
    <w:p w14:paraId="2EEA1D94">
      <w:pPr>
        <w:pStyle w:val="28"/>
        <w:spacing w:before="0" w:beforeAutospacing="0" w:after="0" w:afterAutospacing="0" w:line="360" w:lineRule="auto"/>
        <w:ind w:firstLine="432" w:firstLineChars="180"/>
        <w:rPr>
          <w:rFonts w:hint="default" w:ascii="Times New Roman" w:hAnsi="Times New Roman" w:cs="Times New Roman"/>
          <w:color w:val="auto"/>
          <w:sz w:val="24"/>
          <w:lang w:val="en-US" w:eastAsia="zh-CN"/>
        </w:rPr>
      </w:pPr>
      <w:r>
        <w:rPr>
          <w:rFonts w:hint="eastAsia" w:ascii="Times New Roman" w:hAnsi="Times New Roman" w:cs="Times New Roman"/>
          <w:color w:val="auto"/>
          <w:sz w:val="24"/>
          <w:lang w:val="zh-CN" w:eastAsia="zh-CN"/>
        </w:rPr>
        <w:t>本项目位于阳江市阳东区</w:t>
      </w:r>
      <w:r>
        <w:rPr>
          <w:rFonts w:hint="eastAsia" w:ascii="Times New Roman" w:hAnsi="Times New Roman" w:cs="Times New Roman"/>
          <w:color w:val="auto"/>
          <w:sz w:val="24"/>
          <w:lang w:val="en-US" w:eastAsia="zh-CN"/>
        </w:rPr>
        <w:t>大八镇</w:t>
      </w:r>
      <w:r>
        <w:rPr>
          <w:rFonts w:hint="eastAsia" w:ascii="Times New Roman" w:hAnsi="Times New Roman" w:cs="Times New Roman"/>
          <w:color w:val="auto"/>
          <w:sz w:val="24"/>
          <w:lang w:val="zh-CN" w:eastAsia="zh-CN"/>
        </w:rPr>
        <w:t>，场地地貌单元为河漫滩平原地貌，地势较为平坦，存在较厚的软土，地下水位较高。区域水网密布，湖塘众多，沿线多为现状鱼塘，交通较便利，</w:t>
      </w:r>
      <w:r>
        <w:rPr>
          <w:rFonts w:hint="eastAsia" w:ascii="Times New Roman" w:hAnsi="Times New Roman" w:cs="Times New Roman"/>
          <w:color w:val="auto"/>
          <w:sz w:val="24"/>
          <w:lang w:val="en-US" w:eastAsia="zh-CN"/>
        </w:rPr>
        <w:t>用地现状地形较为平坦，</w:t>
      </w:r>
      <w:r>
        <w:rPr>
          <w:rFonts w:hint="eastAsia" w:cs="Times New Roman"/>
          <w:color w:val="auto"/>
          <w:sz w:val="24"/>
          <w:highlight w:val="none"/>
          <w:lang w:val="en-US" w:eastAsia="zh-CN"/>
        </w:rPr>
        <w:t>为农用荒地（不涉及耕地）</w:t>
      </w:r>
      <w:r>
        <w:rPr>
          <w:rFonts w:hint="eastAsia" w:ascii="Times New Roman" w:hAnsi="Times New Roman" w:cs="Times New Roman"/>
          <w:color w:val="auto"/>
          <w:sz w:val="24"/>
          <w:lang w:val="en-US" w:eastAsia="zh-CN"/>
        </w:rPr>
        <w:t>，现场地标高约20.77m（1985 国家高程），拟定厂区设计地坪标高为21.00m</w:t>
      </w:r>
      <w:r>
        <w:rPr>
          <w:rFonts w:hint="eastAsia" w:ascii="Times New Roman" w:hAnsi="Times New Roman" w:cs="Times New Roman"/>
          <w:color w:val="auto"/>
          <w:sz w:val="24"/>
          <w:lang w:val="zh-CN" w:eastAsia="zh-CN"/>
        </w:rPr>
        <w:t>。</w:t>
      </w:r>
    </w:p>
    <w:p w14:paraId="6701CF21">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气象</w:t>
      </w:r>
    </w:p>
    <w:p w14:paraId="70CFFCB3">
      <w:pPr>
        <w:pStyle w:val="28"/>
        <w:spacing w:before="0" w:beforeAutospacing="0" w:after="0" w:afterAutospacing="0" w:line="360" w:lineRule="auto"/>
        <w:ind w:firstLine="432" w:firstLineChars="180"/>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项目区地处广东省西南部低纬度地区，北回归线以南，漠阳江流域中游，属于亚热带海洋性季风气候，季风气候明显，热量丰富，具夏长冬短，水、热同季的特征。4~6月多为锋面雨，7~9月多为台风雨，其中4~9月份雨量占全年的85%以上。本工程气象数据主要分别参考阳江气象站有关统计资料，阳江气象站位于阳江市阳东区新寨岗背，自然地理环境与气象条件与本工程相似，对场地的气象条件代表性较好，该站有自1952年至2016年共64年的完整资料，资料系列较长，观测项目有气温、气压、相对湿度、绝对湿度、风速和风向、降水量、日照、蒸发量等，仪器设备和资料整理等均符合国家规范，资料的代表性良好，故选用阳江气象站作为设计代表站。</w:t>
      </w:r>
    </w:p>
    <w:p w14:paraId="2CF8DC60">
      <w:pPr>
        <w:pStyle w:val="28"/>
        <w:spacing w:before="0" w:beforeAutospacing="0" w:after="0" w:afterAutospacing="0" w:line="360" w:lineRule="auto"/>
        <w:ind w:firstLine="432" w:firstLineChars="180"/>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根据阳江气象站1952~2024年的观测资料统计得到各气象要素年特征值见表3.2-1。</w:t>
      </w:r>
    </w:p>
    <w:p w14:paraId="6CDA5543">
      <w:pPr>
        <w:pStyle w:val="87"/>
        <w:spacing w:line="240" w:lineRule="auto"/>
        <w:ind w:firstLine="316" w:firstLineChars="150"/>
        <w:jc w:val="center"/>
        <w:rPr>
          <w:rFonts w:hint="default" w:ascii="Times New Roman" w:hAnsi="Times New Roman" w:eastAsia="宋体" w:cs="Times New Roman"/>
          <w:b/>
          <w:bCs/>
          <w:color w:val="auto"/>
          <w:kern w:val="0"/>
          <w:sz w:val="21"/>
          <w:szCs w:val="21"/>
          <w:lang w:val="en-US" w:eastAsia="zh-CN" w:bidi="ar-SA"/>
        </w:rPr>
      </w:pPr>
      <w:r>
        <w:rPr>
          <w:rFonts w:hint="eastAsia" w:ascii="Times New Roman" w:hAnsi="Times New Roman" w:eastAsia="宋体" w:cs="Times New Roman"/>
          <w:b/>
          <w:bCs/>
          <w:color w:val="auto"/>
          <w:kern w:val="0"/>
          <w:sz w:val="21"/>
          <w:szCs w:val="21"/>
          <w:lang w:val="en-US" w:eastAsia="zh-CN" w:bidi="ar-SA"/>
        </w:rPr>
        <w:t>表3.2-1主要气象指标</w:t>
      </w:r>
    </w:p>
    <w:tbl>
      <w:tblPr>
        <w:tblStyle w:val="31"/>
        <w:tblW w:w="86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24"/>
        <w:gridCol w:w="2921"/>
        <w:gridCol w:w="1968"/>
        <w:gridCol w:w="2625"/>
      </w:tblGrid>
      <w:tr w14:paraId="5557C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1124" w:type="dxa"/>
            <w:tcBorders>
              <w:top w:val="single" w:color="000000" w:sz="4" w:space="0"/>
              <w:left w:val="single" w:color="000000" w:sz="4" w:space="0"/>
              <w:bottom w:val="single" w:color="000000" w:sz="4" w:space="0"/>
              <w:right w:val="single" w:color="000000" w:sz="4" w:space="0"/>
            </w:tcBorders>
            <w:noWrap w:val="0"/>
            <w:vAlign w:val="center"/>
          </w:tcPr>
          <w:p w14:paraId="72383FEE">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序号</w:t>
            </w:r>
          </w:p>
        </w:tc>
        <w:tc>
          <w:tcPr>
            <w:tcW w:w="2921" w:type="dxa"/>
            <w:tcBorders>
              <w:top w:val="single" w:color="000000" w:sz="4" w:space="0"/>
              <w:left w:val="single" w:color="000000" w:sz="4" w:space="0"/>
              <w:bottom w:val="single" w:color="000000" w:sz="4" w:space="0"/>
              <w:right w:val="single" w:color="000000" w:sz="4" w:space="0"/>
            </w:tcBorders>
            <w:noWrap w:val="0"/>
            <w:vAlign w:val="center"/>
          </w:tcPr>
          <w:p w14:paraId="6A95664C">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指标</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5456A9A3">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数据</w:t>
            </w:r>
          </w:p>
        </w:tc>
        <w:tc>
          <w:tcPr>
            <w:tcW w:w="2625" w:type="dxa"/>
            <w:tcBorders>
              <w:top w:val="single" w:color="000000" w:sz="4" w:space="0"/>
              <w:left w:val="single" w:color="000000" w:sz="4" w:space="0"/>
              <w:bottom w:val="single" w:color="000000" w:sz="4" w:space="0"/>
              <w:right w:val="single" w:color="000000" w:sz="4" w:space="0"/>
            </w:tcBorders>
            <w:noWrap w:val="0"/>
            <w:vAlign w:val="center"/>
          </w:tcPr>
          <w:p w14:paraId="2EC324F2">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备注</w:t>
            </w:r>
          </w:p>
        </w:tc>
      </w:tr>
      <w:tr w14:paraId="39065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1124" w:type="dxa"/>
            <w:tcBorders>
              <w:top w:val="single" w:color="000000" w:sz="4" w:space="0"/>
              <w:left w:val="single" w:color="000000" w:sz="4" w:space="0"/>
              <w:bottom w:val="single" w:color="000000" w:sz="4" w:space="0"/>
              <w:right w:val="single" w:color="000000" w:sz="4" w:space="0"/>
            </w:tcBorders>
            <w:noWrap w:val="0"/>
            <w:vAlign w:val="center"/>
          </w:tcPr>
          <w:p w14:paraId="62B45DEE">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1</w:t>
            </w:r>
          </w:p>
        </w:tc>
        <w:tc>
          <w:tcPr>
            <w:tcW w:w="2921" w:type="dxa"/>
            <w:tcBorders>
              <w:top w:val="single" w:color="000000" w:sz="4" w:space="0"/>
              <w:left w:val="single" w:color="000000" w:sz="4" w:space="0"/>
              <w:bottom w:val="single" w:color="000000" w:sz="4" w:space="0"/>
              <w:right w:val="single" w:color="000000" w:sz="4" w:space="0"/>
            </w:tcBorders>
            <w:noWrap w:val="0"/>
            <w:vAlign w:val="center"/>
          </w:tcPr>
          <w:p w14:paraId="43F6FD87">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多年平均气压</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2BB8EB4F">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1010.5hpa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4934DF">
            <w:pPr>
              <w:jc w:val="center"/>
              <w:rPr>
                <w:rFonts w:hint="eastAsia" w:ascii="Times New Roman" w:hAnsi="Times New Roman" w:eastAsia="宋体" w:cs="Times New Roman"/>
                <w:color w:val="auto"/>
                <w:szCs w:val="20"/>
                <w:lang w:val="en-US" w:eastAsia="zh-CN"/>
              </w:rPr>
            </w:pPr>
          </w:p>
        </w:tc>
      </w:tr>
      <w:tr w14:paraId="64E2F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1124" w:type="dxa"/>
            <w:tcBorders>
              <w:top w:val="single" w:color="000000" w:sz="4" w:space="0"/>
              <w:left w:val="single" w:color="000000" w:sz="4" w:space="0"/>
              <w:bottom w:val="single" w:color="000000" w:sz="4" w:space="0"/>
              <w:right w:val="single" w:color="000000" w:sz="4" w:space="0"/>
            </w:tcBorders>
            <w:noWrap w:val="0"/>
            <w:vAlign w:val="center"/>
          </w:tcPr>
          <w:p w14:paraId="75602360">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w:t>
            </w:r>
          </w:p>
        </w:tc>
        <w:tc>
          <w:tcPr>
            <w:tcW w:w="2921" w:type="dxa"/>
            <w:tcBorders>
              <w:top w:val="single" w:color="000000" w:sz="4" w:space="0"/>
              <w:left w:val="single" w:color="000000" w:sz="4" w:space="0"/>
              <w:bottom w:val="single" w:color="000000" w:sz="4" w:space="0"/>
              <w:right w:val="single" w:color="000000" w:sz="4" w:space="0"/>
            </w:tcBorders>
            <w:noWrap w:val="0"/>
            <w:vAlign w:val="center"/>
          </w:tcPr>
          <w:p w14:paraId="44EB6C3A">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多年平均气温</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4584AB19">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22.3°C</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503C55">
            <w:pPr>
              <w:jc w:val="center"/>
              <w:rPr>
                <w:rFonts w:hint="eastAsia" w:ascii="Times New Roman" w:hAnsi="Times New Roman" w:eastAsia="宋体" w:cs="Times New Roman"/>
                <w:color w:val="auto"/>
                <w:szCs w:val="20"/>
                <w:lang w:val="en-US" w:eastAsia="zh-CN"/>
              </w:rPr>
            </w:pPr>
          </w:p>
        </w:tc>
      </w:tr>
      <w:tr w14:paraId="42A48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1124" w:type="dxa"/>
            <w:tcBorders>
              <w:top w:val="single" w:color="000000" w:sz="4" w:space="0"/>
              <w:left w:val="single" w:color="000000" w:sz="4" w:space="0"/>
              <w:bottom w:val="single" w:color="000000" w:sz="4" w:space="0"/>
              <w:right w:val="single" w:color="000000" w:sz="4" w:space="0"/>
            </w:tcBorders>
            <w:noWrap w:val="0"/>
            <w:vAlign w:val="center"/>
          </w:tcPr>
          <w:p w14:paraId="7766F2BC">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3</w:t>
            </w:r>
          </w:p>
        </w:tc>
        <w:tc>
          <w:tcPr>
            <w:tcW w:w="2921" w:type="dxa"/>
            <w:tcBorders>
              <w:top w:val="single" w:color="000000" w:sz="4" w:space="0"/>
              <w:left w:val="single" w:color="000000" w:sz="4" w:space="0"/>
              <w:bottom w:val="single" w:color="000000" w:sz="4" w:space="0"/>
              <w:right w:val="single" w:color="000000" w:sz="4" w:space="0"/>
            </w:tcBorders>
            <w:noWrap w:val="0"/>
            <w:vAlign w:val="center"/>
          </w:tcPr>
          <w:p w14:paraId="147186C7">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历年极端最高气温</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71C073E7">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37.5°C</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5A3DF7">
            <w:pPr>
              <w:jc w:val="center"/>
              <w:rPr>
                <w:rFonts w:hint="eastAsia" w:ascii="Times New Roman" w:hAnsi="Times New Roman" w:eastAsia="宋体" w:cs="Times New Roman"/>
                <w:color w:val="auto"/>
                <w:szCs w:val="20"/>
                <w:lang w:val="en-US" w:eastAsia="zh-CN"/>
              </w:rPr>
            </w:pPr>
          </w:p>
        </w:tc>
      </w:tr>
      <w:tr w14:paraId="657F4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1124" w:type="dxa"/>
            <w:tcBorders>
              <w:top w:val="single" w:color="000000" w:sz="4" w:space="0"/>
              <w:left w:val="single" w:color="000000" w:sz="4" w:space="0"/>
              <w:bottom w:val="single" w:color="000000" w:sz="4" w:space="0"/>
              <w:right w:val="single" w:color="000000" w:sz="4" w:space="0"/>
            </w:tcBorders>
            <w:noWrap w:val="0"/>
            <w:vAlign w:val="center"/>
          </w:tcPr>
          <w:p w14:paraId="08410001">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4</w:t>
            </w:r>
          </w:p>
        </w:tc>
        <w:tc>
          <w:tcPr>
            <w:tcW w:w="2921" w:type="dxa"/>
            <w:tcBorders>
              <w:top w:val="single" w:color="000000" w:sz="4" w:space="0"/>
              <w:left w:val="single" w:color="000000" w:sz="4" w:space="0"/>
              <w:bottom w:val="single" w:color="000000" w:sz="4" w:space="0"/>
              <w:right w:val="single" w:color="000000" w:sz="4" w:space="0"/>
            </w:tcBorders>
            <w:noWrap w:val="0"/>
            <w:vAlign w:val="center"/>
          </w:tcPr>
          <w:p w14:paraId="73AE854E">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历年极端最低气温</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48394058">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-1.4°C</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69F123">
            <w:pPr>
              <w:jc w:val="center"/>
              <w:rPr>
                <w:rFonts w:hint="eastAsia" w:ascii="Times New Roman" w:hAnsi="Times New Roman" w:eastAsia="宋体" w:cs="Times New Roman"/>
                <w:color w:val="auto"/>
                <w:szCs w:val="20"/>
                <w:lang w:val="en-US" w:eastAsia="zh-CN"/>
              </w:rPr>
            </w:pPr>
          </w:p>
        </w:tc>
      </w:tr>
      <w:tr w14:paraId="03A22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1124" w:type="dxa"/>
            <w:tcBorders>
              <w:top w:val="single" w:color="000000" w:sz="4" w:space="0"/>
              <w:left w:val="single" w:color="000000" w:sz="4" w:space="0"/>
              <w:bottom w:val="single" w:color="000000" w:sz="4" w:space="0"/>
              <w:right w:val="single" w:color="000000" w:sz="4" w:space="0"/>
            </w:tcBorders>
            <w:noWrap w:val="0"/>
            <w:vAlign w:val="center"/>
          </w:tcPr>
          <w:p w14:paraId="1D1BD092">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5</w:t>
            </w:r>
          </w:p>
        </w:tc>
        <w:tc>
          <w:tcPr>
            <w:tcW w:w="2921" w:type="dxa"/>
            <w:tcBorders>
              <w:top w:val="single" w:color="000000" w:sz="4" w:space="0"/>
              <w:left w:val="single" w:color="000000" w:sz="4" w:space="0"/>
              <w:bottom w:val="single" w:color="000000" w:sz="4" w:space="0"/>
              <w:right w:val="single" w:color="000000" w:sz="4" w:space="0"/>
            </w:tcBorders>
            <w:noWrap w:val="0"/>
            <w:vAlign w:val="center"/>
          </w:tcPr>
          <w:p w14:paraId="7B2565E1">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多年平均降雨量</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2C8AB9DB">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2122.3mm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FDBDCF">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更新至2020年</w:t>
            </w:r>
          </w:p>
        </w:tc>
      </w:tr>
      <w:tr w14:paraId="598EB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1124" w:type="dxa"/>
            <w:tcBorders>
              <w:top w:val="single" w:color="000000" w:sz="4" w:space="0"/>
              <w:left w:val="single" w:color="000000" w:sz="4" w:space="0"/>
              <w:bottom w:val="single" w:color="000000" w:sz="4" w:space="0"/>
              <w:right w:val="single" w:color="000000" w:sz="4" w:space="0"/>
            </w:tcBorders>
            <w:noWrap w:val="0"/>
            <w:vAlign w:val="center"/>
          </w:tcPr>
          <w:p w14:paraId="3C3FA5BE">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6</w:t>
            </w:r>
          </w:p>
        </w:tc>
        <w:tc>
          <w:tcPr>
            <w:tcW w:w="2921" w:type="dxa"/>
            <w:tcBorders>
              <w:top w:val="single" w:color="000000" w:sz="4" w:space="0"/>
              <w:left w:val="single" w:color="000000" w:sz="4" w:space="0"/>
              <w:bottom w:val="single" w:color="000000" w:sz="4" w:space="0"/>
              <w:right w:val="single" w:color="000000" w:sz="4" w:space="0"/>
            </w:tcBorders>
            <w:noWrap w:val="0"/>
            <w:vAlign w:val="center"/>
          </w:tcPr>
          <w:p w14:paraId="4BC79C44">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历年最大一日降雨量</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02E8D292">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405.5mm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9C44FD">
            <w:pPr>
              <w:jc w:val="center"/>
              <w:rPr>
                <w:rFonts w:hint="eastAsia" w:ascii="Times New Roman" w:hAnsi="Times New Roman" w:eastAsia="宋体" w:cs="Times New Roman"/>
                <w:color w:val="auto"/>
                <w:szCs w:val="20"/>
                <w:lang w:val="en-US" w:eastAsia="zh-CN"/>
              </w:rPr>
            </w:pPr>
          </w:p>
        </w:tc>
      </w:tr>
      <w:tr w14:paraId="3832F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1124" w:type="dxa"/>
            <w:tcBorders>
              <w:top w:val="single" w:color="000000" w:sz="4" w:space="0"/>
              <w:left w:val="single" w:color="000000" w:sz="4" w:space="0"/>
              <w:bottom w:val="single" w:color="000000" w:sz="4" w:space="0"/>
              <w:right w:val="single" w:color="000000" w:sz="4" w:space="0"/>
            </w:tcBorders>
            <w:noWrap w:val="0"/>
            <w:vAlign w:val="center"/>
          </w:tcPr>
          <w:p w14:paraId="350F39DF">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7</w:t>
            </w:r>
          </w:p>
        </w:tc>
        <w:tc>
          <w:tcPr>
            <w:tcW w:w="2921" w:type="dxa"/>
            <w:tcBorders>
              <w:top w:val="single" w:color="000000" w:sz="4" w:space="0"/>
              <w:left w:val="single" w:color="000000" w:sz="4" w:space="0"/>
              <w:bottom w:val="single" w:color="000000" w:sz="4" w:space="0"/>
              <w:right w:val="single" w:color="000000" w:sz="4" w:space="0"/>
            </w:tcBorders>
            <w:noWrap w:val="0"/>
            <w:vAlign w:val="center"/>
          </w:tcPr>
          <w:p w14:paraId="381BA3B2">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多年平均相对湿度</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1B1626B2">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81%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0C8701">
            <w:pPr>
              <w:jc w:val="center"/>
              <w:rPr>
                <w:rFonts w:hint="eastAsia" w:ascii="Times New Roman" w:hAnsi="Times New Roman" w:eastAsia="宋体" w:cs="Times New Roman"/>
                <w:color w:val="auto"/>
                <w:szCs w:val="20"/>
                <w:lang w:val="en-US" w:eastAsia="zh-CN"/>
              </w:rPr>
            </w:pPr>
          </w:p>
        </w:tc>
      </w:tr>
      <w:tr w14:paraId="663E0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1124" w:type="dxa"/>
            <w:tcBorders>
              <w:top w:val="single" w:color="000000" w:sz="4" w:space="0"/>
              <w:left w:val="single" w:color="000000" w:sz="4" w:space="0"/>
              <w:bottom w:val="single" w:color="000000" w:sz="4" w:space="0"/>
              <w:right w:val="single" w:color="000000" w:sz="4" w:space="0"/>
            </w:tcBorders>
            <w:noWrap w:val="0"/>
            <w:vAlign w:val="center"/>
          </w:tcPr>
          <w:p w14:paraId="1AB59075">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8</w:t>
            </w:r>
          </w:p>
        </w:tc>
        <w:tc>
          <w:tcPr>
            <w:tcW w:w="2921" w:type="dxa"/>
            <w:tcBorders>
              <w:top w:val="single" w:color="000000" w:sz="4" w:space="0"/>
              <w:left w:val="single" w:color="000000" w:sz="4" w:space="0"/>
              <w:bottom w:val="single" w:color="000000" w:sz="4" w:space="0"/>
              <w:right w:val="single" w:color="000000" w:sz="4" w:space="0"/>
            </w:tcBorders>
            <w:noWrap w:val="0"/>
            <w:vAlign w:val="center"/>
          </w:tcPr>
          <w:p w14:paraId="563EF919">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多年平均风速</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1E4D0697">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2.8m/s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863BB7">
            <w:pPr>
              <w:jc w:val="center"/>
              <w:rPr>
                <w:rFonts w:hint="eastAsia" w:ascii="Times New Roman" w:hAnsi="Times New Roman" w:eastAsia="宋体" w:cs="Times New Roman"/>
                <w:color w:val="auto"/>
                <w:szCs w:val="20"/>
                <w:lang w:val="en-US" w:eastAsia="zh-CN"/>
              </w:rPr>
            </w:pPr>
          </w:p>
        </w:tc>
      </w:tr>
      <w:tr w14:paraId="603D3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1124" w:type="dxa"/>
            <w:tcBorders>
              <w:top w:val="single" w:color="000000" w:sz="4" w:space="0"/>
              <w:left w:val="single" w:color="000000" w:sz="4" w:space="0"/>
              <w:bottom w:val="single" w:color="000000" w:sz="4" w:space="0"/>
              <w:right w:val="single" w:color="000000" w:sz="4" w:space="0"/>
            </w:tcBorders>
            <w:noWrap w:val="0"/>
            <w:vAlign w:val="center"/>
          </w:tcPr>
          <w:p w14:paraId="7B1E65B4">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9</w:t>
            </w:r>
          </w:p>
        </w:tc>
        <w:tc>
          <w:tcPr>
            <w:tcW w:w="2921" w:type="dxa"/>
            <w:tcBorders>
              <w:top w:val="single" w:color="000000" w:sz="4" w:space="0"/>
              <w:left w:val="single" w:color="000000" w:sz="4" w:space="0"/>
              <w:bottom w:val="single" w:color="000000" w:sz="4" w:space="0"/>
              <w:right w:val="single" w:color="000000" w:sz="4" w:space="0"/>
            </w:tcBorders>
            <w:noWrap w:val="0"/>
            <w:vAlign w:val="center"/>
          </w:tcPr>
          <w:p w14:paraId="0AE5B98C">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历年10分钟最大风速</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30F31724">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24.3m/s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C9209A">
            <w:pPr>
              <w:jc w:val="center"/>
              <w:rPr>
                <w:rFonts w:hint="eastAsia" w:ascii="Times New Roman" w:hAnsi="Times New Roman" w:eastAsia="宋体" w:cs="Times New Roman"/>
                <w:color w:val="auto"/>
                <w:szCs w:val="20"/>
                <w:lang w:val="en-US" w:eastAsia="zh-CN"/>
              </w:rPr>
            </w:pPr>
          </w:p>
        </w:tc>
      </w:tr>
      <w:tr w14:paraId="7FB08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1124" w:type="dxa"/>
            <w:tcBorders>
              <w:top w:val="single" w:color="000000" w:sz="4" w:space="0"/>
              <w:left w:val="single" w:color="000000" w:sz="4" w:space="0"/>
              <w:bottom w:val="single" w:color="000000" w:sz="4" w:space="0"/>
              <w:right w:val="single" w:color="000000" w:sz="4" w:space="0"/>
            </w:tcBorders>
            <w:noWrap w:val="0"/>
            <w:vAlign w:val="center"/>
          </w:tcPr>
          <w:p w14:paraId="71D140AC">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10</w:t>
            </w:r>
          </w:p>
        </w:tc>
        <w:tc>
          <w:tcPr>
            <w:tcW w:w="2921" w:type="dxa"/>
            <w:tcBorders>
              <w:top w:val="single" w:color="000000" w:sz="4" w:space="0"/>
              <w:left w:val="single" w:color="000000" w:sz="4" w:space="0"/>
              <w:bottom w:val="single" w:color="000000" w:sz="4" w:space="0"/>
              <w:right w:val="single" w:color="000000" w:sz="4" w:space="0"/>
            </w:tcBorders>
            <w:noWrap w:val="0"/>
            <w:vAlign w:val="center"/>
          </w:tcPr>
          <w:p w14:paraId="61361E7E">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五十年一遇10m高最大风速</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40A2DA51">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36.8m/s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DC7E37">
            <w:pPr>
              <w:jc w:val="center"/>
              <w:rPr>
                <w:rFonts w:hint="eastAsia" w:ascii="Times New Roman" w:hAnsi="Times New Roman" w:eastAsia="宋体" w:cs="Times New Roman"/>
                <w:color w:val="auto"/>
                <w:szCs w:val="20"/>
                <w:lang w:val="en-US" w:eastAsia="zh-CN"/>
              </w:rPr>
            </w:pPr>
          </w:p>
        </w:tc>
      </w:tr>
      <w:tr w14:paraId="6FBAE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1124" w:type="dxa"/>
            <w:tcBorders>
              <w:top w:val="single" w:color="000000" w:sz="4" w:space="0"/>
              <w:left w:val="single" w:color="000000" w:sz="4" w:space="0"/>
              <w:bottom w:val="single" w:color="000000" w:sz="4" w:space="0"/>
              <w:right w:val="single" w:color="000000" w:sz="4" w:space="0"/>
            </w:tcBorders>
            <w:noWrap w:val="0"/>
            <w:vAlign w:val="center"/>
          </w:tcPr>
          <w:p w14:paraId="01C94910">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11</w:t>
            </w:r>
          </w:p>
        </w:tc>
        <w:tc>
          <w:tcPr>
            <w:tcW w:w="2921" w:type="dxa"/>
            <w:tcBorders>
              <w:top w:val="single" w:color="000000" w:sz="4" w:space="0"/>
              <w:left w:val="single" w:color="000000" w:sz="4" w:space="0"/>
              <w:bottom w:val="single" w:color="000000" w:sz="4" w:space="0"/>
              <w:right w:val="single" w:color="000000" w:sz="4" w:space="0"/>
            </w:tcBorders>
            <w:noWrap w:val="0"/>
            <w:vAlign w:val="center"/>
          </w:tcPr>
          <w:p w14:paraId="494D7718">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多年平均大风（≥8级）日数</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36ACC496">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4d</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F58F87">
            <w:pPr>
              <w:jc w:val="center"/>
              <w:rPr>
                <w:rFonts w:hint="eastAsia" w:ascii="Times New Roman" w:hAnsi="Times New Roman" w:eastAsia="宋体" w:cs="Times New Roman"/>
                <w:color w:val="auto"/>
                <w:szCs w:val="20"/>
                <w:lang w:val="en-US" w:eastAsia="zh-CN"/>
              </w:rPr>
            </w:pPr>
          </w:p>
        </w:tc>
      </w:tr>
      <w:tr w14:paraId="52D13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1124" w:type="dxa"/>
            <w:tcBorders>
              <w:top w:val="single" w:color="000000" w:sz="4" w:space="0"/>
              <w:left w:val="single" w:color="000000" w:sz="4" w:space="0"/>
              <w:bottom w:val="single" w:color="000000" w:sz="4" w:space="0"/>
              <w:right w:val="single" w:color="000000" w:sz="4" w:space="0"/>
            </w:tcBorders>
            <w:noWrap w:val="0"/>
            <w:vAlign w:val="center"/>
          </w:tcPr>
          <w:p w14:paraId="05F1E6BB">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12</w:t>
            </w:r>
          </w:p>
        </w:tc>
        <w:tc>
          <w:tcPr>
            <w:tcW w:w="2921" w:type="dxa"/>
            <w:tcBorders>
              <w:top w:val="single" w:color="000000" w:sz="4" w:space="0"/>
              <w:left w:val="single" w:color="000000" w:sz="4" w:space="0"/>
              <w:bottom w:val="single" w:color="000000" w:sz="4" w:space="0"/>
              <w:right w:val="single" w:color="000000" w:sz="4" w:space="0"/>
            </w:tcBorders>
            <w:noWrap w:val="0"/>
            <w:vAlign w:val="center"/>
          </w:tcPr>
          <w:p w14:paraId="1DBB75D8">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多年平均年雷暴日数</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03D65E41">
            <w:pPr>
              <w:jc w:val="center"/>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90d</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DCF8CD">
            <w:pPr>
              <w:jc w:val="center"/>
              <w:rPr>
                <w:rFonts w:hint="eastAsia" w:ascii="Times New Roman" w:hAnsi="Times New Roman" w:eastAsia="宋体" w:cs="Times New Roman"/>
                <w:color w:val="auto"/>
                <w:szCs w:val="20"/>
                <w:lang w:val="en-US" w:eastAsia="zh-CN"/>
              </w:rPr>
            </w:pPr>
          </w:p>
        </w:tc>
      </w:tr>
    </w:tbl>
    <w:p w14:paraId="1BCFC10B">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河流水系</w:t>
      </w:r>
    </w:p>
    <w:p w14:paraId="69AF3545">
      <w:pPr>
        <w:spacing w:line="360" w:lineRule="auto"/>
        <w:ind w:firstLine="480" w:firstLineChars="200"/>
        <w:rPr>
          <w:rFonts w:hint="eastAsia" w:ascii="Times New Roman" w:hAnsi="Times New Roman" w:cs="Times New Roman"/>
          <w:color w:val="auto"/>
          <w:kern w:val="0"/>
          <w:sz w:val="24"/>
          <w:lang w:val="en-US" w:eastAsia="zh-CN"/>
        </w:rPr>
      </w:pPr>
      <w:r>
        <w:rPr>
          <w:rFonts w:hint="default" w:ascii="Times New Roman" w:hAnsi="Times New Roman" w:cs="Times New Roman"/>
          <w:color w:val="auto"/>
          <w:kern w:val="0"/>
          <w:sz w:val="24"/>
          <w:lang w:val="en-US" w:eastAsia="zh-CN"/>
        </w:rPr>
        <w:t>阳东区境内主要河流有漠阳江及寿长河，其中漠阳江支流有那龙河、大八河等，全流域跨越阳春、云浮、新兴、恩平、台山、阳东等市县</w:t>
      </w:r>
      <w:r>
        <w:rPr>
          <w:rFonts w:hint="eastAsia" w:ascii="Times New Roman" w:hAnsi="Times New Roman" w:cs="Times New Roman"/>
          <w:color w:val="auto"/>
          <w:kern w:val="0"/>
          <w:sz w:val="24"/>
          <w:lang w:val="en-US" w:eastAsia="zh-CN"/>
        </w:rPr>
        <w:t>区。</w:t>
      </w:r>
      <w:r>
        <w:rPr>
          <w:rFonts w:hint="default" w:ascii="Times New Roman" w:hAnsi="Times New Roman" w:cs="Times New Roman"/>
          <w:color w:val="auto"/>
          <w:kern w:val="0"/>
          <w:sz w:val="24"/>
          <w:lang w:val="en-US" w:eastAsia="zh-CN"/>
        </w:rPr>
        <w:t>项目区附近水系主要有漠阳江、那龙河、月亮河等</w:t>
      </w:r>
      <w:r>
        <w:rPr>
          <w:rFonts w:hint="eastAsia" w:ascii="Times New Roman" w:hAnsi="Times New Roman" w:cs="Times New Roman"/>
          <w:color w:val="auto"/>
          <w:kern w:val="0"/>
          <w:sz w:val="24"/>
          <w:lang w:val="en-US" w:eastAsia="zh-CN"/>
        </w:rPr>
        <w:t>。</w:t>
      </w:r>
    </w:p>
    <w:p w14:paraId="3D747F9B">
      <w:pPr>
        <w:spacing w:line="360" w:lineRule="auto"/>
        <w:ind w:firstLine="480" w:firstLineChars="200"/>
        <w:rPr>
          <w:rFonts w:hint="default" w:ascii="Times New Roman" w:hAnsi="Times New Roman" w:cs="Times New Roman"/>
          <w:color w:val="auto"/>
          <w:kern w:val="0"/>
          <w:sz w:val="24"/>
          <w:lang w:eastAsia="zh-CN"/>
        </w:rPr>
      </w:pPr>
      <w:r>
        <w:rPr>
          <w:rFonts w:hint="default" w:ascii="Times New Roman" w:hAnsi="Times New Roman" w:cs="Times New Roman"/>
          <w:color w:val="auto"/>
          <w:kern w:val="0"/>
          <w:sz w:val="24"/>
          <w:lang w:val="en-US" w:eastAsia="zh-CN"/>
        </w:rPr>
        <w:t>那龙河为漠阳江一级支流，发源于恩平市那吉镇狗头岭，全流域集雨面积945km</w:t>
      </w:r>
      <w:r>
        <w:rPr>
          <w:rFonts w:hint="default" w:ascii="Times New Roman" w:hAnsi="Times New Roman" w:cs="Times New Roman"/>
          <w:color w:val="auto"/>
          <w:kern w:val="0"/>
          <w:sz w:val="24"/>
          <w:vertAlign w:val="superscript"/>
          <w:lang w:eastAsia="zh-CN"/>
        </w:rPr>
        <w:t>2</w:t>
      </w:r>
      <w:r>
        <w:rPr>
          <w:rFonts w:hint="default" w:ascii="Times New Roman" w:hAnsi="Times New Roman" w:cs="Times New Roman"/>
          <w:color w:val="auto"/>
          <w:kern w:val="0"/>
          <w:sz w:val="24"/>
          <w:lang w:val="en-US" w:eastAsia="zh-CN"/>
        </w:rPr>
        <w:t>，全长67km，河面宽150</w:t>
      </w:r>
      <w:r>
        <w:rPr>
          <w:rFonts w:hint="eastAsia" w:ascii="Times New Roman" w:hAnsi="Times New Roman" w:cs="Times New Roman"/>
          <w:color w:val="auto"/>
          <w:kern w:val="0"/>
          <w:sz w:val="24"/>
          <w:lang w:val="en-US" w:eastAsia="zh-CN"/>
        </w:rPr>
        <w:t>～</w:t>
      </w:r>
      <w:r>
        <w:rPr>
          <w:rFonts w:hint="default" w:ascii="Times New Roman" w:hAnsi="Times New Roman" w:cs="Times New Roman"/>
          <w:color w:val="auto"/>
          <w:kern w:val="0"/>
          <w:sz w:val="24"/>
          <w:lang w:val="en-US" w:eastAsia="zh-CN"/>
        </w:rPr>
        <w:t>300m，在阳江市</w:t>
      </w:r>
      <w:r>
        <w:rPr>
          <w:rFonts w:hint="eastAsia" w:ascii="Times New Roman" w:hAnsi="Times New Roman" w:cs="Times New Roman"/>
          <w:color w:val="auto"/>
          <w:kern w:val="0"/>
          <w:sz w:val="24"/>
          <w:lang w:val="en-US" w:eastAsia="zh-CN"/>
        </w:rPr>
        <w:t>江城区</w:t>
      </w:r>
      <w:r>
        <w:rPr>
          <w:rFonts w:hint="default" w:ascii="Times New Roman" w:hAnsi="Times New Roman" w:cs="Times New Roman"/>
          <w:color w:val="auto"/>
          <w:kern w:val="0"/>
          <w:sz w:val="24"/>
          <w:lang w:val="en-US" w:eastAsia="zh-CN"/>
        </w:rPr>
        <w:t>岗列</w:t>
      </w:r>
      <w:r>
        <w:rPr>
          <w:rFonts w:hint="eastAsia" w:ascii="Times New Roman" w:hAnsi="Times New Roman" w:cs="Times New Roman"/>
          <w:color w:val="auto"/>
          <w:kern w:val="0"/>
          <w:sz w:val="24"/>
          <w:lang w:val="en-US" w:eastAsia="zh-CN"/>
        </w:rPr>
        <w:t>对岸村</w:t>
      </w:r>
      <w:r>
        <w:rPr>
          <w:rFonts w:hint="default" w:ascii="Times New Roman" w:hAnsi="Times New Roman" w:cs="Times New Roman"/>
          <w:color w:val="auto"/>
          <w:kern w:val="0"/>
          <w:sz w:val="24"/>
          <w:lang w:val="en-US" w:eastAsia="zh-CN"/>
        </w:rPr>
        <w:t>与漠阳江干流汇合。那龙河上游主要有3条支流，分别是车田河</w:t>
      </w:r>
      <w:r>
        <w:rPr>
          <w:rFonts w:hint="eastAsia" w:ascii="Times New Roman" w:hAnsi="Times New Roman" w:cs="Times New Roman"/>
          <w:color w:val="auto"/>
          <w:kern w:val="0"/>
          <w:sz w:val="24"/>
          <w:lang w:val="en-US" w:eastAsia="zh-CN"/>
        </w:rPr>
        <w:t>（</w:t>
      </w:r>
      <w:r>
        <w:rPr>
          <w:rFonts w:hint="default" w:ascii="Times New Roman" w:hAnsi="Times New Roman" w:cs="Times New Roman"/>
          <w:color w:val="auto"/>
          <w:kern w:val="0"/>
          <w:sz w:val="24"/>
          <w:lang w:val="en-US" w:eastAsia="zh-CN"/>
        </w:rPr>
        <w:t>又名那吉河</w:t>
      </w:r>
      <w:r>
        <w:rPr>
          <w:rFonts w:hint="eastAsia" w:ascii="Times New Roman" w:hAnsi="Times New Roman" w:cs="Times New Roman"/>
          <w:color w:val="auto"/>
          <w:kern w:val="0"/>
          <w:sz w:val="24"/>
          <w:lang w:val="en-US" w:eastAsia="zh-CN"/>
        </w:rPr>
        <w:t>）</w:t>
      </w:r>
      <w:r>
        <w:rPr>
          <w:rFonts w:hint="default" w:ascii="Times New Roman" w:hAnsi="Times New Roman" w:cs="Times New Roman"/>
          <w:color w:val="auto"/>
          <w:kern w:val="0"/>
          <w:sz w:val="24"/>
          <w:lang w:val="en-US" w:eastAsia="zh-CN"/>
        </w:rPr>
        <w:t>、田畔河、周亨河。大八河为一级支流，发源于大八镇珠环山烂头岭，集雨面积278km</w:t>
      </w:r>
      <w:r>
        <w:rPr>
          <w:rFonts w:hint="default" w:ascii="Times New Roman" w:hAnsi="Times New Roman" w:cs="Times New Roman"/>
          <w:color w:val="auto"/>
          <w:kern w:val="0"/>
          <w:sz w:val="24"/>
          <w:vertAlign w:val="superscript"/>
          <w:lang w:eastAsia="zh-CN"/>
        </w:rPr>
        <w:t>2</w:t>
      </w:r>
      <w:r>
        <w:rPr>
          <w:rFonts w:hint="default" w:ascii="Times New Roman" w:hAnsi="Times New Roman" w:cs="Times New Roman"/>
          <w:color w:val="auto"/>
          <w:kern w:val="0"/>
          <w:sz w:val="24"/>
          <w:lang w:val="en-US" w:eastAsia="zh-CN"/>
        </w:rPr>
        <w:t>，全长42km，在</w:t>
      </w:r>
      <w:r>
        <w:rPr>
          <w:rFonts w:hint="eastAsia" w:cs="Times New Roman"/>
          <w:color w:val="auto"/>
          <w:kern w:val="0"/>
          <w:sz w:val="24"/>
          <w:lang w:val="en-US" w:eastAsia="zh-CN"/>
        </w:rPr>
        <w:t>红丰</w:t>
      </w:r>
      <w:r>
        <w:rPr>
          <w:rFonts w:hint="default" w:ascii="Times New Roman" w:hAnsi="Times New Roman" w:cs="Times New Roman"/>
          <w:color w:val="auto"/>
          <w:kern w:val="0"/>
          <w:sz w:val="24"/>
          <w:lang w:val="en-US" w:eastAsia="zh-CN"/>
        </w:rPr>
        <w:t>镇大</w:t>
      </w:r>
      <w:r>
        <w:rPr>
          <w:rFonts w:hint="eastAsia" w:cs="Times New Roman"/>
          <w:color w:val="auto"/>
          <w:kern w:val="0"/>
          <w:sz w:val="24"/>
          <w:lang w:val="en-US" w:eastAsia="zh-CN"/>
        </w:rPr>
        <w:t>塱</w:t>
      </w:r>
      <w:r>
        <w:rPr>
          <w:rFonts w:hint="default" w:ascii="Times New Roman" w:hAnsi="Times New Roman" w:cs="Times New Roman"/>
          <w:color w:val="auto"/>
          <w:kern w:val="0"/>
          <w:sz w:val="24"/>
          <w:lang w:val="en-US" w:eastAsia="zh-CN"/>
        </w:rPr>
        <w:t>洞汇入漠阳江干流。寿长河</w:t>
      </w:r>
      <w:r>
        <w:rPr>
          <w:rFonts w:hint="eastAsia" w:ascii="Times New Roman" w:hAnsi="Times New Roman" w:cs="Times New Roman"/>
          <w:color w:val="auto"/>
          <w:kern w:val="0"/>
          <w:sz w:val="24"/>
          <w:lang w:val="en-US" w:eastAsia="zh-CN"/>
        </w:rPr>
        <w:t>（</w:t>
      </w:r>
      <w:r>
        <w:rPr>
          <w:rFonts w:hint="default" w:ascii="Times New Roman" w:hAnsi="Times New Roman" w:cs="Times New Roman"/>
          <w:color w:val="auto"/>
          <w:kern w:val="0"/>
          <w:sz w:val="24"/>
          <w:lang w:val="en-US" w:eastAsia="zh-CN"/>
        </w:rPr>
        <w:t>又名三合河</w:t>
      </w:r>
      <w:r>
        <w:rPr>
          <w:rFonts w:hint="eastAsia" w:ascii="Times New Roman" w:hAnsi="Times New Roman" w:cs="Times New Roman"/>
          <w:color w:val="auto"/>
          <w:kern w:val="0"/>
          <w:sz w:val="24"/>
          <w:lang w:val="en-US" w:eastAsia="zh-CN"/>
        </w:rPr>
        <w:t>）</w:t>
      </w:r>
      <w:r>
        <w:rPr>
          <w:rFonts w:hint="default" w:ascii="Times New Roman" w:hAnsi="Times New Roman" w:cs="Times New Roman"/>
          <w:color w:val="auto"/>
          <w:kern w:val="0"/>
          <w:sz w:val="24"/>
          <w:lang w:val="en-US" w:eastAsia="zh-CN"/>
        </w:rPr>
        <w:t>为独流入海河流。发源于紫罗山沙帽顶，流经新洲</w:t>
      </w:r>
      <w:r>
        <w:rPr>
          <w:rFonts w:hint="eastAsia" w:ascii="Times New Roman" w:hAnsi="Times New Roman" w:cs="Times New Roman"/>
          <w:color w:val="auto"/>
          <w:kern w:val="0"/>
          <w:sz w:val="24"/>
          <w:lang w:val="en-US" w:eastAsia="zh-CN"/>
        </w:rPr>
        <w:t>、</w:t>
      </w:r>
      <w:r>
        <w:rPr>
          <w:rFonts w:hint="default" w:ascii="Times New Roman" w:hAnsi="Times New Roman" w:cs="Times New Roman"/>
          <w:color w:val="auto"/>
          <w:kern w:val="0"/>
          <w:sz w:val="24"/>
          <w:lang w:val="en-US" w:eastAsia="zh-CN"/>
        </w:rPr>
        <w:t>东平、大沟3镇，在三丫港出南海。寿长河全长29.5km，集雨面积27km</w:t>
      </w:r>
      <w:r>
        <w:rPr>
          <w:rFonts w:hint="default" w:ascii="Times New Roman" w:hAnsi="Times New Roman" w:cs="Times New Roman"/>
          <w:color w:val="auto"/>
          <w:kern w:val="0"/>
          <w:sz w:val="24"/>
          <w:lang w:eastAsia="zh-CN"/>
        </w:rPr>
        <w:t>2</w:t>
      </w:r>
      <w:r>
        <w:rPr>
          <w:rFonts w:hint="eastAsia" w:ascii="Times New Roman" w:hAnsi="Times New Roman" w:cs="Times New Roman"/>
          <w:color w:val="auto"/>
          <w:kern w:val="0"/>
          <w:sz w:val="24"/>
          <w:lang w:val="en-US" w:eastAsia="zh-CN"/>
        </w:rPr>
        <w:t>。</w:t>
      </w:r>
    </w:p>
    <w:p w14:paraId="5A7ED754">
      <w:pPr>
        <w:spacing w:line="360" w:lineRule="auto"/>
        <w:ind w:firstLine="480" w:firstLineChars="200"/>
        <w:rPr>
          <w:rFonts w:hint="eastAsia" w:ascii="Times New Roman" w:hAnsi="Times New Roman" w:cs="Times New Roman"/>
          <w:color w:val="auto"/>
          <w:kern w:val="0"/>
          <w:sz w:val="24"/>
          <w:lang w:val="en-US" w:eastAsia="zh-CN"/>
        </w:rPr>
      </w:pPr>
      <w:r>
        <w:rPr>
          <w:rFonts w:hint="eastAsia" w:ascii="Times New Roman" w:hAnsi="Times New Roman" w:cs="Times New Roman"/>
          <w:color w:val="auto"/>
          <w:kern w:val="0"/>
          <w:sz w:val="24"/>
          <w:lang w:val="en-US" w:eastAsia="zh-CN"/>
        </w:rPr>
        <w:t>漠阳江口的潮汐属不规则半日潮，日潮不等现象显著。即在一个太阴日内有两次高潮和两次低潮，而且两个相邻的高潮或低潮的潮位和潮流历时均不相等，月内有朔、望大潮和上、下弦小潮，约十五天为一周期，一年中夏潮高于冬潮，由于受径流量和台风潮的影响，最高潮位一般出现于汛期，年最低潮位则多出现在枯季。</w:t>
      </w:r>
    </w:p>
    <w:p w14:paraId="14E4BB24">
      <w:pPr>
        <w:spacing w:line="360" w:lineRule="auto"/>
        <w:ind w:firstLine="480" w:firstLineChars="200"/>
        <w:rPr>
          <w:rFonts w:hint="eastAsia" w:ascii="Times New Roman" w:hAnsi="Times New Roman" w:cs="Times New Roman"/>
          <w:color w:val="auto"/>
          <w:kern w:val="0"/>
          <w:sz w:val="24"/>
          <w:lang w:val="en-US" w:eastAsia="zh-CN"/>
        </w:rPr>
      </w:pPr>
      <w:r>
        <w:rPr>
          <w:rFonts w:hint="eastAsia" w:ascii="Times New Roman" w:hAnsi="Times New Roman" w:cs="Times New Roman"/>
          <w:color w:val="auto"/>
          <w:kern w:val="0"/>
          <w:sz w:val="24"/>
          <w:lang w:val="en-US" w:eastAsia="zh-CN"/>
        </w:rPr>
        <w:t>阳江市海岸线长341.5km，是海上丝绸之路重要通道。阳江沿海潮汐为半日潮，即每25小时之内有2次潮峰，2次潮谷。2次潮峰中，有一次大一次小，日潮称为潮，夜潮称为汐。农历每月初三与十八日，中午潮水位最高，称为大潮；每月初十、十一、二十五、二十六日潮位最低，称为小潮。</w:t>
      </w:r>
    </w:p>
    <w:p w14:paraId="480C6293">
      <w:pPr>
        <w:spacing w:line="360" w:lineRule="auto"/>
        <w:ind w:firstLine="480" w:firstLineChars="200"/>
        <w:rPr>
          <w:rFonts w:hint="eastAsia" w:ascii="Times New Roman" w:hAnsi="Times New Roman" w:cs="Times New Roman"/>
          <w:color w:val="auto"/>
          <w:kern w:val="0"/>
          <w:sz w:val="24"/>
          <w:lang w:val="en-US" w:eastAsia="zh-CN"/>
        </w:rPr>
      </w:pPr>
      <w:r>
        <w:rPr>
          <w:rFonts w:hint="eastAsia" w:ascii="Times New Roman" w:hAnsi="Times New Roman" w:cs="Times New Roman"/>
          <w:color w:val="auto"/>
          <w:kern w:val="0"/>
          <w:sz w:val="24"/>
          <w:lang w:val="en-US" w:eastAsia="zh-CN"/>
        </w:rPr>
        <w:t>阳江市最大潮位差为2.58m，最低落潮水位为-174m。北津港潮位站实测历史次高潮位为3.13m（1965年7月15日）。2008年“黑格比”热带气旋强度大，持续时间长，影响半径大，沿海地区潮位普遍超100年一遇，北津港潮位站测得历史最高潮位3.50m（珠基），该站50年一遇为3.02m，100年一遇为3.28m。此次热带气旋浪高5m～7m，造成阳江市海堤工程损毁严重，并造成巨大经济损失和危及人民群众的生命安全。</w:t>
      </w:r>
    </w:p>
    <w:p w14:paraId="7B22509C">
      <w:pPr>
        <w:spacing w:line="360" w:lineRule="auto"/>
        <w:ind w:firstLine="480" w:firstLineChars="200"/>
        <w:rPr>
          <w:rFonts w:hint="eastAsia" w:ascii="Times New Roman" w:hAnsi="Times New Roman" w:cs="Times New Roman"/>
          <w:color w:val="auto"/>
          <w:kern w:val="0"/>
          <w:sz w:val="24"/>
          <w:lang w:val="en-US" w:eastAsia="zh-CN"/>
        </w:rPr>
      </w:pPr>
      <w:r>
        <w:rPr>
          <w:rFonts w:hint="eastAsia" w:ascii="Times New Roman" w:hAnsi="Times New Roman" w:cs="Times New Roman"/>
          <w:color w:val="auto"/>
          <w:kern w:val="0"/>
          <w:sz w:val="24"/>
          <w:lang w:val="en-US" w:eastAsia="zh-CN"/>
        </w:rPr>
        <w:t>大八镇境内有江河水库，总容量 9972 万立方米，常年水位库容量为 2560 万立方米。镇域内有大八河、清湾河、周亨河</w:t>
      </w:r>
      <w:r>
        <w:rPr>
          <w:rFonts w:hint="eastAsia" w:cs="Times New Roman"/>
          <w:color w:val="auto"/>
          <w:kern w:val="0"/>
          <w:sz w:val="24"/>
          <w:lang w:val="en-US" w:eastAsia="zh-CN"/>
        </w:rPr>
        <w:t>、吉水河</w:t>
      </w:r>
      <w:r>
        <w:rPr>
          <w:rFonts w:hint="eastAsia" w:ascii="Times New Roman" w:hAnsi="Times New Roman" w:cs="Times New Roman"/>
          <w:color w:val="auto"/>
          <w:kern w:val="0"/>
          <w:sz w:val="24"/>
          <w:lang w:val="en-US" w:eastAsia="zh-CN"/>
        </w:rPr>
        <w:t xml:space="preserve">，其中最大的河流是大八河，其发源于大八镇烂头岭北，在塘坪镇拉车寨汇入漠阳江，全长 42 公里。河道最窄处约 10 米；最宽处达 30 米；年平均洪水位标高在 14 米；历史上罕见的最高洪水位发生在 1973 年，达到标高 </w:t>
      </w:r>
      <w:r>
        <w:rPr>
          <w:rFonts w:hint="default" w:ascii="Times New Roman" w:hAnsi="Times New Roman" w:cs="Times New Roman"/>
          <w:color w:val="auto"/>
          <w:kern w:val="0"/>
          <w:sz w:val="24"/>
          <w:lang w:val="en-US" w:eastAsia="zh-CN"/>
        </w:rPr>
        <w:t xml:space="preserve">17.5 </w:t>
      </w:r>
      <w:r>
        <w:rPr>
          <w:rFonts w:hint="eastAsia" w:ascii="Times New Roman" w:hAnsi="Times New Roman" w:cs="Times New Roman"/>
          <w:color w:val="auto"/>
          <w:kern w:val="0"/>
          <w:sz w:val="24"/>
          <w:lang w:val="en-US" w:eastAsia="zh-CN"/>
        </w:rPr>
        <w:t xml:space="preserve">米。镇域内有小电站 </w:t>
      </w:r>
      <w:r>
        <w:rPr>
          <w:rFonts w:hint="default" w:ascii="Times New Roman" w:hAnsi="Times New Roman" w:cs="Times New Roman"/>
          <w:color w:val="auto"/>
          <w:kern w:val="0"/>
          <w:sz w:val="24"/>
          <w:lang w:val="en-US" w:eastAsia="zh-CN"/>
        </w:rPr>
        <w:t xml:space="preserve">32 </w:t>
      </w:r>
      <w:r>
        <w:rPr>
          <w:rFonts w:hint="eastAsia" w:ascii="Times New Roman" w:hAnsi="Times New Roman" w:cs="Times New Roman"/>
          <w:color w:val="auto"/>
          <w:kern w:val="0"/>
          <w:sz w:val="24"/>
          <w:lang w:val="en-US" w:eastAsia="zh-CN"/>
        </w:rPr>
        <w:t xml:space="preserve">座，现可利用的有 </w:t>
      </w:r>
      <w:r>
        <w:rPr>
          <w:rFonts w:hint="default" w:ascii="Times New Roman" w:hAnsi="Times New Roman" w:cs="Times New Roman"/>
          <w:color w:val="auto"/>
          <w:kern w:val="0"/>
          <w:sz w:val="24"/>
          <w:lang w:val="en-US" w:eastAsia="zh-CN"/>
        </w:rPr>
        <w:t xml:space="preserve">23 </w:t>
      </w:r>
      <w:r>
        <w:rPr>
          <w:rFonts w:hint="eastAsia" w:ascii="Times New Roman" w:hAnsi="Times New Roman" w:cs="Times New Roman"/>
          <w:color w:val="auto"/>
          <w:kern w:val="0"/>
          <w:sz w:val="24"/>
          <w:lang w:val="en-US" w:eastAsia="zh-CN"/>
        </w:rPr>
        <w:t xml:space="preserve">座，装机容量 </w:t>
      </w:r>
      <w:r>
        <w:rPr>
          <w:rFonts w:hint="default" w:ascii="Times New Roman" w:hAnsi="Times New Roman" w:cs="Times New Roman"/>
          <w:color w:val="auto"/>
          <w:kern w:val="0"/>
          <w:sz w:val="24"/>
          <w:lang w:val="en-US" w:eastAsia="zh-CN"/>
        </w:rPr>
        <w:t xml:space="preserve">3500 </w:t>
      </w:r>
      <w:r>
        <w:rPr>
          <w:rFonts w:hint="eastAsia" w:ascii="Times New Roman" w:hAnsi="Times New Roman" w:cs="Times New Roman"/>
          <w:color w:val="auto"/>
          <w:kern w:val="0"/>
          <w:sz w:val="24"/>
          <w:lang w:val="en-US" w:eastAsia="zh-CN"/>
        </w:rPr>
        <w:t>千瓦。</w:t>
      </w:r>
    </w:p>
    <w:p w14:paraId="364841C7">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水文地质</w:t>
      </w:r>
    </w:p>
    <w:p w14:paraId="47B2A77B">
      <w:pPr>
        <w:spacing w:line="360" w:lineRule="auto"/>
        <w:ind w:firstLine="480" w:firstLineChars="200"/>
        <w:rPr>
          <w:rFonts w:hint="eastAsia" w:ascii="Times New Roman" w:hAnsi="Times New Roman" w:cs="Times New Roman"/>
          <w:color w:val="auto"/>
          <w:kern w:val="0"/>
          <w:sz w:val="24"/>
          <w:lang w:val="en-US" w:eastAsia="zh-CN"/>
        </w:rPr>
      </w:pPr>
      <w:r>
        <w:rPr>
          <w:rFonts w:hint="eastAsia" w:ascii="Times New Roman" w:hAnsi="Times New Roman" w:cs="Times New Roman"/>
          <w:color w:val="auto"/>
          <w:kern w:val="0"/>
          <w:sz w:val="24"/>
          <w:lang w:val="en-US" w:eastAsia="zh-CN"/>
        </w:rPr>
        <w:t>场地地下水类型主要为赋存于冲积及残积土层的上层滞水。上层滞水靠地表水回渗及大气降水补给，受降水量影响较大，含水量较小,局部有粗砂含水层，含水量较大；岩石风化带中裂隙水含量较小，埋藏较浅。总体评价场地地下水含量不大，本场地地下水对混凝土结构具中等腐蚀性。</w:t>
      </w:r>
    </w:p>
    <w:p w14:paraId="3A4370EE">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地震</w:t>
      </w:r>
    </w:p>
    <w:p w14:paraId="74F0BEC0">
      <w:pPr>
        <w:spacing w:line="360" w:lineRule="auto"/>
        <w:ind w:firstLine="480" w:firstLineChars="200"/>
        <w:rPr>
          <w:rFonts w:hint="eastAsia" w:ascii="Times New Roman" w:hAnsi="Times New Roman" w:cs="Times New Roman"/>
          <w:color w:val="auto"/>
          <w:kern w:val="0"/>
          <w:sz w:val="24"/>
          <w:lang w:val="en-US" w:eastAsia="zh-CN"/>
        </w:rPr>
      </w:pPr>
      <w:r>
        <w:rPr>
          <w:rFonts w:hint="eastAsia" w:ascii="Times New Roman" w:hAnsi="Times New Roman" w:cs="Times New Roman"/>
          <w:color w:val="auto"/>
          <w:kern w:val="0"/>
          <w:sz w:val="24"/>
          <w:lang w:val="en-US" w:eastAsia="zh-CN"/>
        </w:rPr>
        <w:t>按《国家工程抗震设防分类标准》（GB50223—2008）划分，场区内拟建物抗震设防类别属丙类建筑，阳江地区属地震基本烈度 7 度区，抗震设防烈度为 7 度，设计基本地震加速度值为 0.10g。</w:t>
      </w:r>
    </w:p>
    <w:p w14:paraId="338239C7">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土地资源及植被</w:t>
      </w:r>
    </w:p>
    <w:p w14:paraId="7D9CDC70">
      <w:pPr>
        <w:spacing w:line="360" w:lineRule="auto"/>
        <w:ind w:firstLine="472" w:firstLineChars="200"/>
        <w:rPr>
          <w:rFonts w:hint="eastAsia" w:ascii="宋体" w:hAnsi="宋体" w:eastAsia="宋体" w:cs="宋体"/>
          <w:color w:val="auto"/>
          <w:kern w:val="0"/>
          <w:sz w:val="24"/>
          <w:szCs w:val="24"/>
          <w:lang w:val="en-US" w:eastAsia="zh-CN" w:bidi="ar"/>
        </w:rPr>
      </w:pPr>
      <w:r>
        <w:rPr>
          <w:rFonts w:hint="eastAsia" w:cs="Times New Roman"/>
          <w:color w:val="auto"/>
          <w:spacing w:val="-2"/>
          <w:sz w:val="24"/>
          <w:lang w:val="en-US" w:eastAsia="zh-CN"/>
        </w:rPr>
        <w:t>阳东</w:t>
      </w:r>
      <w:r>
        <w:rPr>
          <w:rFonts w:hint="eastAsia" w:ascii="Times New Roman" w:hAnsi="Times New Roman" w:cs="Times New Roman"/>
          <w:color w:val="auto"/>
          <w:spacing w:val="-2"/>
          <w:sz w:val="24"/>
          <w:lang w:eastAsia="zh-CN"/>
        </w:rPr>
        <w:t>区土壤有水稻土、赤红壤、黄壤、潮砂泥土、滨海盐渍沼泽土、沼泽土和石质土7个土类、13个亚类、33个土属、58个土种。</w:t>
      </w:r>
      <w:r>
        <w:rPr>
          <w:rFonts w:hint="eastAsia" w:cs="Times New Roman"/>
          <w:color w:val="auto"/>
          <w:spacing w:val="-2"/>
          <w:sz w:val="24"/>
          <w:lang w:val="en-US" w:eastAsia="zh-CN"/>
        </w:rPr>
        <w:t>阳东</w:t>
      </w:r>
      <w:r>
        <w:rPr>
          <w:rFonts w:hint="eastAsia" w:ascii="Times New Roman" w:hAnsi="Times New Roman" w:cs="Times New Roman"/>
          <w:color w:val="auto"/>
          <w:spacing w:val="-2"/>
          <w:sz w:val="24"/>
          <w:lang w:eastAsia="zh-CN"/>
        </w:rPr>
        <w:t>区境内的土壤发生于多种地貌类型，同时也受气候的影响。由于高温、多雨，植被四季常青，在亚热带生物气候条件作用下，土壤形成具有强烈的地质风化、淋溶作用和旺盛的生物特点。土壤深厚，盐基成分（钙、镁、钾、钠）容易随水土流失，富铁、铝化作用明显，土壤多呈现红色或黄色，称为红壤或黄壤</w:t>
      </w:r>
      <w:r>
        <w:rPr>
          <w:rFonts w:hint="eastAsia"/>
          <w:color w:val="auto"/>
          <w:sz w:val="24"/>
          <w:highlight w:val="none"/>
          <w:lang w:val="en-US" w:eastAsia="zh-CN"/>
        </w:rPr>
        <w:t>。</w:t>
      </w:r>
      <w:r>
        <w:rPr>
          <w:rFonts w:hint="eastAsia" w:ascii="宋体" w:hAnsi="宋体" w:eastAsia="宋体" w:cs="宋体"/>
          <w:color w:val="auto"/>
          <w:kern w:val="0"/>
          <w:sz w:val="24"/>
          <w:szCs w:val="24"/>
          <w:lang w:val="en-US" w:eastAsia="zh-CN" w:bidi="ar"/>
        </w:rPr>
        <w:t xml:space="preserve"> </w:t>
      </w:r>
    </w:p>
    <w:p w14:paraId="406DF2DC">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default"/>
          <w:color w:val="auto"/>
          <w:lang w:val="en-US" w:eastAsia="zh-CN"/>
        </w:rPr>
      </w:pPr>
      <w:bookmarkStart w:id="40" w:name="_Toc29688"/>
      <w:bookmarkStart w:id="41" w:name="_Toc11596"/>
      <w:r>
        <w:rPr>
          <w:rFonts w:hint="eastAsia"/>
          <w:color w:val="auto"/>
          <w:lang w:val="en-US" w:eastAsia="zh-CN"/>
        </w:rPr>
        <w:t>大八镇现状排水</w:t>
      </w:r>
      <w:bookmarkEnd w:id="40"/>
      <w:bookmarkEnd w:id="41"/>
    </w:p>
    <w:p w14:paraId="603D80D2">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现状排水体制</w:t>
      </w:r>
    </w:p>
    <w:p w14:paraId="459CB13B">
      <w:pPr>
        <w:spacing w:line="360" w:lineRule="auto"/>
        <w:ind w:firstLine="480" w:firstLineChars="200"/>
        <w:rPr>
          <w:rFonts w:hint="eastAsia" w:ascii="Times New Roman" w:hAnsi="Times New Roman" w:cs="Times New Roman"/>
          <w:color w:val="auto"/>
          <w:kern w:val="0"/>
          <w:sz w:val="24"/>
          <w:lang w:val="en-US" w:eastAsia="zh-CN"/>
        </w:rPr>
      </w:pPr>
      <w:r>
        <w:rPr>
          <w:rFonts w:hint="eastAsia" w:cs="Times New Roman"/>
          <w:color w:val="auto"/>
          <w:kern w:val="0"/>
          <w:sz w:val="24"/>
          <w:lang w:val="en-US" w:eastAsia="zh-CN"/>
        </w:rPr>
        <w:t>我司经实地深入勘察调研，现状</w:t>
      </w:r>
      <w:r>
        <w:rPr>
          <w:rFonts w:hint="eastAsia"/>
          <w:color w:val="auto"/>
          <w:kern w:val="0"/>
          <w:sz w:val="24"/>
        </w:rPr>
        <w:t>新建区域采用雨污分流的排水体制</w:t>
      </w:r>
      <w:r>
        <w:rPr>
          <w:rFonts w:hint="eastAsia"/>
          <w:color w:val="auto"/>
          <w:kern w:val="0"/>
          <w:sz w:val="24"/>
          <w:lang w:eastAsia="zh-CN"/>
        </w:rPr>
        <w:t>，</w:t>
      </w:r>
      <w:r>
        <w:rPr>
          <w:rFonts w:hint="eastAsia" w:ascii="Times New Roman" w:hAnsi="Times New Roman" w:cs="Times New Roman"/>
          <w:color w:val="auto"/>
          <w:kern w:val="0"/>
          <w:sz w:val="24"/>
          <w:lang w:val="en-US" w:eastAsia="zh-CN"/>
        </w:rPr>
        <w:t>老镇区近期进行截污改造，远期增加雨水管网。按照国家污水排放标准，污水必须处理达标后才能排放。排水采用分流制与合流制两种方式。旧居住区由于条件限制，采取合流制的截流式</w:t>
      </w:r>
      <w:r>
        <w:rPr>
          <w:rFonts w:hint="eastAsia" w:cs="Times New Roman"/>
          <w:color w:val="auto"/>
          <w:kern w:val="0"/>
          <w:sz w:val="24"/>
          <w:lang w:val="en-US" w:eastAsia="zh-CN"/>
        </w:rPr>
        <w:t>，新区采用完全分流制</w:t>
      </w:r>
      <w:r>
        <w:rPr>
          <w:rFonts w:hint="eastAsia" w:ascii="Times New Roman" w:hAnsi="Times New Roman" w:cs="Times New Roman"/>
          <w:color w:val="auto"/>
          <w:kern w:val="0"/>
          <w:sz w:val="24"/>
          <w:lang w:val="en-US" w:eastAsia="zh-CN"/>
        </w:rPr>
        <w:t>。</w:t>
      </w:r>
    </w:p>
    <w:p w14:paraId="0775CDF5">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现状排水</w:t>
      </w:r>
    </w:p>
    <w:p w14:paraId="2CC8F302">
      <w:pPr>
        <w:spacing w:line="360" w:lineRule="auto"/>
        <w:ind w:firstLine="480" w:firstLineChars="200"/>
        <w:rPr>
          <w:rFonts w:hint="eastAsia" w:ascii="Times New Roman" w:hAnsi="Times New Roman" w:cs="Times New Roman"/>
          <w:color w:val="auto"/>
          <w:kern w:val="0"/>
          <w:sz w:val="24"/>
          <w:lang w:val="en-US" w:eastAsia="zh-CN"/>
        </w:rPr>
      </w:pPr>
      <w:r>
        <w:rPr>
          <w:rFonts w:hint="eastAsia" w:ascii="Times New Roman" w:hAnsi="Times New Roman" w:cs="Times New Roman"/>
          <w:color w:val="auto"/>
          <w:kern w:val="0"/>
          <w:sz w:val="24"/>
          <w:lang w:val="en-US" w:eastAsia="zh-CN"/>
        </w:rPr>
        <w:t>目前大八镇已建污水管网全长约3.97公里，采用末端截流式与分流式结合的方式对镇区及周边农村生活污水进行收集，主管网沿东风路铺设，管径为DN</w:t>
      </w:r>
      <w:r>
        <w:rPr>
          <w:rFonts w:hint="eastAsia" w:ascii="Times New Roman" w:hAnsi="Times New Roman" w:cs="Times New Roman"/>
          <w:color w:val="auto"/>
          <w:kern w:val="0"/>
          <w:sz w:val="24"/>
          <w:lang w:val="en-US" w:eastAsia="zh-CN"/>
        </w:rPr>
        <w:drawing>
          <wp:anchor distT="0" distB="0" distL="114300" distR="114300" simplePos="0" relativeHeight="251682816" behindDoc="1" locked="0" layoutInCell="1" allowOverlap="1">
            <wp:simplePos x="0" y="0"/>
            <wp:positionH relativeFrom="page">
              <wp:posOffset>-12700</wp:posOffset>
            </wp:positionH>
            <wp:positionV relativeFrom="page">
              <wp:posOffset>-12700</wp:posOffset>
            </wp:positionV>
            <wp:extent cx="38100" cy="38100"/>
            <wp:effectExtent l="0" t="0" r="0" b="0"/>
            <wp:wrapNone/>
            <wp:docPr id="4" name="_x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x00000"/>
                    <pic:cNvPicPr>
                      <a:picLocks noChangeAspect="1"/>
                    </pic:cNvPicPr>
                  </pic:nvPicPr>
                  <pic:blipFill>
                    <a:blip r:embed="rId24"/>
                    <a:stretch>
                      <a:fillRect/>
                    </a:stretch>
                  </pic:blipFill>
                  <pic:spPr>
                    <a:xfrm>
                      <a:off x="0" y="0"/>
                      <a:ext cx="38100" cy="38100"/>
                    </a:xfrm>
                    <a:prstGeom prst="rect">
                      <a:avLst/>
                    </a:prstGeom>
                    <a:noFill/>
                    <a:ln w="9525">
                      <a:noFill/>
                    </a:ln>
                  </pic:spPr>
                </pic:pic>
              </a:graphicData>
            </a:graphic>
          </wp:anchor>
        </w:drawing>
      </w:r>
      <w:r>
        <w:rPr>
          <w:rFonts w:hint="eastAsia" w:ascii="Times New Roman" w:hAnsi="Times New Roman" w:cs="Times New Roman"/>
          <w:color w:val="auto"/>
          <w:kern w:val="0"/>
          <w:sz w:val="24"/>
          <w:lang w:val="en-US" w:eastAsia="zh-CN"/>
        </w:rPr>
        <w:t>600。在建污水管网长度5842米，主要分布在镇区主次街道。而大八镇镇区生活污水空白区为0.335平方公里，该区大多是一些不成系统的排水管渠，致使雨季雨水排除不畅，一些地段污水横流，影响生活、生产和环境卫生。</w:t>
      </w:r>
    </w:p>
    <w:p w14:paraId="70638111">
      <w:pPr>
        <w:spacing w:line="360" w:lineRule="auto"/>
        <w:ind w:firstLine="480" w:firstLineChars="200"/>
        <w:rPr>
          <w:rFonts w:hint="eastAsia" w:cs="Times New Roman"/>
          <w:color w:val="auto"/>
          <w:kern w:val="0"/>
          <w:sz w:val="24"/>
          <w:lang w:val="en-US" w:eastAsia="zh-CN"/>
        </w:rPr>
      </w:pPr>
      <w:r>
        <w:rPr>
          <w:rFonts w:hint="eastAsia" w:ascii="Times New Roman" w:hAnsi="Times New Roman" w:cs="Times New Roman"/>
          <w:color w:val="auto"/>
          <w:kern w:val="0"/>
          <w:sz w:val="24"/>
          <w:lang w:val="en-US" w:eastAsia="zh-CN"/>
        </w:rPr>
        <w:t>同时根据走勘现场，该镇东风路段</w:t>
      </w:r>
      <w:r>
        <w:rPr>
          <w:rFonts w:hint="eastAsia" w:cs="Times New Roman"/>
          <w:color w:val="auto"/>
          <w:kern w:val="0"/>
          <w:sz w:val="24"/>
          <w:lang w:val="en-US" w:eastAsia="zh-CN"/>
        </w:rPr>
        <w:t>已</w:t>
      </w:r>
      <w:r>
        <w:rPr>
          <w:rFonts w:hint="eastAsia" w:ascii="Times New Roman" w:hAnsi="Times New Roman" w:cs="Times New Roman"/>
          <w:color w:val="auto"/>
          <w:kern w:val="0"/>
          <w:sz w:val="24"/>
          <w:lang w:val="en-US" w:eastAsia="zh-CN"/>
        </w:rPr>
        <w:t>建设污水管网工程接入一套处理规模为1100m</w:t>
      </w:r>
      <w:r>
        <w:rPr>
          <w:rFonts w:hint="eastAsia" w:ascii="Times New Roman" w:hAnsi="Times New Roman" w:cs="Times New Roman"/>
          <w:color w:val="auto"/>
          <w:kern w:val="0"/>
          <w:sz w:val="24"/>
          <w:vertAlign w:val="superscript"/>
          <w:lang w:val="en-US" w:eastAsia="zh-CN"/>
        </w:rPr>
        <w:t>3</w:t>
      </w:r>
      <w:r>
        <w:rPr>
          <w:rFonts w:hint="eastAsia" w:ascii="Times New Roman" w:hAnsi="Times New Roman" w:cs="Times New Roman"/>
          <w:color w:val="auto"/>
          <w:kern w:val="0"/>
          <w:sz w:val="24"/>
          <w:lang w:val="en-US" w:eastAsia="zh-CN"/>
        </w:rPr>
        <w:t>/</w:t>
      </w:r>
      <w:r>
        <w:rPr>
          <w:rFonts w:hint="eastAsia" w:cs="Times New Roman"/>
          <w:color w:val="auto"/>
          <w:kern w:val="0"/>
          <w:sz w:val="24"/>
          <w:lang w:val="en-US" w:eastAsia="zh-CN"/>
        </w:rPr>
        <w:t>d</w:t>
      </w:r>
      <w:r>
        <w:rPr>
          <w:rFonts w:hint="eastAsia" w:ascii="Times New Roman" w:hAnsi="Times New Roman" w:cs="Times New Roman"/>
          <w:color w:val="auto"/>
          <w:kern w:val="0"/>
          <w:sz w:val="24"/>
          <w:lang w:val="en-US" w:eastAsia="zh-CN"/>
        </w:rPr>
        <w:t>的人工湿地。</w:t>
      </w:r>
      <w:r>
        <w:rPr>
          <w:rFonts w:hint="eastAsia" w:cs="Times New Roman"/>
          <w:color w:val="auto"/>
          <w:kern w:val="0"/>
          <w:sz w:val="24"/>
          <w:lang w:val="en-US" w:eastAsia="zh-CN"/>
        </w:rPr>
        <w:t>该项目位于吉水村委会马房垌村面前垌，占地面积约5000平方米，采用厌氧+人工湿地处理技术，出水水质可达《农田灌溉水质标准》（GB5084-2005）中的水作物标准要求，由人工湿地出来的污水可排入农田灌溉渠用于农田灌溉。</w:t>
      </w:r>
    </w:p>
    <w:p w14:paraId="2AF21536">
      <w:pPr>
        <w:pStyle w:val="3"/>
        <w:bidi w:val="0"/>
        <w:rPr>
          <w:color w:val="auto"/>
        </w:rPr>
        <w:sectPr>
          <w:headerReference r:id="rId10" w:type="default"/>
          <w:footerReference r:id="rId11" w:type="default"/>
          <w:pgSz w:w="11910" w:h="16840"/>
          <w:pgMar w:top="1340" w:right="1180" w:bottom="1220" w:left="1180" w:header="510" w:footer="850" w:gutter="0"/>
          <w:pgNumType w:fmt="decimal"/>
          <w:cols w:space="720" w:num="1"/>
        </w:sectPr>
      </w:pPr>
    </w:p>
    <w:p w14:paraId="0C1C0DAA">
      <w:pPr>
        <w:pStyle w:val="3"/>
        <w:bidi w:val="0"/>
        <w:rPr>
          <w:color w:val="auto"/>
        </w:rPr>
      </w:pPr>
      <w:bookmarkStart w:id="42" w:name="_Toc6022"/>
      <w:bookmarkStart w:id="43" w:name="_Toc32195"/>
      <w:r>
        <w:rPr>
          <w:rFonts w:hint="eastAsia"/>
          <w:color w:val="auto"/>
          <w:lang w:val="en-US" w:eastAsia="zh-CN"/>
        </w:rPr>
        <w:t>拟建入河排污口所在水功能区水质现状及纳污状况</w:t>
      </w:r>
      <w:bookmarkEnd w:id="42"/>
      <w:bookmarkEnd w:id="43"/>
    </w:p>
    <w:p w14:paraId="6AF6AE7A">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bookmarkStart w:id="44" w:name="_Toc1863"/>
      <w:bookmarkStart w:id="45" w:name="_Toc20935"/>
      <w:r>
        <w:rPr>
          <w:rFonts w:hint="eastAsia"/>
          <w:color w:val="auto"/>
          <w:lang w:val="en-US" w:eastAsia="zh-CN"/>
        </w:rPr>
        <w:t>水功能区</w:t>
      </w:r>
      <w:bookmarkEnd w:id="44"/>
      <w:bookmarkEnd w:id="45"/>
    </w:p>
    <w:p w14:paraId="35402B0E">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项目的纳污水体为</w:t>
      </w:r>
      <w:r>
        <w:rPr>
          <w:rFonts w:hint="eastAsia" w:cs="Times New Roman"/>
          <w:color w:val="auto"/>
          <w:sz w:val="24"/>
          <w:highlight w:val="none"/>
          <w:lang w:val="en-US" w:eastAsia="zh-CN"/>
        </w:rPr>
        <w:t>排水渠</w:t>
      </w:r>
      <w:r>
        <w:rPr>
          <w:rFonts w:hint="eastAsia" w:ascii="Times New Roman" w:hAnsi="Times New Roman" w:cs="Times New Roman"/>
          <w:color w:val="auto"/>
          <w:sz w:val="24"/>
          <w:highlight w:val="none"/>
          <w:lang w:val="en-US" w:eastAsia="zh-CN"/>
        </w:rPr>
        <w:t>、吉水河</w:t>
      </w:r>
      <w:r>
        <w:rPr>
          <w:rFonts w:hint="eastAsia" w:cs="Times New Roman"/>
          <w:color w:val="auto"/>
          <w:sz w:val="24"/>
          <w:highlight w:val="none"/>
          <w:lang w:val="en-US" w:eastAsia="zh-CN"/>
        </w:rPr>
        <w:t>和</w:t>
      </w:r>
      <w:r>
        <w:rPr>
          <w:rFonts w:hint="eastAsia" w:ascii="Times New Roman" w:hAnsi="Times New Roman" w:cs="Times New Roman"/>
          <w:color w:val="auto"/>
          <w:sz w:val="24"/>
          <w:highlight w:val="none"/>
          <w:lang w:val="en-US" w:eastAsia="zh-CN"/>
        </w:rPr>
        <w:t>大八河，由于</w:t>
      </w:r>
      <w:r>
        <w:rPr>
          <w:rFonts w:hint="eastAsia" w:cs="Times New Roman"/>
          <w:color w:val="auto"/>
          <w:sz w:val="24"/>
          <w:highlight w:val="none"/>
          <w:lang w:val="en-US" w:eastAsia="zh-CN"/>
        </w:rPr>
        <w:t>排水渠和</w:t>
      </w:r>
      <w:r>
        <w:rPr>
          <w:rFonts w:hint="eastAsia" w:ascii="Times New Roman" w:hAnsi="Times New Roman" w:cs="Times New Roman"/>
          <w:color w:val="auto"/>
          <w:sz w:val="24"/>
          <w:highlight w:val="none"/>
          <w:lang w:val="en-US" w:eastAsia="zh-CN"/>
        </w:rPr>
        <w:t>吉水河</w:t>
      </w:r>
      <w:r>
        <w:rPr>
          <w:rFonts w:hint="eastAsia" w:cs="Times New Roman"/>
          <w:color w:val="auto"/>
          <w:sz w:val="24"/>
          <w:highlight w:val="none"/>
          <w:lang w:val="en-US" w:eastAsia="zh-CN"/>
        </w:rPr>
        <w:t>的</w:t>
      </w:r>
      <w:r>
        <w:rPr>
          <w:rFonts w:hint="eastAsia" w:ascii="Times New Roman" w:hAnsi="Times New Roman" w:cs="Times New Roman"/>
          <w:color w:val="auto"/>
          <w:sz w:val="24"/>
          <w:highlight w:val="none"/>
          <w:lang w:val="en-US" w:eastAsia="zh-CN"/>
        </w:rPr>
        <w:t>水环境功能区划未在《广东省地表水环境功能区划表》（粤环(2011)14号）中明确规定，再根据《广东省地表水环境功能区划》（粤环[2011]14号）中“水体未列出的上游及支流的水体环境质量控制目标以保证主流的环境质量控制目标为最低要求，原则上与汇入干流的功能目标要求不能相差超过一个级别”的规定，结合现场调查，</w:t>
      </w:r>
      <w:r>
        <w:rPr>
          <w:rFonts w:hint="eastAsia" w:cs="Times New Roman"/>
          <w:color w:val="auto"/>
          <w:sz w:val="24"/>
          <w:highlight w:val="none"/>
          <w:lang w:val="en-US" w:eastAsia="zh-CN"/>
        </w:rPr>
        <w:t>排水渠和</w:t>
      </w:r>
      <w:r>
        <w:rPr>
          <w:rFonts w:hint="eastAsia" w:ascii="Times New Roman" w:hAnsi="Times New Roman" w:cs="Times New Roman"/>
          <w:color w:val="auto"/>
          <w:sz w:val="24"/>
          <w:highlight w:val="none"/>
          <w:lang w:val="en-US" w:eastAsia="zh-CN"/>
        </w:rPr>
        <w:t>吉水河属农业水功能，不作为饮用水以及水产养殖用水使用，同时根据《广东省地表水环境功能区划》（粤环[2011]14号），大八河（阳春珠环大山岭至阳江大塱洞）执行《地表水环境质量标准》（GB3838-2002）Ⅱ类标准，因此建议</w:t>
      </w:r>
      <w:r>
        <w:rPr>
          <w:rFonts w:hint="eastAsia" w:cs="Times New Roman"/>
          <w:color w:val="auto"/>
          <w:sz w:val="24"/>
          <w:highlight w:val="none"/>
          <w:lang w:val="en-US" w:eastAsia="zh-CN"/>
        </w:rPr>
        <w:t>排水渠和</w:t>
      </w:r>
      <w:r>
        <w:rPr>
          <w:rFonts w:hint="eastAsia" w:ascii="Times New Roman" w:hAnsi="Times New Roman" w:cs="Times New Roman"/>
          <w:color w:val="auto"/>
          <w:sz w:val="24"/>
          <w:highlight w:val="none"/>
          <w:lang w:val="en-US" w:eastAsia="zh-CN"/>
        </w:rPr>
        <w:t>吉水河按地表水Ⅲ类水质目标进行执行；大八河执行《地表水环境质量标准》（GB3838-2002）Ⅱ类标准。详见下表。</w:t>
      </w:r>
    </w:p>
    <w:p w14:paraId="326F6D44">
      <w:pPr>
        <w:spacing w:line="240" w:lineRule="auto"/>
        <w:ind w:firstLine="422" w:firstLineChars="200"/>
        <w:jc w:val="center"/>
        <w:rPr>
          <w:rFonts w:hint="eastAsia" w:cs="Times New Roman"/>
          <w:b/>
          <w:bCs/>
          <w:color w:val="auto"/>
          <w:sz w:val="21"/>
          <w:szCs w:val="18"/>
          <w:highlight w:val="none"/>
          <w:lang w:val="en-GB" w:eastAsia="zh-CN"/>
        </w:rPr>
      </w:pPr>
      <w:r>
        <w:rPr>
          <w:rFonts w:hint="eastAsia" w:cs="Times New Roman"/>
          <w:b/>
          <w:bCs/>
          <w:color w:val="auto"/>
          <w:sz w:val="21"/>
          <w:szCs w:val="18"/>
          <w:highlight w:val="none"/>
          <w:lang w:val="en-US" w:eastAsia="zh-CN"/>
        </w:rPr>
        <w:t xml:space="preserve">表4.1-1 </w:t>
      </w:r>
      <w:r>
        <w:rPr>
          <w:rFonts w:hint="eastAsia" w:cs="Times New Roman"/>
          <w:b/>
          <w:bCs/>
          <w:color w:val="auto"/>
          <w:kern w:val="2"/>
          <w:sz w:val="21"/>
          <w:szCs w:val="18"/>
          <w:highlight w:val="none"/>
          <w:lang w:val="en-US" w:eastAsia="zh-CN" w:bidi="ar-SA"/>
        </w:rPr>
        <w:t>本项目</w:t>
      </w:r>
      <w:r>
        <w:rPr>
          <w:rFonts w:hint="default" w:cs="Times New Roman"/>
          <w:b/>
          <w:bCs/>
          <w:color w:val="auto"/>
          <w:sz w:val="21"/>
          <w:szCs w:val="18"/>
          <w:highlight w:val="none"/>
          <w:lang w:val="en-GB" w:eastAsia="zh-CN"/>
        </w:rPr>
        <w:t>地表水环境质量</w:t>
      </w:r>
      <w:r>
        <w:rPr>
          <w:rFonts w:hint="eastAsia" w:cs="Times New Roman"/>
          <w:b/>
          <w:bCs/>
          <w:color w:val="auto"/>
          <w:sz w:val="21"/>
          <w:szCs w:val="18"/>
          <w:highlight w:val="none"/>
          <w:lang w:val="en-GB" w:eastAsia="zh-CN"/>
        </w:rPr>
        <w:t>标准（单位：mg/L，pH无量纲，粪大肠菌群：个/L）</w:t>
      </w:r>
    </w:p>
    <w:tbl>
      <w:tblPr>
        <w:tblStyle w:val="31"/>
        <w:tblW w:w="49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1"/>
        <w:gridCol w:w="609"/>
        <w:gridCol w:w="540"/>
        <w:gridCol w:w="900"/>
        <w:gridCol w:w="630"/>
        <w:gridCol w:w="675"/>
        <w:gridCol w:w="720"/>
        <w:gridCol w:w="750"/>
        <w:gridCol w:w="1290"/>
        <w:gridCol w:w="675"/>
        <w:gridCol w:w="1544"/>
      </w:tblGrid>
      <w:tr w14:paraId="36303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666" w:type="pct"/>
            <w:noWrap w:val="0"/>
            <w:vAlign w:val="center"/>
          </w:tcPr>
          <w:p w14:paraId="4B7F7482">
            <w:pPr>
              <w:widowControl/>
              <w:jc w:val="center"/>
              <w:rPr>
                <w:rFonts w:ascii="Times New Roman" w:hAnsi="Times New Roman" w:eastAsia="宋体" w:cs="Times New Roman"/>
                <w:b/>
                <w:bCs/>
                <w:color w:val="auto"/>
                <w:kern w:val="0"/>
                <w:szCs w:val="21"/>
                <w:highlight w:val="none"/>
                <w:lang w:bidi="en-US"/>
              </w:rPr>
            </w:pPr>
            <w:r>
              <w:rPr>
                <w:rFonts w:ascii="Times New Roman" w:hAnsi="Times New Roman" w:eastAsia="宋体" w:cs="Times New Roman"/>
                <w:b/>
                <w:bCs/>
                <w:color w:val="auto"/>
                <w:kern w:val="0"/>
                <w:szCs w:val="21"/>
                <w:highlight w:val="none"/>
                <w:lang w:bidi="en-US"/>
              </w:rPr>
              <w:t>项目</w:t>
            </w:r>
          </w:p>
        </w:tc>
        <w:tc>
          <w:tcPr>
            <w:tcW w:w="316" w:type="pct"/>
            <w:noWrap w:val="0"/>
            <w:vAlign w:val="center"/>
          </w:tcPr>
          <w:p w14:paraId="6B7F47AA">
            <w:pPr>
              <w:widowControl/>
              <w:jc w:val="center"/>
              <w:rPr>
                <w:rFonts w:ascii="Times New Roman" w:hAnsi="Times New Roman" w:eastAsia="宋体" w:cs="Times New Roman"/>
                <w:b/>
                <w:bCs/>
                <w:color w:val="auto"/>
                <w:kern w:val="0"/>
                <w:szCs w:val="21"/>
                <w:highlight w:val="none"/>
                <w:lang w:bidi="en-US"/>
              </w:rPr>
            </w:pPr>
            <w:r>
              <w:rPr>
                <w:rFonts w:ascii="Times New Roman" w:hAnsi="Times New Roman" w:eastAsia="宋体" w:cs="Times New Roman"/>
                <w:b/>
                <w:bCs/>
                <w:color w:val="auto"/>
                <w:kern w:val="0"/>
                <w:szCs w:val="21"/>
                <w:highlight w:val="none"/>
                <w:lang w:bidi="en-US"/>
              </w:rPr>
              <w:t>pH</w:t>
            </w:r>
          </w:p>
        </w:tc>
        <w:tc>
          <w:tcPr>
            <w:tcW w:w="280" w:type="pct"/>
            <w:noWrap w:val="0"/>
            <w:vAlign w:val="center"/>
          </w:tcPr>
          <w:p w14:paraId="7FD435E9">
            <w:pPr>
              <w:widowControl/>
              <w:jc w:val="center"/>
              <w:rPr>
                <w:rFonts w:ascii="Times New Roman" w:hAnsi="Times New Roman" w:eastAsia="宋体" w:cs="Times New Roman"/>
                <w:b/>
                <w:bCs/>
                <w:color w:val="auto"/>
                <w:kern w:val="0"/>
                <w:szCs w:val="21"/>
                <w:highlight w:val="none"/>
                <w:lang w:bidi="en-US"/>
              </w:rPr>
            </w:pPr>
            <w:r>
              <w:rPr>
                <w:rFonts w:ascii="Times New Roman" w:hAnsi="Times New Roman" w:eastAsia="宋体" w:cs="Times New Roman"/>
                <w:b/>
                <w:bCs/>
                <w:color w:val="auto"/>
                <w:kern w:val="0"/>
                <w:szCs w:val="21"/>
                <w:highlight w:val="none"/>
                <w:lang w:bidi="en-US"/>
              </w:rPr>
              <w:t>DO</w:t>
            </w:r>
          </w:p>
        </w:tc>
        <w:tc>
          <w:tcPr>
            <w:tcW w:w="468" w:type="pct"/>
            <w:noWrap w:val="0"/>
            <w:vAlign w:val="center"/>
          </w:tcPr>
          <w:p w14:paraId="0E6299FD">
            <w:pPr>
              <w:widowControl/>
              <w:jc w:val="center"/>
              <w:rPr>
                <w:rFonts w:ascii="Times New Roman" w:hAnsi="Times New Roman" w:eastAsia="宋体" w:cs="Times New Roman"/>
                <w:b/>
                <w:bCs/>
                <w:color w:val="auto"/>
                <w:kern w:val="0"/>
                <w:szCs w:val="21"/>
                <w:highlight w:val="none"/>
                <w:lang w:bidi="en-US"/>
              </w:rPr>
            </w:pPr>
            <w:r>
              <w:rPr>
                <w:rFonts w:ascii="Times New Roman" w:hAnsi="Times New Roman" w:eastAsia="宋体" w:cs="Times New Roman"/>
                <w:b/>
                <w:bCs/>
                <w:color w:val="auto"/>
                <w:kern w:val="0"/>
                <w:szCs w:val="21"/>
                <w:highlight w:val="none"/>
                <w:lang w:bidi="en-US"/>
              </w:rPr>
              <w:t>COD</w:t>
            </w:r>
            <w:r>
              <w:rPr>
                <w:rFonts w:ascii="Times New Roman" w:hAnsi="Times New Roman" w:eastAsia="宋体" w:cs="Times New Roman"/>
                <w:b/>
                <w:bCs/>
                <w:color w:val="auto"/>
                <w:kern w:val="0"/>
                <w:szCs w:val="21"/>
                <w:highlight w:val="none"/>
                <w:vertAlign w:val="subscript"/>
                <w:lang w:bidi="en-US"/>
              </w:rPr>
              <w:t>Cr</w:t>
            </w:r>
          </w:p>
        </w:tc>
        <w:tc>
          <w:tcPr>
            <w:tcW w:w="327" w:type="pct"/>
            <w:noWrap w:val="0"/>
            <w:vAlign w:val="center"/>
          </w:tcPr>
          <w:p w14:paraId="29D7D8B0">
            <w:pPr>
              <w:widowControl/>
              <w:jc w:val="center"/>
              <w:rPr>
                <w:rFonts w:ascii="Times New Roman" w:hAnsi="Times New Roman" w:eastAsia="宋体" w:cs="Times New Roman"/>
                <w:b/>
                <w:bCs/>
                <w:color w:val="auto"/>
                <w:kern w:val="0"/>
                <w:szCs w:val="21"/>
                <w:highlight w:val="none"/>
                <w:lang w:bidi="en-US"/>
              </w:rPr>
            </w:pPr>
            <w:r>
              <w:rPr>
                <w:rFonts w:ascii="Times New Roman" w:hAnsi="Times New Roman" w:eastAsia="宋体" w:cs="Times New Roman"/>
                <w:b/>
                <w:bCs/>
                <w:color w:val="auto"/>
                <w:kern w:val="0"/>
                <w:szCs w:val="21"/>
                <w:highlight w:val="none"/>
                <w:lang w:bidi="en-US"/>
              </w:rPr>
              <w:t>LAS</w:t>
            </w:r>
          </w:p>
        </w:tc>
        <w:tc>
          <w:tcPr>
            <w:tcW w:w="351" w:type="pct"/>
            <w:noWrap w:val="0"/>
            <w:vAlign w:val="center"/>
          </w:tcPr>
          <w:p w14:paraId="1742DB2F">
            <w:pPr>
              <w:widowControl/>
              <w:jc w:val="center"/>
              <w:rPr>
                <w:rFonts w:ascii="Times New Roman" w:hAnsi="Times New Roman" w:eastAsia="宋体" w:cs="Times New Roman"/>
                <w:b/>
                <w:bCs/>
                <w:color w:val="auto"/>
                <w:kern w:val="0"/>
                <w:szCs w:val="21"/>
                <w:highlight w:val="none"/>
                <w:lang w:bidi="en-US"/>
              </w:rPr>
            </w:pPr>
            <w:r>
              <w:rPr>
                <w:rFonts w:ascii="Times New Roman" w:hAnsi="Times New Roman" w:eastAsia="宋体" w:cs="Times New Roman"/>
                <w:b/>
                <w:bCs/>
                <w:color w:val="auto"/>
                <w:kern w:val="0"/>
                <w:szCs w:val="21"/>
                <w:highlight w:val="none"/>
                <w:lang w:bidi="en-US"/>
              </w:rPr>
              <w:t>总氮</w:t>
            </w:r>
          </w:p>
        </w:tc>
        <w:tc>
          <w:tcPr>
            <w:tcW w:w="374" w:type="pct"/>
            <w:noWrap w:val="0"/>
            <w:vAlign w:val="center"/>
          </w:tcPr>
          <w:p w14:paraId="016D60F0">
            <w:pPr>
              <w:widowControl/>
              <w:jc w:val="center"/>
              <w:rPr>
                <w:rFonts w:ascii="Times New Roman" w:hAnsi="Times New Roman" w:eastAsia="宋体" w:cs="Times New Roman"/>
                <w:b/>
                <w:bCs/>
                <w:color w:val="auto"/>
                <w:kern w:val="0"/>
                <w:szCs w:val="21"/>
                <w:highlight w:val="none"/>
                <w:lang w:bidi="en-US"/>
              </w:rPr>
            </w:pPr>
            <w:r>
              <w:rPr>
                <w:rFonts w:ascii="Times New Roman" w:hAnsi="Times New Roman" w:eastAsia="宋体" w:cs="Times New Roman"/>
                <w:b/>
                <w:bCs/>
                <w:color w:val="auto"/>
                <w:kern w:val="0"/>
                <w:szCs w:val="21"/>
                <w:highlight w:val="none"/>
                <w:lang w:bidi="en-US"/>
              </w:rPr>
              <w:t>氨氮</w:t>
            </w:r>
          </w:p>
        </w:tc>
        <w:tc>
          <w:tcPr>
            <w:tcW w:w="390" w:type="pct"/>
            <w:noWrap w:val="0"/>
            <w:vAlign w:val="center"/>
          </w:tcPr>
          <w:p w14:paraId="6C691FED">
            <w:pPr>
              <w:widowControl/>
              <w:jc w:val="center"/>
              <w:rPr>
                <w:rFonts w:ascii="Times New Roman" w:hAnsi="Times New Roman" w:eastAsia="宋体" w:cs="Times New Roman"/>
                <w:b/>
                <w:bCs/>
                <w:color w:val="auto"/>
                <w:kern w:val="0"/>
                <w:szCs w:val="21"/>
                <w:highlight w:val="none"/>
                <w:lang w:bidi="en-US"/>
              </w:rPr>
            </w:pPr>
            <w:r>
              <w:rPr>
                <w:rFonts w:ascii="Times New Roman" w:hAnsi="Times New Roman" w:eastAsia="宋体" w:cs="Times New Roman"/>
                <w:b/>
                <w:bCs/>
                <w:color w:val="auto"/>
                <w:kern w:val="0"/>
                <w:szCs w:val="21"/>
                <w:highlight w:val="none"/>
                <w:lang w:bidi="en-US"/>
              </w:rPr>
              <w:t>BOD</w:t>
            </w:r>
            <w:r>
              <w:rPr>
                <w:rFonts w:ascii="Times New Roman" w:hAnsi="Times New Roman" w:eastAsia="宋体" w:cs="Times New Roman"/>
                <w:b/>
                <w:bCs/>
                <w:color w:val="auto"/>
                <w:kern w:val="0"/>
                <w:szCs w:val="21"/>
                <w:highlight w:val="none"/>
                <w:vertAlign w:val="subscript"/>
                <w:lang w:bidi="en-US"/>
              </w:rPr>
              <w:t>5</w:t>
            </w:r>
          </w:p>
        </w:tc>
        <w:tc>
          <w:tcPr>
            <w:tcW w:w="670" w:type="pct"/>
            <w:noWrap w:val="0"/>
            <w:vAlign w:val="center"/>
          </w:tcPr>
          <w:p w14:paraId="5F0B64B6">
            <w:pPr>
              <w:widowControl/>
              <w:jc w:val="center"/>
              <w:rPr>
                <w:rFonts w:ascii="Times New Roman" w:hAnsi="Times New Roman" w:eastAsia="宋体" w:cs="Times New Roman"/>
                <w:b/>
                <w:bCs/>
                <w:color w:val="auto"/>
                <w:kern w:val="0"/>
                <w:szCs w:val="21"/>
                <w:highlight w:val="none"/>
                <w:lang w:bidi="en-US"/>
              </w:rPr>
            </w:pPr>
            <w:r>
              <w:rPr>
                <w:rFonts w:ascii="Times New Roman" w:hAnsi="Times New Roman" w:eastAsia="宋体" w:cs="Times New Roman"/>
                <w:b/>
                <w:bCs/>
                <w:color w:val="auto"/>
                <w:kern w:val="0"/>
                <w:szCs w:val="21"/>
                <w:highlight w:val="none"/>
                <w:lang w:bidi="en-US"/>
              </w:rPr>
              <w:t>粪大肠菌群</w:t>
            </w:r>
          </w:p>
        </w:tc>
        <w:tc>
          <w:tcPr>
            <w:tcW w:w="351" w:type="pct"/>
            <w:noWrap w:val="0"/>
            <w:vAlign w:val="center"/>
          </w:tcPr>
          <w:p w14:paraId="2C35166E">
            <w:pPr>
              <w:widowControl/>
              <w:jc w:val="center"/>
              <w:rPr>
                <w:rFonts w:hint="default" w:ascii="Times New Roman" w:hAnsi="Times New Roman" w:eastAsia="宋体" w:cs="Times New Roman"/>
                <w:b/>
                <w:bCs/>
                <w:color w:val="auto"/>
                <w:kern w:val="0"/>
                <w:szCs w:val="21"/>
                <w:highlight w:val="none"/>
                <w:lang w:val="en-US" w:eastAsia="zh-CN" w:bidi="en-US"/>
              </w:rPr>
            </w:pPr>
            <w:r>
              <w:rPr>
                <w:rFonts w:hint="eastAsia" w:eastAsia="宋体" w:cs="Times New Roman"/>
                <w:b/>
                <w:bCs/>
                <w:color w:val="auto"/>
                <w:kern w:val="0"/>
                <w:szCs w:val="21"/>
                <w:highlight w:val="none"/>
                <w:lang w:val="en-US" w:eastAsia="zh-CN" w:bidi="en-US"/>
              </w:rPr>
              <w:t>总磷</w:t>
            </w:r>
          </w:p>
        </w:tc>
        <w:tc>
          <w:tcPr>
            <w:tcW w:w="802" w:type="pct"/>
            <w:noWrap w:val="0"/>
            <w:vAlign w:val="center"/>
          </w:tcPr>
          <w:p w14:paraId="49C7FA42">
            <w:pPr>
              <w:widowControl/>
              <w:jc w:val="center"/>
              <w:rPr>
                <w:rFonts w:hint="eastAsia" w:eastAsia="宋体" w:cs="Times New Roman"/>
                <w:b/>
                <w:bCs/>
                <w:color w:val="auto"/>
                <w:kern w:val="0"/>
                <w:szCs w:val="21"/>
                <w:highlight w:val="none"/>
                <w:lang w:val="en-US" w:eastAsia="zh-CN" w:bidi="en-US"/>
              </w:rPr>
            </w:pPr>
            <w:r>
              <w:rPr>
                <w:rFonts w:hint="eastAsia"/>
                <w:b/>
                <w:bCs/>
                <w:color w:val="auto"/>
                <w:kern w:val="0"/>
                <w:sz w:val="21"/>
                <w:szCs w:val="21"/>
                <w:highlight w:val="none"/>
                <w:lang w:val="en-US" w:eastAsia="zh-CN"/>
              </w:rPr>
              <w:t>高锰酸钾指数</w:t>
            </w:r>
          </w:p>
        </w:tc>
      </w:tr>
      <w:tr w14:paraId="1DE4D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66" w:type="pct"/>
            <w:noWrap w:val="0"/>
            <w:vAlign w:val="center"/>
          </w:tcPr>
          <w:p w14:paraId="162BBAE9">
            <w:pPr>
              <w:widowControl/>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排水渠</w:t>
            </w:r>
            <w:r>
              <w:rPr>
                <w:rFonts w:hint="default" w:ascii="Times New Roman" w:hAnsi="Times New Roman" w:eastAsia="宋体" w:cs="Times New Roman"/>
                <w:color w:val="auto"/>
                <w:sz w:val="21"/>
                <w:szCs w:val="21"/>
                <w:highlight w:val="none"/>
                <w:lang w:val="en-US" w:eastAsia="zh-CN"/>
              </w:rPr>
              <w:t>Ⅲ类</w:t>
            </w:r>
          </w:p>
        </w:tc>
        <w:tc>
          <w:tcPr>
            <w:tcW w:w="316" w:type="pct"/>
            <w:noWrap w:val="0"/>
            <w:vAlign w:val="center"/>
          </w:tcPr>
          <w:p w14:paraId="151D9089">
            <w:pPr>
              <w:widowControl/>
              <w:jc w:val="center"/>
              <w:rPr>
                <w:rFonts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Cs w:val="21"/>
                <w:highlight w:val="none"/>
                <w:lang w:bidi="en-US"/>
              </w:rPr>
              <w:t>6-9</w:t>
            </w:r>
          </w:p>
        </w:tc>
        <w:tc>
          <w:tcPr>
            <w:tcW w:w="280" w:type="pct"/>
            <w:noWrap w:val="0"/>
            <w:vAlign w:val="center"/>
          </w:tcPr>
          <w:p w14:paraId="36D721D3">
            <w:pPr>
              <w:widowControl/>
              <w:jc w:val="center"/>
              <w:rPr>
                <w:rFonts w:hint="eastAsia" w:ascii="Times New Roman" w:hAnsi="Times New Roman" w:eastAsia="宋体" w:cs="Times New Roman"/>
                <w:color w:val="auto"/>
                <w:kern w:val="0"/>
                <w:sz w:val="21"/>
                <w:szCs w:val="21"/>
                <w:highlight w:val="none"/>
                <w:lang w:val="en-US" w:eastAsia="zh-CN" w:bidi="en-US"/>
              </w:rPr>
            </w:pPr>
            <w:r>
              <w:rPr>
                <w:rFonts w:ascii="Times New Roman" w:hAnsi="Times New Roman" w:eastAsia="宋体" w:cs="Times New Roman"/>
                <w:color w:val="auto"/>
                <w:kern w:val="0"/>
                <w:szCs w:val="21"/>
                <w:highlight w:val="none"/>
                <w:lang w:bidi="en-US"/>
              </w:rPr>
              <w:t>≥</w:t>
            </w:r>
            <w:r>
              <w:rPr>
                <w:rFonts w:hint="eastAsia" w:ascii="Times New Roman" w:hAnsi="Times New Roman" w:eastAsia="宋体" w:cs="Times New Roman"/>
                <w:color w:val="auto"/>
                <w:kern w:val="0"/>
                <w:szCs w:val="21"/>
                <w:highlight w:val="none"/>
                <w:lang w:val="en-US" w:eastAsia="zh-CN" w:bidi="en-US"/>
              </w:rPr>
              <w:t>5</w:t>
            </w:r>
          </w:p>
        </w:tc>
        <w:tc>
          <w:tcPr>
            <w:tcW w:w="468" w:type="pct"/>
            <w:noWrap w:val="0"/>
            <w:vAlign w:val="center"/>
          </w:tcPr>
          <w:p w14:paraId="71055340">
            <w:pPr>
              <w:widowControl/>
              <w:jc w:val="center"/>
              <w:rPr>
                <w:rFonts w:hint="default"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val="en-US" w:eastAsia="zh-CN"/>
              </w:rPr>
              <w:t>20</w:t>
            </w:r>
          </w:p>
        </w:tc>
        <w:tc>
          <w:tcPr>
            <w:tcW w:w="327" w:type="pct"/>
            <w:noWrap w:val="0"/>
            <w:vAlign w:val="center"/>
          </w:tcPr>
          <w:p w14:paraId="50FFB64D">
            <w:pPr>
              <w:widowControl/>
              <w:jc w:val="center"/>
              <w:rPr>
                <w:rFonts w:hint="default" w:ascii="Times New Roman" w:hAnsi="Times New Roman" w:eastAsia="宋体" w:cs="Times New Roman"/>
                <w:color w:val="auto"/>
                <w:kern w:val="0"/>
                <w:sz w:val="21"/>
                <w:szCs w:val="21"/>
                <w:highlight w:val="none"/>
                <w:lang w:val="en-US" w:eastAsia="zh-CN" w:bidi="en-US"/>
              </w:rPr>
            </w:pPr>
            <w:r>
              <w:rPr>
                <w:rFonts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val="en-US" w:eastAsia="zh-CN"/>
              </w:rPr>
              <w:t>0.2</w:t>
            </w:r>
          </w:p>
        </w:tc>
        <w:tc>
          <w:tcPr>
            <w:tcW w:w="351" w:type="pct"/>
            <w:noWrap w:val="0"/>
            <w:vAlign w:val="center"/>
          </w:tcPr>
          <w:p w14:paraId="75BCD36D">
            <w:pPr>
              <w:widowControl/>
              <w:jc w:val="center"/>
              <w:rPr>
                <w:rFonts w:hint="default"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val="en-US" w:eastAsia="zh-CN"/>
              </w:rPr>
              <w:t>1.0</w:t>
            </w:r>
          </w:p>
        </w:tc>
        <w:tc>
          <w:tcPr>
            <w:tcW w:w="374" w:type="pct"/>
            <w:noWrap w:val="0"/>
            <w:vAlign w:val="center"/>
          </w:tcPr>
          <w:p w14:paraId="23A276F2">
            <w:pPr>
              <w:widowControl/>
              <w:jc w:val="center"/>
              <w:rPr>
                <w:rFonts w:hint="default"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szCs w:val="21"/>
                <w:highlight w:val="none"/>
              </w:rPr>
              <w:t>≤</w:t>
            </w:r>
            <w:r>
              <w:rPr>
                <w:rFonts w:hint="eastAsia" w:eastAsia="宋体" w:cs="Times New Roman"/>
                <w:color w:val="auto"/>
                <w:szCs w:val="21"/>
                <w:highlight w:val="none"/>
                <w:lang w:val="en-US" w:eastAsia="zh-CN"/>
              </w:rPr>
              <w:t>1.0</w:t>
            </w:r>
          </w:p>
        </w:tc>
        <w:tc>
          <w:tcPr>
            <w:tcW w:w="390" w:type="pct"/>
            <w:noWrap w:val="0"/>
            <w:vAlign w:val="center"/>
          </w:tcPr>
          <w:p w14:paraId="1DDC05E9">
            <w:pPr>
              <w:widowControl/>
              <w:jc w:val="center"/>
              <w:rPr>
                <w:rFonts w:hint="eastAsia"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val="en-US" w:eastAsia="zh-CN"/>
              </w:rPr>
              <w:t>4</w:t>
            </w:r>
          </w:p>
        </w:tc>
        <w:tc>
          <w:tcPr>
            <w:tcW w:w="670" w:type="pct"/>
            <w:noWrap w:val="0"/>
            <w:vAlign w:val="center"/>
          </w:tcPr>
          <w:p w14:paraId="267A8537">
            <w:pPr>
              <w:widowControl/>
              <w:jc w:val="center"/>
              <w:rPr>
                <w:rFonts w:hint="default"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val="en-US" w:eastAsia="zh-CN"/>
              </w:rPr>
              <w:t>10000</w:t>
            </w:r>
          </w:p>
        </w:tc>
        <w:tc>
          <w:tcPr>
            <w:tcW w:w="351" w:type="pct"/>
            <w:noWrap w:val="0"/>
            <w:vAlign w:val="center"/>
          </w:tcPr>
          <w:p w14:paraId="5F9BF1BF">
            <w:pPr>
              <w:widowControl/>
              <w:jc w:val="center"/>
              <w:rPr>
                <w:rFonts w:hint="default"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val="en-US" w:eastAsia="zh-CN"/>
              </w:rPr>
              <w:t>0.2</w:t>
            </w:r>
          </w:p>
        </w:tc>
        <w:tc>
          <w:tcPr>
            <w:tcW w:w="802" w:type="pct"/>
            <w:noWrap w:val="0"/>
            <w:vAlign w:val="center"/>
          </w:tcPr>
          <w:p w14:paraId="7691062F">
            <w:pPr>
              <w:widowControl/>
              <w:jc w:val="center"/>
              <w:rPr>
                <w:rFonts w:hint="default"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szCs w:val="21"/>
                <w:highlight w:val="none"/>
              </w:rPr>
              <w:t>≤</w:t>
            </w:r>
            <w:r>
              <w:rPr>
                <w:rFonts w:hint="eastAsia" w:eastAsia="宋体" w:cs="Times New Roman"/>
                <w:color w:val="auto"/>
                <w:szCs w:val="21"/>
                <w:highlight w:val="none"/>
                <w:lang w:val="en-US" w:eastAsia="zh-CN"/>
              </w:rPr>
              <w:t>6</w:t>
            </w:r>
          </w:p>
        </w:tc>
      </w:tr>
      <w:tr w14:paraId="39D25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66" w:type="pct"/>
            <w:noWrap w:val="0"/>
            <w:vAlign w:val="center"/>
          </w:tcPr>
          <w:p w14:paraId="607C2CBA">
            <w:pPr>
              <w:widowControl/>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吉水河</w:t>
            </w:r>
            <w:r>
              <w:rPr>
                <w:rFonts w:hint="default" w:ascii="Times New Roman" w:hAnsi="Times New Roman" w:eastAsia="宋体" w:cs="Times New Roman"/>
                <w:color w:val="auto"/>
                <w:sz w:val="21"/>
                <w:szCs w:val="21"/>
                <w:highlight w:val="none"/>
                <w:lang w:val="en-US" w:eastAsia="zh-CN"/>
              </w:rPr>
              <w:t>Ⅲ类</w:t>
            </w:r>
          </w:p>
        </w:tc>
        <w:tc>
          <w:tcPr>
            <w:tcW w:w="316" w:type="pct"/>
            <w:shd w:val="clear" w:color="auto" w:fill="auto"/>
            <w:noWrap w:val="0"/>
            <w:vAlign w:val="center"/>
          </w:tcPr>
          <w:p w14:paraId="37D1B4EA">
            <w:pPr>
              <w:widowControl/>
              <w:jc w:val="center"/>
              <w:rPr>
                <w:rFonts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0"/>
                <w:szCs w:val="21"/>
                <w:highlight w:val="none"/>
                <w:lang w:bidi="en-US"/>
              </w:rPr>
              <w:t>6-9</w:t>
            </w:r>
          </w:p>
        </w:tc>
        <w:tc>
          <w:tcPr>
            <w:tcW w:w="280" w:type="pct"/>
            <w:shd w:val="clear" w:color="auto" w:fill="auto"/>
            <w:noWrap w:val="0"/>
            <w:vAlign w:val="center"/>
          </w:tcPr>
          <w:p w14:paraId="2C87EBDB">
            <w:pPr>
              <w:widowControl/>
              <w:jc w:val="center"/>
              <w:rPr>
                <w:rFonts w:hint="eastAsia" w:ascii="Times New Roman" w:hAnsi="Times New Roman" w:eastAsia="宋体" w:cs="Times New Roman"/>
                <w:color w:val="auto"/>
                <w:kern w:val="0"/>
                <w:sz w:val="21"/>
                <w:szCs w:val="21"/>
                <w:highlight w:val="none"/>
                <w:lang w:val="en-US" w:eastAsia="zh-CN" w:bidi="en-US"/>
              </w:rPr>
            </w:pPr>
            <w:r>
              <w:rPr>
                <w:rFonts w:ascii="Times New Roman" w:hAnsi="Times New Roman" w:eastAsia="宋体" w:cs="Times New Roman"/>
                <w:color w:val="auto"/>
                <w:kern w:val="0"/>
                <w:szCs w:val="21"/>
                <w:highlight w:val="none"/>
                <w:lang w:bidi="en-US"/>
              </w:rPr>
              <w:t>≥</w:t>
            </w:r>
            <w:r>
              <w:rPr>
                <w:rFonts w:hint="eastAsia" w:ascii="Times New Roman" w:hAnsi="Times New Roman" w:eastAsia="宋体" w:cs="Times New Roman"/>
                <w:color w:val="auto"/>
                <w:kern w:val="0"/>
                <w:szCs w:val="21"/>
                <w:highlight w:val="none"/>
                <w:lang w:val="en-US" w:eastAsia="zh-CN" w:bidi="en-US"/>
              </w:rPr>
              <w:t>5</w:t>
            </w:r>
          </w:p>
        </w:tc>
        <w:tc>
          <w:tcPr>
            <w:tcW w:w="468" w:type="pct"/>
            <w:shd w:val="clear" w:color="auto" w:fill="auto"/>
            <w:noWrap w:val="0"/>
            <w:vAlign w:val="center"/>
          </w:tcPr>
          <w:p w14:paraId="69846236">
            <w:pPr>
              <w:widowControl/>
              <w:jc w:val="center"/>
              <w:rPr>
                <w:rFonts w:hint="default"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val="en-US" w:eastAsia="zh-CN"/>
              </w:rPr>
              <w:t>20</w:t>
            </w:r>
          </w:p>
        </w:tc>
        <w:tc>
          <w:tcPr>
            <w:tcW w:w="327" w:type="pct"/>
            <w:shd w:val="clear" w:color="auto" w:fill="auto"/>
            <w:noWrap w:val="0"/>
            <w:vAlign w:val="center"/>
          </w:tcPr>
          <w:p w14:paraId="607B6D5E">
            <w:pPr>
              <w:widowControl/>
              <w:jc w:val="center"/>
              <w:rPr>
                <w:rFonts w:hint="default" w:ascii="Times New Roman" w:hAnsi="Times New Roman" w:eastAsia="宋体" w:cs="Times New Roman"/>
                <w:color w:val="auto"/>
                <w:kern w:val="0"/>
                <w:sz w:val="21"/>
                <w:szCs w:val="21"/>
                <w:highlight w:val="none"/>
                <w:lang w:val="en-US" w:eastAsia="zh-CN" w:bidi="en-US"/>
              </w:rPr>
            </w:pPr>
            <w:r>
              <w:rPr>
                <w:rFonts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val="en-US" w:eastAsia="zh-CN"/>
              </w:rPr>
              <w:t>0.2</w:t>
            </w:r>
          </w:p>
        </w:tc>
        <w:tc>
          <w:tcPr>
            <w:tcW w:w="351" w:type="pct"/>
            <w:shd w:val="clear" w:color="auto" w:fill="auto"/>
            <w:noWrap w:val="0"/>
            <w:vAlign w:val="center"/>
          </w:tcPr>
          <w:p w14:paraId="11476AB2">
            <w:pPr>
              <w:widowControl/>
              <w:jc w:val="center"/>
              <w:rPr>
                <w:rFonts w:hint="default"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val="en-US" w:eastAsia="zh-CN"/>
              </w:rPr>
              <w:t>1.0</w:t>
            </w:r>
          </w:p>
        </w:tc>
        <w:tc>
          <w:tcPr>
            <w:tcW w:w="374" w:type="pct"/>
            <w:shd w:val="clear" w:color="auto" w:fill="auto"/>
            <w:noWrap w:val="0"/>
            <w:vAlign w:val="center"/>
          </w:tcPr>
          <w:p w14:paraId="6CEAD16F">
            <w:pPr>
              <w:widowControl/>
              <w:jc w:val="center"/>
              <w:rPr>
                <w:rFonts w:hint="default"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szCs w:val="21"/>
                <w:highlight w:val="none"/>
              </w:rPr>
              <w:t>≤</w:t>
            </w:r>
            <w:r>
              <w:rPr>
                <w:rFonts w:hint="eastAsia" w:eastAsia="宋体" w:cs="Times New Roman"/>
                <w:color w:val="auto"/>
                <w:szCs w:val="21"/>
                <w:highlight w:val="none"/>
                <w:lang w:val="en-US" w:eastAsia="zh-CN"/>
              </w:rPr>
              <w:t>1.0</w:t>
            </w:r>
          </w:p>
        </w:tc>
        <w:tc>
          <w:tcPr>
            <w:tcW w:w="390" w:type="pct"/>
            <w:shd w:val="clear" w:color="auto" w:fill="auto"/>
            <w:noWrap w:val="0"/>
            <w:vAlign w:val="center"/>
          </w:tcPr>
          <w:p w14:paraId="724962CC">
            <w:pPr>
              <w:widowControl/>
              <w:jc w:val="center"/>
              <w:rPr>
                <w:rFonts w:hint="eastAsia"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val="en-US" w:eastAsia="zh-CN"/>
              </w:rPr>
              <w:t>4</w:t>
            </w:r>
          </w:p>
        </w:tc>
        <w:tc>
          <w:tcPr>
            <w:tcW w:w="670" w:type="pct"/>
            <w:shd w:val="clear" w:color="auto" w:fill="auto"/>
            <w:noWrap w:val="0"/>
            <w:vAlign w:val="center"/>
          </w:tcPr>
          <w:p w14:paraId="724D8678">
            <w:pPr>
              <w:widowControl/>
              <w:jc w:val="center"/>
              <w:rPr>
                <w:rFonts w:hint="default"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val="en-US" w:eastAsia="zh-CN"/>
              </w:rPr>
              <w:t>10000</w:t>
            </w:r>
          </w:p>
        </w:tc>
        <w:tc>
          <w:tcPr>
            <w:tcW w:w="351" w:type="pct"/>
            <w:shd w:val="clear" w:color="auto" w:fill="auto"/>
            <w:noWrap w:val="0"/>
            <w:vAlign w:val="center"/>
          </w:tcPr>
          <w:p w14:paraId="6B5A7FDC">
            <w:pPr>
              <w:widowControl/>
              <w:jc w:val="center"/>
              <w:rPr>
                <w:rFonts w:hint="default"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val="en-US" w:eastAsia="zh-CN"/>
              </w:rPr>
              <w:t>0.2</w:t>
            </w:r>
          </w:p>
        </w:tc>
        <w:tc>
          <w:tcPr>
            <w:tcW w:w="802" w:type="pct"/>
            <w:shd w:val="clear" w:color="auto" w:fill="auto"/>
            <w:noWrap w:val="0"/>
            <w:vAlign w:val="center"/>
          </w:tcPr>
          <w:p w14:paraId="03405FC3">
            <w:pPr>
              <w:widowControl/>
              <w:jc w:val="center"/>
              <w:rPr>
                <w:rFonts w:hint="default"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szCs w:val="21"/>
                <w:highlight w:val="none"/>
              </w:rPr>
              <w:t>≤</w:t>
            </w:r>
            <w:r>
              <w:rPr>
                <w:rFonts w:hint="eastAsia" w:eastAsia="宋体" w:cs="Times New Roman"/>
                <w:color w:val="auto"/>
                <w:szCs w:val="21"/>
                <w:highlight w:val="none"/>
                <w:lang w:val="en-US" w:eastAsia="zh-CN"/>
              </w:rPr>
              <w:t>6</w:t>
            </w:r>
          </w:p>
        </w:tc>
      </w:tr>
      <w:tr w14:paraId="24765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666" w:type="pct"/>
            <w:noWrap w:val="0"/>
            <w:vAlign w:val="center"/>
          </w:tcPr>
          <w:p w14:paraId="79763CD9">
            <w:pPr>
              <w:widowControl/>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1"/>
                <w:szCs w:val="21"/>
                <w:highlight w:val="none"/>
                <w:lang w:val="en-US" w:eastAsia="zh-CN"/>
              </w:rPr>
              <w:t>大八河</w:t>
            </w:r>
            <w:r>
              <w:rPr>
                <w:rFonts w:hint="default" w:ascii="Times New Roman" w:hAnsi="Times New Roman" w:cs="Times New Roman"/>
                <w:color w:val="auto"/>
                <w:sz w:val="21"/>
                <w:szCs w:val="21"/>
                <w:highlight w:val="none"/>
                <w:lang w:val="en-US" w:eastAsia="zh-CN"/>
              </w:rPr>
              <w:t>Ⅱ</w:t>
            </w:r>
            <w:r>
              <w:rPr>
                <w:rFonts w:hint="default" w:ascii="Times New Roman" w:hAnsi="Times New Roman" w:eastAsia="宋体" w:cs="Times New Roman"/>
                <w:color w:val="auto"/>
                <w:sz w:val="21"/>
                <w:szCs w:val="21"/>
                <w:highlight w:val="none"/>
                <w:lang w:val="en-US" w:eastAsia="zh-CN"/>
              </w:rPr>
              <w:t>类</w:t>
            </w:r>
          </w:p>
        </w:tc>
        <w:tc>
          <w:tcPr>
            <w:tcW w:w="316" w:type="pct"/>
            <w:noWrap w:val="0"/>
            <w:vAlign w:val="center"/>
          </w:tcPr>
          <w:p w14:paraId="69A59B09">
            <w:pPr>
              <w:widowControl/>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kern w:val="0"/>
                <w:szCs w:val="21"/>
                <w:highlight w:val="none"/>
                <w:lang w:bidi="en-US"/>
              </w:rPr>
              <w:t>6-9</w:t>
            </w:r>
          </w:p>
        </w:tc>
        <w:tc>
          <w:tcPr>
            <w:tcW w:w="280" w:type="pct"/>
            <w:noWrap w:val="0"/>
            <w:vAlign w:val="center"/>
          </w:tcPr>
          <w:p w14:paraId="496E4054">
            <w:pPr>
              <w:widowControl/>
              <w:jc w:val="center"/>
              <w:rPr>
                <w:rFonts w:hint="eastAsia" w:ascii="Times New Roman" w:hAnsi="Times New Roman" w:eastAsia="宋体" w:cs="Times New Roman"/>
                <w:color w:val="auto"/>
                <w:kern w:val="0"/>
                <w:szCs w:val="21"/>
                <w:highlight w:val="none"/>
                <w:lang w:val="en-US" w:eastAsia="zh-CN" w:bidi="en-US"/>
              </w:rPr>
            </w:pPr>
            <w:r>
              <w:rPr>
                <w:rFonts w:ascii="Times New Roman" w:hAnsi="Times New Roman" w:eastAsia="宋体" w:cs="Times New Roman"/>
                <w:color w:val="auto"/>
                <w:kern w:val="0"/>
                <w:szCs w:val="21"/>
                <w:highlight w:val="none"/>
                <w:lang w:bidi="en-US"/>
              </w:rPr>
              <w:t>≥</w:t>
            </w:r>
            <w:r>
              <w:rPr>
                <w:rFonts w:hint="eastAsia" w:cs="Times New Roman"/>
                <w:color w:val="auto"/>
                <w:kern w:val="0"/>
                <w:szCs w:val="21"/>
                <w:highlight w:val="none"/>
                <w:lang w:val="en-US" w:eastAsia="zh-CN" w:bidi="en-US"/>
              </w:rPr>
              <w:t>6</w:t>
            </w:r>
          </w:p>
        </w:tc>
        <w:tc>
          <w:tcPr>
            <w:tcW w:w="468" w:type="pct"/>
            <w:noWrap w:val="0"/>
            <w:vAlign w:val="center"/>
          </w:tcPr>
          <w:p w14:paraId="7C42AA86">
            <w:pPr>
              <w:widowControl/>
              <w:jc w:val="center"/>
              <w:rPr>
                <w:rFonts w:hint="default" w:ascii="Times New Roman" w:hAnsi="Times New Roman" w:eastAsia="宋体" w:cs="Times New Roman"/>
                <w:color w:val="auto"/>
                <w:szCs w:val="21"/>
                <w:highlight w:val="none"/>
                <w:lang w:val="en-US" w:eastAsia="zh-CN"/>
              </w:rPr>
            </w:pPr>
            <w:r>
              <w:rPr>
                <w:rFonts w:ascii="Times New Roman" w:hAnsi="Times New Roman" w:eastAsia="宋体" w:cs="Times New Roman"/>
                <w:color w:val="auto"/>
                <w:szCs w:val="21"/>
                <w:highlight w:val="none"/>
              </w:rPr>
              <w:t>≤</w:t>
            </w:r>
            <w:r>
              <w:rPr>
                <w:rFonts w:hint="eastAsia" w:cs="Times New Roman"/>
                <w:color w:val="auto"/>
                <w:szCs w:val="21"/>
                <w:highlight w:val="none"/>
                <w:lang w:val="en-US" w:eastAsia="zh-CN"/>
              </w:rPr>
              <w:t>15</w:t>
            </w:r>
          </w:p>
        </w:tc>
        <w:tc>
          <w:tcPr>
            <w:tcW w:w="327" w:type="pct"/>
            <w:noWrap w:val="0"/>
            <w:vAlign w:val="center"/>
          </w:tcPr>
          <w:p w14:paraId="0481AC95">
            <w:pPr>
              <w:widowControl/>
              <w:jc w:val="center"/>
              <w:rPr>
                <w:rFonts w:hint="default" w:ascii="Times New Roman" w:hAnsi="Times New Roman" w:eastAsia="宋体" w:cs="Times New Roman"/>
                <w:color w:val="auto"/>
                <w:kern w:val="0"/>
                <w:szCs w:val="21"/>
                <w:highlight w:val="none"/>
                <w:lang w:val="en-US" w:eastAsia="zh-CN" w:bidi="en-US"/>
              </w:rPr>
            </w:pPr>
            <w:r>
              <w:rPr>
                <w:rFonts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val="en-US" w:eastAsia="zh-CN"/>
              </w:rPr>
              <w:t>0.</w:t>
            </w:r>
            <w:r>
              <w:rPr>
                <w:rFonts w:hint="eastAsia" w:cs="Times New Roman"/>
                <w:color w:val="auto"/>
                <w:szCs w:val="21"/>
                <w:highlight w:val="none"/>
                <w:lang w:val="en-US" w:eastAsia="zh-CN"/>
              </w:rPr>
              <w:t>1</w:t>
            </w:r>
          </w:p>
        </w:tc>
        <w:tc>
          <w:tcPr>
            <w:tcW w:w="351" w:type="pct"/>
            <w:noWrap w:val="0"/>
            <w:vAlign w:val="center"/>
          </w:tcPr>
          <w:p w14:paraId="6B910ABF">
            <w:pPr>
              <w:widowControl/>
              <w:jc w:val="center"/>
              <w:rPr>
                <w:rFonts w:hint="default" w:ascii="Times New Roman" w:hAnsi="Times New Roman" w:eastAsia="宋体" w:cs="Times New Roman"/>
                <w:color w:val="auto"/>
                <w:szCs w:val="21"/>
                <w:highlight w:val="none"/>
                <w:lang w:val="en-US" w:eastAsia="zh-CN"/>
              </w:rPr>
            </w:pPr>
            <w:r>
              <w:rPr>
                <w:rFonts w:ascii="Times New Roman" w:hAnsi="Times New Roman" w:eastAsia="宋体" w:cs="Times New Roman"/>
                <w:color w:val="auto"/>
                <w:szCs w:val="21"/>
                <w:highlight w:val="none"/>
              </w:rPr>
              <w:t>≤</w:t>
            </w:r>
            <w:r>
              <w:rPr>
                <w:rFonts w:hint="eastAsia" w:cs="Times New Roman"/>
                <w:color w:val="auto"/>
                <w:szCs w:val="21"/>
                <w:highlight w:val="none"/>
                <w:lang w:val="en-US" w:eastAsia="zh-CN"/>
              </w:rPr>
              <w:t>0.5</w:t>
            </w:r>
          </w:p>
        </w:tc>
        <w:tc>
          <w:tcPr>
            <w:tcW w:w="374" w:type="pct"/>
            <w:noWrap w:val="0"/>
            <w:vAlign w:val="center"/>
          </w:tcPr>
          <w:p w14:paraId="51FACC5C">
            <w:pPr>
              <w:widowControl/>
              <w:jc w:val="center"/>
              <w:rPr>
                <w:rFonts w:hint="default" w:ascii="Times New Roman" w:hAnsi="Times New Roman" w:eastAsia="宋体" w:cs="Times New Roman"/>
                <w:color w:val="auto"/>
                <w:szCs w:val="21"/>
                <w:highlight w:val="none"/>
                <w:lang w:val="en-US" w:eastAsia="zh-CN"/>
              </w:rPr>
            </w:pPr>
            <w:r>
              <w:rPr>
                <w:rFonts w:ascii="Times New Roman" w:hAnsi="Times New Roman" w:eastAsia="宋体" w:cs="Times New Roman"/>
                <w:color w:val="auto"/>
                <w:szCs w:val="21"/>
                <w:highlight w:val="none"/>
              </w:rPr>
              <w:t>≤</w:t>
            </w:r>
            <w:r>
              <w:rPr>
                <w:rFonts w:hint="eastAsia" w:cs="Times New Roman"/>
                <w:color w:val="auto"/>
                <w:szCs w:val="21"/>
                <w:highlight w:val="none"/>
                <w:lang w:val="en-US" w:eastAsia="zh-CN"/>
              </w:rPr>
              <w:t>0.5</w:t>
            </w:r>
          </w:p>
        </w:tc>
        <w:tc>
          <w:tcPr>
            <w:tcW w:w="390" w:type="pct"/>
            <w:noWrap w:val="0"/>
            <w:vAlign w:val="center"/>
          </w:tcPr>
          <w:p w14:paraId="4E994F6E">
            <w:pPr>
              <w:widowControl/>
              <w:jc w:val="center"/>
              <w:rPr>
                <w:rFonts w:hint="eastAsia" w:ascii="Times New Roman" w:hAnsi="Times New Roman" w:eastAsia="宋体" w:cs="Times New Roman"/>
                <w:color w:val="auto"/>
                <w:szCs w:val="21"/>
                <w:highlight w:val="none"/>
                <w:lang w:val="en-US" w:eastAsia="zh-CN"/>
              </w:rPr>
            </w:pPr>
            <w:r>
              <w:rPr>
                <w:rFonts w:ascii="Times New Roman" w:hAnsi="Times New Roman" w:eastAsia="宋体" w:cs="Times New Roman"/>
                <w:color w:val="auto"/>
                <w:szCs w:val="21"/>
                <w:highlight w:val="none"/>
              </w:rPr>
              <w:t>≤</w:t>
            </w:r>
            <w:r>
              <w:rPr>
                <w:rFonts w:hint="eastAsia" w:cs="Times New Roman"/>
                <w:color w:val="auto"/>
                <w:szCs w:val="21"/>
                <w:highlight w:val="none"/>
                <w:lang w:val="en-US" w:eastAsia="zh-CN"/>
              </w:rPr>
              <w:t>3</w:t>
            </w:r>
          </w:p>
        </w:tc>
        <w:tc>
          <w:tcPr>
            <w:tcW w:w="670" w:type="pct"/>
            <w:noWrap w:val="0"/>
            <w:vAlign w:val="center"/>
          </w:tcPr>
          <w:p w14:paraId="38CDE38F">
            <w:pPr>
              <w:widowControl/>
              <w:jc w:val="center"/>
              <w:rPr>
                <w:rFonts w:hint="default" w:ascii="Times New Roman" w:hAnsi="Times New Roman" w:eastAsia="宋体" w:cs="Times New Roman"/>
                <w:color w:val="auto"/>
                <w:szCs w:val="21"/>
                <w:highlight w:val="none"/>
                <w:lang w:val="en-US" w:eastAsia="zh-CN"/>
              </w:rPr>
            </w:pPr>
            <w:r>
              <w:rPr>
                <w:rFonts w:ascii="Times New Roman" w:hAnsi="Times New Roman" w:eastAsia="宋体" w:cs="Times New Roman"/>
                <w:color w:val="auto"/>
                <w:szCs w:val="21"/>
                <w:highlight w:val="none"/>
              </w:rPr>
              <w:t>≤</w:t>
            </w:r>
            <w:r>
              <w:rPr>
                <w:rFonts w:hint="eastAsia" w:cs="Times New Roman"/>
                <w:color w:val="auto"/>
                <w:szCs w:val="21"/>
                <w:highlight w:val="none"/>
                <w:lang w:val="en-US" w:eastAsia="zh-CN"/>
              </w:rPr>
              <w:t>2</w:t>
            </w:r>
            <w:r>
              <w:rPr>
                <w:rFonts w:hint="eastAsia" w:ascii="Times New Roman" w:hAnsi="Times New Roman" w:eastAsia="宋体" w:cs="Times New Roman"/>
                <w:color w:val="auto"/>
                <w:szCs w:val="21"/>
                <w:highlight w:val="none"/>
                <w:lang w:val="en-US" w:eastAsia="zh-CN"/>
              </w:rPr>
              <w:t>000</w:t>
            </w:r>
          </w:p>
        </w:tc>
        <w:tc>
          <w:tcPr>
            <w:tcW w:w="351" w:type="pct"/>
            <w:noWrap w:val="0"/>
            <w:vAlign w:val="center"/>
          </w:tcPr>
          <w:p w14:paraId="0372C2C4">
            <w:pPr>
              <w:widowControl/>
              <w:jc w:val="center"/>
              <w:rPr>
                <w:rFonts w:hint="default" w:ascii="Times New Roman" w:hAnsi="Times New Roman" w:eastAsia="宋体" w:cs="Times New Roman"/>
                <w:color w:val="auto"/>
                <w:szCs w:val="21"/>
                <w:highlight w:val="none"/>
                <w:lang w:val="en-US" w:eastAsia="zh-CN"/>
              </w:rPr>
            </w:pPr>
            <w:r>
              <w:rPr>
                <w:rFonts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val="en-US" w:eastAsia="zh-CN"/>
              </w:rPr>
              <w:t>0.</w:t>
            </w:r>
            <w:r>
              <w:rPr>
                <w:rFonts w:hint="eastAsia" w:cs="Times New Roman"/>
                <w:color w:val="auto"/>
                <w:szCs w:val="21"/>
                <w:highlight w:val="none"/>
                <w:lang w:val="en-US" w:eastAsia="zh-CN"/>
              </w:rPr>
              <w:t>1</w:t>
            </w:r>
          </w:p>
        </w:tc>
        <w:tc>
          <w:tcPr>
            <w:tcW w:w="802" w:type="pct"/>
            <w:noWrap w:val="0"/>
            <w:vAlign w:val="center"/>
          </w:tcPr>
          <w:p w14:paraId="701BE090">
            <w:pPr>
              <w:widowControl/>
              <w:jc w:val="center"/>
              <w:rPr>
                <w:rFonts w:hint="eastAsia"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szCs w:val="21"/>
                <w:highlight w:val="none"/>
              </w:rPr>
              <w:t>≤</w:t>
            </w:r>
            <w:r>
              <w:rPr>
                <w:rFonts w:hint="eastAsia" w:cs="Times New Roman"/>
                <w:color w:val="auto"/>
                <w:szCs w:val="21"/>
                <w:highlight w:val="none"/>
                <w:lang w:val="en-US" w:eastAsia="zh-CN"/>
              </w:rPr>
              <w:t>4</w:t>
            </w:r>
          </w:p>
        </w:tc>
      </w:tr>
    </w:tbl>
    <w:p w14:paraId="4FC32AE4">
      <w:pPr>
        <w:spacing w:line="360" w:lineRule="auto"/>
        <w:ind w:firstLine="400" w:firstLineChars="200"/>
        <w:rPr>
          <w:rFonts w:hint="eastAsia" w:ascii="Times New Roman" w:hAnsi="Times New Roman" w:cs="Times New Roman"/>
          <w:color w:val="auto"/>
          <w:sz w:val="20"/>
          <w:szCs w:val="20"/>
          <w:highlight w:val="none"/>
          <w:lang w:val="en-US" w:eastAsia="zh-CN"/>
        </w:rPr>
      </w:pPr>
      <w:r>
        <w:rPr>
          <w:rFonts w:hint="eastAsia" w:ascii="Times New Roman" w:hAnsi="Times New Roman" w:cs="Times New Roman"/>
          <w:color w:val="auto"/>
          <w:sz w:val="20"/>
          <w:szCs w:val="20"/>
          <w:highlight w:val="none"/>
          <w:lang w:val="en-US" w:eastAsia="zh-CN"/>
        </w:rPr>
        <w:t>注：人为造成的环境水温变化应限制在：周平均最大温升≤1、周平均最大温降≤2。</w:t>
      </w:r>
    </w:p>
    <w:p w14:paraId="6F07C0BB">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排水渠</w:t>
      </w:r>
      <w:r>
        <w:rPr>
          <w:rFonts w:hint="eastAsia" w:cs="Times New Roman"/>
          <w:color w:val="auto"/>
          <w:lang w:val="en-US" w:eastAsia="zh-CN"/>
        </w:rPr>
        <w:t>和吉水河</w:t>
      </w:r>
      <w:r>
        <w:rPr>
          <w:rFonts w:hint="eastAsia" w:ascii="Times New Roman" w:hAnsi="Times New Roman" w:cs="Times New Roman"/>
          <w:color w:val="auto"/>
          <w:lang w:val="en-US" w:eastAsia="zh-CN"/>
        </w:rPr>
        <w:t>现状情况</w:t>
      </w:r>
    </w:p>
    <w:p w14:paraId="666FBA9F">
      <w:pPr>
        <w:spacing w:line="360" w:lineRule="auto"/>
        <w:ind w:firstLine="480" w:firstLineChars="200"/>
        <w:rPr>
          <w:rFonts w:hint="eastAsia"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根据初步调查，</w:t>
      </w:r>
      <w:r>
        <w:rPr>
          <w:rFonts w:hint="eastAsia" w:cs="Times New Roman"/>
          <w:color w:val="auto"/>
          <w:sz w:val="24"/>
          <w:highlight w:val="none"/>
          <w:lang w:val="en-US" w:eastAsia="zh-CN"/>
        </w:rPr>
        <w:t>排水渠和吉水河</w:t>
      </w:r>
      <w:r>
        <w:rPr>
          <w:rFonts w:hint="eastAsia" w:ascii="Times New Roman" w:hAnsi="Times New Roman" w:cs="Times New Roman"/>
          <w:color w:val="auto"/>
          <w:sz w:val="24"/>
          <w:highlight w:val="none"/>
          <w:lang w:val="en-US" w:eastAsia="zh-CN"/>
        </w:rPr>
        <w:t>属农业水功能</w:t>
      </w:r>
      <w:r>
        <w:rPr>
          <w:rFonts w:hint="eastAsia" w:ascii="Times New Roman" w:hAnsi="Times New Roman" w:eastAsia="宋体" w:cs="Times New Roman"/>
          <w:color w:val="auto"/>
          <w:sz w:val="24"/>
          <w:highlight w:val="none"/>
          <w:lang w:val="en-US" w:eastAsia="zh-CN"/>
        </w:rPr>
        <w:t>，暂无工业、生活取用水户。大八镇内生活、农业面污染以地面径流的方式进入河道，无工业污水汇入河道，本项目排污口论证范围主要为</w:t>
      </w:r>
      <w:r>
        <w:rPr>
          <w:rFonts w:hint="eastAsia" w:cs="Times New Roman"/>
          <w:color w:val="auto"/>
          <w:sz w:val="24"/>
          <w:highlight w:val="none"/>
          <w:lang w:val="en-US" w:eastAsia="zh-CN"/>
        </w:rPr>
        <w:t>：项目入河</w:t>
      </w:r>
      <w:r>
        <w:rPr>
          <w:rFonts w:hint="eastAsia"/>
          <w:color w:val="auto"/>
          <w:sz w:val="24"/>
          <w:highlight w:val="none"/>
          <w:lang w:val="en-US" w:eastAsia="zh-CN"/>
        </w:rPr>
        <w:t>排污口上游500m至</w:t>
      </w:r>
      <w:r>
        <w:rPr>
          <w:rFonts w:hint="eastAsia" w:cs="Times New Roman"/>
          <w:color w:val="auto"/>
          <w:sz w:val="24"/>
          <w:szCs w:val="24"/>
          <w:highlight w:val="none"/>
          <w:lang w:val="en-US" w:eastAsia="zh-CN"/>
        </w:rPr>
        <w:t>吉水河</w:t>
      </w:r>
      <w:r>
        <w:rPr>
          <w:rFonts w:hint="eastAsia"/>
          <w:color w:val="auto"/>
          <w:sz w:val="24"/>
          <w:highlight w:val="none"/>
          <w:lang w:val="en-US" w:eastAsia="zh-CN"/>
        </w:rPr>
        <w:t>交汇处，吉水河与排水渠交汇处至大八河的河段，</w:t>
      </w:r>
      <w:r>
        <w:rPr>
          <w:rFonts w:hint="eastAsia" w:ascii="Times New Roman" w:hAnsi="Times New Roman" w:eastAsia="宋体" w:cs="Times New Roman"/>
          <w:color w:val="auto"/>
          <w:sz w:val="24"/>
          <w:highlight w:val="none"/>
          <w:lang w:val="en-US" w:eastAsia="zh-CN"/>
        </w:rPr>
        <w:t>由于近年来对集中式排污口进行了整治，</w:t>
      </w:r>
      <w:r>
        <w:rPr>
          <w:rFonts w:hint="eastAsia"/>
          <w:color w:val="auto"/>
          <w:sz w:val="24"/>
          <w:highlight w:val="none"/>
          <w:lang w:val="en-US" w:eastAsia="zh-CN"/>
        </w:rPr>
        <w:t>排水渠和吉水河</w:t>
      </w:r>
      <w:r>
        <w:rPr>
          <w:rFonts w:hint="eastAsia" w:ascii="Times New Roman" w:hAnsi="Times New Roman" w:eastAsia="宋体" w:cs="Times New Roman"/>
          <w:color w:val="auto"/>
          <w:sz w:val="24"/>
          <w:highlight w:val="none"/>
          <w:lang w:val="en-US" w:eastAsia="zh-CN"/>
        </w:rPr>
        <w:t>水体没有集中式排污口</w:t>
      </w:r>
      <w:r>
        <w:rPr>
          <w:rFonts w:hint="eastAsia" w:ascii="Times New Roman" w:hAnsi="Times New Roman" w:cs="Times New Roman"/>
          <w:color w:val="auto"/>
          <w:sz w:val="24"/>
          <w:highlight w:val="none"/>
          <w:lang w:val="en-US" w:eastAsia="zh-CN"/>
        </w:rPr>
        <w:t>。</w:t>
      </w:r>
    </w:p>
    <w:p w14:paraId="5D2810F7">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大八河现状情况</w:t>
      </w:r>
    </w:p>
    <w:p w14:paraId="73F1AFB8">
      <w:pPr>
        <w:spacing w:line="360" w:lineRule="auto"/>
        <w:ind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在大八河的论证范围内暂无工业、生活取用水户。大八镇的生活、农业面污染以地面径流的方式进入河道，无工业污水汇入河道。由于近年来对集中式排污口进行了整治，论证范围内的水功能区没有集中式排污口。</w:t>
      </w:r>
    </w:p>
    <w:p w14:paraId="775C255D">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bookmarkStart w:id="46" w:name="_Toc26927"/>
      <w:bookmarkStart w:id="47" w:name="_Toc10441"/>
      <w:r>
        <w:rPr>
          <w:rFonts w:hint="eastAsia"/>
          <w:color w:val="auto"/>
          <w:lang w:val="en-US" w:eastAsia="zh-CN"/>
        </w:rPr>
        <w:t>水功能区水质现状</w:t>
      </w:r>
      <w:bookmarkEnd w:id="46"/>
      <w:bookmarkEnd w:id="47"/>
    </w:p>
    <w:p w14:paraId="0EA5CF5F">
      <w:pPr>
        <w:spacing w:line="360" w:lineRule="auto"/>
        <w:ind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为了解纳污水体地表水环境质量现状，编制单位委托广州市弗雷德检测技术有限公司对排水渠、吉水河和大八河进行地表水环境质量现状监测，以其监测数据以分析周边区域地表水环境质量现状。</w:t>
      </w:r>
    </w:p>
    <w:p w14:paraId="66AEE67F">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 xml:space="preserve">水质现状评价范围 </w:t>
      </w:r>
    </w:p>
    <w:p w14:paraId="3AB244A6">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经分析确定，本工程地表水水质现状评价范围含</w:t>
      </w:r>
      <w:r>
        <w:rPr>
          <w:rFonts w:hint="eastAsia" w:cs="Times New Roman"/>
          <w:color w:val="auto"/>
          <w:sz w:val="24"/>
          <w:highlight w:val="none"/>
          <w:lang w:val="en-US" w:eastAsia="zh-CN"/>
        </w:rPr>
        <w:t>3</w:t>
      </w:r>
      <w:r>
        <w:rPr>
          <w:rFonts w:hint="eastAsia" w:ascii="Times New Roman" w:hAnsi="Times New Roman" w:eastAsia="宋体" w:cs="Times New Roman"/>
          <w:color w:val="auto"/>
          <w:sz w:val="24"/>
          <w:highlight w:val="none"/>
          <w:lang w:val="en-US" w:eastAsia="zh-CN"/>
        </w:rPr>
        <w:t>个水域：</w:t>
      </w:r>
      <w:r>
        <w:rPr>
          <w:rFonts w:hint="eastAsia" w:cs="Times New Roman"/>
          <w:color w:val="auto"/>
          <w:sz w:val="24"/>
          <w:highlight w:val="none"/>
          <w:lang w:val="en-US" w:eastAsia="zh-CN"/>
        </w:rPr>
        <w:t>排水渠、吉水河和大八河</w:t>
      </w:r>
      <w:r>
        <w:rPr>
          <w:rFonts w:hint="eastAsia" w:ascii="Times New Roman" w:hAnsi="Times New Roman" w:eastAsia="宋体" w:cs="Times New Roman"/>
          <w:color w:val="auto"/>
          <w:sz w:val="24"/>
          <w:highlight w:val="none"/>
          <w:lang w:val="en-US" w:eastAsia="zh-CN"/>
        </w:rPr>
        <w:t>。本次论证水质现状评价范围</w:t>
      </w:r>
      <w:r>
        <w:rPr>
          <w:rFonts w:hint="eastAsia" w:cs="Times New Roman"/>
          <w:color w:val="auto"/>
          <w:sz w:val="24"/>
          <w:highlight w:val="none"/>
          <w:lang w:val="en-US" w:eastAsia="zh-CN"/>
        </w:rPr>
        <w:t>为：入河排污口上游500m至与吉水河交汇处的河段，长约1050m；吉水河与排水渠交汇处至大八河的河段，长650m；吉水河与大八河交汇处至大八河下游1000m的河段，长1000m，共计长约2700m</w:t>
      </w:r>
      <w:r>
        <w:rPr>
          <w:rFonts w:hint="eastAsia" w:ascii="Times New Roman" w:hAnsi="Times New Roman" w:eastAsia="宋体" w:cs="Times New Roman"/>
          <w:color w:val="auto"/>
          <w:sz w:val="24"/>
          <w:highlight w:val="none"/>
          <w:lang w:val="en-US" w:eastAsia="zh-CN"/>
        </w:rPr>
        <w:t>。</w:t>
      </w:r>
    </w:p>
    <w:p w14:paraId="5C3E7EB9">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水质评价标准</w:t>
      </w:r>
    </w:p>
    <w:p w14:paraId="6EFC5A2B">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排水渠、吉水河</w:t>
      </w:r>
      <w:r>
        <w:rPr>
          <w:rFonts w:hint="eastAsia" w:ascii="Times New Roman" w:hAnsi="Times New Roman" w:eastAsia="宋体" w:cs="Times New Roman"/>
          <w:color w:val="auto"/>
          <w:sz w:val="24"/>
          <w:highlight w:val="none"/>
          <w:lang w:val="en-US" w:eastAsia="zh-CN"/>
        </w:rPr>
        <w:t>执行《地表水环境质量标准》(GB3838-2002)中Ⅲ</w:t>
      </w:r>
      <w:r>
        <w:rPr>
          <w:rFonts w:hint="eastAsia"/>
          <w:color w:val="auto"/>
          <w:sz w:val="24"/>
          <w:highlight w:val="none"/>
          <w:lang w:val="en-US" w:eastAsia="zh-CN"/>
        </w:rPr>
        <w:t>类标准，</w:t>
      </w:r>
      <w:r>
        <w:rPr>
          <w:rFonts w:hint="eastAsia" w:cs="Times New Roman"/>
          <w:color w:val="auto"/>
          <w:sz w:val="24"/>
          <w:highlight w:val="none"/>
          <w:lang w:val="en-US" w:eastAsia="zh-CN"/>
        </w:rPr>
        <w:t>大八河</w:t>
      </w:r>
      <w:r>
        <w:rPr>
          <w:rFonts w:hint="eastAsia" w:ascii="Times New Roman" w:hAnsi="Times New Roman" w:eastAsia="宋体" w:cs="Times New Roman"/>
          <w:color w:val="auto"/>
          <w:sz w:val="24"/>
          <w:highlight w:val="none"/>
          <w:lang w:val="en-US" w:eastAsia="zh-CN"/>
        </w:rPr>
        <w:t>执行《地表水环境质量标准》(GB3838-2002)中</w:t>
      </w:r>
      <w:r>
        <w:rPr>
          <w:rFonts w:hint="eastAsia" w:ascii="Times New Roman" w:hAnsi="Times New Roman" w:cs="Times New Roman"/>
          <w:color w:val="auto"/>
          <w:sz w:val="24"/>
          <w:highlight w:val="none"/>
          <w:lang w:val="en-US" w:eastAsia="zh-CN"/>
        </w:rPr>
        <w:t>Ⅱ</w:t>
      </w:r>
      <w:r>
        <w:rPr>
          <w:rFonts w:hint="eastAsia" w:ascii="Times New Roman" w:hAnsi="Times New Roman" w:eastAsia="宋体" w:cs="Times New Roman"/>
          <w:color w:val="auto"/>
          <w:sz w:val="24"/>
          <w:highlight w:val="none"/>
          <w:lang w:val="en-US" w:eastAsia="zh-CN"/>
        </w:rPr>
        <w:t>类水质标准</w:t>
      </w:r>
      <w:r>
        <w:rPr>
          <w:rFonts w:hint="eastAsia" w:cs="Times New Roman"/>
          <w:color w:val="auto"/>
          <w:sz w:val="24"/>
          <w:highlight w:val="none"/>
          <w:lang w:val="en-US" w:eastAsia="zh-CN"/>
        </w:rPr>
        <w:t>。</w:t>
      </w:r>
    </w:p>
    <w:p w14:paraId="3F5166A9">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水质监测断面的布设</w:t>
      </w:r>
    </w:p>
    <w:p w14:paraId="331D14FE">
      <w:pPr>
        <w:spacing w:line="360" w:lineRule="auto"/>
        <w:ind w:firstLine="480" w:firstLineChars="200"/>
        <w:rPr>
          <w:rFonts w:hint="eastAsia"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入河排污口评估河段范围内水质状况原则上优先采用国家和省（市）对的常规监测断面监测数据结果。经</w:t>
      </w:r>
      <w:r>
        <w:rPr>
          <w:rFonts w:hint="eastAsia" w:ascii="Times New Roman" w:hAnsi="Times New Roman" w:cs="Times New Roman"/>
          <w:color w:val="auto"/>
          <w:sz w:val="24"/>
          <w:highlight w:val="none"/>
          <w:lang w:val="en-US" w:eastAsia="zh-CN"/>
        </w:rPr>
        <w:t>查询相关资料和</w:t>
      </w:r>
      <w:r>
        <w:rPr>
          <w:rFonts w:hint="eastAsia" w:ascii="Times New Roman" w:hAnsi="Times New Roman" w:eastAsia="宋体" w:cs="Times New Roman"/>
          <w:color w:val="auto"/>
          <w:sz w:val="24"/>
          <w:highlight w:val="none"/>
          <w:lang w:val="en-US" w:eastAsia="zh-CN"/>
        </w:rPr>
        <w:t>咨询生态环境等部门</w:t>
      </w:r>
      <w:r>
        <w:rPr>
          <w:rFonts w:hint="eastAsia" w:cs="Times New Roman"/>
          <w:color w:val="auto"/>
          <w:sz w:val="24"/>
          <w:highlight w:val="none"/>
          <w:lang w:val="en-US" w:eastAsia="zh-CN"/>
        </w:rPr>
        <w:t>，本市设置地表水考核监测断面为江城、埠场、尖山、寿长、河口镇、中朗、大泉、三甲电站等8个断面，其中江城、河口镇、中朗断面为国考河流断面兼省考核断面，尖山、大泉断面为入海河流（河口）国考断面兼省考核断面，埠场、寿长断面为入海河流（河口）国考断面，三甲电站断面为跨市界国考断面。水质评价执行《地表水环境质量标准》（GB3838-2002），评价标准限值主要依据各断面的水质考核目标确定，分别为江城、埠场、尖山、寿长、河口镇、中朗、大泉断面执行Ⅲ类标准，三甲电站断面执行Ⅱ类标准。</w:t>
      </w:r>
    </w:p>
    <w:p w14:paraId="5207483A">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本次</w:t>
      </w:r>
      <w:r>
        <w:rPr>
          <w:rFonts w:hint="eastAsia"/>
          <w:color w:val="auto"/>
          <w:sz w:val="24"/>
          <w:lang w:val="en-US" w:eastAsia="zh-CN"/>
        </w:rPr>
        <w:t>排水渠</w:t>
      </w:r>
      <w:r>
        <w:rPr>
          <w:rFonts w:hint="eastAsia" w:ascii="Times New Roman" w:hAnsi="Times New Roman" w:eastAsia="宋体" w:cs="Times New Roman"/>
          <w:color w:val="auto"/>
          <w:sz w:val="24"/>
          <w:highlight w:val="none"/>
          <w:lang w:val="en-US" w:eastAsia="zh-CN"/>
        </w:rPr>
        <w:t>和大八河评估范围河段无常规监测断面，将进行补充监测来了解水质现状，监测断面布设位置如下表所示</w:t>
      </w:r>
      <w:r>
        <w:rPr>
          <w:rFonts w:hint="eastAsia" w:cs="Times New Roman"/>
          <w:color w:val="auto"/>
          <w:sz w:val="24"/>
          <w:highlight w:val="none"/>
          <w:lang w:val="en-US" w:eastAsia="zh-CN"/>
        </w:rPr>
        <w:t>。</w:t>
      </w:r>
    </w:p>
    <w:p w14:paraId="2AAA5DD4">
      <w:pPr>
        <w:spacing w:line="240" w:lineRule="auto"/>
        <w:ind w:firstLine="422" w:firstLineChars="200"/>
        <w:jc w:val="center"/>
        <w:rPr>
          <w:rFonts w:hint="eastAsia" w:cs="Times New Roman"/>
          <w:b/>
          <w:bCs/>
          <w:color w:val="auto"/>
          <w:sz w:val="21"/>
          <w:szCs w:val="18"/>
          <w:highlight w:val="none"/>
          <w:lang w:val="en-US" w:eastAsia="zh-CN"/>
        </w:rPr>
      </w:pPr>
      <w:r>
        <w:rPr>
          <w:rFonts w:hint="eastAsia" w:cs="Times New Roman"/>
          <w:b/>
          <w:bCs/>
          <w:color w:val="auto"/>
          <w:sz w:val="21"/>
          <w:szCs w:val="18"/>
          <w:highlight w:val="none"/>
          <w:lang w:val="en-US" w:eastAsia="zh-CN"/>
        </w:rPr>
        <w:t>表4.2-1河地表水监测断面一览表</w:t>
      </w:r>
    </w:p>
    <w:tbl>
      <w:tblPr>
        <w:tblStyle w:val="32"/>
        <w:tblW w:w="440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5"/>
        <w:gridCol w:w="4325"/>
        <w:gridCol w:w="3460"/>
      </w:tblGrid>
      <w:tr w14:paraId="006A3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479" w:type="pct"/>
            <w:vAlign w:val="center"/>
          </w:tcPr>
          <w:p w14:paraId="5BA3C351">
            <w:pPr>
              <w:pStyle w:val="37"/>
              <w:ind w:left="0" w:leftChars="0" w:firstLine="0" w:firstLineChars="0"/>
              <w:jc w:val="center"/>
              <w:rPr>
                <w:rFonts w:hint="eastAsia" w:eastAsia="宋体"/>
                <w:b/>
                <w:bCs/>
                <w:color w:val="auto"/>
                <w:sz w:val="21"/>
                <w:szCs w:val="21"/>
                <w:vertAlign w:val="baseline"/>
                <w:lang w:val="en-US" w:eastAsia="zh-CN"/>
              </w:rPr>
            </w:pPr>
            <w:r>
              <w:rPr>
                <w:rFonts w:hint="eastAsia"/>
                <w:b/>
                <w:bCs/>
                <w:color w:val="auto"/>
                <w:sz w:val="21"/>
                <w:szCs w:val="21"/>
                <w:vertAlign w:val="baseline"/>
                <w:lang w:val="en-US" w:eastAsia="zh-CN"/>
              </w:rPr>
              <w:t>序号</w:t>
            </w:r>
          </w:p>
        </w:tc>
        <w:tc>
          <w:tcPr>
            <w:tcW w:w="2511" w:type="pct"/>
            <w:vAlign w:val="center"/>
          </w:tcPr>
          <w:p w14:paraId="158971B2">
            <w:pPr>
              <w:pStyle w:val="37"/>
              <w:jc w:val="center"/>
              <w:rPr>
                <w:rFonts w:hint="default" w:eastAsia="宋体"/>
                <w:b/>
                <w:bCs/>
                <w:color w:val="auto"/>
                <w:sz w:val="21"/>
                <w:szCs w:val="21"/>
                <w:vertAlign w:val="baseline"/>
                <w:lang w:val="en-US" w:eastAsia="zh-CN"/>
              </w:rPr>
            </w:pPr>
            <w:r>
              <w:rPr>
                <w:rFonts w:hint="eastAsia"/>
                <w:b/>
                <w:bCs/>
                <w:color w:val="auto"/>
                <w:sz w:val="21"/>
                <w:szCs w:val="21"/>
                <w:vertAlign w:val="baseline"/>
                <w:lang w:val="en-US" w:eastAsia="zh-CN"/>
              </w:rPr>
              <w:t>监测点位名称</w:t>
            </w:r>
          </w:p>
        </w:tc>
        <w:tc>
          <w:tcPr>
            <w:tcW w:w="2008" w:type="pct"/>
            <w:vAlign w:val="center"/>
          </w:tcPr>
          <w:p w14:paraId="544224AB">
            <w:pPr>
              <w:pStyle w:val="37"/>
              <w:jc w:val="center"/>
              <w:rPr>
                <w:rFonts w:hint="default" w:eastAsia="宋体"/>
                <w:b/>
                <w:bCs/>
                <w:color w:val="auto"/>
                <w:sz w:val="21"/>
                <w:szCs w:val="21"/>
                <w:vertAlign w:val="baseline"/>
                <w:lang w:val="en-US" w:eastAsia="zh-CN"/>
              </w:rPr>
            </w:pPr>
            <w:r>
              <w:rPr>
                <w:rFonts w:hint="eastAsia"/>
                <w:b/>
                <w:bCs/>
                <w:color w:val="auto"/>
                <w:sz w:val="21"/>
                <w:szCs w:val="21"/>
                <w:vertAlign w:val="baseline"/>
                <w:lang w:val="en-US" w:eastAsia="zh-CN"/>
              </w:rPr>
              <w:t>监测因子</w:t>
            </w:r>
          </w:p>
        </w:tc>
      </w:tr>
      <w:tr w14:paraId="50088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479" w:type="pct"/>
            <w:vAlign w:val="center"/>
          </w:tcPr>
          <w:p w14:paraId="1831828A">
            <w:pPr>
              <w:pStyle w:val="56"/>
              <w:bidi w:val="0"/>
              <w:ind w:firstLine="0" w:firstLineChars="0"/>
              <w:jc w:val="center"/>
              <w:rPr>
                <w:color w:val="auto"/>
                <w:sz w:val="21"/>
                <w:szCs w:val="21"/>
                <w:vertAlign w:val="baseline"/>
              </w:rPr>
            </w:pPr>
            <w:r>
              <w:rPr>
                <w:rFonts w:hint="eastAsia"/>
                <w:color w:val="auto"/>
                <w:lang w:val="en-US" w:eastAsia="zh-CN"/>
              </w:rPr>
              <w:t>W1</w:t>
            </w:r>
          </w:p>
        </w:tc>
        <w:tc>
          <w:tcPr>
            <w:tcW w:w="2511" w:type="pct"/>
            <w:vAlign w:val="center"/>
          </w:tcPr>
          <w:p w14:paraId="249918B2">
            <w:pPr>
              <w:adjustRightInd w:val="0"/>
              <w:snapToGrid w:val="0"/>
              <w:jc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sz w:val="21"/>
                <w:szCs w:val="21"/>
                <w:lang w:eastAsia="zh-CN"/>
              </w:rPr>
              <w:t>W1 排水渠入河排污口交汇处上游300米</w:t>
            </w:r>
          </w:p>
        </w:tc>
        <w:tc>
          <w:tcPr>
            <w:tcW w:w="2008" w:type="pct"/>
            <w:vMerge w:val="restart"/>
            <w:vAlign w:val="center"/>
          </w:tcPr>
          <w:p w14:paraId="3DF9F328">
            <w:pPr>
              <w:pStyle w:val="84"/>
              <w:keepNext w:val="0"/>
              <w:keepLines w:val="0"/>
              <w:suppressLineNumbers w:val="0"/>
              <w:spacing w:before="0" w:beforeAutospacing="0" w:after="48" w:afterAutospacing="0"/>
              <w:ind w:right="0" w:right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snapToGrid w:val="0"/>
                <w:color w:val="auto"/>
                <w:kern w:val="0"/>
                <w:sz w:val="21"/>
                <w:szCs w:val="21"/>
              </w:rPr>
              <w:t>pH、</w:t>
            </w:r>
            <w:r>
              <w:rPr>
                <w:rFonts w:hint="default" w:ascii="Times New Roman" w:hAnsi="Times New Roman" w:eastAsia="宋体" w:cs="Times New Roman"/>
                <w:snapToGrid w:val="0"/>
                <w:color w:val="auto"/>
                <w:kern w:val="0"/>
                <w:sz w:val="21"/>
                <w:szCs w:val="21"/>
                <w:lang w:val="en-US" w:eastAsia="zh-CN"/>
              </w:rPr>
              <w:t>溶解氧</w:t>
            </w:r>
            <w:r>
              <w:rPr>
                <w:rFonts w:hint="default" w:ascii="Times New Roman" w:hAnsi="Times New Roman" w:eastAsia="宋体" w:cs="Times New Roman"/>
                <w:snapToGrid w:val="0"/>
                <w:color w:val="auto"/>
                <w:kern w:val="0"/>
                <w:sz w:val="21"/>
                <w:szCs w:val="21"/>
              </w:rPr>
              <w:t>、</w:t>
            </w:r>
            <w:r>
              <w:rPr>
                <w:rFonts w:hint="default" w:ascii="Times New Roman" w:hAnsi="Times New Roman" w:eastAsia="宋体" w:cs="Times New Roman"/>
                <w:snapToGrid w:val="0"/>
                <w:color w:val="auto"/>
                <w:kern w:val="0"/>
                <w:sz w:val="21"/>
                <w:szCs w:val="21"/>
                <w:lang w:val="en-US" w:eastAsia="zh-CN"/>
              </w:rPr>
              <w:t>化学需氧量</w:t>
            </w:r>
            <w:r>
              <w:rPr>
                <w:rFonts w:hint="default" w:ascii="Times New Roman" w:hAnsi="Times New Roman" w:eastAsia="宋体" w:cs="Times New Roman"/>
                <w:snapToGrid w:val="0"/>
                <w:color w:val="auto"/>
                <w:kern w:val="0"/>
                <w:sz w:val="21"/>
                <w:szCs w:val="21"/>
              </w:rPr>
              <w:t>、</w:t>
            </w:r>
            <w:r>
              <w:rPr>
                <w:rFonts w:hint="default" w:ascii="Times New Roman" w:hAnsi="Times New Roman" w:eastAsia="宋体" w:cs="Times New Roman"/>
                <w:snapToGrid w:val="0"/>
                <w:color w:val="auto"/>
                <w:kern w:val="0"/>
                <w:sz w:val="21"/>
                <w:szCs w:val="21"/>
                <w:lang w:val="en-US" w:eastAsia="zh-CN"/>
              </w:rPr>
              <w:t>五日生化需氧量</w:t>
            </w:r>
            <w:r>
              <w:rPr>
                <w:rFonts w:hint="default" w:ascii="Times New Roman" w:hAnsi="Times New Roman" w:eastAsia="宋体" w:cs="Times New Roman"/>
                <w:snapToGrid w:val="0"/>
                <w:color w:val="auto"/>
                <w:kern w:val="0"/>
                <w:sz w:val="21"/>
                <w:szCs w:val="21"/>
              </w:rPr>
              <w:t>、氨氮、</w:t>
            </w:r>
            <w:r>
              <w:rPr>
                <w:rFonts w:hint="default" w:ascii="Times New Roman" w:hAnsi="Times New Roman" w:eastAsia="宋体" w:cs="Times New Roman"/>
                <w:snapToGrid w:val="0"/>
                <w:color w:val="auto"/>
                <w:kern w:val="0"/>
                <w:sz w:val="21"/>
                <w:szCs w:val="21"/>
                <w:lang w:val="en-US" w:eastAsia="zh-CN"/>
              </w:rPr>
              <w:t>悬浮物</w:t>
            </w:r>
            <w:r>
              <w:rPr>
                <w:rFonts w:hint="default" w:ascii="Times New Roman" w:hAnsi="Times New Roman" w:eastAsia="宋体" w:cs="Times New Roman"/>
                <w:snapToGrid w:val="0"/>
                <w:color w:val="auto"/>
                <w:kern w:val="0"/>
                <w:sz w:val="21"/>
                <w:szCs w:val="21"/>
              </w:rPr>
              <w:t>、</w:t>
            </w:r>
            <w:r>
              <w:rPr>
                <w:rFonts w:hint="eastAsia" w:cs="Times New Roman"/>
                <w:color w:val="auto"/>
                <w:sz w:val="21"/>
                <w:szCs w:val="21"/>
                <w:lang w:val="en-US" w:eastAsia="zh-CN"/>
              </w:rPr>
              <w:t>总磷、总氮</w:t>
            </w:r>
          </w:p>
        </w:tc>
      </w:tr>
      <w:tr w14:paraId="2695E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479" w:type="pct"/>
            <w:vAlign w:val="center"/>
          </w:tcPr>
          <w:p w14:paraId="445383C0">
            <w:pPr>
              <w:pStyle w:val="56"/>
              <w:bidi w:val="0"/>
              <w:ind w:firstLine="0" w:firstLineChars="0"/>
              <w:jc w:val="center"/>
              <w:rPr>
                <w:color w:val="auto"/>
                <w:sz w:val="21"/>
                <w:szCs w:val="21"/>
                <w:vertAlign w:val="baseline"/>
              </w:rPr>
            </w:pPr>
            <w:r>
              <w:rPr>
                <w:rFonts w:hint="eastAsia"/>
                <w:color w:val="auto"/>
                <w:lang w:val="en-US" w:eastAsia="zh-CN"/>
              </w:rPr>
              <w:t>W2</w:t>
            </w:r>
          </w:p>
        </w:tc>
        <w:tc>
          <w:tcPr>
            <w:tcW w:w="2511" w:type="pct"/>
            <w:vAlign w:val="center"/>
          </w:tcPr>
          <w:p w14:paraId="2A90F592">
            <w:pPr>
              <w:pStyle w:val="84"/>
              <w:keepNext w:val="0"/>
              <w:keepLines w:val="0"/>
              <w:suppressLineNumbers w:val="0"/>
              <w:spacing w:before="0" w:beforeAutospacing="0" w:after="48" w:afterAutospacing="0"/>
              <w:ind w:left="482" w:leftChars="0" w:right="0" w:rightChars="0" w:hanging="482"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eastAsia="zh-CN"/>
              </w:rPr>
              <w:t>W2排水渠与排污口交汇处</w:t>
            </w:r>
          </w:p>
        </w:tc>
        <w:tc>
          <w:tcPr>
            <w:tcW w:w="2008" w:type="pct"/>
            <w:vMerge w:val="continue"/>
            <w:vAlign w:val="center"/>
          </w:tcPr>
          <w:p w14:paraId="00F07C48">
            <w:pPr>
              <w:pStyle w:val="37"/>
              <w:jc w:val="center"/>
              <w:rPr>
                <w:color w:val="auto"/>
                <w:sz w:val="21"/>
                <w:szCs w:val="21"/>
                <w:vertAlign w:val="baseline"/>
              </w:rPr>
            </w:pPr>
          </w:p>
        </w:tc>
      </w:tr>
      <w:tr w14:paraId="5D784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9" w:type="pct"/>
            <w:vAlign w:val="center"/>
          </w:tcPr>
          <w:p w14:paraId="238E4587">
            <w:pPr>
              <w:pStyle w:val="56"/>
              <w:bidi w:val="0"/>
              <w:ind w:firstLine="0" w:firstLineChars="0"/>
              <w:jc w:val="center"/>
              <w:rPr>
                <w:color w:val="auto"/>
                <w:sz w:val="21"/>
                <w:szCs w:val="21"/>
                <w:vertAlign w:val="baseline"/>
              </w:rPr>
            </w:pPr>
            <w:r>
              <w:rPr>
                <w:rFonts w:hint="eastAsia"/>
                <w:color w:val="auto"/>
                <w:lang w:val="en-US" w:eastAsia="zh-CN"/>
              </w:rPr>
              <w:t>W3</w:t>
            </w:r>
          </w:p>
        </w:tc>
        <w:tc>
          <w:tcPr>
            <w:tcW w:w="2511" w:type="pct"/>
            <w:vAlign w:val="center"/>
          </w:tcPr>
          <w:p w14:paraId="7D198912">
            <w:pPr>
              <w:adjustRightInd w:val="0"/>
              <w:snapToGrid w:val="0"/>
              <w:jc w:val="center"/>
              <w:rPr>
                <w:rFonts w:hint="eastAsia" w:ascii="Times New Roman" w:hAnsi="Times New Roman" w:cs="Times New Roman"/>
                <w:color w:val="auto"/>
                <w:sz w:val="21"/>
                <w:szCs w:val="21"/>
                <w:lang w:val="en-US" w:eastAsia="zh-CN"/>
              </w:rPr>
            </w:pPr>
            <w:r>
              <w:rPr>
                <w:rFonts w:hint="eastAsia" w:cs="Times New Roman"/>
                <w:color w:val="auto"/>
                <w:sz w:val="21"/>
                <w:szCs w:val="21"/>
                <w:lang w:eastAsia="zh-CN"/>
              </w:rPr>
              <w:t>W3排水渠与</w:t>
            </w:r>
            <w:r>
              <w:rPr>
                <w:rFonts w:hint="eastAsia" w:cs="Times New Roman"/>
                <w:color w:val="auto"/>
                <w:sz w:val="21"/>
                <w:szCs w:val="21"/>
                <w:lang w:val="en-US" w:eastAsia="zh-CN"/>
              </w:rPr>
              <w:t>吉水河</w:t>
            </w:r>
            <w:r>
              <w:rPr>
                <w:rFonts w:hint="eastAsia" w:cs="Times New Roman"/>
                <w:color w:val="auto"/>
                <w:sz w:val="21"/>
                <w:szCs w:val="21"/>
                <w:lang w:eastAsia="zh-CN"/>
              </w:rPr>
              <w:t>交汇处</w:t>
            </w:r>
          </w:p>
        </w:tc>
        <w:tc>
          <w:tcPr>
            <w:tcW w:w="2008" w:type="pct"/>
            <w:vMerge w:val="continue"/>
            <w:vAlign w:val="center"/>
          </w:tcPr>
          <w:p w14:paraId="63FE1019">
            <w:pPr>
              <w:pStyle w:val="37"/>
              <w:jc w:val="center"/>
              <w:rPr>
                <w:color w:val="auto"/>
                <w:sz w:val="21"/>
                <w:szCs w:val="21"/>
                <w:vertAlign w:val="baseline"/>
              </w:rPr>
            </w:pPr>
          </w:p>
        </w:tc>
      </w:tr>
      <w:tr w14:paraId="39896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479" w:type="pct"/>
            <w:vAlign w:val="center"/>
          </w:tcPr>
          <w:p w14:paraId="1C613FA9">
            <w:pPr>
              <w:pStyle w:val="56"/>
              <w:bidi w:val="0"/>
              <w:ind w:firstLine="0" w:firstLineChars="0"/>
              <w:jc w:val="center"/>
              <w:rPr>
                <w:rFonts w:hint="default"/>
                <w:color w:val="auto"/>
                <w:lang w:val="en-US" w:eastAsia="zh-CN"/>
              </w:rPr>
            </w:pPr>
            <w:r>
              <w:rPr>
                <w:rFonts w:hint="eastAsia"/>
                <w:color w:val="auto"/>
                <w:lang w:val="en-US" w:eastAsia="zh-CN"/>
              </w:rPr>
              <w:t>W4</w:t>
            </w:r>
          </w:p>
        </w:tc>
        <w:tc>
          <w:tcPr>
            <w:tcW w:w="2511" w:type="pct"/>
            <w:vAlign w:val="center"/>
          </w:tcPr>
          <w:p w14:paraId="6B96866C">
            <w:pPr>
              <w:adjustRightInd w:val="0"/>
              <w:snapToGrid w:val="0"/>
              <w:jc w:val="center"/>
              <w:rPr>
                <w:rFonts w:hint="eastAsia"/>
                <w:color w:val="auto"/>
                <w:sz w:val="24"/>
                <w:lang w:val="en-US" w:eastAsia="zh-CN"/>
              </w:rPr>
            </w:pPr>
            <w:r>
              <w:rPr>
                <w:rFonts w:hint="eastAsia" w:cs="Times New Roman"/>
                <w:color w:val="auto"/>
                <w:sz w:val="21"/>
                <w:szCs w:val="21"/>
                <w:lang w:eastAsia="zh-CN"/>
              </w:rPr>
              <w:t>W4</w:t>
            </w:r>
            <w:r>
              <w:rPr>
                <w:rFonts w:hint="eastAsia" w:cs="Times New Roman"/>
                <w:color w:val="auto"/>
                <w:sz w:val="21"/>
                <w:szCs w:val="21"/>
                <w:lang w:val="en-US" w:eastAsia="zh-CN"/>
              </w:rPr>
              <w:t>吉水河</w:t>
            </w:r>
            <w:r>
              <w:rPr>
                <w:rFonts w:hint="eastAsia" w:cs="Times New Roman"/>
                <w:color w:val="auto"/>
                <w:sz w:val="21"/>
                <w:szCs w:val="21"/>
                <w:lang w:eastAsia="zh-CN"/>
              </w:rPr>
              <w:t>与排水渠交汇处上游300米</w:t>
            </w:r>
          </w:p>
        </w:tc>
        <w:tc>
          <w:tcPr>
            <w:tcW w:w="2008" w:type="pct"/>
            <w:vMerge w:val="continue"/>
            <w:vAlign w:val="center"/>
          </w:tcPr>
          <w:p w14:paraId="683B4753">
            <w:pPr>
              <w:pStyle w:val="37"/>
              <w:jc w:val="center"/>
              <w:rPr>
                <w:color w:val="auto"/>
                <w:sz w:val="21"/>
                <w:szCs w:val="21"/>
                <w:vertAlign w:val="baseline"/>
              </w:rPr>
            </w:pPr>
          </w:p>
        </w:tc>
      </w:tr>
      <w:tr w14:paraId="721E0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479" w:type="pct"/>
            <w:vAlign w:val="center"/>
          </w:tcPr>
          <w:p w14:paraId="1E037981">
            <w:pPr>
              <w:pStyle w:val="56"/>
              <w:bidi w:val="0"/>
              <w:ind w:firstLine="0" w:firstLineChars="0"/>
              <w:jc w:val="center"/>
              <w:rPr>
                <w:rFonts w:hint="default"/>
                <w:color w:val="auto"/>
                <w:lang w:val="en-US" w:eastAsia="zh-CN"/>
              </w:rPr>
            </w:pPr>
            <w:r>
              <w:rPr>
                <w:rFonts w:hint="eastAsia"/>
                <w:color w:val="auto"/>
                <w:lang w:val="en-US" w:eastAsia="zh-CN"/>
              </w:rPr>
              <w:t>W5</w:t>
            </w:r>
          </w:p>
        </w:tc>
        <w:tc>
          <w:tcPr>
            <w:tcW w:w="2511" w:type="pct"/>
            <w:vAlign w:val="center"/>
          </w:tcPr>
          <w:p w14:paraId="752B735F">
            <w:pPr>
              <w:pStyle w:val="84"/>
              <w:keepNext w:val="0"/>
              <w:keepLines w:val="0"/>
              <w:suppressLineNumbers w:val="0"/>
              <w:spacing w:before="0" w:beforeAutospacing="0" w:after="48" w:afterAutospacing="0"/>
              <w:ind w:left="482" w:leftChars="0" w:right="0" w:rightChars="0" w:hanging="482" w:firstLineChars="0"/>
              <w:jc w:val="center"/>
              <w:rPr>
                <w:rFonts w:hint="eastAsia"/>
                <w:color w:val="auto"/>
                <w:sz w:val="24"/>
                <w:lang w:val="en-US" w:eastAsia="zh-CN"/>
              </w:rPr>
            </w:pPr>
            <w:r>
              <w:rPr>
                <w:rFonts w:hint="eastAsia" w:cs="Times New Roman"/>
                <w:color w:val="auto"/>
                <w:sz w:val="21"/>
                <w:szCs w:val="21"/>
                <w:lang w:eastAsia="zh-CN"/>
              </w:rPr>
              <w:t>W5</w:t>
            </w:r>
            <w:r>
              <w:rPr>
                <w:rFonts w:hint="eastAsia" w:cs="Times New Roman"/>
                <w:color w:val="auto"/>
                <w:sz w:val="21"/>
                <w:szCs w:val="21"/>
                <w:lang w:val="en-US" w:eastAsia="zh-CN"/>
              </w:rPr>
              <w:t>吉水河</w:t>
            </w:r>
            <w:r>
              <w:rPr>
                <w:rFonts w:hint="eastAsia" w:cs="Times New Roman"/>
                <w:color w:val="auto"/>
                <w:sz w:val="21"/>
                <w:szCs w:val="21"/>
                <w:lang w:eastAsia="zh-CN"/>
              </w:rPr>
              <w:t>与排水渠交汇处下游500米</w:t>
            </w:r>
          </w:p>
        </w:tc>
        <w:tc>
          <w:tcPr>
            <w:tcW w:w="2008" w:type="pct"/>
            <w:vMerge w:val="continue"/>
            <w:vAlign w:val="center"/>
          </w:tcPr>
          <w:p w14:paraId="61386862">
            <w:pPr>
              <w:pStyle w:val="37"/>
              <w:jc w:val="center"/>
              <w:rPr>
                <w:color w:val="auto"/>
                <w:sz w:val="21"/>
                <w:szCs w:val="21"/>
                <w:vertAlign w:val="baseline"/>
              </w:rPr>
            </w:pPr>
          </w:p>
        </w:tc>
      </w:tr>
    </w:tbl>
    <w:p w14:paraId="010B1818">
      <w:pPr>
        <w:bidi w:val="0"/>
        <w:jc w:val="center"/>
        <w:rPr>
          <w:rFonts w:hint="eastAsia" w:eastAsia="宋体"/>
          <w:color w:val="auto"/>
          <w:lang w:eastAsia="zh-CN"/>
        </w:rPr>
      </w:pPr>
    </w:p>
    <w:p w14:paraId="107F5D88">
      <w:pPr>
        <w:spacing w:line="360" w:lineRule="auto"/>
        <w:rPr>
          <w:color w:val="auto"/>
        </w:rPr>
      </w:pPr>
    </w:p>
    <w:p w14:paraId="304DD7E2">
      <w:pPr>
        <w:spacing w:line="360" w:lineRule="auto"/>
        <w:ind w:firstLine="480"/>
        <w:jc w:val="center"/>
        <w:rPr>
          <w:color w:val="auto"/>
          <w:lang w:val="en-US" w:eastAsia="zh-CN"/>
        </w:rPr>
      </w:pPr>
      <w:r>
        <w:rPr>
          <w:rFonts w:hint="eastAsia"/>
          <w:color w:val="auto"/>
          <w:sz w:val="24"/>
          <w:szCs w:val="24"/>
          <w:lang w:val="en-US" w:eastAsia="zh-CN"/>
        </w:rPr>
        <w:t>图4.2-1地表水现状监测布点图</w:t>
      </w:r>
      <w:r>
        <w:rPr>
          <w:rFonts w:hint="default"/>
          <w:color w:val="auto"/>
        </w:rPr>
        <w:drawing>
          <wp:anchor distT="0" distB="0" distL="114300" distR="114300" simplePos="0" relativeHeight="251662336" behindDoc="0" locked="0" layoutInCell="1" allowOverlap="1">
            <wp:simplePos x="0" y="0"/>
            <wp:positionH relativeFrom="column">
              <wp:posOffset>8077200</wp:posOffset>
            </wp:positionH>
            <wp:positionV relativeFrom="paragraph">
              <wp:posOffset>-3020060</wp:posOffset>
            </wp:positionV>
            <wp:extent cx="956310" cy="990600"/>
            <wp:effectExtent l="0" t="0" r="15240" b="0"/>
            <wp:wrapNone/>
            <wp:docPr id="5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4"/>
                    <pic:cNvPicPr>
                      <a:picLocks noChangeAspect="1"/>
                    </pic:cNvPicPr>
                  </pic:nvPicPr>
                  <pic:blipFill>
                    <a:blip r:embed="rId25"/>
                    <a:stretch>
                      <a:fillRect/>
                    </a:stretch>
                  </pic:blipFill>
                  <pic:spPr>
                    <a:xfrm>
                      <a:off x="0" y="0"/>
                      <a:ext cx="956310" cy="990600"/>
                    </a:xfrm>
                    <a:prstGeom prst="rect">
                      <a:avLst/>
                    </a:prstGeom>
                    <a:noFill/>
                    <a:ln>
                      <a:noFill/>
                    </a:ln>
                  </pic:spPr>
                </pic:pic>
              </a:graphicData>
            </a:graphic>
          </wp:anchor>
        </w:drawing>
      </w:r>
      <w:r>
        <w:rPr>
          <w:rFonts w:hint="default"/>
          <w:color w:val="auto"/>
        </w:rPr>
        <w:drawing>
          <wp:anchor distT="0" distB="0" distL="114300" distR="114300" simplePos="0" relativeHeight="251661312" behindDoc="0" locked="0" layoutInCell="1" allowOverlap="1">
            <wp:simplePos x="0" y="0"/>
            <wp:positionH relativeFrom="column">
              <wp:posOffset>7924800</wp:posOffset>
            </wp:positionH>
            <wp:positionV relativeFrom="paragraph">
              <wp:posOffset>-3172460</wp:posOffset>
            </wp:positionV>
            <wp:extent cx="956310" cy="990600"/>
            <wp:effectExtent l="0" t="0" r="15240" b="0"/>
            <wp:wrapNone/>
            <wp:docPr id="5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4"/>
                    <pic:cNvPicPr>
                      <a:picLocks noChangeAspect="1"/>
                    </pic:cNvPicPr>
                  </pic:nvPicPr>
                  <pic:blipFill>
                    <a:blip r:embed="rId25"/>
                    <a:stretch>
                      <a:fillRect/>
                    </a:stretch>
                  </pic:blipFill>
                  <pic:spPr>
                    <a:xfrm>
                      <a:off x="0" y="0"/>
                      <a:ext cx="956310" cy="990600"/>
                    </a:xfrm>
                    <a:prstGeom prst="rect">
                      <a:avLst/>
                    </a:prstGeom>
                    <a:noFill/>
                    <a:ln>
                      <a:noFill/>
                    </a:ln>
                  </pic:spPr>
                </pic:pic>
              </a:graphicData>
            </a:graphic>
          </wp:anchor>
        </w:drawing>
      </w:r>
    </w:p>
    <w:p w14:paraId="66EF9EC1">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评价方法</w:t>
      </w:r>
    </w:p>
    <w:p w14:paraId="605BF6D1">
      <w:pPr>
        <w:spacing w:line="360" w:lineRule="auto"/>
        <w:ind w:firstLine="480" w:firstLineChars="200"/>
        <w:rPr>
          <w:color w:val="auto"/>
          <w:sz w:val="24"/>
        </w:rPr>
      </w:pPr>
      <w:r>
        <w:rPr>
          <w:color w:val="auto"/>
          <w:sz w:val="24"/>
        </w:rPr>
        <w:t>利用</w:t>
      </w:r>
      <w:r>
        <w:rPr>
          <w:rFonts w:hint="eastAsia"/>
          <w:color w:val="auto"/>
          <w:kern w:val="0"/>
          <w:sz w:val="24"/>
          <w:szCs w:val="24"/>
        </w:rPr>
        <w:t>《环境影响评价技术导则 地表水》（HJ2.3-2018）</w:t>
      </w:r>
      <w:r>
        <w:rPr>
          <w:color w:val="auto"/>
          <w:sz w:val="24"/>
        </w:rPr>
        <w:t>所推荐的单项目水质参数评价法进行评价。HJ/T2.3-2018建议采用水质指数法，一般性水质因子（随着浓度增加而水质变差的水质因子）的指数计算公式为：</w:t>
      </w:r>
    </w:p>
    <w:p w14:paraId="42C250F2">
      <w:pPr>
        <w:pStyle w:val="2"/>
        <w:rPr>
          <w:color w:val="auto"/>
        </w:rPr>
      </w:pPr>
      <w:r>
        <w:rPr>
          <w:color w:val="auto"/>
        </w:rPr>
        <w:drawing>
          <wp:inline distT="0" distB="0" distL="114300" distR="114300">
            <wp:extent cx="1343025" cy="561975"/>
            <wp:effectExtent l="0" t="0" r="9525" b="9525"/>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26"/>
                    <a:stretch>
                      <a:fillRect/>
                    </a:stretch>
                  </pic:blipFill>
                  <pic:spPr>
                    <a:xfrm>
                      <a:off x="0" y="0"/>
                      <a:ext cx="1343025" cy="561975"/>
                    </a:xfrm>
                    <a:prstGeom prst="rect">
                      <a:avLst/>
                    </a:prstGeom>
                    <a:noFill/>
                    <a:ln>
                      <a:noFill/>
                    </a:ln>
                  </pic:spPr>
                </pic:pic>
              </a:graphicData>
            </a:graphic>
          </wp:inline>
        </w:drawing>
      </w:r>
    </w:p>
    <w:p w14:paraId="3D00729C">
      <w:pPr>
        <w:spacing w:line="360" w:lineRule="auto"/>
        <w:ind w:firstLine="480"/>
        <w:rPr>
          <w:color w:val="auto"/>
          <w:sz w:val="24"/>
        </w:rPr>
      </w:pPr>
      <w:r>
        <w:rPr>
          <w:color w:val="auto"/>
          <w:sz w:val="24"/>
        </w:rPr>
        <w:t>式中： S</w:t>
      </w:r>
      <w:r>
        <w:rPr>
          <w:color w:val="auto"/>
          <w:sz w:val="24"/>
          <w:vertAlign w:val="subscript"/>
        </w:rPr>
        <w:t>i,j</w:t>
      </w:r>
      <w:r>
        <w:rPr>
          <w:color w:val="auto"/>
          <w:sz w:val="24"/>
        </w:rPr>
        <w:t xml:space="preserve"> ——评价因子i 的水质指数，大于1表明该水质因子超标；</w:t>
      </w:r>
    </w:p>
    <w:p w14:paraId="39099702">
      <w:pPr>
        <w:spacing w:line="360" w:lineRule="auto"/>
        <w:ind w:firstLine="1262" w:firstLineChars="526"/>
        <w:rPr>
          <w:color w:val="auto"/>
          <w:sz w:val="24"/>
        </w:rPr>
      </w:pPr>
      <w:r>
        <w:rPr>
          <w:color w:val="auto"/>
          <w:sz w:val="24"/>
        </w:rPr>
        <w:t>C</w:t>
      </w:r>
      <w:r>
        <w:rPr>
          <w:color w:val="auto"/>
          <w:sz w:val="24"/>
          <w:vertAlign w:val="subscript"/>
        </w:rPr>
        <w:t>i, j</w:t>
      </w:r>
      <w:r>
        <w:rPr>
          <w:color w:val="auto"/>
          <w:sz w:val="24"/>
        </w:rPr>
        <w:t xml:space="preserve"> ——评价因子i 在 j 点的实测统计代表值，mg/L；</w:t>
      </w:r>
    </w:p>
    <w:p w14:paraId="2ADBCA3F">
      <w:pPr>
        <w:spacing w:line="360" w:lineRule="auto"/>
        <w:ind w:firstLine="1262" w:firstLineChars="526"/>
        <w:rPr>
          <w:color w:val="auto"/>
          <w:sz w:val="24"/>
        </w:rPr>
      </w:pPr>
      <w:r>
        <w:rPr>
          <w:color w:val="auto"/>
          <w:sz w:val="24"/>
        </w:rPr>
        <w:t>C</w:t>
      </w:r>
      <w:r>
        <w:rPr>
          <w:color w:val="auto"/>
          <w:sz w:val="24"/>
          <w:vertAlign w:val="subscript"/>
        </w:rPr>
        <w:t>si</w:t>
      </w:r>
      <w:r>
        <w:rPr>
          <w:color w:val="auto"/>
          <w:sz w:val="24"/>
        </w:rPr>
        <w:t xml:space="preserve"> ——评价因子i 的水质评价标准限值，mg/L。</w:t>
      </w:r>
    </w:p>
    <w:p w14:paraId="7324F8D3">
      <w:pPr>
        <w:spacing w:line="360" w:lineRule="auto"/>
        <w:ind w:firstLine="480"/>
        <w:rPr>
          <w:color w:val="auto"/>
          <w:sz w:val="24"/>
        </w:rPr>
      </w:pPr>
      <w:r>
        <w:rPr>
          <w:color w:val="auto"/>
          <w:sz w:val="24"/>
        </w:rPr>
        <w:t>DO的标准指数计算公式为：</w:t>
      </w:r>
    </w:p>
    <w:p w14:paraId="5E1B115B">
      <w:pPr>
        <w:pStyle w:val="2"/>
        <w:rPr>
          <w:color w:val="auto"/>
          <w:sz w:val="24"/>
        </w:rPr>
      </w:pPr>
      <w:r>
        <w:rPr>
          <w:color w:val="auto"/>
        </w:rPr>
        <w:drawing>
          <wp:inline distT="0" distB="0" distL="114300" distR="114300">
            <wp:extent cx="3257550" cy="1152525"/>
            <wp:effectExtent l="0" t="0" r="0" b="9525"/>
            <wp:docPr id="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pic:cNvPicPr>
                  </pic:nvPicPr>
                  <pic:blipFill>
                    <a:blip r:embed="rId27"/>
                    <a:stretch>
                      <a:fillRect/>
                    </a:stretch>
                  </pic:blipFill>
                  <pic:spPr>
                    <a:xfrm>
                      <a:off x="0" y="0"/>
                      <a:ext cx="3257550" cy="1152525"/>
                    </a:xfrm>
                    <a:prstGeom prst="rect">
                      <a:avLst/>
                    </a:prstGeom>
                    <a:noFill/>
                    <a:ln>
                      <a:noFill/>
                    </a:ln>
                  </pic:spPr>
                </pic:pic>
              </a:graphicData>
            </a:graphic>
          </wp:inline>
        </w:drawing>
      </w:r>
    </w:p>
    <w:p w14:paraId="38DB8FEA">
      <w:pPr>
        <w:spacing w:line="360" w:lineRule="auto"/>
        <w:ind w:firstLine="480"/>
        <w:rPr>
          <w:color w:val="auto"/>
          <w:sz w:val="24"/>
        </w:rPr>
      </w:pPr>
      <w:r>
        <w:rPr>
          <w:color w:val="auto"/>
          <w:sz w:val="24"/>
        </w:rPr>
        <w:t>式中： S</w:t>
      </w:r>
      <w:r>
        <w:rPr>
          <w:color w:val="auto"/>
          <w:sz w:val="24"/>
          <w:vertAlign w:val="subscript"/>
        </w:rPr>
        <w:t>DO, j</w:t>
      </w:r>
      <w:r>
        <w:rPr>
          <w:color w:val="auto"/>
          <w:sz w:val="24"/>
        </w:rPr>
        <w:t xml:space="preserve"> ——溶解氧的标准指数，大于 1 表明该水质因子超标；</w:t>
      </w:r>
    </w:p>
    <w:p w14:paraId="19EB606C">
      <w:pPr>
        <w:spacing w:line="360" w:lineRule="auto"/>
        <w:ind w:firstLine="1440" w:firstLineChars="600"/>
        <w:rPr>
          <w:rFonts w:hint="eastAsia" w:eastAsia="宋体"/>
          <w:color w:val="auto"/>
          <w:sz w:val="24"/>
          <w:lang w:val="en-US" w:eastAsia="zh-CN"/>
        </w:rPr>
      </w:pPr>
      <w:r>
        <w:rPr>
          <w:color w:val="auto"/>
          <w:sz w:val="24"/>
        </w:rPr>
        <w:t>DO</w:t>
      </w:r>
      <w:r>
        <w:rPr>
          <w:color w:val="auto"/>
          <w:sz w:val="24"/>
          <w:vertAlign w:val="subscript"/>
        </w:rPr>
        <w:t>j</w:t>
      </w:r>
      <w:r>
        <w:rPr>
          <w:color w:val="auto"/>
          <w:sz w:val="24"/>
        </w:rPr>
        <w:t xml:space="preserve"> ——溶解氧在 j 点的实测统计代表值，mg/L；</w:t>
      </w:r>
      <w:r>
        <w:rPr>
          <w:rFonts w:hint="eastAsia"/>
          <w:color w:val="auto"/>
          <w:sz w:val="24"/>
          <w:lang w:val="en-US" w:eastAsia="zh-CN"/>
        </w:rPr>
        <w:t xml:space="preserve"> </w:t>
      </w:r>
    </w:p>
    <w:p w14:paraId="11AE4ED8">
      <w:pPr>
        <w:spacing w:line="360" w:lineRule="auto"/>
        <w:ind w:firstLine="1440" w:firstLineChars="600"/>
        <w:rPr>
          <w:color w:val="auto"/>
          <w:sz w:val="24"/>
        </w:rPr>
      </w:pPr>
      <w:r>
        <w:rPr>
          <w:color w:val="auto"/>
          <w:sz w:val="24"/>
        </w:rPr>
        <w:t>DO</w:t>
      </w:r>
      <w:r>
        <w:rPr>
          <w:color w:val="auto"/>
          <w:sz w:val="24"/>
          <w:vertAlign w:val="subscript"/>
        </w:rPr>
        <w:t xml:space="preserve">s </w:t>
      </w:r>
      <w:r>
        <w:rPr>
          <w:color w:val="auto"/>
          <w:sz w:val="24"/>
        </w:rPr>
        <w:t>——溶解氧的水质评价标准限值，mg/L；</w:t>
      </w:r>
    </w:p>
    <w:p w14:paraId="1A1337B2">
      <w:pPr>
        <w:spacing w:line="360" w:lineRule="auto"/>
        <w:ind w:firstLine="1440" w:firstLineChars="600"/>
        <w:rPr>
          <w:color w:val="auto"/>
          <w:sz w:val="24"/>
        </w:rPr>
      </w:pPr>
      <w:r>
        <w:rPr>
          <w:color w:val="auto"/>
          <w:sz w:val="24"/>
        </w:rPr>
        <w:t>DO</w:t>
      </w:r>
      <w:r>
        <w:rPr>
          <w:color w:val="auto"/>
          <w:sz w:val="24"/>
          <w:vertAlign w:val="subscript"/>
        </w:rPr>
        <w:t xml:space="preserve">f </w:t>
      </w:r>
      <w:r>
        <w:rPr>
          <w:color w:val="auto"/>
          <w:sz w:val="24"/>
        </w:rPr>
        <w:t>——饱和溶解氧浓度，mg/L，对于河流，DO</w:t>
      </w:r>
      <w:r>
        <w:rPr>
          <w:color w:val="auto"/>
          <w:sz w:val="24"/>
          <w:vertAlign w:val="subscript"/>
        </w:rPr>
        <w:t>f</w:t>
      </w:r>
      <w:r>
        <w:rPr>
          <w:color w:val="auto"/>
          <w:sz w:val="24"/>
        </w:rPr>
        <w:t xml:space="preserve"> =468/（31.6+T）；对于盐度比较高的湖泊、水库及入海河口、近岸海域， DO</w:t>
      </w:r>
      <w:r>
        <w:rPr>
          <w:color w:val="auto"/>
          <w:sz w:val="24"/>
          <w:vertAlign w:val="subscript"/>
        </w:rPr>
        <w:t>f</w:t>
      </w:r>
      <w:r>
        <w:rPr>
          <w:color w:val="auto"/>
          <w:sz w:val="24"/>
        </w:rPr>
        <w:t>=（468-2.65S）/（33.5+T）；</w:t>
      </w:r>
    </w:p>
    <w:p w14:paraId="218136ED">
      <w:pPr>
        <w:spacing w:line="360" w:lineRule="auto"/>
        <w:ind w:firstLine="1502" w:firstLineChars="626"/>
        <w:rPr>
          <w:color w:val="auto"/>
          <w:sz w:val="24"/>
        </w:rPr>
      </w:pPr>
      <w:r>
        <w:rPr>
          <w:color w:val="auto"/>
          <w:sz w:val="24"/>
        </w:rPr>
        <w:t>S ——实用盐度符号，量纲为1；</w:t>
      </w:r>
    </w:p>
    <w:p w14:paraId="22EB25B3">
      <w:pPr>
        <w:spacing w:line="360" w:lineRule="auto"/>
        <w:ind w:firstLine="1502" w:firstLineChars="626"/>
        <w:rPr>
          <w:color w:val="auto"/>
          <w:sz w:val="24"/>
        </w:rPr>
      </w:pPr>
      <w:r>
        <w:rPr>
          <w:color w:val="auto"/>
          <w:sz w:val="24"/>
        </w:rPr>
        <w:t>T ——水温，℃。</w:t>
      </w:r>
    </w:p>
    <w:p w14:paraId="5880C644">
      <w:pPr>
        <w:spacing w:line="360" w:lineRule="auto"/>
        <w:ind w:firstLine="480"/>
        <w:rPr>
          <w:color w:val="auto"/>
          <w:sz w:val="24"/>
        </w:rPr>
      </w:pPr>
      <w:r>
        <w:rPr>
          <w:color w:val="auto"/>
          <w:sz w:val="24"/>
        </w:rPr>
        <w:t>pH的指数计算公式为：</w:t>
      </w:r>
    </w:p>
    <w:p w14:paraId="59A7BCF7">
      <w:pPr>
        <w:pStyle w:val="2"/>
        <w:rPr>
          <w:color w:val="auto"/>
          <w:sz w:val="24"/>
        </w:rPr>
      </w:pPr>
      <w:r>
        <w:rPr>
          <w:color w:val="auto"/>
        </w:rPr>
        <w:drawing>
          <wp:inline distT="0" distB="0" distL="114300" distR="114300">
            <wp:extent cx="3457575" cy="657225"/>
            <wp:effectExtent l="0" t="0" r="9525" b="9525"/>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28"/>
                    <a:stretch>
                      <a:fillRect/>
                    </a:stretch>
                  </pic:blipFill>
                  <pic:spPr>
                    <a:xfrm>
                      <a:off x="0" y="0"/>
                      <a:ext cx="3457575" cy="657225"/>
                    </a:xfrm>
                    <a:prstGeom prst="rect">
                      <a:avLst/>
                    </a:prstGeom>
                    <a:noFill/>
                    <a:ln>
                      <a:noFill/>
                    </a:ln>
                  </pic:spPr>
                </pic:pic>
              </a:graphicData>
            </a:graphic>
          </wp:inline>
        </w:drawing>
      </w:r>
    </w:p>
    <w:p w14:paraId="796FBFC9">
      <w:pPr>
        <w:pStyle w:val="2"/>
        <w:rPr>
          <w:color w:val="auto"/>
          <w:sz w:val="24"/>
        </w:rPr>
      </w:pPr>
      <w:r>
        <w:rPr>
          <w:color w:val="auto"/>
        </w:rPr>
        <w:drawing>
          <wp:inline distT="0" distB="0" distL="114300" distR="114300">
            <wp:extent cx="3552825" cy="771525"/>
            <wp:effectExtent l="0" t="0" r="9525" b="9525"/>
            <wp:docPr id="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pic:cNvPicPr>
                      <a:picLocks noChangeAspect="1"/>
                    </pic:cNvPicPr>
                  </pic:nvPicPr>
                  <pic:blipFill>
                    <a:blip r:embed="rId29"/>
                    <a:stretch>
                      <a:fillRect/>
                    </a:stretch>
                  </pic:blipFill>
                  <pic:spPr>
                    <a:xfrm>
                      <a:off x="0" y="0"/>
                      <a:ext cx="3552825" cy="771525"/>
                    </a:xfrm>
                    <a:prstGeom prst="rect">
                      <a:avLst/>
                    </a:prstGeom>
                    <a:noFill/>
                    <a:ln>
                      <a:noFill/>
                    </a:ln>
                  </pic:spPr>
                </pic:pic>
              </a:graphicData>
            </a:graphic>
          </wp:inline>
        </w:drawing>
      </w:r>
    </w:p>
    <w:p w14:paraId="553A26F5">
      <w:pPr>
        <w:spacing w:line="360" w:lineRule="auto"/>
        <w:ind w:firstLine="480"/>
        <w:rPr>
          <w:color w:val="auto"/>
          <w:sz w:val="24"/>
        </w:rPr>
      </w:pPr>
      <w:r>
        <w:rPr>
          <w:color w:val="auto"/>
          <w:sz w:val="24"/>
        </w:rPr>
        <w:t>式中：S</w:t>
      </w:r>
      <w:r>
        <w:rPr>
          <w:color w:val="auto"/>
          <w:sz w:val="24"/>
          <w:vertAlign w:val="subscript"/>
        </w:rPr>
        <w:t>pH，</w:t>
      </w:r>
      <w:r>
        <w:rPr>
          <w:i/>
          <w:iCs/>
          <w:color w:val="auto"/>
          <w:sz w:val="24"/>
          <w:vertAlign w:val="subscript"/>
        </w:rPr>
        <w:t>j</w:t>
      </w:r>
      <w:r>
        <w:rPr>
          <w:color w:val="auto"/>
          <w:sz w:val="24"/>
        </w:rPr>
        <w:t>—— pH值的指数，大于1表明该水质因子超标；</w:t>
      </w:r>
    </w:p>
    <w:p w14:paraId="1A6577EB">
      <w:pPr>
        <w:spacing w:line="360" w:lineRule="auto"/>
        <w:ind w:firstLine="1200" w:firstLineChars="500"/>
        <w:rPr>
          <w:color w:val="auto"/>
          <w:sz w:val="24"/>
        </w:rPr>
      </w:pPr>
      <w:r>
        <w:rPr>
          <w:color w:val="auto"/>
          <w:sz w:val="24"/>
        </w:rPr>
        <w:t>pH</w:t>
      </w:r>
      <w:r>
        <w:rPr>
          <w:i/>
          <w:iCs/>
          <w:color w:val="auto"/>
          <w:sz w:val="24"/>
          <w:vertAlign w:val="subscript"/>
        </w:rPr>
        <w:t>j</w:t>
      </w:r>
      <w:r>
        <w:rPr>
          <w:color w:val="auto"/>
          <w:sz w:val="24"/>
        </w:rPr>
        <w:t xml:space="preserve"> —— pH值实测统计代表值；</w:t>
      </w:r>
    </w:p>
    <w:p w14:paraId="09170EA3">
      <w:pPr>
        <w:spacing w:line="360" w:lineRule="auto"/>
        <w:ind w:firstLine="1200" w:firstLineChars="500"/>
        <w:rPr>
          <w:color w:val="auto"/>
          <w:sz w:val="24"/>
        </w:rPr>
      </w:pPr>
      <w:r>
        <w:rPr>
          <w:color w:val="auto"/>
          <w:sz w:val="24"/>
        </w:rPr>
        <w:t>pH</w:t>
      </w:r>
      <w:r>
        <w:rPr>
          <w:color w:val="auto"/>
          <w:sz w:val="24"/>
          <w:vertAlign w:val="subscript"/>
        </w:rPr>
        <w:t>sd</w:t>
      </w:r>
      <w:r>
        <w:rPr>
          <w:color w:val="auto"/>
          <w:sz w:val="24"/>
        </w:rPr>
        <w:t xml:space="preserve"> ——评价标准</w:t>
      </w:r>
      <w:r>
        <w:rPr>
          <w:rFonts w:hint="eastAsia"/>
          <w:color w:val="auto"/>
          <w:sz w:val="24"/>
          <w:lang w:eastAsia="zh-CN"/>
        </w:rPr>
        <w:t>中pH值</w:t>
      </w:r>
      <w:r>
        <w:rPr>
          <w:color w:val="auto"/>
          <w:sz w:val="24"/>
        </w:rPr>
        <w:t>的下限值；</w:t>
      </w:r>
    </w:p>
    <w:p w14:paraId="3C3E3BB0">
      <w:pPr>
        <w:spacing w:line="360" w:lineRule="auto"/>
        <w:ind w:firstLine="1200" w:firstLineChars="500"/>
        <w:rPr>
          <w:color w:val="auto"/>
          <w:sz w:val="24"/>
        </w:rPr>
      </w:pPr>
      <w:r>
        <w:rPr>
          <w:color w:val="auto"/>
          <w:sz w:val="24"/>
        </w:rPr>
        <w:t>pH</w:t>
      </w:r>
      <w:r>
        <w:rPr>
          <w:color w:val="auto"/>
          <w:sz w:val="24"/>
          <w:vertAlign w:val="subscript"/>
        </w:rPr>
        <w:t xml:space="preserve">su </w:t>
      </w:r>
      <w:r>
        <w:rPr>
          <w:color w:val="auto"/>
          <w:sz w:val="24"/>
        </w:rPr>
        <w:t>——评价标准</w:t>
      </w:r>
      <w:r>
        <w:rPr>
          <w:rFonts w:hint="eastAsia"/>
          <w:color w:val="auto"/>
          <w:sz w:val="24"/>
          <w:lang w:eastAsia="zh-CN"/>
        </w:rPr>
        <w:t>中pH值</w:t>
      </w:r>
      <w:r>
        <w:rPr>
          <w:color w:val="auto"/>
          <w:sz w:val="24"/>
        </w:rPr>
        <w:t>的上限值。</w:t>
      </w:r>
    </w:p>
    <w:p w14:paraId="2BEA90DF">
      <w:pPr>
        <w:pStyle w:val="5"/>
        <w:numPr>
          <w:ilvl w:val="2"/>
          <w:numId w:val="6"/>
        </w:numPr>
        <w:tabs>
          <w:tab w:val="left" w:pos="420"/>
        </w:tabs>
        <w:bidi w:val="0"/>
        <w:rPr>
          <w:rFonts w:hint="eastAsia"/>
          <w:b/>
          <w:bCs/>
          <w:color w:val="auto"/>
          <w:sz w:val="21"/>
          <w:szCs w:val="18"/>
          <w:lang w:val="en-US" w:eastAsia="zh-CN"/>
        </w:rPr>
      </w:pPr>
      <w:r>
        <w:rPr>
          <w:rFonts w:hint="eastAsia"/>
          <w:color w:val="auto"/>
          <w:lang w:val="en-US" w:eastAsia="zh-CN"/>
        </w:rPr>
        <w:t>现状</w:t>
      </w:r>
      <w:r>
        <w:rPr>
          <w:color w:val="auto"/>
          <w:lang w:val="en-US" w:eastAsia="zh-CN"/>
        </w:rPr>
        <w:t>监测</w:t>
      </w:r>
      <w:r>
        <w:rPr>
          <w:rFonts w:hint="eastAsia"/>
          <w:color w:val="auto"/>
          <w:lang w:val="en-US" w:eastAsia="zh-CN"/>
        </w:rPr>
        <w:t>结果</w:t>
      </w:r>
    </w:p>
    <w:p w14:paraId="16D8C736">
      <w:pPr>
        <w:spacing w:line="240" w:lineRule="auto"/>
        <w:ind w:firstLine="480"/>
        <w:jc w:val="center"/>
        <w:rPr>
          <w:rFonts w:hint="eastAsia"/>
          <w:b/>
          <w:bCs/>
          <w:color w:val="auto"/>
          <w:sz w:val="21"/>
          <w:szCs w:val="18"/>
          <w:lang w:val="en-US" w:eastAsia="zh-CN"/>
        </w:rPr>
      </w:pPr>
      <w:r>
        <w:rPr>
          <w:rFonts w:hint="eastAsia"/>
          <w:b/>
          <w:bCs/>
          <w:color w:val="auto"/>
          <w:sz w:val="21"/>
          <w:szCs w:val="18"/>
          <w:lang w:val="en-US" w:eastAsia="zh-CN"/>
        </w:rPr>
        <w:t>表4.2-2本项目各监测断面地表水环境质量监测结果</w:t>
      </w:r>
    </w:p>
    <w:tbl>
      <w:tblPr>
        <w:tblStyle w:val="32"/>
        <w:tblW w:w="10261" w:type="dxa"/>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8"/>
        <w:gridCol w:w="1802"/>
        <w:gridCol w:w="954"/>
        <w:gridCol w:w="1558"/>
        <w:gridCol w:w="1558"/>
        <w:gridCol w:w="1558"/>
        <w:gridCol w:w="843"/>
        <w:gridCol w:w="780"/>
      </w:tblGrid>
      <w:tr w14:paraId="50C8D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08" w:type="dxa"/>
            <w:vMerge w:val="restart"/>
            <w:vAlign w:val="center"/>
          </w:tcPr>
          <w:p w14:paraId="10A5258C">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color w:val="auto"/>
                <w:sz w:val="21"/>
                <w:szCs w:val="21"/>
                <w:vertAlign w:val="baseline"/>
                <w:lang w:val="en-US" w:eastAsia="zh-CN"/>
              </w:rPr>
            </w:pPr>
            <w:r>
              <w:rPr>
                <w:rFonts w:hint="eastAsia" w:cs="Times New Roman"/>
                <w:color w:val="auto"/>
                <w:sz w:val="21"/>
                <w:szCs w:val="21"/>
                <w:vertAlign w:val="baseline"/>
                <w:lang w:val="en-US" w:eastAsia="zh-CN"/>
              </w:rPr>
              <w:t>监测点位</w:t>
            </w:r>
          </w:p>
        </w:tc>
        <w:tc>
          <w:tcPr>
            <w:tcW w:w="1802" w:type="dxa"/>
            <w:vMerge w:val="restart"/>
            <w:shd w:val="clear" w:color="auto" w:fill="auto"/>
            <w:vAlign w:val="center"/>
          </w:tcPr>
          <w:p w14:paraId="4C717E07">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vertAlign w:val="baseline"/>
                <w:lang w:val="en-US" w:eastAsia="zh-CN"/>
              </w:rPr>
              <w:t>检测项目</w:t>
            </w:r>
          </w:p>
        </w:tc>
        <w:tc>
          <w:tcPr>
            <w:tcW w:w="954" w:type="dxa"/>
            <w:vMerge w:val="restart"/>
            <w:vAlign w:val="center"/>
          </w:tcPr>
          <w:p w14:paraId="7A033311">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color w:val="auto"/>
                <w:sz w:val="21"/>
                <w:szCs w:val="21"/>
                <w:vertAlign w:val="baseline"/>
                <w:lang w:val="en-US" w:eastAsia="zh-CN"/>
              </w:rPr>
            </w:pPr>
            <w:r>
              <w:rPr>
                <w:rFonts w:hint="eastAsia" w:cs="Times New Roman"/>
                <w:color w:val="auto"/>
                <w:sz w:val="21"/>
                <w:szCs w:val="21"/>
                <w:vertAlign w:val="baseline"/>
                <w:lang w:val="en-US" w:eastAsia="zh-CN"/>
              </w:rPr>
              <w:t>单位</w:t>
            </w:r>
          </w:p>
        </w:tc>
        <w:tc>
          <w:tcPr>
            <w:tcW w:w="4674" w:type="dxa"/>
            <w:gridSpan w:val="3"/>
            <w:vAlign w:val="center"/>
          </w:tcPr>
          <w:p w14:paraId="2BE2ABE7">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color w:val="auto"/>
                <w:sz w:val="21"/>
                <w:szCs w:val="21"/>
                <w:vertAlign w:val="baseline"/>
                <w:lang w:val="en-US" w:eastAsia="zh-CN"/>
              </w:rPr>
            </w:pPr>
            <w:r>
              <w:rPr>
                <w:rFonts w:hint="eastAsia" w:cs="Times New Roman"/>
                <w:color w:val="auto"/>
                <w:sz w:val="21"/>
                <w:szCs w:val="21"/>
                <w:vertAlign w:val="baseline"/>
                <w:lang w:val="en-US" w:eastAsia="zh-CN"/>
              </w:rPr>
              <w:t>检测结果</w:t>
            </w:r>
          </w:p>
        </w:tc>
        <w:tc>
          <w:tcPr>
            <w:tcW w:w="843" w:type="dxa"/>
            <w:vMerge w:val="restart"/>
            <w:vAlign w:val="center"/>
          </w:tcPr>
          <w:p w14:paraId="00D37C19">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参考限值</w:t>
            </w:r>
          </w:p>
        </w:tc>
        <w:tc>
          <w:tcPr>
            <w:tcW w:w="780" w:type="dxa"/>
            <w:vMerge w:val="restart"/>
            <w:vAlign w:val="center"/>
          </w:tcPr>
          <w:p w14:paraId="3193C7CF">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ascii="Times New Roman" w:hAnsi="Times New Roman" w:eastAsia="宋体" w:cs="Times New Roman"/>
                <w:color w:val="auto"/>
                <w:sz w:val="21"/>
                <w:szCs w:val="21"/>
                <w:vertAlign w:val="baseline"/>
                <w:lang w:eastAsia="zh-CN"/>
              </w:rPr>
            </w:pPr>
            <w:r>
              <w:rPr>
                <w:rFonts w:hint="eastAsia" w:ascii="Times New Roman" w:hAnsi="Times New Roman" w:eastAsia="宋体" w:cs="Times New Roman"/>
                <w:color w:val="auto"/>
                <w:sz w:val="21"/>
                <w:szCs w:val="21"/>
                <w:vertAlign w:val="baseline"/>
                <w:lang w:val="en-US" w:eastAsia="zh-CN"/>
              </w:rPr>
              <w:t>执行标准</w:t>
            </w:r>
          </w:p>
        </w:tc>
      </w:tr>
      <w:tr w14:paraId="0892C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08" w:type="dxa"/>
            <w:vMerge w:val="continue"/>
            <w:vAlign w:val="center"/>
          </w:tcPr>
          <w:p w14:paraId="18C1D9F8">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color w:val="auto"/>
                <w:sz w:val="21"/>
                <w:szCs w:val="21"/>
                <w:vertAlign w:val="baseline"/>
                <w:lang w:val="en-US" w:eastAsia="zh-CN"/>
              </w:rPr>
            </w:pPr>
          </w:p>
        </w:tc>
        <w:tc>
          <w:tcPr>
            <w:tcW w:w="1802" w:type="dxa"/>
            <w:vMerge w:val="continue"/>
            <w:vAlign w:val="center"/>
          </w:tcPr>
          <w:p w14:paraId="304D49C6">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color w:val="auto"/>
                <w:sz w:val="21"/>
                <w:szCs w:val="21"/>
                <w:vertAlign w:val="baseline"/>
                <w:lang w:val="en-US" w:eastAsia="zh-CN"/>
              </w:rPr>
            </w:pPr>
          </w:p>
        </w:tc>
        <w:tc>
          <w:tcPr>
            <w:tcW w:w="954" w:type="dxa"/>
            <w:vMerge w:val="continue"/>
            <w:vAlign w:val="center"/>
          </w:tcPr>
          <w:p w14:paraId="4E344A5E">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color w:val="auto"/>
                <w:sz w:val="21"/>
                <w:szCs w:val="21"/>
                <w:vertAlign w:val="baseline"/>
                <w:lang w:val="en-US" w:eastAsia="zh-CN"/>
              </w:rPr>
            </w:pPr>
          </w:p>
        </w:tc>
        <w:tc>
          <w:tcPr>
            <w:tcW w:w="1558" w:type="dxa"/>
            <w:vAlign w:val="center"/>
          </w:tcPr>
          <w:p w14:paraId="4146868E">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color w:val="auto"/>
                <w:sz w:val="21"/>
                <w:szCs w:val="21"/>
                <w:vertAlign w:val="baseline"/>
                <w:lang w:val="en-US" w:eastAsia="zh-CN"/>
              </w:rPr>
            </w:pPr>
            <w:r>
              <w:rPr>
                <w:rFonts w:hint="eastAsia" w:cs="Times New Roman"/>
                <w:color w:val="auto"/>
                <w:sz w:val="21"/>
                <w:szCs w:val="21"/>
                <w:vertAlign w:val="baseline"/>
                <w:lang w:val="en-US" w:eastAsia="zh-CN"/>
              </w:rPr>
              <w:t>2025.07.15</w:t>
            </w:r>
          </w:p>
        </w:tc>
        <w:tc>
          <w:tcPr>
            <w:tcW w:w="1558" w:type="dxa"/>
            <w:vAlign w:val="center"/>
          </w:tcPr>
          <w:p w14:paraId="57F06875">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color w:val="auto"/>
                <w:sz w:val="21"/>
                <w:szCs w:val="21"/>
                <w:vertAlign w:val="baseline"/>
                <w:lang w:val="en-US"/>
              </w:rPr>
            </w:pPr>
            <w:r>
              <w:rPr>
                <w:rFonts w:hint="eastAsia" w:cs="Times New Roman"/>
                <w:color w:val="auto"/>
                <w:sz w:val="21"/>
                <w:szCs w:val="21"/>
                <w:vertAlign w:val="baseline"/>
                <w:lang w:val="en-US" w:eastAsia="zh-CN"/>
              </w:rPr>
              <w:t>2025.07.16</w:t>
            </w:r>
          </w:p>
        </w:tc>
        <w:tc>
          <w:tcPr>
            <w:tcW w:w="1558" w:type="dxa"/>
            <w:vAlign w:val="center"/>
          </w:tcPr>
          <w:p w14:paraId="0CCD4223">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color w:val="auto"/>
                <w:sz w:val="21"/>
                <w:szCs w:val="21"/>
                <w:vertAlign w:val="baseline"/>
                <w:lang w:val="en-US"/>
              </w:rPr>
            </w:pPr>
            <w:r>
              <w:rPr>
                <w:rFonts w:hint="eastAsia" w:cs="Times New Roman"/>
                <w:color w:val="auto"/>
                <w:sz w:val="21"/>
                <w:szCs w:val="21"/>
                <w:vertAlign w:val="baseline"/>
                <w:lang w:val="en-US" w:eastAsia="zh-CN"/>
              </w:rPr>
              <w:t>2025.07.17</w:t>
            </w:r>
          </w:p>
        </w:tc>
        <w:tc>
          <w:tcPr>
            <w:tcW w:w="843" w:type="dxa"/>
            <w:vMerge w:val="continue"/>
            <w:vAlign w:val="center"/>
          </w:tcPr>
          <w:p w14:paraId="4131D22F">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color w:val="auto"/>
                <w:sz w:val="21"/>
                <w:szCs w:val="21"/>
                <w:vertAlign w:val="baseline"/>
              </w:rPr>
            </w:pPr>
          </w:p>
        </w:tc>
        <w:tc>
          <w:tcPr>
            <w:tcW w:w="780" w:type="dxa"/>
            <w:vMerge w:val="continue"/>
            <w:vAlign w:val="center"/>
          </w:tcPr>
          <w:p w14:paraId="22805311">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color w:val="auto"/>
                <w:sz w:val="21"/>
                <w:szCs w:val="21"/>
                <w:vertAlign w:val="baseline"/>
              </w:rPr>
            </w:pPr>
          </w:p>
        </w:tc>
      </w:tr>
      <w:tr w14:paraId="2744B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08" w:type="dxa"/>
            <w:vMerge w:val="restart"/>
            <w:shd w:val="clear" w:color="auto" w:fill="auto"/>
            <w:vAlign w:val="center"/>
          </w:tcPr>
          <w:p w14:paraId="69E9977C">
            <w:pPr>
              <w:adjustRightInd w:val="0"/>
              <w:snapToGrid w:val="0"/>
              <w:jc w:val="center"/>
              <w:rPr>
                <w:rFonts w:hint="eastAsia" w:ascii="Times New Roman" w:hAnsi="Times New Roman" w:eastAsia="宋体" w:cs="Times New Roman"/>
                <w:snapToGrid w:val="0"/>
                <w:color w:val="auto"/>
                <w:spacing w:val="8"/>
                <w:sz w:val="21"/>
                <w:szCs w:val="21"/>
                <w:lang w:val="en-US" w:eastAsia="zh-CN" w:bidi="ar-SA"/>
              </w:rPr>
            </w:pPr>
            <w:r>
              <w:rPr>
                <w:rFonts w:hint="eastAsia" w:cs="Times New Roman"/>
                <w:color w:val="auto"/>
                <w:sz w:val="21"/>
                <w:szCs w:val="21"/>
                <w:lang w:eastAsia="zh-CN"/>
              </w:rPr>
              <w:t>W1入河排污口上游300米</w:t>
            </w:r>
          </w:p>
        </w:tc>
        <w:tc>
          <w:tcPr>
            <w:tcW w:w="2756" w:type="dxa"/>
            <w:gridSpan w:val="2"/>
            <w:shd w:val="clear" w:color="auto" w:fill="auto"/>
            <w:vAlign w:val="center"/>
          </w:tcPr>
          <w:p w14:paraId="2D98FE3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样品状态</w:t>
            </w:r>
          </w:p>
        </w:tc>
        <w:tc>
          <w:tcPr>
            <w:tcW w:w="4674" w:type="dxa"/>
            <w:gridSpan w:val="3"/>
            <w:shd w:val="clear" w:color="auto" w:fill="auto"/>
            <w:vAlign w:val="center"/>
          </w:tcPr>
          <w:p w14:paraId="32FA914B">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cs="Times New Roman"/>
                <w:i w:val="0"/>
                <w:iCs w:val="0"/>
                <w:color w:val="auto"/>
                <w:kern w:val="2"/>
                <w:sz w:val="21"/>
                <w:szCs w:val="21"/>
                <w:u w:val="none"/>
                <w:lang w:val="en-US" w:eastAsia="zh-CN" w:bidi="ar-SA"/>
              </w:rPr>
              <w:t>均为淡黄色、弱气味、无浮油</w:t>
            </w:r>
          </w:p>
        </w:tc>
        <w:tc>
          <w:tcPr>
            <w:tcW w:w="843" w:type="dxa"/>
            <w:vAlign w:val="center"/>
          </w:tcPr>
          <w:p w14:paraId="24FC3645">
            <w:pPr>
              <w:keepNext w:val="0"/>
              <w:keepLines w:val="0"/>
              <w:widowControl/>
              <w:suppressLineNumbers w:val="0"/>
              <w:jc w:val="center"/>
              <w:textAlignment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780" w:type="dxa"/>
            <w:vMerge w:val="restart"/>
            <w:vAlign w:val="center"/>
          </w:tcPr>
          <w:p w14:paraId="0DCBFA23">
            <w:pPr>
              <w:keepNext w:val="0"/>
              <w:keepLines w:val="0"/>
              <w:pageBreakBefore w:val="0"/>
              <w:widowControl/>
              <w:kinsoku w:val="0"/>
              <w:wordWrap/>
              <w:overflowPunct/>
              <w:topLinePunct w:val="0"/>
              <w:autoSpaceDE w:val="0"/>
              <w:autoSpaceDN w:val="0"/>
              <w:bidi w:val="0"/>
              <w:adjustRightInd w:val="0"/>
              <w:snapToGrid w:val="0"/>
              <w:spacing w:line="231" w:lineRule="auto"/>
              <w:jc w:val="both"/>
              <w:textAlignment w:val="baseline"/>
              <w:rPr>
                <w:rFonts w:hint="eastAsia"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rPr>
              <w:t>《地表水环境质量标准》（GB3838-2002）Ⅲ类标准</w:t>
            </w:r>
          </w:p>
        </w:tc>
      </w:tr>
      <w:tr w14:paraId="71219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08" w:type="dxa"/>
            <w:vMerge w:val="continue"/>
            <w:shd w:val="clear" w:color="auto" w:fill="auto"/>
            <w:vAlign w:val="center"/>
          </w:tcPr>
          <w:p w14:paraId="7BB19FD2">
            <w:pPr>
              <w:adjustRightInd w:val="0"/>
              <w:snapToGrid w:val="0"/>
              <w:jc w:val="center"/>
              <w:rPr>
                <w:rFonts w:hint="default" w:ascii="Times New Roman" w:hAnsi="Times New Roman" w:eastAsia="宋体" w:cs="Times New Roman"/>
                <w:snapToGrid w:val="0"/>
                <w:color w:val="auto"/>
                <w:spacing w:val="8"/>
                <w:sz w:val="21"/>
                <w:szCs w:val="21"/>
                <w:lang w:val="en-US" w:eastAsia="zh-CN" w:bidi="ar-SA"/>
              </w:rPr>
            </w:pPr>
          </w:p>
        </w:tc>
        <w:tc>
          <w:tcPr>
            <w:tcW w:w="1802" w:type="dxa"/>
            <w:shd w:val="clear" w:color="auto" w:fill="auto"/>
            <w:vAlign w:val="center"/>
          </w:tcPr>
          <w:p w14:paraId="7ED18AE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悬浮物</w:t>
            </w:r>
          </w:p>
        </w:tc>
        <w:tc>
          <w:tcPr>
            <w:tcW w:w="954" w:type="dxa"/>
            <w:shd w:val="clear" w:color="auto" w:fill="auto"/>
            <w:vAlign w:val="center"/>
          </w:tcPr>
          <w:p w14:paraId="2719508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5C7E01FB">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16</w:t>
            </w:r>
          </w:p>
        </w:tc>
        <w:tc>
          <w:tcPr>
            <w:tcW w:w="1558" w:type="dxa"/>
            <w:shd w:val="clear" w:color="auto" w:fill="auto"/>
            <w:vAlign w:val="center"/>
          </w:tcPr>
          <w:p w14:paraId="7BA39052">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16</w:t>
            </w:r>
          </w:p>
        </w:tc>
        <w:tc>
          <w:tcPr>
            <w:tcW w:w="1558" w:type="dxa"/>
            <w:shd w:val="clear" w:color="auto" w:fill="auto"/>
            <w:vAlign w:val="center"/>
          </w:tcPr>
          <w:p w14:paraId="3EFE6A4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11</w:t>
            </w:r>
          </w:p>
        </w:tc>
        <w:tc>
          <w:tcPr>
            <w:tcW w:w="843" w:type="dxa"/>
            <w:vAlign w:val="center"/>
          </w:tcPr>
          <w:p w14:paraId="0EF734E5">
            <w:pPr>
              <w:keepNext w:val="0"/>
              <w:keepLines w:val="0"/>
              <w:widowControl/>
              <w:suppressLineNumbers w:val="0"/>
              <w:jc w:val="center"/>
              <w:textAlignment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780" w:type="dxa"/>
            <w:vMerge w:val="continue"/>
            <w:vAlign w:val="center"/>
          </w:tcPr>
          <w:p w14:paraId="11069DEE">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color w:val="auto"/>
                <w:sz w:val="21"/>
                <w:szCs w:val="21"/>
                <w:vertAlign w:val="baseline"/>
              </w:rPr>
            </w:pPr>
          </w:p>
        </w:tc>
      </w:tr>
      <w:tr w14:paraId="5C6E9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08" w:type="dxa"/>
            <w:vMerge w:val="continue"/>
            <w:shd w:val="clear" w:color="auto" w:fill="auto"/>
            <w:vAlign w:val="center"/>
          </w:tcPr>
          <w:p w14:paraId="0268193C">
            <w:pPr>
              <w:keepNext w:val="0"/>
              <w:keepLines w:val="0"/>
              <w:widowControl/>
              <w:suppressLineNumbers w:val="0"/>
              <w:jc w:val="center"/>
              <w:textAlignment w:val="center"/>
              <w:rPr>
                <w:rFonts w:hint="default" w:ascii="Times New Roman" w:hAnsi="Times New Roman" w:eastAsia="宋体" w:cs="Times New Roman"/>
                <w:snapToGrid w:val="0"/>
                <w:color w:val="auto"/>
                <w:spacing w:val="8"/>
                <w:sz w:val="21"/>
                <w:szCs w:val="21"/>
                <w:lang w:val="en-US" w:eastAsia="zh-CN" w:bidi="ar-SA"/>
              </w:rPr>
            </w:pPr>
          </w:p>
        </w:tc>
        <w:tc>
          <w:tcPr>
            <w:tcW w:w="1802" w:type="dxa"/>
            <w:shd w:val="clear" w:color="auto" w:fill="auto"/>
            <w:vAlign w:val="center"/>
          </w:tcPr>
          <w:p w14:paraId="256EEFC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pH</w:t>
            </w:r>
            <w:r>
              <w:rPr>
                <w:rFonts w:hint="eastAsia" w:ascii="宋体" w:hAnsi="宋体" w:eastAsia="宋体" w:cs="宋体"/>
                <w:i w:val="0"/>
                <w:iCs w:val="0"/>
                <w:color w:val="auto"/>
                <w:kern w:val="0"/>
                <w:sz w:val="21"/>
                <w:szCs w:val="21"/>
                <w:u w:val="none"/>
                <w:lang w:val="en-US" w:eastAsia="zh-CN" w:bidi="ar"/>
              </w:rPr>
              <w:t>值</w:t>
            </w:r>
          </w:p>
        </w:tc>
        <w:tc>
          <w:tcPr>
            <w:tcW w:w="954" w:type="dxa"/>
            <w:shd w:val="clear" w:color="auto" w:fill="auto"/>
            <w:vAlign w:val="center"/>
          </w:tcPr>
          <w:p w14:paraId="4924CCD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无量纲</w:t>
            </w:r>
          </w:p>
        </w:tc>
        <w:tc>
          <w:tcPr>
            <w:tcW w:w="1558" w:type="dxa"/>
            <w:shd w:val="clear" w:color="auto" w:fill="auto"/>
            <w:vAlign w:val="center"/>
          </w:tcPr>
          <w:p w14:paraId="140602A8">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7.1</w:t>
            </w:r>
          </w:p>
        </w:tc>
        <w:tc>
          <w:tcPr>
            <w:tcW w:w="1558" w:type="dxa"/>
            <w:shd w:val="clear" w:color="auto" w:fill="auto"/>
            <w:vAlign w:val="center"/>
          </w:tcPr>
          <w:p w14:paraId="523214A6">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7.1</w:t>
            </w:r>
          </w:p>
        </w:tc>
        <w:tc>
          <w:tcPr>
            <w:tcW w:w="1558" w:type="dxa"/>
            <w:shd w:val="clear" w:color="auto" w:fill="auto"/>
            <w:vAlign w:val="center"/>
          </w:tcPr>
          <w:p w14:paraId="5099EA23">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7.2</w:t>
            </w:r>
          </w:p>
        </w:tc>
        <w:tc>
          <w:tcPr>
            <w:tcW w:w="843" w:type="dxa"/>
            <w:vAlign w:val="center"/>
          </w:tcPr>
          <w:p w14:paraId="5756F900">
            <w:pPr>
              <w:keepNext w:val="0"/>
              <w:keepLines w:val="0"/>
              <w:widowControl/>
              <w:suppressLineNumbers w:val="0"/>
              <w:jc w:val="center"/>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6~9</w:t>
            </w:r>
          </w:p>
        </w:tc>
        <w:tc>
          <w:tcPr>
            <w:tcW w:w="780" w:type="dxa"/>
            <w:vMerge w:val="continue"/>
            <w:vAlign w:val="center"/>
          </w:tcPr>
          <w:p w14:paraId="51C9F253">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color w:val="auto"/>
                <w:sz w:val="21"/>
                <w:szCs w:val="21"/>
                <w:vertAlign w:val="baseline"/>
              </w:rPr>
            </w:pPr>
          </w:p>
        </w:tc>
      </w:tr>
      <w:tr w14:paraId="6C6D3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08" w:type="dxa"/>
            <w:vMerge w:val="continue"/>
            <w:shd w:val="clear" w:color="auto" w:fill="auto"/>
            <w:vAlign w:val="center"/>
          </w:tcPr>
          <w:p w14:paraId="35126C13">
            <w:pPr>
              <w:keepNext w:val="0"/>
              <w:keepLines w:val="0"/>
              <w:widowControl/>
              <w:suppressLineNumbers w:val="0"/>
              <w:jc w:val="center"/>
              <w:textAlignment w:val="center"/>
              <w:rPr>
                <w:rFonts w:hint="default" w:ascii="Times New Roman" w:hAnsi="Times New Roman" w:eastAsia="宋体" w:cs="Times New Roman"/>
                <w:snapToGrid w:val="0"/>
                <w:color w:val="auto"/>
                <w:spacing w:val="8"/>
                <w:sz w:val="21"/>
                <w:szCs w:val="21"/>
                <w:lang w:val="en-US" w:eastAsia="zh-CN" w:bidi="ar-SA"/>
              </w:rPr>
            </w:pPr>
          </w:p>
        </w:tc>
        <w:tc>
          <w:tcPr>
            <w:tcW w:w="1802" w:type="dxa"/>
            <w:shd w:val="clear" w:color="auto" w:fill="auto"/>
            <w:vAlign w:val="center"/>
          </w:tcPr>
          <w:p w14:paraId="6E3F198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溶解氧</w:t>
            </w:r>
          </w:p>
        </w:tc>
        <w:tc>
          <w:tcPr>
            <w:tcW w:w="954" w:type="dxa"/>
            <w:shd w:val="clear" w:color="auto" w:fill="auto"/>
            <w:vAlign w:val="center"/>
          </w:tcPr>
          <w:p w14:paraId="517CE3B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250AF5D4">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6.2</w:t>
            </w:r>
          </w:p>
        </w:tc>
        <w:tc>
          <w:tcPr>
            <w:tcW w:w="1558" w:type="dxa"/>
            <w:shd w:val="clear" w:color="auto" w:fill="auto"/>
            <w:vAlign w:val="center"/>
          </w:tcPr>
          <w:p w14:paraId="5EAA9D5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6.3</w:t>
            </w:r>
          </w:p>
        </w:tc>
        <w:tc>
          <w:tcPr>
            <w:tcW w:w="1558" w:type="dxa"/>
            <w:shd w:val="clear" w:color="auto" w:fill="auto"/>
            <w:vAlign w:val="center"/>
          </w:tcPr>
          <w:p w14:paraId="087471F7">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6.7</w:t>
            </w:r>
          </w:p>
        </w:tc>
        <w:tc>
          <w:tcPr>
            <w:tcW w:w="843" w:type="dxa"/>
            <w:vAlign w:val="center"/>
          </w:tcPr>
          <w:p w14:paraId="72A41543">
            <w:pPr>
              <w:keepNext w:val="0"/>
              <w:keepLines w:val="0"/>
              <w:widowControl/>
              <w:suppressLineNumbers w:val="0"/>
              <w:jc w:val="center"/>
              <w:textAlignment w:val="center"/>
              <w:rPr>
                <w:rFonts w:hint="eastAsia" w:ascii="Times New Roman" w:hAnsi="Times New Roman" w:eastAsia="宋体" w:cs="Times New Roman"/>
                <w:color w:val="auto"/>
                <w:sz w:val="21"/>
                <w:szCs w:val="21"/>
                <w:vertAlign w:val="baseline"/>
                <w:lang w:val="en-US" w:eastAsia="zh-CN"/>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5</w:t>
            </w:r>
          </w:p>
        </w:tc>
        <w:tc>
          <w:tcPr>
            <w:tcW w:w="780" w:type="dxa"/>
            <w:vMerge w:val="continue"/>
            <w:vAlign w:val="center"/>
          </w:tcPr>
          <w:p w14:paraId="1D3504A0">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color w:val="auto"/>
                <w:sz w:val="21"/>
                <w:szCs w:val="21"/>
                <w:vertAlign w:val="baseline"/>
              </w:rPr>
            </w:pPr>
          </w:p>
        </w:tc>
      </w:tr>
      <w:tr w14:paraId="452FF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08" w:type="dxa"/>
            <w:vMerge w:val="continue"/>
            <w:shd w:val="clear" w:color="auto" w:fill="auto"/>
            <w:vAlign w:val="center"/>
          </w:tcPr>
          <w:p w14:paraId="2DCECCEB">
            <w:pPr>
              <w:keepNext w:val="0"/>
              <w:keepLines w:val="0"/>
              <w:widowControl/>
              <w:suppressLineNumbers w:val="0"/>
              <w:jc w:val="center"/>
              <w:textAlignment w:val="center"/>
              <w:rPr>
                <w:rFonts w:hint="default" w:ascii="Times New Roman" w:hAnsi="Times New Roman" w:eastAsia="宋体" w:cs="Times New Roman"/>
                <w:snapToGrid w:val="0"/>
                <w:color w:val="auto"/>
                <w:spacing w:val="8"/>
                <w:sz w:val="21"/>
                <w:szCs w:val="21"/>
                <w:lang w:val="en-US" w:eastAsia="zh-CN" w:bidi="ar-SA"/>
              </w:rPr>
            </w:pPr>
          </w:p>
        </w:tc>
        <w:tc>
          <w:tcPr>
            <w:tcW w:w="1802" w:type="dxa"/>
            <w:shd w:val="clear" w:color="auto" w:fill="auto"/>
            <w:vAlign w:val="center"/>
          </w:tcPr>
          <w:p w14:paraId="2D332DD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化学需氧量</w:t>
            </w:r>
          </w:p>
        </w:tc>
        <w:tc>
          <w:tcPr>
            <w:tcW w:w="954" w:type="dxa"/>
            <w:shd w:val="clear" w:color="auto" w:fill="auto"/>
            <w:vAlign w:val="center"/>
          </w:tcPr>
          <w:p w14:paraId="728F77F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35C5A855">
            <w:pPr>
              <w:keepNext w:val="0"/>
              <w:keepLines w:val="0"/>
              <w:widowControl/>
              <w:suppressLineNumbers w:val="0"/>
              <w:jc w:val="center"/>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17</w:t>
            </w:r>
          </w:p>
        </w:tc>
        <w:tc>
          <w:tcPr>
            <w:tcW w:w="1558" w:type="dxa"/>
            <w:shd w:val="clear" w:color="auto" w:fill="auto"/>
            <w:vAlign w:val="center"/>
          </w:tcPr>
          <w:p w14:paraId="493B061B">
            <w:pPr>
              <w:keepNext w:val="0"/>
              <w:keepLines w:val="0"/>
              <w:widowControl/>
              <w:suppressLineNumbers w:val="0"/>
              <w:jc w:val="center"/>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15</w:t>
            </w:r>
          </w:p>
        </w:tc>
        <w:tc>
          <w:tcPr>
            <w:tcW w:w="1558" w:type="dxa"/>
            <w:shd w:val="clear" w:color="auto" w:fill="auto"/>
            <w:vAlign w:val="center"/>
          </w:tcPr>
          <w:p w14:paraId="03547C64">
            <w:pPr>
              <w:keepNext w:val="0"/>
              <w:keepLines w:val="0"/>
              <w:widowControl/>
              <w:suppressLineNumbers w:val="0"/>
              <w:jc w:val="center"/>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16</w:t>
            </w:r>
          </w:p>
        </w:tc>
        <w:tc>
          <w:tcPr>
            <w:tcW w:w="843" w:type="dxa"/>
            <w:vAlign w:val="center"/>
          </w:tcPr>
          <w:p w14:paraId="4B6DAD37">
            <w:pPr>
              <w:keepNext w:val="0"/>
              <w:keepLines w:val="0"/>
              <w:widowControl/>
              <w:suppressLineNumbers w:val="0"/>
              <w:jc w:val="center"/>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20</w:t>
            </w:r>
          </w:p>
        </w:tc>
        <w:tc>
          <w:tcPr>
            <w:tcW w:w="780" w:type="dxa"/>
            <w:vMerge w:val="continue"/>
            <w:vAlign w:val="center"/>
          </w:tcPr>
          <w:p w14:paraId="5EB66B81">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color w:val="auto"/>
                <w:sz w:val="21"/>
                <w:szCs w:val="21"/>
                <w:vertAlign w:val="baseline"/>
              </w:rPr>
            </w:pPr>
          </w:p>
        </w:tc>
      </w:tr>
      <w:tr w14:paraId="740B1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08" w:type="dxa"/>
            <w:vMerge w:val="continue"/>
            <w:shd w:val="clear" w:color="auto" w:fill="auto"/>
            <w:vAlign w:val="center"/>
          </w:tcPr>
          <w:p w14:paraId="504F9E2F">
            <w:pPr>
              <w:keepNext w:val="0"/>
              <w:keepLines w:val="0"/>
              <w:widowControl/>
              <w:suppressLineNumbers w:val="0"/>
              <w:jc w:val="center"/>
              <w:textAlignment w:val="center"/>
              <w:rPr>
                <w:rFonts w:hint="default" w:ascii="Times New Roman" w:hAnsi="Times New Roman" w:eastAsia="宋体" w:cs="Times New Roman"/>
                <w:snapToGrid w:val="0"/>
                <w:color w:val="auto"/>
                <w:spacing w:val="8"/>
                <w:sz w:val="21"/>
                <w:szCs w:val="21"/>
                <w:lang w:val="en-US" w:eastAsia="zh-CN" w:bidi="ar-SA"/>
              </w:rPr>
            </w:pPr>
          </w:p>
        </w:tc>
        <w:tc>
          <w:tcPr>
            <w:tcW w:w="1802" w:type="dxa"/>
            <w:shd w:val="clear" w:color="auto" w:fill="auto"/>
            <w:vAlign w:val="center"/>
          </w:tcPr>
          <w:p w14:paraId="3326BE5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五日生化需氧量</w:t>
            </w:r>
          </w:p>
        </w:tc>
        <w:tc>
          <w:tcPr>
            <w:tcW w:w="954" w:type="dxa"/>
            <w:shd w:val="clear" w:color="auto" w:fill="auto"/>
            <w:vAlign w:val="center"/>
          </w:tcPr>
          <w:p w14:paraId="50A3B8D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175F540A">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2.1</w:t>
            </w:r>
          </w:p>
        </w:tc>
        <w:tc>
          <w:tcPr>
            <w:tcW w:w="1558" w:type="dxa"/>
            <w:shd w:val="clear" w:color="auto" w:fill="auto"/>
            <w:vAlign w:val="center"/>
          </w:tcPr>
          <w:p w14:paraId="57352570">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2.1</w:t>
            </w:r>
          </w:p>
        </w:tc>
        <w:tc>
          <w:tcPr>
            <w:tcW w:w="1558" w:type="dxa"/>
            <w:shd w:val="clear" w:color="auto" w:fill="auto"/>
            <w:vAlign w:val="center"/>
          </w:tcPr>
          <w:p w14:paraId="005B6C41">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2.5</w:t>
            </w:r>
          </w:p>
        </w:tc>
        <w:tc>
          <w:tcPr>
            <w:tcW w:w="843" w:type="dxa"/>
            <w:vAlign w:val="center"/>
          </w:tcPr>
          <w:p w14:paraId="13A605DF">
            <w:pPr>
              <w:keepNext w:val="0"/>
              <w:keepLines w:val="0"/>
              <w:widowControl/>
              <w:suppressLineNumbers w:val="0"/>
              <w:jc w:val="center"/>
              <w:textAlignment w:val="center"/>
              <w:rPr>
                <w:rFonts w:hint="eastAsia"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4</w:t>
            </w:r>
          </w:p>
        </w:tc>
        <w:tc>
          <w:tcPr>
            <w:tcW w:w="780" w:type="dxa"/>
            <w:vMerge w:val="continue"/>
            <w:vAlign w:val="center"/>
          </w:tcPr>
          <w:p w14:paraId="3B514022">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color w:val="auto"/>
                <w:sz w:val="21"/>
                <w:szCs w:val="21"/>
                <w:vertAlign w:val="baseline"/>
              </w:rPr>
            </w:pPr>
          </w:p>
        </w:tc>
      </w:tr>
      <w:tr w14:paraId="0054B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08" w:type="dxa"/>
            <w:vMerge w:val="continue"/>
            <w:shd w:val="clear" w:color="auto" w:fill="auto"/>
            <w:vAlign w:val="center"/>
          </w:tcPr>
          <w:p w14:paraId="4BEB7FAD">
            <w:pPr>
              <w:keepNext w:val="0"/>
              <w:keepLines w:val="0"/>
              <w:widowControl/>
              <w:suppressLineNumbers w:val="0"/>
              <w:jc w:val="center"/>
              <w:textAlignment w:val="center"/>
              <w:rPr>
                <w:rFonts w:hint="default" w:ascii="Times New Roman" w:hAnsi="Times New Roman" w:eastAsia="宋体" w:cs="Times New Roman"/>
                <w:snapToGrid w:val="0"/>
                <w:color w:val="auto"/>
                <w:kern w:val="0"/>
                <w:sz w:val="21"/>
                <w:szCs w:val="21"/>
                <w:lang w:val="en-US" w:eastAsia="zh-CN" w:bidi="ar"/>
              </w:rPr>
            </w:pPr>
          </w:p>
        </w:tc>
        <w:tc>
          <w:tcPr>
            <w:tcW w:w="1802" w:type="dxa"/>
            <w:shd w:val="clear" w:color="auto" w:fill="auto"/>
            <w:vAlign w:val="center"/>
          </w:tcPr>
          <w:p w14:paraId="1164CC3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氨氮</w:t>
            </w:r>
          </w:p>
        </w:tc>
        <w:tc>
          <w:tcPr>
            <w:tcW w:w="954" w:type="dxa"/>
            <w:shd w:val="clear" w:color="auto" w:fill="auto"/>
            <w:vAlign w:val="center"/>
          </w:tcPr>
          <w:p w14:paraId="2A1E9D4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549936A3">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0.360</w:t>
            </w:r>
          </w:p>
        </w:tc>
        <w:tc>
          <w:tcPr>
            <w:tcW w:w="1558" w:type="dxa"/>
            <w:shd w:val="clear" w:color="auto" w:fill="auto"/>
            <w:vAlign w:val="center"/>
          </w:tcPr>
          <w:p w14:paraId="0FB88BE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0.344</w:t>
            </w:r>
          </w:p>
        </w:tc>
        <w:tc>
          <w:tcPr>
            <w:tcW w:w="1558" w:type="dxa"/>
            <w:shd w:val="clear" w:color="auto" w:fill="auto"/>
            <w:vAlign w:val="center"/>
          </w:tcPr>
          <w:p w14:paraId="10C3D903">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0.322</w:t>
            </w:r>
          </w:p>
        </w:tc>
        <w:tc>
          <w:tcPr>
            <w:tcW w:w="843" w:type="dxa"/>
            <w:shd w:val="clear" w:color="auto" w:fill="auto"/>
            <w:vAlign w:val="center"/>
          </w:tcPr>
          <w:p w14:paraId="05D6E8AB">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w:t>
            </w:r>
            <w:r>
              <w:rPr>
                <w:rFonts w:hint="eastAsia" w:cs="Times New Roman"/>
                <w:i w:val="0"/>
                <w:iCs w:val="0"/>
                <w:color w:val="auto"/>
                <w:kern w:val="0"/>
                <w:sz w:val="21"/>
                <w:szCs w:val="21"/>
                <w:u w:val="none"/>
                <w:lang w:val="en-US" w:eastAsia="zh-CN" w:bidi="ar"/>
              </w:rPr>
              <w:t>.0</w:t>
            </w:r>
          </w:p>
        </w:tc>
        <w:tc>
          <w:tcPr>
            <w:tcW w:w="780" w:type="dxa"/>
            <w:vMerge w:val="continue"/>
            <w:shd w:val="clear" w:color="auto" w:fill="auto"/>
            <w:vAlign w:val="center"/>
          </w:tcPr>
          <w:p w14:paraId="34C64B66">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snapToGrid w:val="0"/>
                <w:color w:val="auto"/>
                <w:sz w:val="21"/>
                <w:szCs w:val="21"/>
                <w:vertAlign w:val="baseline"/>
                <w:lang w:val="en-US" w:eastAsia="zh-CN" w:bidi="ar-SA"/>
              </w:rPr>
            </w:pPr>
          </w:p>
        </w:tc>
      </w:tr>
      <w:tr w14:paraId="4B7D0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1208" w:type="dxa"/>
            <w:vMerge w:val="continue"/>
            <w:shd w:val="clear" w:color="auto" w:fill="auto"/>
            <w:vAlign w:val="center"/>
          </w:tcPr>
          <w:p w14:paraId="152CDFF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802" w:type="dxa"/>
            <w:shd w:val="clear" w:color="auto" w:fill="auto"/>
            <w:vAlign w:val="center"/>
          </w:tcPr>
          <w:p w14:paraId="0C2EDCE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总磷</w:t>
            </w:r>
          </w:p>
        </w:tc>
        <w:tc>
          <w:tcPr>
            <w:tcW w:w="954" w:type="dxa"/>
            <w:shd w:val="clear" w:color="auto" w:fill="auto"/>
            <w:vAlign w:val="center"/>
          </w:tcPr>
          <w:p w14:paraId="2D77669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076AC7F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0.06</w:t>
            </w:r>
          </w:p>
        </w:tc>
        <w:tc>
          <w:tcPr>
            <w:tcW w:w="1558" w:type="dxa"/>
            <w:shd w:val="clear" w:color="auto" w:fill="auto"/>
            <w:vAlign w:val="center"/>
          </w:tcPr>
          <w:p w14:paraId="31442CA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0.09</w:t>
            </w:r>
          </w:p>
        </w:tc>
        <w:tc>
          <w:tcPr>
            <w:tcW w:w="1558" w:type="dxa"/>
            <w:shd w:val="clear" w:color="auto" w:fill="auto"/>
            <w:vAlign w:val="center"/>
          </w:tcPr>
          <w:p w14:paraId="29DCF60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0.09</w:t>
            </w:r>
          </w:p>
        </w:tc>
        <w:tc>
          <w:tcPr>
            <w:tcW w:w="843" w:type="dxa"/>
            <w:shd w:val="clear" w:color="auto" w:fill="auto"/>
            <w:vAlign w:val="center"/>
          </w:tcPr>
          <w:p w14:paraId="71581E3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0.2</w:t>
            </w:r>
          </w:p>
        </w:tc>
        <w:tc>
          <w:tcPr>
            <w:tcW w:w="780" w:type="dxa"/>
            <w:vMerge w:val="continue"/>
            <w:shd w:val="clear" w:color="auto" w:fill="auto"/>
            <w:vAlign w:val="center"/>
          </w:tcPr>
          <w:p w14:paraId="28290661">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color w:val="auto"/>
                <w:sz w:val="21"/>
                <w:szCs w:val="21"/>
                <w:vertAlign w:val="baseline"/>
                <w:lang w:val="en-US" w:eastAsia="zh-CN"/>
              </w:rPr>
            </w:pPr>
          </w:p>
        </w:tc>
      </w:tr>
      <w:tr w14:paraId="27291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08" w:type="dxa"/>
            <w:vMerge w:val="continue"/>
            <w:shd w:val="clear" w:color="auto" w:fill="auto"/>
            <w:vAlign w:val="center"/>
          </w:tcPr>
          <w:p w14:paraId="43718CF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802" w:type="dxa"/>
            <w:shd w:val="clear" w:color="auto" w:fill="auto"/>
            <w:vAlign w:val="center"/>
          </w:tcPr>
          <w:p w14:paraId="1825660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总氮</w:t>
            </w:r>
          </w:p>
        </w:tc>
        <w:tc>
          <w:tcPr>
            <w:tcW w:w="954" w:type="dxa"/>
            <w:shd w:val="clear" w:color="auto" w:fill="auto"/>
            <w:vAlign w:val="center"/>
          </w:tcPr>
          <w:p w14:paraId="1611FC2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2523276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0.61</w:t>
            </w:r>
          </w:p>
        </w:tc>
        <w:tc>
          <w:tcPr>
            <w:tcW w:w="1558" w:type="dxa"/>
            <w:shd w:val="clear" w:color="auto" w:fill="auto"/>
            <w:vAlign w:val="center"/>
          </w:tcPr>
          <w:p w14:paraId="3CC7E6A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0.75</w:t>
            </w:r>
          </w:p>
        </w:tc>
        <w:tc>
          <w:tcPr>
            <w:tcW w:w="1558" w:type="dxa"/>
            <w:shd w:val="clear" w:color="auto" w:fill="auto"/>
            <w:vAlign w:val="center"/>
          </w:tcPr>
          <w:p w14:paraId="76AA37F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0.62</w:t>
            </w:r>
          </w:p>
        </w:tc>
        <w:tc>
          <w:tcPr>
            <w:tcW w:w="843" w:type="dxa"/>
            <w:shd w:val="clear" w:color="auto" w:fill="auto"/>
            <w:vAlign w:val="center"/>
          </w:tcPr>
          <w:p w14:paraId="1C06412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1.0</w:t>
            </w:r>
          </w:p>
        </w:tc>
        <w:tc>
          <w:tcPr>
            <w:tcW w:w="780" w:type="dxa"/>
            <w:vMerge w:val="continue"/>
            <w:shd w:val="clear" w:color="auto" w:fill="auto"/>
            <w:vAlign w:val="center"/>
          </w:tcPr>
          <w:p w14:paraId="1E12CED9">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color w:val="auto"/>
                <w:sz w:val="21"/>
                <w:szCs w:val="21"/>
                <w:vertAlign w:val="baseline"/>
                <w:lang w:val="en-US" w:eastAsia="zh-CN"/>
              </w:rPr>
            </w:pPr>
          </w:p>
        </w:tc>
      </w:tr>
      <w:tr w14:paraId="48D8A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08" w:type="dxa"/>
            <w:vMerge w:val="continue"/>
            <w:shd w:val="clear" w:color="auto" w:fill="auto"/>
            <w:vAlign w:val="center"/>
          </w:tcPr>
          <w:p w14:paraId="57713BD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802" w:type="dxa"/>
            <w:shd w:val="clear" w:color="auto" w:fill="auto"/>
            <w:vAlign w:val="center"/>
          </w:tcPr>
          <w:p w14:paraId="32E23DF4">
            <w:pPr>
              <w:spacing w:before="31" w:beforeLines="10" w:after="31" w:afterLines="10"/>
              <w:jc w:val="center"/>
              <w:rPr>
                <w:rFonts w:hint="eastAsia" w:ascii="宋体" w:hAnsi="宋体" w:eastAsia="宋体" w:cs="宋体"/>
                <w:i w:val="0"/>
                <w:iCs w:val="0"/>
                <w:color w:val="auto"/>
                <w:kern w:val="0"/>
                <w:sz w:val="21"/>
                <w:szCs w:val="21"/>
                <w:u w:val="none"/>
                <w:lang w:val="en-US" w:eastAsia="zh-CN" w:bidi="ar"/>
              </w:rPr>
            </w:pPr>
            <w:r>
              <w:rPr>
                <w:rFonts w:hint="eastAsia" w:cs="Times New Roman"/>
                <w:color w:val="auto"/>
                <w:sz w:val="21"/>
                <w:szCs w:val="21"/>
                <w:lang w:val="en-US" w:eastAsia="zh-CN"/>
              </w:rPr>
              <w:t>河宽</w:t>
            </w:r>
          </w:p>
        </w:tc>
        <w:tc>
          <w:tcPr>
            <w:tcW w:w="954" w:type="dxa"/>
            <w:shd w:val="clear" w:color="auto" w:fill="auto"/>
            <w:vAlign w:val="center"/>
          </w:tcPr>
          <w:p w14:paraId="41A1ECC2">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bCs/>
                <w:color w:val="auto"/>
                <w:sz w:val="21"/>
                <w:szCs w:val="21"/>
                <w:lang w:val="en-US" w:eastAsia="zh-CN"/>
              </w:rPr>
              <w:t>m</w:t>
            </w:r>
          </w:p>
        </w:tc>
        <w:tc>
          <w:tcPr>
            <w:tcW w:w="5517" w:type="dxa"/>
            <w:gridSpan w:val="4"/>
            <w:shd w:val="clear" w:color="auto" w:fill="auto"/>
            <w:vAlign w:val="center"/>
          </w:tcPr>
          <w:p w14:paraId="5009799E">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r>
              <w:rPr>
                <w:rFonts w:hint="eastAsia" w:cs="Times New Roman"/>
                <w:color w:val="auto"/>
                <w:kern w:val="2"/>
                <w:sz w:val="21"/>
                <w:szCs w:val="21"/>
                <w:highlight w:val="none"/>
                <w:lang w:val="en-US" w:eastAsia="zh-CN" w:bidi="ar-SA"/>
              </w:rPr>
              <w:t>4</w:t>
            </w:r>
          </w:p>
        </w:tc>
        <w:tc>
          <w:tcPr>
            <w:tcW w:w="780" w:type="dxa"/>
            <w:vMerge w:val="continue"/>
            <w:shd w:val="clear" w:color="auto" w:fill="auto"/>
            <w:vAlign w:val="center"/>
          </w:tcPr>
          <w:p w14:paraId="4C1A2E29">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color w:val="auto"/>
                <w:sz w:val="21"/>
                <w:szCs w:val="21"/>
                <w:vertAlign w:val="baseline"/>
                <w:lang w:val="en-US" w:eastAsia="zh-CN"/>
              </w:rPr>
            </w:pPr>
          </w:p>
        </w:tc>
      </w:tr>
      <w:tr w14:paraId="13436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08" w:type="dxa"/>
            <w:vMerge w:val="continue"/>
            <w:shd w:val="clear" w:color="auto" w:fill="auto"/>
            <w:vAlign w:val="center"/>
          </w:tcPr>
          <w:p w14:paraId="67AFCB0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802" w:type="dxa"/>
            <w:shd w:val="clear" w:color="auto" w:fill="auto"/>
            <w:vAlign w:val="center"/>
          </w:tcPr>
          <w:p w14:paraId="0B8E6EF5">
            <w:pPr>
              <w:spacing w:before="31" w:beforeLines="10" w:after="31" w:afterLines="10"/>
              <w:jc w:val="center"/>
              <w:rPr>
                <w:rFonts w:hint="eastAsia" w:ascii="宋体" w:hAnsi="宋体" w:eastAsia="宋体" w:cs="宋体"/>
                <w:i w:val="0"/>
                <w:iCs w:val="0"/>
                <w:color w:val="auto"/>
                <w:kern w:val="0"/>
                <w:sz w:val="21"/>
                <w:szCs w:val="21"/>
                <w:u w:val="none"/>
                <w:lang w:val="en-US" w:eastAsia="zh-CN" w:bidi="ar"/>
              </w:rPr>
            </w:pPr>
            <w:r>
              <w:rPr>
                <w:rFonts w:hint="eastAsia" w:cs="Times New Roman"/>
                <w:color w:val="auto"/>
                <w:sz w:val="21"/>
                <w:szCs w:val="21"/>
                <w:lang w:val="en-US" w:eastAsia="zh-CN"/>
              </w:rPr>
              <w:t>水深</w:t>
            </w:r>
          </w:p>
        </w:tc>
        <w:tc>
          <w:tcPr>
            <w:tcW w:w="954" w:type="dxa"/>
            <w:shd w:val="clear" w:color="auto" w:fill="auto"/>
            <w:vAlign w:val="center"/>
          </w:tcPr>
          <w:p w14:paraId="7895786A">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bCs/>
                <w:color w:val="auto"/>
                <w:sz w:val="21"/>
                <w:szCs w:val="21"/>
                <w:lang w:val="en-US" w:eastAsia="zh-CN"/>
              </w:rPr>
              <w:t>m</w:t>
            </w:r>
          </w:p>
        </w:tc>
        <w:tc>
          <w:tcPr>
            <w:tcW w:w="5517" w:type="dxa"/>
            <w:gridSpan w:val="4"/>
            <w:shd w:val="clear" w:color="auto" w:fill="auto"/>
            <w:vAlign w:val="center"/>
          </w:tcPr>
          <w:p w14:paraId="3C07E03C">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r>
              <w:rPr>
                <w:rFonts w:hint="eastAsia" w:cs="Times New Roman"/>
                <w:color w:val="auto"/>
                <w:kern w:val="2"/>
                <w:sz w:val="21"/>
                <w:szCs w:val="21"/>
                <w:highlight w:val="none"/>
                <w:lang w:val="en-US" w:eastAsia="zh-CN" w:bidi="ar-SA"/>
              </w:rPr>
              <w:t>0.5</w:t>
            </w:r>
          </w:p>
        </w:tc>
        <w:tc>
          <w:tcPr>
            <w:tcW w:w="780" w:type="dxa"/>
            <w:vMerge w:val="continue"/>
            <w:shd w:val="clear" w:color="auto" w:fill="auto"/>
            <w:vAlign w:val="center"/>
          </w:tcPr>
          <w:p w14:paraId="4FE67CE5">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color w:val="auto"/>
                <w:sz w:val="21"/>
                <w:szCs w:val="21"/>
                <w:vertAlign w:val="baseline"/>
                <w:lang w:val="en-US" w:eastAsia="zh-CN"/>
              </w:rPr>
            </w:pPr>
          </w:p>
        </w:tc>
      </w:tr>
      <w:tr w14:paraId="4485A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08" w:type="dxa"/>
            <w:vMerge w:val="continue"/>
            <w:shd w:val="clear" w:color="auto" w:fill="auto"/>
            <w:vAlign w:val="center"/>
          </w:tcPr>
          <w:p w14:paraId="488DDCE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802" w:type="dxa"/>
            <w:shd w:val="clear" w:color="auto" w:fill="auto"/>
            <w:vAlign w:val="center"/>
          </w:tcPr>
          <w:p w14:paraId="60EF11CB">
            <w:pPr>
              <w:spacing w:before="31" w:beforeLines="10" w:after="31" w:afterLines="10"/>
              <w:jc w:val="center"/>
              <w:rPr>
                <w:rFonts w:hint="eastAsia" w:ascii="宋体" w:hAnsi="宋体" w:eastAsia="宋体" w:cs="宋体"/>
                <w:i w:val="0"/>
                <w:iCs w:val="0"/>
                <w:color w:val="auto"/>
                <w:kern w:val="0"/>
                <w:sz w:val="21"/>
                <w:szCs w:val="21"/>
                <w:u w:val="none"/>
                <w:lang w:val="en-US" w:eastAsia="zh-CN" w:bidi="ar"/>
              </w:rPr>
            </w:pPr>
            <w:r>
              <w:rPr>
                <w:rFonts w:hint="eastAsia" w:cs="Times New Roman"/>
                <w:color w:val="auto"/>
                <w:sz w:val="21"/>
                <w:szCs w:val="21"/>
                <w:lang w:val="en-US" w:eastAsia="zh-CN"/>
              </w:rPr>
              <w:t>流速</w:t>
            </w:r>
          </w:p>
        </w:tc>
        <w:tc>
          <w:tcPr>
            <w:tcW w:w="954" w:type="dxa"/>
            <w:shd w:val="clear" w:color="auto" w:fill="auto"/>
            <w:vAlign w:val="center"/>
          </w:tcPr>
          <w:p w14:paraId="3C2B30EF">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bCs/>
                <w:color w:val="auto"/>
                <w:sz w:val="21"/>
                <w:szCs w:val="21"/>
                <w:lang w:val="en-US" w:eastAsia="zh-CN"/>
              </w:rPr>
              <w:t>m</w:t>
            </w:r>
            <w:r>
              <w:rPr>
                <w:rFonts w:hint="eastAsia" w:eastAsia="宋体" w:cs="Times New Roman"/>
                <w:bCs/>
                <w:color w:val="auto"/>
                <w:sz w:val="21"/>
                <w:szCs w:val="21"/>
                <w:lang w:val="en-US" w:eastAsia="zh-CN"/>
              </w:rPr>
              <w:t>/s</w:t>
            </w:r>
          </w:p>
        </w:tc>
        <w:tc>
          <w:tcPr>
            <w:tcW w:w="5517" w:type="dxa"/>
            <w:gridSpan w:val="4"/>
            <w:shd w:val="clear" w:color="auto" w:fill="auto"/>
            <w:vAlign w:val="center"/>
          </w:tcPr>
          <w:p w14:paraId="65032DCE">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r>
              <w:rPr>
                <w:rFonts w:hint="eastAsia" w:cs="Times New Roman"/>
                <w:color w:val="auto"/>
                <w:kern w:val="2"/>
                <w:sz w:val="21"/>
                <w:szCs w:val="21"/>
                <w:highlight w:val="none"/>
                <w:lang w:val="en-US" w:eastAsia="zh-CN" w:bidi="ar-SA"/>
              </w:rPr>
              <w:t>0.33</w:t>
            </w:r>
          </w:p>
        </w:tc>
        <w:tc>
          <w:tcPr>
            <w:tcW w:w="780" w:type="dxa"/>
            <w:vMerge w:val="continue"/>
            <w:shd w:val="clear" w:color="auto" w:fill="auto"/>
            <w:vAlign w:val="center"/>
          </w:tcPr>
          <w:p w14:paraId="401EE95D">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color w:val="auto"/>
                <w:sz w:val="21"/>
                <w:szCs w:val="21"/>
                <w:vertAlign w:val="baseline"/>
                <w:lang w:val="en-US" w:eastAsia="zh-CN"/>
              </w:rPr>
            </w:pPr>
          </w:p>
        </w:tc>
      </w:tr>
      <w:tr w14:paraId="5FC52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08" w:type="dxa"/>
            <w:vMerge w:val="continue"/>
            <w:shd w:val="clear" w:color="auto" w:fill="auto"/>
            <w:vAlign w:val="center"/>
          </w:tcPr>
          <w:p w14:paraId="5214608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802" w:type="dxa"/>
            <w:shd w:val="clear" w:color="auto" w:fill="auto"/>
            <w:vAlign w:val="center"/>
          </w:tcPr>
          <w:p w14:paraId="65F6ECB3">
            <w:pPr>
              <w:spacing w:before="31" w:beforeLines="10" w:after="31" w:afterLines="10"/>
              <w:jc w:val="center"/>
              <w:rPr>
                <w:rFonts w:hint="eastAsia" w:ascii="宋体" w:hAnsi="宋体" w:eastAsia="宋体" w:cs="宋体"/>
                <w:i w:val="0"/>
                <w:iCs w:val="0"/>
                <w:color w:val="auto"/>
                <w:kern w:val="0"/>
                <w:sz w:val="21"/>
                <w:szCs w:val="21"/>
                <w:u w:val="none"/>
                <w:lang w:val="en-US" w:eastAsia="zh-CN" w:bidi="ar"/>
              </w:rPr>
            </w:pPr>
            <w:r>
              <w:rPr>
                <w:rFonts w:hint="eastAsia" w:cs="Times New Roman"/>
                <w:color w:val="auto"/>
                <w:sz w:val="21"/>
                <w:szCs w:val="21"/>
                <w:lang w:val="en-US" w:eastAsia="zh-CN"/>
              </w:rPr>
              <w:t>坡降度</w:t>
            </w:r>
          </w:p>
        </w:tc>
        <w:tc>
          <w:tcPr>
            <w:tcW w:w="954" w:type="dxa"/>
            <w:shd w:val="clear" w:color="auto" w:fill="auto"/>
            <w:vAlign w:val="center"/>
          </w:tcPr>
          <w:p w14:paraId="268F65A0">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Arial" w:hAnsi="Arial" w:eastAsia="宋体" w:cs="Arial"/>
                <w:bCs/>
                <w:color w:val="auto"/>
                <w:sz w:val="21"/>
                <w:szCs w:val="21"/>
                <w:lang w:val="en-US" w:eastAsia="zh-CN"/>
              </w:rPr>
              <w:t>‰</w:t>
            </w:r>
          </w:p>
        </w:tc>
        <w:tc>
          <w:tcPr>
            <w:tcW w:w="5517" w:type="dxa"/>
            <w:gridSpan w:val="4"/>
            <w:shd w:val="clear" w:color="auto" w:fill="auto"/>
            <w:vAlign w:val="center"/>
          </w:tcPr>
          <w:p w14:paraId="3245CCD7">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r>
              <w:rPr>
                <w:rFonts w:hint="eastAsia" w:cs="Times New Roman"/>
                <w:color w:val="auto"/>
                <w:kern w:val="2"/>
                <w:sz w:val="21"/>
                <w:szCs w:val="21"/>
                <w:highlight w:val="none"/>
                <w:lang w:val="en-US" w:eastAsia="zh-CN" w:bidi="ar-SA"/>
              </w:rPr>
              <w:t>0.09</w:t>
            </w:r>
          </w:p>
        </w:tc>
        <w:tc>
          <w:tcPr>
            <w:tcW w:w="780" w:type="dxa"/>
            <w:vMerge w:val="continue"/>
            <w:shd w:val="clear" w:color="auto" w:fill="auto"/>
            <w:vAlign w:val="center"/>
          </w:tcPr>
          <w:p w14:paraId="75779662">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color w:val="auto"/>
                <w:sz w:val="21"/>
                <w:szCs w:val="21"/>
                <w:vertAlign w:val="baseline"/>
                <w:lang w:val="en-US" w:eastAsia="zh-CN"/>
              </w:rPr>
            </w:pPr>
          </w:p>
        </w:tc>
      </w:tr>
      <w:tr w14:paraId="4FBE3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1208" w:type="dxa"/>
            <w:vMerge w:val="restart"/>
            <w:shd w:val="clear" w:color="auto" w:fill="auto"/>
            <w:vAlign w:val="center"/>
          </w:tcPr>
          <w:p w14:paraId="0504743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color w:val="auto"/>
                <w:sz w:val="21"/>
                <w:szCs w:val="21"/>
                <w:lang w:eastAsia="zh-CN"/>
              </w:rPr>
              <w:t>W2入河排污口处</w:t>
            </w:r>
          </w:p>
        </w:tc>
        <w:tc>
          <w:tcPr>
            <w:tcW w:w="1802" w:type="dxa"/>
            <w:shd w:val="clear" w:color="auto" w:fill="auto"/>
            <w:vAlign w:val="center"/>
          </w:tcPr>
          <w:p w14:paraId="7B4AD9D4">
            <w:pPr>
              <w:keepNext w:val="0"/>
              <w:keepLines w:val="0"/>
              <w:widowControl/>
              <w:suppressLineNumbers w:val="0"/>
              <w:jc w:val="center"/>
              <w:textAlignment w:val="center"/>
              <w:rPr>
                <w:rFonts w:hint="eastAsia" w:cs="Times New Roman"/>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悬浮物</w:t>
            </w:r>
          </w:p>
        </w:tc>
        <w:tc>
          <w:tcPr>
            <w:tcW w:w="954" w:type="dxa"/>
            <w:shd w:val="clear" w:color="auto" w:fill="auto"/>
            <w:vAlign w:val="center"/>
          </w:tcPr>
          <w:p w14:paraId="07B5C17D">
            <w:pPr>
              <w:keepNext w:val="0"/>
              <w:keepLines w:val="0"/>
              <w:widowControl/>
              <w:suppressLineNumbers w:val="0"/>
              <w:jc w:val="center"/>
              <w:textAlignment w:val="center"/>
              <w:rPr>
                <w:rFonts w:hint="default" w:ascii="Arial" w:hAnsi="Arial" w:eastAsia="宋体" w:cs="Arial"/>
                <w:bCs/>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00D3C0C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w:t>
            </w:r>
          </w:p>
        </w:tc>
        <w:tc>
          <w:tcPr>
            <w:tcW w:w="1558" w:type="dxa"/>
            <w:shd w:val="clear" w:color="auto" w:fill="auto"/>
            <w:vAlign w:val="center"/>
          </w:tcPr>
          <w:p w14:paraId="275406B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17</w:t>
            </w:r>
          </w:p>
        </w:tc>
        <w:tc>
          <w:tcPr>
            <w:tcW w:w="1558" w:type="dxa"/>
            <w:shd w:val="clear" w:color="auto" w:fill="auto"/>
            <w:vAlign w:val="center"/>
          </w:tcPr>
          <w:p w14:paraId="1878E6D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w:t>
            </w:r>
          </w:p>
        </w:tc>
        <w:tc>
          <w:tcPr>
            <w:tcW w:w="843" w:type="dxa"/>
            <w:shd w:val="clear" w:color="auto" w:fill="auto"/>
            <w:vAlign w:val="center"/>
          </w:tcPr>
          <w:p w14:paraId="6B45DF59">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r>
              <w:rPr>
                <w:rFonts w:hint="eastAsia" w:ascii="Times New Roman" w:hAnsi="Times New Roman" w:eastAsia="宋体" w:cs="Times New Roman"/>
                <w:color w:val="auto"/>
                <w:sz w:val="21"/>
                <w:szCs w:val="21"/>
                <w:vertAlign w:val="baseline"/>
                <w:lang w:val="en-US" w:eastAsia="zh-CN"/>
              </w:rPr>
              <w:t>/</w:t>
            </w:r>
          </w:p>
        </w:tc>
        <w:tc>
          <w:tcPr>
            <w:tcW w:w="780" w:type="dxa"/>
            <w:vMerge w:val="restart"/>
            <w:shd w:val="clear" w:color="auto" w:fill="auto"/>
            <w:vAlign w:val="center"/>
          </w:tcPr>
          <w:p w14:paraId="28BF65A2">
            <w:pPr>
              <w:keepNext w:val="0"/>
              <w:keepLines w:val="0"/>
              <w:pageBreakBefore w:val="0"/>
              <w:widowControl/>
              <w:kinsoku w:val="0"/>
              <w:wordWrap/>
              <w:overflowPunct/>
              <w:topLinePunct w:val="0"/>
              <w:autoSpaceDE w:val="0"/>
              <w:autoSpaceDN w:val="0"/>
              <w:bidi w:val="0"/>
              <w:adjustRightInd w:val="0"/>
              <w:snapToGrid w:val="0"/>
              <w:spacing w:line="231" w:lineRule="auto"/>
              <w:jc w:val="both"/>
              <w:textAlignment w:val="baseline"/>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rPr>
              <w:t>《地表水环境质量标准》（GB3838-2002）Ⅲ类标准</w:t>
            </w:r>
          </w:p>
        </w:tc>
      </w:tr>
      <w:tr w14:paraId="73FEE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1208" w:type="dxa"/>
            <w:vMerge w:val="continue"/>
            <w:shd w:val="clear" w:color="auto" w:fill="auto"/>
            <w:vAlign w:val="center"/>
          </w:tcPr>
          <w:p w14:paraId="634DEBB1">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color w:val="auto"/>
              </w:rPr>
            </w:pPr>
          </w:p>
        </w:tc>
        <w:tc>
          <w:tcPr>
            <w:tcW w:w="1802" w:type="dxa"/>
            <w:shd w:val="clear" w:color="auto" w:fill="auto"/>
            <w:vAlign w:val="center"/>
          </w:tcPr>
          <w:p w14:paraId="7BDE7C87">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pH</w:t>
            </w:r>
            <w:r>
              <w:rPr>
                <w:rFonts w:hint="eastAsia" w:ascii="宋体" w:hAnsi="宋体" w:eastAsia="宋体" w:cs="宋体"/>
                <w:i w:val="0"/>
                <w:iCs w:val="0"/>
                <w:color w:val="auto"/>
                <w:kern w:val="0"/>
                <w:sz w:val="21"/>
                <w:szCs w:val="21"/>
                <w:u w:val="none"/>
                <w:lang w:val="en-US" w:eastAsia="zh-CN" w:bidi="ar"/>
              </w:rPr>
              <w:t>值</w:t>
            </w:r>
          </w:p>
        </w:tc>
        <w:tc>
          <w:tcPr>
            <w:tcW w:w="954" w:type="dxa"/>
            <w:shd w:val="clear" w:color="auto" w:fill="auto"/>
            <w:vAlign w:val="center"/>
          </w:tcPr>
          <w:p w14:paraId="6819148E">
            <w:pPr>
              <w:keepNext w:val="0"/>
              <w:keepLines w:val="0"/>
              <w:widowControl/>
              <w:suppressLineNumbers w:val="0"/>
              <w:jc w:val="center"/>
              <w:textAlignment w:val="center"/>
              <w:rPr>
                <w:rFonts w:hint="eastAsia" w:cs="Times New Roman"/>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无量纲</w:t>
            </w:r>
          </w:p>
        </w:tc>
        <w:tc>
          <w:tcPr>
            <w:tcW w:w="1558" w:type="dxa"/>
            <w:shd w:val="clear" w:color="auto" w:fill="auto"/>
            <w:vAlign w:val="center"/>
          </w:tcPr>
          <w:p w14:paraId="6B72CAFE">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7.2</w:t>
            </w:r>
          </w:p>
        </w:tc>
        <w:tc>
          <w:tcPr>
            <w:tcW w:w="1558" w:type="dxa"/>
            <w:shd w:val="clear" w:color="auto" w:fill="auto"/>
            <w:vAlign w:val="center"/>
          </w:tcPr>
          <w:p w14:paraId="4570043B">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7.3</w:t>
            </w:r>
          </w:p>
        </w:tc>
        <w:tc>
          <w:tcPr>
            <w:tcW w:w="1558" w:type="dxa"/>
            <w:shd w:val="clear" w:color="auto" w:fill="auto"/>
            <w:vAlign w:val="center"/>
          </w:tcPr>
          <w:p w14:paraId="621A6107">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7.2</w:t>
            </w:r>
          </w:p>
        </w:tc>
        <w:tc>
          <w:tcPr>
            <w:tcW w:w="843" w:type="dxa"/>
            <w:shd w:val="clear" w:color="auto" w:fill="auto"/>
            <w:vAlign w:val="center"/>
          </w:tcPr>
          <w:p w14:paraId="5AE09CD0">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6~9</w:t>
            </w:r>
          </w:p>
        </w:tc>
        <w:tc>
          <w:tcPr>
            <w:tcW w:w="780" w:type="dxa"/>
            <w:vMerge w:val="continue"/>
            <w:shd w:val="clear" w:color="auto" w:fill="auto"/>
            <w:vAlign w:val="center"/>
          </w:tcPr>
          <w:p w14:paraId="398B47AD">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r>
      <w:tr w14:paraId="6D6F0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1208" w:type="dxa"/>
            <w:vMerge w:val="continue"/>
            <w:shd w:val="clear" w:color="auto" w:fill="auto"/>
            <w:vAlign w:val="center"/>
          </w:tcPr>
          <w:p w14:paraId="5F4CAEB6">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c>
          <w:tcPr>
            <w:tcW w:w="1802" w:type="dxa"/>
            <w:shd w:val="clear" w:color="auto" w:fill="auto"/>
            <w:vAlign w:val="center"/>
          </w:tcPr>
          <w:p w14:paraId="1DA4BC58">
            <w:pPr>
              <w:keepNext w:val="0"/>
              <w:keepLines w:val="0"/>
              <w:widowControl/>
              <w:suppressLineNumbers w:val="0"/>
              <w:jc w:val="center"/>
              <w:textAlignment w:val="center"/>
              <w:rPr>
                <w:rFonts w:hint="eastAsia" w:cs="Times New Roman"/>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溶解氧</w:t>
            </w:r>
          </w:p>
        </w:tc>
        <w:tc>
          <w:tcPr>
            <w:tcW w:w="954" w:type="dxa"/>
            <w:shd w:val="clear" w:color="auto" w:fill="auto"/>
            <w:vAlign w:val="center"/>
          </w:tcPr>
          <w:p w14:paraId="568A6BA6">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3457C95C">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5.9</w:t>
            </w:r>
          </w:p>
        </w:tc>
        <w:tc>
          <w:tcPr>
            <w:tcW w:w="1558" w:type="dxa"/>
            <w:shd w:val="clear" w:color="auto" w:fill="auto"/>
            <w:vAlign w:val="center"/>
          </w:tcPr>
          <w:p w14:paraId="4F207AA2">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6.7</w:t>
            </w:r>
          </w:p>
        </w:tc>
        <w:tc>
          <w:tcPr>
            <w:tcW w:w="1558" w:type="dxa"/>
            <w:shd w:val="clear" w:color="auto" w:fill="auto"/>
            <w:vAlign w:val="center"/>
          </w:tcPr>
          <w:p w14:paraId="5ED7D96F">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6.7</w:t>
            </w:r>
          </w:p>
        </w:tc>
        <w:tc>
          <w:tcPr>
            <w:tcW w:w="843" w:type="dxa"/>
            <w:shd w:val="clear" w:color="auto" w:fill="auto"/>
            <w:vAlign w:val="center"/>
          </w:tcPr>
          <w:p w14:paraId="15CA6B13">
            <w:pPr>
              <w:keepNext w:val="0"/>
              <w:keepLines w:val="0"/>
              <w:widowControl/>
              <w:suppressLineNumbers w:val="0"/>
              <w:jc w:val="center"/>
              <w:textAlignment w:val="center"/>
              <w:rPr>
                <w:rFonts w:hint="eastAsia" w:cs="Times New Roman"/>
                <w:color w:val="auto"/>
                <w:sz w:val="21"/>
                <w:szCs w:val="21"/>
                <w:lang w:val="en-US" w:eastAsia="zh-CN"/>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5</w:t>
            </w:r>
          </w:p>
        </w:tc>
        <w:tc>
          <w:tcPr>
            <w:tcW w:w="780" w:type="dxa"/>
            <w:vMerge w:val="continue"/>
            <w:shd w:val="clear" w:color="auto" w:fill="auto"/>
            <w:vAlign w:val="center"/>
          </w:tcPr>
          <w:p w14:paraId="346E6F26">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r>
      <w:tr w14:paraId="12402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1208" w:type="dxa"/>
            <w:vMerge w:val="continue"/>
            <w:shd w:val="clear" w:color="auto" w:fill="auto"/>
            <w:vAlign w:val="center"/>
          </w:tcPr>
          <w:p w14:paraId="05C22EF5">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c>
          <w:tcPr>
            <w:tcW w:w="1802" w:type="dxa"/>
            <w:shd w:val="clear" w:color="auto" w:fill="auto"/>
            <w:vAlign w:val="center"/>
          </w:tcPr>
          <w:p w14:paraId="2DFDC3B3">
            <w:pPr>
              <w:keepNext w:val="0"/>
              <w:keepLines w:val="0"/>
              <w:widowControl/>
              <w:suppressLineNumbers w:val="0"/>
              <w:jc w:val="center"/>
              <w:textAlignment w:val="center"/>
              <w:rPr>
                <w:rFonts w:hint="eastAsia" w:cs="Times New Roman"/>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化学需氧量</w:t>
            </w:r>
          </w:p>
        </w:tc>
        <w:tc>
          <w:tcPr>
            <w:tcW w:w="954" w:type="dxa"/>
            <w:shd w:val="clear" w:color="auto" w:fill="auto"/>
            <w:vAlign w:val="center"/>
          </w:tcPr>
          <w:p w14:paraId="319A1153">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54BCD57E">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18</w:t>
            </w:r>
          </w:p>
        </w:tc>
        <w:tc>
          <w:tcPr>
            <w:tcW w:w="1558" w:type="dxa"/>
            <w:shd w:val="clear" w:color="auto" w:fill="auto"/>
            <w:vAlign w:val="center"/>
          </w:tcPr>
          <w:p w14:paraId="7CA6364B">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18</w:t>
            </w:r>
          </w:p>
        </w:tc>
        <w:tc>
          <w:tcPr>
            <w:tcW w:w="1558" w:type="dxa"/>
            <w:shd w:val="clear" w:color="auto" w:fill="auto"/>
            <w:vAlign w:val="center"/>
          </w:tcPr>
          <w:p w14:paraId="107BCFC3">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17</w:t>
            </w:r>
          </w:p>
        </w:tc>
        <w:tc>
          <w:tcPr>
            <w:tcW w:w="843" w:type="dxa"/>
            <w:shd w:val="clear" w:color="auto" w:fill="auto"/>
            <w:vAlign w:val="center"/>
          </w:tcPr>
          <w:p w14:paraId="164393B4">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20</w:t>
            </w:r>
          </w:p>
        </w:tc>
        <w:tc>
          <w:tcPr>
            <w:tcW w:w="780" w:type="dxa"/>
            <w:vMerge w:val="continue"/>
            <w:shd w:val="clear" w:color="auto" w:fill="auto"/>
            <w:vAlign w:val="center"/>
          </w:tcPr>
          <w:p w14:paraId="40F49004">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r>
      <w:tr w14:paraId="59C1E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1208" w:type="dxa"/>
            <w:vMerge w:val="continue"/>
            <w:shd w:val="clear" w:color="auto" w:fill="auto"/>
            <w:vAlign w:val="center"/>
          </w:tcPr>
          <w:p w14:paraId="4E779CF4">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c>
          <w:tcPr>
            <w:tcW w:w="1802" w:type="dxa"/>
            <w:shd w:val="clear" w:color="auto" w:fill="auto"/>
            <w:vAlign w:val="center"/>
          </w:tcPr>
          <w:p w14:paraId="7EDD32B2">
            <w:pPr>
              <w:keepNext w:val="0"/>
              <w:keepLines w:val="0"/>
              <w:widowControl/>
              <w:suppressLineNumbers w:val="0"/>
              <w:jc w:val="center"/>
              <w:textAlignment w:val="center"/>
              <w:rPr>
                <w:rFonts w:hint="eastAsia" w:cs="Times New Roman"/>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五日生化需氧量</w:t>
            </w:r>
          </w:p>
        </w:tc>
        <w:tc>
          <w:tcPr>
            <w:tcW w:w="954" w:type="dxa"/>
            <w:shd w:val="clear" w:color="auto" w:fill="auto"/>
            <w:vAlign w:val="center"/>
          </w:tcPr>
          <w:p w14:paraId="26C0D764">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78DFCCF7">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2.4</w:t>
            </w:r>
          </w:p>
        </w:tc>
        <w:tc>
          <w:tcPr>
            <w:tcW w:w="1558" w:type="dxa"/>
            <w:shd w:val="clear" w:color="auto" w:fill="auto"/>
            <w:vAlign w:val="center"/>
          </w:tcPr>
          <w:p w14:paraId="62AB592A">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2.4</w:t>
            </w:r>
          </w:p>
        </w:tc>
        <w:tc>
          <w:tcPr>
            <w:tcW w:w="1558" w:type="dxa"/>
            <w:shd w:val="clear" w:color="auto" w:fill="auto"/>
            <w:vAlign w:val="center"/>
          </w:tcPr>
          <w:p w14:paraId="6AE9DE56">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2.2</w:t>
            </w:r>
          </w:p>
        </w:tc>
        <w:tc>
          <w:tcPr>
            <w:tcW w:w="843" w:type="dxa"/>
            <w:shd w:val="clear" w:color="auto" w:fill="auto"/>
            <w:vAlign w:val="center"/>
          </w:tcPr>
          <w:p w14:paraId="663F4A20">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4</w:t>
            </w:r>
          </w:p>
        </w:tc>
        <w:tc>
          <w:tcPr>
            <w:tcW w:w="780" w:type="dxa"/>
            <w:vMerge w:val="continue"/>
            <w:shd w:val="clear" w:color="auto" w:fill="auto"/>
            <w:vAlign w:val="center"/>
          </w:tcPr>
          <w:p w14:paraId="5689BE5A">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r>
      <w:tr w14:paraId="1BF92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1208" w:type="dxa"/>
            <w:vMerge w:val="continue"/>
            <w:shd w:val="clear" w:color="auto" w:fill="auto"/>
            <w:vAlign w:val="center"/>
          </w:tcPr>
          <w:p w14:paraId="616A7705">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c>
          <w:tcPr>
            <w:tcW w:w="1802" w:type="dxa"/>
            <w:shd w:val="clear" w:color="auto" w:fill="auto"/>
            <w:vAlign w:val="center"/>
          </w:tcPr>
          <w:p w14:paraId="0099D06F">
            <w:pPr>
              <w:keepNext w:val="0"/>
              <w:keepLines w:val="0"/>
              <w:widowControl/>
              <w:suppressLineNumbers w:val="0"/>
              <w:jc w:val="center"/>
              <w:textAlignment w:val="center"/>
              <w:rPr>
                <w:rFonts w:hint="eastAsia" w:cs="Times New Roman"/>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氨氮</w:t>
            </w:r>
          </w:p>
        </w:tc>
        <w:tc>
          <w:tcPr>
            <w:tcW w:w="954" w:type="dxa"/>
            <w:shd w:val="clear" w:color="auto" w:fill="auto"/>
            <w:vAlign w:val="center"/>
          </w:tcPr>
          <w:p w14:paraId="69C99A58">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74E2C79B">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0.376</w:t>
            </w:r>
          </w:p>
        </w:tc>
        <w:tc>
          <w:tcPr>
            <w:tcW w:w="1558" w:type="dxa"/>
            <w:shd w:val="clear" w:color="auto" w:fill="auto"/>
            <w:vAlign w:val="center"/>
          </w:tcPr>
          <w:p w14:paraId="493A8F13">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0.389</w:t>
            </w:r>
          </w:p>
        </w:tc>
        <w:tc>
          <w:tcPr>
            <w:tcW w:w="1558" w:type="dxa"/>
            <w:shd w:val="clear" w:color="auto" w:fill="auto"/>
            <w:vAlign w:val="center"/>
          </w:tcPr>
          <w:p w14:paraId="54C2FA24">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0.296</w:t>
            </w:r>
          </w:p>
        </w:tc>
        <w:tc>
          <w:tcPr>
            <w:tcW w:w="843" w:type="dxa"/>
            <w:shd w:val="clear" w:color="auto" w:fill="auto"/>
            <w:vAlign w:val="center"/>
          </w:tcPr>
          <w:p w14:paraId="0F086314">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1</w:t>
            </w:r>
            <w:r>
              <w:rPr>
                <w:rFonts w:hint="eastAsia" w:cs="Times New Roman"/>
                <w:i w:val="0"/>
                <w:iCs w:val="0"/>
                <w:color w:val="auto"/>
                <w:kern w:val="0"/>
                <w:sz w:val="21"/>
                <w:szCs w:val="21"/>
                <w:u w:val="none"/>
                <w:lang w:val="en-US" w:eastAsia="zh-CN" w:bidi="ar"/>
              </w:rPr>
              <w:t>.0</w:t>
            </w:r>
          </w:p>
        </w:tc>
        <w:tc>
          <w:tcPr>
            <w:tcW w:w="780" w:type="dxa"/>
            <w:vMerge w:val="continue"/>
            <w:shd w:val="clear" w:color="auto" w:fill="auto"/>
            <w:vAlign w:val="center"/>
          </w:tcPr>
          <w:p w14:paraId="05A9B4DB">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r>
      <w:tr w14:paraId="7ACE2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 w:hRule="atLeast"/>
        </w:trPr>
        <w:tc>
          <w:tcPr>
            <w:tcW w:w="1208" w:type="dxa"/>
            <w:vMerge w:val="continue"/>
            <w:shd w:val="clear" w:color="auto" w:fill="auto"/>
            <w:vAlign w:val="center"/>
          </w:tcPr>
          <w:p w14:paraId="5EB75E33">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c>
          <w:tcPr>
            <w:tcW w:w="1802" w:type="dxa"/>
            <w:shd w:val="clear" w:color="auto" w:fill="auto"/>
            <w:vAlign w:val="center"/>
          </w:tcPr>
          <w:p w14:paraId="535A4F1B">
            <w:pPr>
              <w:keepNext w:val="0"/>
              <w:keepLines w:val="0"/>
              <w:widowControl/>
              <w:suppressLineNumbers w:val="0"/>
              <w:jc w:val="center"/>
              <w:textAlignment w:val="center"/>
              <w:rPr>
                <w:rFonts w:hint="eastAsia" w:cs="Times New Roman"/>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总磷</w:t>
            </w:r>
          </w:p>
        </w:tc>
        <w:tc>
          <w:tcPr>
            <w:tcW w:w="954" w:type="dxa"/>
            <w:shd w:val="clear" w:color="auto" w:fill="auto"/>
            <w:vAlign w:val="center"/>
          </w:tcPr>
          <w:p w14:paraId="07A334B3">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4BC06218">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0.06</w:t>
            </w:r>
          </w:p>
        </w:tc>
        <w:tc>
          <w:tcPr>
            <w:tcW w:w="1558" w:type="dxa"/>
            <w:shd w:val="clear" w:color="auto" w:fill="auto"/>
            <w:vAlign w:val="center"/>
          </w:tcPr>
          <w:p w14:paraId="43176470">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0.06</w:t>
            </w:r>
          </w:p>
        </w:tc>
        <w:tc>
          <w:tcPr>
            <w:tcW w:w="1558" w:type="dxa"/>
            <w:shd w:val="clear" w:color="auto" w:fill="auto"/>
            <w:vAlign w:val="center"/>
          </w:tcPr>
          <w:p w14:paraId="7957B3B5">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0.07</w:t>
            </w:r>
          </w:p>
        </w:tc>
        <w:tc>
          <w:tcPr>
            <w:tcW w:w="843" w:type="dxa"/>
            <w:shd w:val="clear" w:color="auto" w:fill="auto"/>
            <w:vAlign w:val="center"/>
          </w:tcPr>
          <w:p w14:paraId="3744DC7A">
            <w:pPr>
              <w:keepNext w:val="0"/>
              <w:keepLines w:val="0"/>
              <w:widowControl/>
              <w:suppressLineNumbers w:val="0"/>
              <w:jc w:val="center"/>
              <w:textAlignment w:val="center"/>
              <w:rPr>
                <w:rFonts w:hint="eastAsia" w:cs="Times New Roman"/>
                <w:color w:val="auto"/>
                <w:sz w:val="21"/>
                <w:szCs w:val="21"/>
                <w:lang w:val="en-US" w:eastAsia="zh-CN"/>
              </w:rPr>
            </w:pPr>
            <w:r>
              <w:rPr>
                <w:rFonts w:hint="eastAsia" w:cs="Times New Roman"/>
                <w:i w:val="0"/>
                <w:iCs w:val="0"/>
                <w:color w:val="auto"/>
                <w:kern w:val="0"/>
                <w:sz w:val="21"/>
                <w:szCs w:val="21"/>
                <w:u w:val="none"/>
                <w:lang w:val="en-US" w:eastAsia="zh-CN" w:bidi="ar"/>
              </w:rPr>
              <w:t>0.2</w:t>
            </w:r>
          </w:p>
        </w:tc>
        <w:tc>
          <w:tcPr>
            <w:tcW w:w="780" w:type="dxa"/>
            <w:vMerge w:val="continue"/>
            <w:shd w:val="clear" w:color="auto" w:fill="auto"/>
            <w:vAlign w:val="center"/>
          </w:tcPr>
          <w:p w14:paraId="1F3F6AD2">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r>
      <w:tr w14:paraId="172A4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1208" w:type="dxa"/>
            <w:vMerge w:val="continue"/>
            <w:shd w:val="clear" w:color="auto" w:fill="auto"/>
            <w:vAlign w:val="center"/>
          </w:tcPr>
          <w:p w14:paraId="6B0FE199">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c>
          <w:tcPr>
            <w:tcW w:w="1802" w:type="dxa"/>
            <w:shd w:val="clear" w:color="auto" w:fill="auto"/>
            <w:vAlign w:val="center"/>
          </w:tcPr>
          <w:p w14:paraId="75928DDD">
            <w:pPr>
              <w:keepNext w:val="0"/>
              <w:keepLines w:val="0"/>
              <w:widowControl/>
              <w:suppressLineNumbers w:val="0"/>
              <w:jc w:val="center"/>
              <w:textAlignment w:val="center"/>
              <w:rPr>
                <w:rFonts w:hint="eastAsia" w:cs="Times New Roman"/>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总氮</w:t>
            </w:r>
          </w:p>
        </w:tc>
        <w:tc>
          <w:tcPr>
            <w:tcW w:w="954" w:type="dxa"/>
            <w:shd w:val="clear" w:color="auto" w:fill="auto"/>
            <w:vAlign w:val="center"/>
          </w:tcPr>
          <w:p w14:paraId="6795FB65">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42D0AE6D">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0.67</w:t>
            </w:r>
          </w:p>
        </w:tc>
        <w:tc>
          <w:tcPr>
            <w:tcW w:w="1558" w:type="dxa"/>
            <w:shd w:val="clear" w:color="auto" w:fill="auto"/>
            <w:vAlign w:val="center"/>
          </w:tcPr>
          <w:p w14:paraId="20D784A9">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0.63</w:t>
            </w:r>
          </w:p>
        </w:tc>
        <w:tc>
          <w:tcPr>
            <w:tcW w:w="1558" w:type="dxa"/>
            <w:shd w:val="clear" w:color="auto" w:fill="auto"/>
            <w:vAlign w:val="center"/>
          </w:tcPr>
          <w:p w14:paraId="3578BD15">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0.74</w:t>
            </w:r>
          </w:p>
        </w:tc>
        <w:tc>
          <w:tcPr>
            <w:tcW w:w="843" w:type="dxa"/>
            <w:shd w:val="clear" w:color="auto" w:fill="auto"/>
            <w:vAlign w:val="center"/>
          </w:tcPr>
          <w:p w14:paraId="70BE8AD8">
            <w:pPr>
              <w:keepNext w:val="0"/>
              <w:keepLines w:val="0"/>
              <w:widowControl/>
              <w:suppressLineNumbers w:val="0"/>
              <w:jc w:val="center"/>
              <w:textAlignment w:val="center"/>
              <w:rPr>
                <w:rFonts w:hint="eastAsia" w:cs="Times New Roman"/>
                <w:color w:val="auto"/>
                <w:sz w:val="21"/>
                <w:szCs w:val="21"/>
                <w:lang w:val="en-US" w:eastAsia="zh-CN"/>
              </w:rPr>
            </w:pPr>
            <w:r>
              <w:rPr>
                <w:rFonts w:hint="eastAsia" w:cs="Times New Roman"/>
                <w:i w:val="0"/>
                <w:iCs w:val="0"/>
                <w:color w:val="auto"/>
                <w:kern w:val="0"/>
                <w:sz w:val="21"/>
                <w:szCs w:val="21"/>
                <w:u w:val="none"/>
                <w:lang w:val="en-US" w:eastAsia="zh-CN" w:bidi="ar"/>
              </w:rPr>
              <w:t>1.0</w:t>
            </w:r>
          </w:p>
        </w:tc>
        <w:tc>
          <w:tcPr>
            <w:tcW w:w="780" w:type="dxa"/>
            <w:vMerge w:val="continue"/>
            <w:shd w:val="clear" w:color="auto" w:fill="auto"/>
            <w:vAlign w:val="center"/>
          </w:tcPr>
          <w:p w14:paraId="1A314951">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r>
      <w:tr w14:paraId="71730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1208" w:type="dxa"/>
            <w:vMerge w:val="continue"/>
            <w:shd w:val="clear" w:color="auto" w:fill="auto"/>
            <w:vAlign w:val="center"/>
          </w:tcPr>
          <w:p w14:paraId="6296E080">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c>
          <w:tcPr>
            <w:tcW w:w="1802" w:type="dxa"/>
            <w:shd w:val="clear" w:color="auto" w:fill="auto"/>
            <w:vAlign w:val="center"/>
          </w:tcPr>
          <w:p w14:paraId="55BF5A5B">
            <w:pPr>
              <w:spacing w:before="31" w:beforeLines="10" w:after="31" w:afterLines="10"/>
              <w:jc w:val="center"/>
              <w:rPr>
                <w:rFonts w:hint="eastAsia" w:ascii="宋体" w:hAnsi="宋体" w:eastAsia="宋体" w:cs="宋体"/>
                <w:i w:val="0"/>
                <w:iCs w:val="0"/>
                <w:color w:val="auto"/>
                <w:kern w:val="0"/>
                <w:sz w:val="21"/>
                <w:szCs w:val="21"/>
                <w:u w:val="none"/>
                <w:lang w:val="en-US" w:eastAsia="zh-CN" w:bidi="ar"/>
              </w:rPr>
            </w:pPr>
            <w:r>
              <w:rPr>
                <w:rFonts w:hint="eastAsia" w:cs="Times New Roman"/>
                <w:color w:val="auto"/>
                <w:sz w:val="21"/>
                <w:szCs w:val="21"/>
                <w:lang w:val="en-US" w:eastAsia="zh-CN"/>
              </w:rPr>
              <w:t>河宽</w:t>
            </w:r>
          </w:p>
        </w:tc>
        <w:tc>
          <w:tcPr>
            <w:tcW w:w="954" w:type="dxa"/>
            <w:shd w:val="clear" w:color="auto" w:fill="auto"/>
            <w:vAlign w:val="center"/>
          </w:tcPr>
          <w:p w14:paraId="4EC9D397">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bCs/>
                <w:color w:val="auto"/>
                <w:sz w:val="21"/>
                <w:szCs w:val="21"/>
                <w:lang w:val="en-US" w:eastAsia="zh-CN"/>
              </w:rPr>
              <w:t>m</w:t>
            </w:r>
          </w:p>
        </w:tc>
        <w:tc>
          <w:tcPr>
            <w:tcW w:w="6297" w:type="dxa"/>
            <w:gridSpan w:val="5"/>
            <w:shd w:val="clear" w:color="auto" w:fill="auto"/>
            <w:vAlign w:val="center"/>
          </w:tcPr>
          <w:p w14:paraId="2CE783A5">
            <w:pPr>
              <w:keepNext w:val="0"/>
              <w:keepLines w:val="0"/>
              <w:widowControl/>
              <w:suppressLineNumbers w:val="0"/>
              <w:jc w:val="center"/>
              <w:textAlignment w:val="center"/>
              <w:rPr>
                <w:rFonts w:hint="eastAsia" w:ascii="Times New Roman" w:hAnsi="Times New Roman" w:eastAsia="宋体" w:cs="Times New Roman"/>
                <w:color w:val="auto"/>
                <w:sz w:val="21"/>
                <w:szCs w:val="21"/>
                <w:vertAlign w:val="baseline"/>
                <w:lang w:val="en-US" w:eastAsia="zh-CN"/>
              </w:rPr>
            </w:pPr>
            <w:r>
              <w:rPr>
                <w:rFonts w:hint="eastAsia" w:cs="Times New Roman"/>
                <w:color w:val="auto"/>
                <w:kern w:val="2"/>
                <w:sz w:val="21"/>
                <w:szCs w:val="21"/>
                <w:lang w:val="en-US" w:eastAsia="zh-CN" w:bidi="ar-SA"/>
              </w:rPr>
              <w:t>4</w:t>
            </w:r>
          </w:p>
        </w:tc>
      </w:tr>
      <w:tr w14:paraId="00961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1208" w:type="dxa"/>
            <w:vMerge w:val="continue"/>
            <w:shd w:val="clear" w:color="auto" w:fill="auto"/>
            <w:vAlign w:val="center"/>
          </w:tcPr>
          <w:p w14:paraId="312DF96A">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c>
          <w:tcPr>
            <w:tcW w:w="1802" w:type="dxa"/>
            <w:shd w:val="clear" w:color="auto" w:fill="auto"/>
            <w:vAlign w:val="center"/>
          </w:tcPr>
          <w:p w14:paraId="4E81ECE9">
            <w:pPr>
              <w:spacing w:before="31" w:beforeLines="10" w:after="31" w:afterLines="10"/>
              <w:jc w:val="center"/>
              <w:rPr>
                <w:rFonts w:hint="eastAsia" w:ascii="宋体" w:hAnsi="宋体" w:eastAsia="宋体" w:cs="宋体"/>
                <w:i w:val="0"/>
                <w:iCs w:val="0"/>
                <w:color w:val="auto"/>
                <w:kern w:val="0"/>
                <w:sz w:val="21"/>
                <w:szCs w:val="21"/>
                <w:u w:val="none"/>
                <w:lang w:val="en-US" w:eastAsia="zh-CN" w:bidi="ar"/>
              </w:rPr>
            </w:pPr>
            <w:r>
              <w:rPr>
                <w:rFonts w:hint="eastAsia" w:cs="Times New Roman"/>
                <w:color w:val="auto"/>
                <w:sz w:val="21"/>
                <w:szCs w:val="21"/>
                <w:lang w:val="en-US" w:eastAsia="zh-CN"/>
              </w:rPr>
              <w:t>水深</w:t>
            </w:r>
          </w:p>
        </w:tc>
        <w:tc>
          <w:tcPr>
            <w:tcW w:w="954" w:type="dxa"/>
            <w:shd w:val="clear" w:color="auto" w:fill="auto"/>
            <w:vAlign w:val="center"/>
          </w:tcPr>
          <w:p w14:paraId="7AAFD4AB">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bCs/>
                <w:color w:val="auto"/>
                <w:sz w:val="21"/>
                <w:szCs w:val="21"/>
                <w:lang w:val="en-US" w:eastAsia="zh-CN"/>
              </w:rPr>
              <w:t>m</w:t>
            </w:r>
          </w:p>
        </w:tc>
        <w:tc>
          <w:tcPr>
            <w:tcW w:w="6297" w:type="dxa"/>
            <w:gridSpan w:val="5"/>
            <w:shd w:val="clear" w:color="auto" w:fill="auto"/>
            <w:vAlign w:val="center"/>
          </w:tcPr>
          <w:p w14:paraId="0739ACD4">
            <w:pPr>
              <w:keepNext w:val="0"/>
              <w:keepLines w:val="0"/>
              <w:widowControl/>
              <w:suppressLineNumbers w:val="0"/>
              <w:jc w:val="center"/>
              <w:textAlignment w:val="center"/>
              <w:rPr>
                <w:rFonts w:hint="eastAsia" w:ascii="Times New Roman" w:hAnsi="Times New Roman" w:eastAsia="宋体" w:cs="Times New Roman"/>
                <w:color w:val="auto"/>
                <w:sz w:val="21"/>
                <w:szCs w:val="21"/>
                <w:vertAlign w:val="baseline"/>
                <w:lang w:val="en-US" w:eastAsia="zh-CN"/>
              </w:rPr>
            </w:pPr>
            <w:r>
              <w:rPr>
                <w:rFonts w:hint="eastAsia" w:cs="Times New Roman"/>
                <w:color w:val="auto"/>
                <w:kern w:val="2"/>
                <w:sz w:val="21"/>
                <w:szCs w:val="21"/>
                <w:lang w:val="en-US" w:eastAsia="zh-CN" w:bidi="ar-SA"/>
              </w:rPr>
              <w:t>0.5</w:t>
            </w:r>
          </w:p>
        </w:tc>
      </w:tr>
      <w:tr w14:paraId="3CE62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1208" w:type="dxa"/>
            <w:vMerge w:val="continue"/>
            <w:shd w:val="clear" w:color="auto" w:fill="auto"/>
            <w:vAlign w:val="center"/>
          </w:tcPr>
          <w:p w14:paraId="2D7581F2">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c>
          <w:tcPr>
            <w:tcW w:w="1802" w:type="dxa"/>
            <w:shd w:val="clear" w:color="auto" w:fill="auto"/>
            <w:vAlign w:val="center"/>
          </w:tcPr>
          <w:p w14:paraId="63D842FE">
            <w:pPr>
              <w:spacing w:before="31" w:beforeLines="10" w:after="31" w:afterLines="10"/>
              <w:jc w:val="center"/>
              <w:rPr>
                <w:rFonts w:hint="eastAsia" w:ascii="宋体" w:hAnsi="宋体" w:eastAsia="宋体" w:cs="宋体"/>
                <w:i w:val="0"/>
                <w:iCs w:val="0"/>
                <w:color w:val="auto"/>
                <w:kern w:val="0"/>
                <w:sz w:val="21"/>
                <w:szCs w:val="21"/>
                <w:u w:val="none"/>
                <w:lang w:val="en-US" w:eastAsia="zh-CN" w:bidi="ar"/>
              </w:rPr>
            </w:pPr>
            <w:r>
              <w:rPr>
                <w:rFonts w:hint="eastAsia" w:cs="Times New Roman"/>
                <w:color w:val="auto"/>
                <w:sz w:val="21"/>
                <w:szCs w:val="21"/>
                <w:lang w:val="en-US" w:eastAsia="zh-CN"/>
              </w:rPr>
              <w:t>流速</w:t>
            </w:r>
          </w:p>
        </w:tc>
        <w:tc>
          <w:tcPr>
            <w:tcW w:w="954" w:type="dxa"/>
            <w:shd w:val="clear" w:color="auto" w:fill="auto"/>
            <w:vAlign w:val="center"/>
          </w:tcPr>
          <w:p w14:paraId="3D6DB49C">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bCs/>
                <w:color w:val="auto"/>
                <w:sz w:val="21"/>
                <w:szCs w:val="21"/>
                <w:lang w:val="en-US" w:eastAsia="zh-CN"/>
              </w:rPr>
              <w:t>m</w:t>
            </w:r>
            <w:r>
              <w:rPr>
                <w:rFonts w:hint="eastAsia" w:eastAsia="宋体" w:cs="Times New Roman"/>
                <w:bCs/>
                <w:color w:val="auto"/>
                <w:sz w:val="21"/>
                <w:szCs w:val="21"/>
                <w:lang w:val="en-US" w:eastAsia="zh-CN"/>
              </w:rPr>
              <w:t>/s</w:t>
            </w:r>
          </w:p>
        </w:tc>
        <w:tc>
          <w:tcPr>
            <w:tcW w:w="6297" w:type="dxa"/>
            <w:gridSpan w:val="5"/>
            <w:shd w:val="clear" w:color="auto" w:fill="auto"/>
            <w:vAlign w:val="center"/>
          </w:tcPr>
          <w:p w14:paraId="1B10CC4F">
            <w:pPr>
              <w:keepNext w:val="0"/>
              <w:keepLines w:val="0"/>
              <w:widowControl/>
              <w:suppressLineNumbers w:val="0"/>
              <w:jc w:val="center"/>
              <w:textAlignment w:val="center"/>
              <w:rPr>
                <w:rFonts w:hint="eastAsia" w:ascii="Times New Roman" w:hAnsi="Times New Roman" w:eastAsia="宋体" w:cs="Times New Roman"/>
                <w:color w:val="auto"/>
                <w:sz w:val="21"/>
                <w:szCs w:val="21"/>
                <w:vertAlign w:val="baseline"/>
                <w:lang w:val="en-US" w:eastAsia="zh-CN"/>
              </w:rPr>
            </w:pPr>
            <w:r>
              <w:rPr>
                <w:rFonts w:hint="eastAsia" w:cs="Times New Roman"/>
                <w:color w:val="auto"/>
                <w:kern w:val="2"/>
                <w:sz w:val="21"/>
                <w:szCs w:val="21"/>
                <w:lang w:val="en-US" w:eastAsia="zh-CN" w:bidi="ar-SA"/>
              </w:rPr>
              <w:t>0.26</w:t>
            </w:r>
          </w:p>
        </w:tc>
      </w:tr>
      <w:tr w14:paraId="1FC6F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1208" w:type="dxa"/>
            <w:vMerge w:val="continue"/>
            <w:shd w:val="clear" w:color="auto" w:fill="auto"/>
            <w:vAlign w:val="center"/>
          </w:tcPr>
          <w:p w14:paraId="56B4AA73">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c>
          <w:tcPr>
            <w:tcW w:w="1802" w:type="dxa"/>
            <w:shd w:val="clear" w:color="auto" w:fill="auto"/>
            <w:vAlign w:val="center"/>
          </w:tcPr>
          <w:p w14:paraId="3AE5FFCA">
            <w:pPr>
              <w:spacing w:before="31" w:beforeLines="10" w:after="31" w:afterLines="10"/>
              <w:jc w:val="center"/>
              <w:rPr>
                <w:rFonts w:hint="eastAsia" w:cs="Times New Roman"/>
                <w:color w:val="auto"/>
                <w:sz w:val="21"/>
                <w:szCs w:val="21"/>
                <w:lang w:val="en-US" w:eastAsia="zh-CN"/>
              </w:rPr>
            </w:pPr>
            <w:r>
              <w:rPr>
                <w:rFonts w:hint="eastAsia" w:cs="Times New Roman"/>
                <w:color w:val="auto"/>
                <w:sz w:val="21"/>
                <w:szCs w:val="21"/>
                <w:lang w:val="en-US" w:eastAsia="zh-CN"/>
              </w:rPr>
              <w:t>坡降度</w:t>
            </w:r>
          </w:p>
        </w:tc>
        <w:tc>
          <w:tcPr>
            <w:tcW w:w="954" w:type="dxa"/>
            <w:shd w:val="clear" w:color="auto" w:fill="auto"/>
            <w:vAlign w:val="center"/>
          </w:tcPr>
          <w:p w14:paraId="7F6C8870">
            <w:pPr>
              <w:keepNext w:val="0"/>
              <w:keepLines w:val="0"/>
              <w:pageBreakBefore w:val="0"/>
              <w:kinsoku/>
              <w:wordWrap/>
              <w:overflowPunct/>
              <w:topLinePunct w:val="0"/>
              <w:autoSpaceDE/>
              <w:autoSpaceDN/>
              <w:bidi w:val="0"/>
              <w:adjustRightInd w:val="0"/>
              <w:snapToGrid w:val="0"/>
              <w:jc w:val="center"/>
              <w:rPr>
                <w:rFonts w:hint="eastAsia" w:cs="Times New Roman"/>
                <w:color w:val="auto"/>
                <w:sz w:val="21"/>
                <w:szCs w:val="21"/>
                <w:lang w:val="en-US" w:eastAsia="zh-CN"/>
              </w:rPr>
            </w:pPr>
            <w:r>
              <w:rPr>
                <w:rFonts w:hint="default" w:ascii="Arial" w:hAnsi="Arial" w:eastAsia="宋体" w:cs="Arial"/>
                <w:bCs/>
                <w:color w:val="auto"/>
                <w:sz w:val="21"/>
                <w:szCs w:val="21"/>
                <w:lang w:val="en-US" w:eastAsia="zh-CN"/>
              </w:rPr>
              <w:t>‰</w:t>
            </w:r>
          </w:p>
        </w:tc>
        <w:tc>
          <w:tcPr>
            <w:tcW w:w="6297" w:type="dxa"/>
            <w:gridSpan w:val="5"/>
            <w:shd w:val="clear" w:color="auto" w:fill="auto"/>
            <w:vAlign w:val="center"/>
          </w:tcPr>
          <w:p w14:paraId="04CE54D0">
            <w:pPr>
              <w:keepNext w:val="0"/>
              <w:keepLines w:val="0"/>
              <w:widowControl/>
              <w:suppressLineNumbers w:val="0"/>
              <w:jc w:val="center"/>
              <w:textAlignment w:val="center"/>
              <w:rPr>
                <w:rFonts w:hint="eastAsia" w:cs="Times New Roman"/>
                <w:color w:val="auto"/>
                <w:sz w:val="21"/>
                <w:szCs w:val="21"/>
                <w:lang w:val="en-US" w:eastAsia="zh-CN"/>
              </w:rPr>
            </w:pPr>
            <w:r>
              <w:rPr>
                <w:rFonts w:hint="eastAsia" w:cs="Times New Roman"/>
                <w:color w:val="auto"/>
                <w:kern w:val="2"/>
                <w:sz w:val="21"/>
                <w:szCs w:val="21"/>
                <w:lang w:val="en-US" w:eastAsia="zh-CN" w:bidi="ar-SA"/>
              </w:rPr>
              <w:t>0.11</w:t>
            </w:r>
          </w:p>
        </w:tc>
      </w:tr>
      <w:tr w14:paraId="53A20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1208" w:type="dxa"/>
            <w:vMerge w:val="restart"/>
            <w:shd w:val="clear" w:color="auto" w:fill="auto"/>
            <w:vAlign w:val="center"/>
          </w:tcPr>
          <w:p w14:paraId="744AD529">
            <w:pPr>
              <w:keepNext w:val="0"/>
              <w:keepLines w:val="0"/>
              <w:widowControl/>
              <w:suppressLineNumbers w:val="0"/>
              <w:jc w:val="center"/>
              <w:textAlignment w:val="center"/>
              <w:rPr>
                <w:rFonts w:hint="eastAsia" w:cs="Times New Roman"/>
                <w:color w:val="auto"/>
                <w:sz w:val="21"/>
                <w:szCs w:val="21"/>
                <w:lang w:eastAsia="zh-CN"/>
              </w:rPr>
            </w:pPr>
            <w:r>
              <w:rPr>
                <w:rFonts w:hint="eastAsia" w:cs="Times New Roman"/>
                <w:color w:val="auto"/>
                <w:sz w:val="21"/>
                <w:szCs w:val="21"/>
                <w:lang w:eastAsia="zh-CN"/>
              </w:rPr>
              <w:t>W3排水渠与吉水河交汇处</w:t>
            </w:r>
          </w:p>
        </w:tc>
        <w:tc>
          <w:tcPr>
            <w:tcW w:w="1802" w:type="dxa"/>
            <w:shd w:val="clear" w:color="auto" w:fill="auto"/>
            <w:vAlign w:val="center"/>
          </w:tcPr>
          <w:p w14:paraId="113965FD">
            <w:pPr>
              <w:keepNext w:val="0"/>
              <w:keepLines w:val="0"/>
              <w:widowControl/>
              <w:suppressLineNumbers w:val="0"/>
              <w:jc w:val="center"/>
              <w:textAlignment w:val="center"/>
              <w:rPr>
                <w:rFonts w:hint="eastAsia" w:cs="Times New Roman"/>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悬浮物</w:t>
            </w:r>
          </w:p>
        </w:tc>
        <w:tc>
          <w:tcPr>
            <w:tcW w:w="954" w:type="dxa"/>
            <w:shd w:val="clear" w:color="auto" w:fill="auto"/>
            <w:vAlign w:val="center"/>
          </w:tcPr>
          <w:p w14:paraId="35830154">
            <w:pPr>
              <w:keepNext w:val="0"/>
              <w:keepLines w:val="0"/>
              <w:widowControl/>
              <w:suppressLineNumbers w:val="0"/>
              <w:jc w:val="center"/>
              <w:textAlignment w:val="center"/>
              <w:rPr>
                <w:rFonts w:hint="default" w:ascii="Arial" w:hAnsi="Arial" w:eastAsia="宋体" w:cs="Arial"/>
                <w:bCs/>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30ED3C6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w:t>
            </w:r>
          </w:p>
        </w:tc>
        <w:tc>
          <w:tcPr>
            <w:tcW w:w="1558" w:type="dxa"/>
            <w:shd w:val="clear" w:color="auto" w:fill="auto"/>
            <w:vAlign w:val="center"/>
          </w:tcPr>
          <w:p w14:paraId="0DA7AED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14</w:t>
            </w:r>
          </w:p>
        </w:tc>
        <w:tc>
          <w:tcPr>
            <w:tcW w:w="1558" w:type="dxa"/>
            <w:shd w:val="clear" w:color="auto" w:fill="auto"/>
            <w:vAlign w:val="center"/>
          </w:tcPr>
          <w:p w14:paraId="58E0C7C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17</w:t>
            </w:r>
          </w:p>
        </w:tc>
        <w:tc>
          <w:tcPr>
            <w:tcW w:w="843" w:type="dxa"/>
            <w:shd w:val="clear" w:color="auto" w:fill="auto"/>
            <w:vAlign w:val="center"/>
          </w:tcPr>
          <w:p w14:paraId="1F709AF4">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r>
              <w:rPr>
                <w:rFonts w:hint="eastAsia" w:ascii="Times New Roman" w:hAnsi="Times New Roman" w:eastAsia="宋体" w:cs="Times New Roman"/>
                <w:color w:val="auto"/>
                <w:sz w:val="21"/>
                <w:szCs w:val="21"/>
                <w:vertAlign w:val="baseline"/>
                <w:lang w:val="en-US" w:eastAsia="zh-CN"/>
              </w:rPr>
              <w:t>/</w:t>
            </w:r>
          </w:p>
        </w:tc>
        <w:tc>
          <w:tcPr>
            <w:tcW w:w="780" w:type="dxa"/>
            <w:vMerge w:val="restart"/>
            <w:shd w:val="clear" w:color="auto" w:fill="auto"/>
            <w:vAlign w:val="center"/>
          </w:tcPr>
          <w:p w14:paraId="65D0F136">
            <w:pPr>
              <w:keepNext w:val="0"/>
              <w:keepLines w:val="0"/>
              <w:pageBreakBefore w:val="0"/>
              <w:widowControl/>
              <w:kinsoku w:val="0"/>
              <w:wordWrap/>
              <w:overflowPunct/>
              <w:topLinePunct w:val="0"/>
              <w:autoSpaceDE w:val="0"/>
              <w:autoSpaceDN w:val="0"/>
              <w:bidi w:val="0"/>
              <w:adjustRightInd w:val="0"/>
              <w:snapToGrid w:val="0"/>
              <w:spacing w:line="231" w:lineRule="auto"/>
              <w:jc w:val="both"/>
              <w:textAlignment w:val="baseline"/>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《地表水环境质量标准》（GB3838-2002）</w:t>
            </w:r>
            <w:r>
              <w:rPr>
                <w:rFonts w:hint="eastAsia" w:ascii="Times New Roman" w:hAnsi="Times New Roman" w:eastAsia="宋体" w:cs="Times New Roman"/>
                <w:color w:val="auto"/>
                <w:sz w:val="21"/>
                <w:szCs w:val="21"/>
                <w:vertAlign w:val="baseline"/>
                <w:lang w:val="en-US" w:eastAsia="zh-CN"/>
              </w:rPr>
              <w:fldChar w:fldCharType="begin"/>
            </w:r>
            <w:r>
              <w:rPr>
                <w:rFonts w:hint="eastAsia" w:ascii="Times New Roman" w:hAnsi="Times New Roman" w:eastAsia="宋体" w:cs="Times New Roman"/>
                <w:color w:val="auto"/>
                <w:sz w:val="21"/>
                <w:szCs w:val="21"/>
                <w:vertAlign w:val="baseline"/>
                <w:lang w:val="en-US" w:eastAsia="zh-CN"/>
              </w:rPr>
              <w:instrText xml:space="preserve"> = 2 \* ROMAN \* MERGEFORMAT </w:instrText>
            </w:r>
            <w:r>
              <w:rPr>
                <w:rFonts w:hint="eastAsia" w:ascii="Times New Roman" w:hAnsi="Times New Roman" w:eastAsia="宋体" w:cs="Times New Roman"/>
                <w:color w:val="auto"/>
                <w:sz w:val="21"/>
                <w:szCs w:val="21"/>
                <w:vertAlign w:val="baseline"/>
                <w:lang w:val="en-US" w:eastAsia="zh-CN"/>
              </w:rPr>
              <w:fldChar w:fldCharType="separate"/>
            </w:r>
            <w:r>
              <w:rPr>
                <w:color w:val="auto"/>
              </w:rPr>
              <w:t>II</w:t>
            </w:r>
            <w:r>
              <w:rPr>
                <w:rFonts w:hint="eastAsia" w:ascii="Times New Roman" w:hAnsi="Times New Roman" w:eastAsia="宋体" w:cs="Times New Roman"/>
                <w:color w:val="auto"/>
                <w:sz w:val="21"/>
                <w:szCs w:val="21"/>
                <w:vertAlign w:val="baseline"/>
                <w:lang w:val="en-US" w:eastAsia="zh-CN"/>
              </w:rPr>
              <w:fldChar w:fldCharType="end"/>
            </w:r>
            <w:r>
              <w:rPr>
                <w:rFonts w:hint="default" w:ascii="Times New Roman" w:hAnsi="Times New Roman" w:eastAsia="宋体" w:cs="Times New Roman"/>
                <w:color w:val="auto"/>
                <w:sz w:val="21"/>
                <w:szCs w:val="21"/>
                <w:vertAlign w:val="baseline"/>
                <w:lang w:val="en-US" w:eastAsia="zh-CN"/>
              </w:rPr>
              <w:t>类标准</w:t>
            </w:r>
          </w:p>
        </w:tc>
      </w:tr>
      <w:tr w14:paraId="362B6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1208" w:type="dxa"/>
            <w:vMerge w:val="continue"/>
            <w:shd w:val="clear" w:color="auto" w:fill="auto"/>
            <w:vAlign w:val="center"/>
          </w:tcPr>
          <w:p w14:paraId="3E6A7D2C">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color w:val="auto"/>
              </w:rPr>
            </w:pPr>
          </w:p>
        </w:tc>
        <w:tc>
          <w:tcPr>
            <w:tcW w:w="1802" w:type="dxa"/>
            <w:shd w:val="clear" w:color="auto" w:fill="auto"/>
            <w:vAlign w:val="center"/>
          </w:tcPr>
          <w:p w14:paraId="1BB07C98">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pH</w:t>
            </w:r>
            <w:r>
              <w:rPr>
                <w:rFonts w:hint="eastAsia" w:ascii="宋体" w:hAnsi="宋体" w:eastAsia="宋体" w:cs="宋体"/>
                <w:i w:val="0"/>
                <w:iCs w:val="0"/>
                <w:color w:val="auto"/>
                <w:kern w:val="0"/>
                <w:sz w:val="21"/>
                <w:szCs w:val="21"/>
                <w:u w:val="none"/>
                <w:lang w:val="en-US" w:eastAsia="zh-CN" w:bidi="ar"/>
              </w:rPr>
              <w:t>值</w:t>
            </w:r>
          </w:p>
        </w:tc>
        <w:tc>
          <w:tcPr>
            <w:tcW w:w="954" w:type="dxa"/>
            <w:shd w:val="clear" w:color="auto" w:fill="auto"/>
            <w:vAlign w:val="center"/>
          </w:tcPr>
          <w:p w14:paraId="2A783DD2">
            <w:pPr>
              <w:keepNext w:val="0"/>
              <w:keepLines w:val="0"/>
              <w:widowControl/>
              <w:suppressLineNumbers w:val="0"/>
              <w:jc w:val="center"/>
              <w:textAlignment w:val="center"/>
              <w:rPr>
                <w:rFonts w:hint="eastAsia" w:cs="Times New Roman"/>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无量纲</w:t>
            </w:r>
          </w:p>
        </w:tc>
        <w:tc>
          <w:tcPr>
            <w:tcW w:w="1558" w:type="dxa"/>
            <w:shd w:val="clear" w:color="auto" w:fill="auto"/>
            <w:vAlign w:val="center"/>
          </w:tcPr>
          <w:p w14:paraId="7A105EF2">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7.3</w:t>
            </w:r>
          </w:p>
        </w:tc>
        <w:tc>
          <w:tcPr>
            <w:tcW w:w="1558" w:type="dxa"/>
            <w:shd w:val="clear" w:color="auto" w:fill="auto"/>
            <w:vAlign w:val="center"/>
          </w:tcPr>
          <w:p w14:paraId="2215BBD5">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7.3</w:t>
            </w:r>
          </w:p>
        </w:tc>
        <w:tc>
          <w:tcPr>
            <w:tcW w:w="1558" w:type="dxa"/>
            <w:shd w:val="clear" w:color="auto" w:fill="auto"/>
            <w:vAlign w:val="center"/>
          </w:tcPr>
          <w:p w14:paraId="621E71D4">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7.2</w:t>
            </w:r>
          </w:p>
        </w:tc>
        <w:tc>
          <w:tcPr>
            <w:tcW w:w="843" w:type="dxa"/>
            <w:shd w:val="clear" w:color="auto" w:fill="auto"/>
            <w:vAlign w:val="center"/>
          </w:tcPr>
          <w:p w14:paraId="5F224298">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6~9</w:t>
            </w:r>
          </w:p>
        </w:tc>
        <w:tc>
          <w:tcPr>
            <w:tcW w:w="780" w:type="dxa"/>
            <w:vMerge w:val="continue"/>
            <w:shd w:val="clear" w:color="auto" w:fill="auto"/>
            <w:vAlign w:val="center"/>
          </w:tcPr>
          <w:p w14:paraId="77DECCEE">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r>
      <w:tr w14:paraId="54584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1208" w:type="dxa"/>
            <w:vMerge w:val="continue"/>
            <w:shd w:val="clear" w:color="auto" w:fill="auto"/>
            <w:vAlign w:val="center"/>
          </w:tcPr>
          <w:p w14:paraId="026B56D3">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c>
          <w:tcPr>
            <w:tcW w:w="1802" w:type="dxa"/>
            <w:shd w:val="clear" w:color="auto" w:fill="auto"/>
            <w:vAlign w:val="center"/>
          </w:tcPr>
          <w:p w14:paraId="3228B89A">
            <w:pPr>
              <w:keepNext w:val="0"/>
              <w:keepLines w:val="0"/>
              <w:widowControl/>
              <w:suppressLineNumbers w:val="0"/>
              <w:jc w:val="center"/>
              <w:textAlignment w:val="center"/>
              <w:rPr>
                <w:rFonts w:hint="eastAsia" w:cs="Times New Roman"/>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溶解氧</w:t>
            </w:r>
          </w:p>
        </w:tc>
        <w:tc>
          <w:tcPr>
            <w:tcW w:w="954" w:type="dxa"/>
            <w:shd w:val="clear" w:color="auto" w:fill="auto"/>
            <w:vAlign w:val="center"/>
          </w:tcPr>
          <w:p w14:paraId="7AF717F1">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47939855">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6.5</w:t>
            </w:r>
          </w:p>
        </w:tc>
        <w:tc>
          <w:tcPr>
            <w:tcW w:w="1558" w:type="dxa"/>
            <w:shd w:val="clear" w:color="auto" w:fill="auto"/>
            <w:vAlign w:val="center"/>
          </w:tcPr>
          <w:p w14:paraId="0808D47C">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6.3</w:t>
            </w:r>
          </w:p>
        </w:tc>
        <w:tc>
          <w:tcPr>
            <w:tcW w:w="1558" w:type="dxa"/>
            <w:shd w:val="clear" w:color="auto" w:fill="auto"/>
            <w:vAlign w:val="center"/>
          </w:tcPr>
          <w:p w14:paraId="06FE8832">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6.1</w:t>
            </w:r>
          </w:p>
        </w:tc>
        <w:tc>
          <w:tcPr>
            <w:tcW w:w="843" w:type="dxa"/>
            <w:shd w:val="clear" w:color="auto" w:fill="auto"/>
            <w:vAlign w:val="center"/>
          </w:tcPr>
          <w:p w14:paraId="5D1F3916">
            <w:pPr>
              <w:keepNext w:val="0"/>
              <w:keepLines w:val="0"/>
              <w:widowControl/>
              <w:suppressLineNumbers w:val="0"/>
              <w:jc w:val="center"/>
              <w:textAlignment w:val="center"/>
              <w:rPr>
                <w:rFonts w:hint="eastAsia" w:cs="Times New Roman"/>
                <w:color w:val="auto"/>
                <w:sz w:val="21"/>
                <w:szCs w:val="21"/>
                <w:lang w:val="en-US" w:eastAsia="zh-CN"/>
              </w:rPr>
            </w:pPr>
            <w:r>
              <w:rPr>
                <w:rFonts w:hint="eastAsia" w:cs="Times New Roman"/>
                <w:i w:val="0"/>
                <w:iCs w:val="0"/>
                <w:color w:val="auto"/>
                <w:kern w:val="0"/>
                <w:sz w:val="21"/>
                <w:szCs w:val="21"/>
                <w:u w:val="none"/>
                <w:lang w:val="en-US" w:eastAsia="zh-CN" w:bidi="ar"/>
              </w:rPr>
              <w:t>≥6</w:t>
            </w:r>
          </w:p>
        </w:tc>
        <w:tc>
          <w:tcPr>
            <w:tcW w:w="780" w:type="dxa"/>
            <w:vMerge w:val="continue"/>
            <w:shd w:val="clear" w:color="auto" w:fill="auto"/>
            <w:vAlign w:val="center"/>
          </w:tcPr>
          <w:p w14:paraId="2FE5AD70">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r>
      <w:tr w14:paraId="7CF4D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1208" w:type="dxa"/>
            <w:vMerge w:val="continue"/>
            <w:shd w:val="clear" w:color="auto" w:fill="auto"/>
            <w:vAlign w:val="center"/>
          </w:tcPr>
          <w:p w14:paraId="495E89C2">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c>
          <w:tcPr>
            <w:tcW w:w="1802" w:type="dxa"/>
            <w:shd w:val="clear" w:color="auto" w:fill="auto"/>
            <w:vAlign w:val="center"/>
          </w:tcPr>
          <w:p w14:paraId="573D007C">
            <w:pPr>
              <w:keepNext w:val="0"/>
              <w:keepLines w:val="0"/>
              <w:widowControl/>
              <w:suppressLineNumbers w:val="0"/>
              <w:jc w:val="center"/>
              <w:textAlignment w:val="center"/>
              <w:rPr>
                <w:rFonts w:hint="eastAsia" w:cs="Times New Roman"/>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化学需氧量</w:t>
            </w:r>
          </w:p>
        </w:tc>
        <w:tc>
          <w:tcPr>
            <w:tcW w:w="954" w:type="dxa"/>
            <w:shd w:val="clear" w:color="auto" w:fill="auto"/>
            <w:vAlign w:val="center"/>
          </w:tcPr>
          <w:p w14:paraId="524FF388">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6C6D0255">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1</w:t>
            </w:r>
            <w:r>
              <w:rPr>
                <w:rFonts w:hint="eastAsia" w:cs="Times New Roman"/>
                <w:i w:val="0"/>
                <w:iCs w:val="0"/>
                <w:color w:val="auto"/>
                <w:kern w:val="0"/>
                <w:sz w:val="21"/>
                <w:szCs w:val="21"/>
                <w:u w:val="none"/>
                <w:lang w:val="en-US" w:eastAsia="zh-CN" w:bidi="ar"/>
              </w:rPr>
              <w:t>1</w:t>
            </w:r>
          </w:p>
        </w:tc>
        <w:tc>
          <w:tcPr>
            <w:tcW w:w="1558" w:type="dxa"/>
            <w:shd w:val="clear" w:color="auto" w:fill="auto"/>
            <w:vAlign w:val="center"/>
          </w:tcPr>
          <w:p w14:paraId="490522BF">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1</w:t>
            </w:r>
            <w:r>
              <w:rPr>
                <w:rFonts w:hint="eastAsia" w:cs="Times New Roman"/>
                <w:i w:val="0"/>
                <w:iCs w:val="0"/>
                <w:color w:val="auto"/>
                <w:kern w:val="0"/>
                <w:sz w:val="21"/>
                <w:szCs w:val="21"/>
                <w:u w:val="none"/>
                <w:lang w:val="en-US" w:eastAsia="zh-CN" w:bidi="ar"/>
              </w:rPr>
              <w:t>2</w:t>
            </w:r>
          </w:p>
        </w:tc>
        <w:tc>
          <w:tcPr>
            <w:tcW w:w="1558" w:type="dxa"/>
            <w:shd w:val="clear" w:color="auto" w:fill="auto"/>
            <w:vAlign w:val="center"/>
          </w:tcPr>
          <w:p w14:paraId="0DF8BCC0">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1</w:t>
            </w:r>
            <w:r>
              <w:rPr>
                <w:rFonts w:hint="eastAsia" w:cs="Times New Roman"/>
                <w:i w:val="0"/>
                <w:iCs w:val="0"/>
                <w:color w:val="auto"/>
                <w:kern w:val="0"/>
                <w:sz w:val="21"/>
                <w:szCs w:val="21"/>
                <w:u w:val="none"/>
                <w:lang w:val="en-US" w:eastAsia="zh-CN" w:bidi="ar"/>
              </w:rPr>
              <w:t>3</w:t>
            </w:r>
          </w:p>
        </w:tc>
        <w:tc>
          <w:tcPr>
            <w:tcW w:w="843" w:type="dxa"/>
            <w:shd w:val="clear" w:color="auto" w:fill="auto"/>
            <w:vAlign w:val="center"/>
          </w:tcPr>
          <w:p w14:paraId="0FCB40B2">
            <w:pPr>
              <w:keepNext w:val="0"/>
              <w:keepLines w:val="0"/>
              <w:widowControl/>
              <w:suppressLineNumbers w:val="0"/>
              <w:jc w:val="center"/>
              <w:textAlignment w:val="center"/>
              <w:rPr>
                <w:rFonts w:hint="eastAsia" w:cs="Times New Roman"/>
                <w:color w:val="auto"/>
                <w:sz w:val="21"/>
                <w:szCs w:val="21"/>
                <w:lang w:val="en-US" w:eastAsia="zh-CN"/>
              </w:rPr>
            </w:pPr>
            <w:r>
              <w:rPr>
                <w:rFonts w:hint="eastAsia" w:cs="Times New Roman"/>
                <w:i w:val="0"/>
                <w:iCs w:val="0"/>
                <w:color w:val="auto"/>
                <w:kern w:val="0"/>
                <w:sz w:val="21"/>
                <w:szCs w:val="21"/>
                <w:u w:val="none"/>
                <w:lang w:val="en-US" w:eastAsia="zh-CN" w:bidi="ar"/>
              </w:rPr>
              <w:t>15</w:t>
            </w:r>
          </w:p>
        </w:tc>
        <w:tc>
          <w:tcPr>
            <w:tcW w:w="780" w:type="dxa"/>
            <w:vMerge w:val="continue"/>
            <w:shd w:val="clear" w:color="auto" w:fill="auto"/>
            <w:vAlign w:val="center"/>
          </w:tcPr>
          <w:p w14:paraId="4939AD27">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r>
      <w:tr w14:paraId="3D81C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1208" w:type="dxa"/>
            <w:vMerge w:val="continue"/>
            <w:shd w:val="clear" w:color="auto" w:fill="auto"/>
            <w:vAlign w:val="center"/>
          </w:tcPr>
          <w:p w14:paraId="73E90B25">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c>
          <w:tcPr>
            <w:tcW w:w="1802" w:type="dxa"/>
            <w:shd w:val="clear" w:color="auto" w:fill="auto"/>
            <w:vAlign w:val="center"/>
          </w:tcPr>
          <w:p w14:paraId="40096B1B">
            <w:pPr>
              <w:keepNext w:val="0"/>
              <w:keepLines w:val="0"/>
              <w:widowControl/>
              <w:suppressLineNumbers w:val="0"/>
              <w:jc w:val="center"/>
              <w:textAlignment w:val="center"/>
              <w:rPr>
                <w:rFonts w:hint="eastAsia" w:cs="Times New Roman"/>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五日生化需氧量</w:t>
            </w:r>
          </w:p>
        </w:tc>
        <w:tc>
          <w:tcPr>
            <w:tcW w:w="954" w:type="dxa"/>
            <w:shd w:val="clear" w:color="auto" w:fill="auto"/>
            <w:vAlign w:val="center"/>
          </w:tcPr>
          <w:p w14:paraId="51DDF6FB">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7AE80401">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2.2</w:t>
            </w:r>
          </w:p>
        </w:tc>
        <w:tc>
          <w:tcPr>
            <w:tcW w:w="1558" w:type="dxa"/>
            <w:shd w:val="clear" w:color="auto" w:fill="auto"/>
            <w:vAlign w:val="center"/>
          </w:tcPr>
          <w:p w14:paraId="628E29ED">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2.3</w:t>
            </w:r>
          </w:p>
        </w:tc>
        <w:tc>
          <w:tcPr>
            <w:tcW w:w="1558" w:type="dxa"/>
            <w:shd w:val="clear" w:color="auto" w:fill="auto"/>
            <w:vAlign w:val="center"/>
          </w:tcPr>
          <w:p w14:paraId="2E0CAE20">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2.2</w:t>
            </w:r>
          </w:p>
        </w:tc>
        <w:tc>
          <w:tcPr>
            <w:tcW w:w="843" w:type="dxa"/>
            <w:shd w:val="clear" w:color="auto" w:fill="auto"/>
            <w:vAlign w:val="center"/>
          </w:tcPr>
          <w:p w14:paraId="04AA0AB1">
            <w:pPr>
              <w:keepNext w:val="0"/>
              <w:keepLines w:val="0"/>
              <w:widowControl/>
              <w:suppressLineNumbers w:val="0"/>
              <w:jc w:val="center"/>
              <w:textAlignment w:val="center"/>
              <w:rPr>
                <w:rFonts w:hint="eastAsia" w:cs="Times New Roman"/>
                <w:color w:val="auto"/>
                <w:sz w:val="21"/>
                <w:szCs w:val="21"/>
                <w:lang w:val="en-US" w:eastAsia="zh-CN"/>
              </w:rPr>
            </w:pPr>
            <w:r>
              <w:rPr>
                <w:rFonts w:hint="eastAsia" w:cs="Times New Roman"/>
                <w:i w:val="0"/>
                <w:iCs w:val="0"/>
                <w:color w:val="auto"/>
                <w:kern w:val="0"/>
                <w:sz w:val="21"/>
                <w:szCs w:val="21"/>
                <w:u w:val="none"/>
                <w:lang w:val="en-US" w:eastAsia="zh-CN" w:bidi="ar"/>
              </w:rPr>
              <w:t>3</w:t>
            </w:r>
          </w:p>
        </w:tc>
        <w:tc>
          <w:tcPr>
            <w:tcW w:w="780" w:type="dxa"/>
            <w:vMerge w:val="continue"/>
            <w:shd w:val="clear" w:color="auto" w:fill="auto"/>
            <w:vAlign w:val="center"/>
          </w:tcPr>
          <w:p w14:paraId="5DC45872">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r>
      <w:tr w14:paraId="4FCD2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1208" w:type="dxa"/>
            <w:vMerge w:val="continue"/>
            <w:shd w:val="clear" w:color="auto" w:fill="auto"/>
            <w:vAlign w:val="center"/>
          </w:tcPr>
          <w:p w14:paraId="54DA5E15">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c>
          <w:tcPr>
            <w:tcW w:w="1802" w:type="dxa"/>
            <w:shd w:val="clear" w:color="auto" w:fill="auto"/>
            <w:vAlign w:val="center"/>
          </w:tcPr>
          <w:p w14:paraId="4E90541B">
            <w:pPr>
              <w:keepNext w:val="0"/>
              <w:keepLines w:val="0"/>
              <w:widowControl/>
              <w:suppressLineNumbers w:val="0"/>
              <w:jc w:val="center"/>
              <w:textAlignment w:val="center"/>
              <w:rPr>
                <w:rFonts w:hint="eastAsia" w:cs="Times New Roman"/>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氨氮</w:t>
            </w:r>
          </w:p>
        </w:tc>
        <w:tc>
          <w:tcPr>
            <w:tcW w:w="954" w:type="dxa"/>
            <w:shd w:val="clear" w:color="auto" w:fill="auto"/>
            <w:vAlign w:val="center"/>
          </w:tcPr>
          <w:p w14:paraId="531C535B">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090F896E">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0.3</w:t>
            </w:r>
            <w:r>
              <w:rPr>
                <w:rFonts w:hint="eastAsia" w:cs="Times New Roman"/>
                <w:i w:val="0"/>
                <w:iCs w:val="0"/>
                <w:color w:val="auto"/>
                <w:kern w:val="0"/>
                <w:sz w:val="21"/>
                <w:szCs w:val="21"/>
                <w:u w:val="none"/>
                <w:lang w:val="en-US" w:eastAsia="zh-CN" w:bidi="ar"/>
              </w:rPr>
              <w:t>2</w:t>
            </w:r>
            <w:r>
              <w:rPr>
                <w:rFonts w:hint="default" w:ascii="Times New Roman" w:hAnsi="Times New Roman" w:eastAsia="宋体" w:cs="Times New Roman"/>
                <w:i w:val="0"/>
                <w:iCs w:val="0"/>
                <w:color w:val="auto"/>
                <w:kern w:val="0"/>
                <w:sz w:val="21"/>
                <w:szCs w:val="21"/>
                <w:u w:val="none"/>
                <w:lang w:val="en-US" w:eastAsia="zh-CN" w:bidi="ar"/>
              </w:rPr>
              <w:t>2</w:t>
            </w:r>
          </w:p>
        </w:tc>
        <w:tc>
          <w:tcPr>
            <w:tcW w:w="1558" w:type="dxa"/>
            <w:shd w:val="clear" w:color="auto" w:fill="auto"/>
            <w:vAlign w:val="center"/>
          </w:tcPr>
          <w:p w14:paraId="47FFD92D">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0.3</w:t>
            </w:r>
            <w:r>
              <w:rPr>
                <w:rFonts w:hint="eastAsia" w:cs="Times New Roman"/>
                <w:i w:val="0"/>
                <w:iCs w:val="0"/>
                <w:color w:val="auto"/>
                <w:kern w:val="0"/>
                <w:sz w:val="21"/>
                <w:szCs w:val="21"/>
                <w:u w:val="none"/>
                <w:lang w:val="en-US" w:eastAsia="zh-CN" w:bidi="ar"/>
              </w:rPr>
              <w:t>2</w:t>
            </w:r>
            <w:r>
              <w:rPr>
                <w:rFonts w:hint="default" w:ascii="Times New Roman" w:hAnsi="Times New Roman" w:eastAsia="宋体" w:cs="Times New Roman"/>
                <w:i w:val="0"/>
                <w:iCs w:val="0"/>
                <w:color w:val="auto"/>
                <w:kern w:val="0"/>
                <w:sz w:val="21"/>
                <w:szCs w:val="21"/>
                <w:u w:val="none"/>
                <w:lang w:val="en-US" w:eastAsia="zh-CN" w:bidi="ar"/>
              </w:rPr>
              <w:t>7</w:t>
            </w:r>
          </w:p>
        </w:tc>
        <w:tc>
          <w:tcPr>
            <w:tcW w:w="1558" w:type="dxa"/>
            <w:shd w:val="clear" w:color="auto" w:fill="auto"/>
            <w:vAlign w:val="center"/>
          </w:tcPr>
          <w:p w14:paraId="16C29B7F">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0.3</w:t>
            </w:r>
            <w:r>
              <w:rPr>
                <w:rFonts w:hint="eastAsia"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7</w:t>
            </w:r>
          </w:p>
        </w:tc>
        <w:tc>
          <w:tcPr>
            <w:tcW w:w="843" w:type="dxa"/>
            <w:shd w:val="clear" w:color="auto" w:fill="auto"/>
            <w:vAlign w:val="center"/>
          </w:tcPr>
          <w:p w14:paraId="150D290B">
            <w:pPr>
              <w:keepNext w:val="0"/>
              <w:keepLines w:val="0"/>
              <w:widowControl/>
              <w:suppressLineNumbers w:val="0"/>
              <w:jc w:val="center"/>
              <w:textAlignment w:val="center"/>
              <w:rPr>
                <w:rFonts w:hint="eastAsia" w:cs="Times New Roman"/>
                <w:color w:val="auto"/>
                <w:sz w:val="21"/>
                <w:szCs w:val="21"/>
                <w:lang w:val="en-US" w:eastAsia="zh-CN"/>
              </w:rPr>
            </w:pPr>
            <w:r>
              <w:rPr>
                <w:rFonts w:hint="eastAsia" w:cs="Times New Roman"/>
                <w:i w:val="0"/>
                <w:iCs w:val="0"/>
                <w:color w:val="auto"/>
                <w:kern w:val="0"/>
                <w:sz w:val="21"/>
                <w:szCs w:val="21"/>
                <w:u w:val="none"/>
                <w:lang w:val="en-US" w:eastAsia="zh-CN" w:bidi="ar"/>
              </w:rPr>
              <w:t>0.5</w:t>
            </w:r>
          </w:p>
        </w:tc>
        <w:tc>
          <w:tcPr>
            <w:tcW w:w="780" w:type="dxa"/>
            <w:vMerge w:val="continue"/>
            <w:shd w:val="clear" w:color="auto" w:fill="auto"/>
            <w:vAlign w:val="center"/>
          </w:tcPr>
          <w:p w14:paraId="62816B20">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r>
      <w:tr w14:paraId="10569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1208" w:type="dxa"/>
            <w:vMerge w:val="continue"/>
            <w:shd w:val="clear" w:color="auto" w:fill="auto"/>
            <w:vAlign w:val="center"/>
          </w:tcPr>
          <w:p w14:paraId="64E39653">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c>
          <w:tcPr>
            <w:tcW w:w="1802" w:type="dxa"/>
            <w:shd w:val="clear" w:color="auto" w:fill="auto"/>
            <w:vAlign w:val="center"/>
          </w:tcPr>
          <w:p w14:paraId="5F767A70">
            <w:pPr>
              <w:keepNext w:val="0"/>
              <w:keepLines w:val="0"/>
              <w:widowControl/>
              <w:suppressLineNumbers w:val="0"/>
              <w:jc w:val="center"/>
              <w:textAlignment w:val="center"/>
              <w:rPr>
                <w:rFonts w:hint="eastAsia" w:cs="Times New Roman"/>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总磷</w:t>
            </w:r>
          </w:p>
        </w:tc>
        <w:tc>
          <w:tcPr>
            <w:tcW w:w="954" w:type="dxa"/>
            <w:shd w:val="clear" w:color="auto" w:fill="auto"/>
            <w:vAlign w:val="center"/>
          </w:tcPr>
          <w:p w14:paraId="42414654">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670162E1">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0.0</w:t>
            </w:r>
            <w:r>
              <w:rPr>
                <w:rFonts w:hint="eastAsia" w:cs="Times New Roman"/>
                <w:i w:val="0"/>
                <w:iCs w:val="0"/>
                <w:color w:val="auto"/>
                <w:kern w:val="0"/>
                <w:sz w:val="21"/>
                <w:szCs w:val="21"/>
                <w:u w:val="none"/>
                <w:lang w:val="en-US" w:eastAsia="zh-CN" w:bidi="ar"/>
              </w:rPr>
              <w:t>6</w:t>
            </w:r>
          </w:p>
        </w:tc>
        <w:tc>
          <w:tcPr>
            <w:tcW w:w="1558" w:type="dxa"/>
            <w:shd w:val="clear" w:color="auto" w:fill="auto"/>
            <w:vAlign w:val="center"/>
          </w:tcPr>
          <w:p w14:paraId="02225D0B">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0.08</w:t>
            </w:r>
          </w:p>
        </w:tc>
        <w:tc>
          <w:tcPr>
            <w:tcW w:w="1558" w:type="dxa"/>
            <w:shd w:val="clear" w:color="auto" w:fill="auto"/>
            <w:vAlign w:val="center"/>
          </w:tcPr>
          <w:p w14:paraId="33611DE1">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0.05</w:t>
            </w:r>
          </w:p>
        </w:tc>
        <w:tc>
          <w:tcPr>
            <w:tcW w:w="843" w:type="dxa"/>
            <w:shd w:val="clear" w:color="auto" w:fill="auto"/>
            <w:vAlign w:val="center"/>
          </w:tcPr>
          <w:p w14:paraId="1AA4BD61">
            <w:pPr>
              <w:keepNext w:val="0"/>
              <w:keepLines w:val="0"/>
              <w:widowControl/>
              <w:suppressLineNumbers w:val="0"/>
              <w:jc w:val="center"/>
              <w:textAlignment w:val="center"/>
              <w:rPr>
                <w:rFonts w:hint="eastAsia" w:cs="Times New Roman"/>
                <w:color w:val="auto"/>
                <w:sz w:val="21"/>
                <w:szCs w:val="21"/>
                <w:lang w:val="en-US" w:eastAsia="zh-CN"/>
              </w:rPr>
            </w:pPr>
            <w:r>
              <w:rPr>
                <w:rFonts w:hint="eastAsia" w:cs="Times New Roman"/>
                <w:i w:val="0"/>
                <w:iCs w:val="0"/>
                <w:color w:val="auto"/>
                <w:kern w:val="0"/>
                <w:sz w:val="21"/>
                <w:szCs w:val="21"/>
                <w:u w:val="none"/>
                <w:lang w:val="en-US" w:eastAsia="zh-CN" w:bidi="ar"/>
              </w:rPr>
              <w:t>0.1</w:t>
            </w:r>
          </w:p>
        </w:tc>
        <w:tc>
          <w:tcPr>
            <w:tcW w:w="780" w:type="dxa"/>
            <w:vMerge w:val="continue"/>
            <w:shd w:val="clear" w:color="auto" w:fill="auto"/>
            <w:vAlign w:val="center"/>
          </w:tcPr>
          <w:p w14:paraId="1A7DBBDB">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r>
      <w:tr w14:paraId="6E87A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1208" w:type="dxa"/>
            <w:vMerge w:val="continue"/>
            <w:shd w:val="clear" w:color="auto" w:fill="auto"/>
            <w:vAlign w:val="center"/>
          </w:tcPr>
          <w:p w14:paraId="5EE9C24A">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c>
          <w:tcPr>
            <w:tcW w:w="1802" w:type="dxa"/>
            <w:shd w:val="clear" w:color="auto" w:fill="auto"/>
            <w:vAlign w:val="center"/>
          </w:tcPr>
          <w:p w14:paraId="1A6FB972">
            <w:pPr>
              <w:keepNext w:val="0"/>
              <w:keepLines w:val="0"/>
              <w:widowControl/>
              <w:suppressLineNumbers w:val="0"/>
              <w:jc w:val="center"/>
              <w:textAlignment w:val="center"/>
              <w:rPr>
                <w:rFonts w:hint="eastAsia" w:cs="Times New Roman"/>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总氮</w:t>
            </w:r>
          </w:p>
        </w:tc>
        <w:tc>
          <w:tcPr>
            <w:tcW w:w="954" w:type="dxa"/>
            <w:shd w:val="clear" w:color="auto" w:fill="auto"/>
            <w:vAlign w:val="center"/>
          </w:tcPr>
          <w:p w14:paraId="08D8AC38">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54AB597B">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3</w:t>
            </w:r>
          </w:p>
        </w:tc>
        <w:tc>
          <w:tcPr>
            <w:tcW w:w="1558" w:type="dxa"/>
            <w:shd w:val="clear" w:color="auto" w:fill="auto"/>
            <w:vAlign w:val="center"/>
          </w:tcPr>
          <w:p w14:paraId="37CB3D64">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35</w:t>
            </w:r>
          </w:p>
        </w:tc>
        <w:tc>
          <w:tcPr>
            <w:tcW w:w="1558" w:type="dxa"/>
            <w:shd w:val="clear" w:color="auto" w:fill="auto"/>
            <w:vAlign w:val="center"/>
          </w:tcPr>
          <w:p w14:paraId="6C47439E">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38</w:t>
            </w:r>
          </w:p>
        </w:tc>
        <w:tc>
          <w:tcPr>
            <w:tcW w:w="843" w:type="dxa"/>
            <w:shd w:val="clear" w:color="auto" w:fill="auto"/>
            <w:vAlign w:val="center"/>
          </w:tcPr>
          <w:p w14:paraId="704B56E2">
            <w:pPr>
              <w:keepNext w:val="0"/>
              <w:keepLines w:val="0"/>
              <w:widowControl/>
              <w:suppressLineNumbers w:val="0"/>
              <w:jc w:val="center"/>
              <w:textAlignment w:val="center"/>
              <w:rPr>
                <w:rFonts w:hint="eastAsia" w:cs="Times New Roman"/>
                <w:color w:val="auto"/>
                <w:sz w:val="21"/>
                <w:szCs w:val="21"/>
                <w:lang w:val="en-US" w:eastAsia="zh-CN"/>
              </w:rPr>
            </w:pPr>
            <w:r>
              <w:rPr>
                <w:rFonts w:hint="eastAsia" w:cs="Times New Roman"/>
                <w:i w:val="0"/>
                <w:iCs w:val="0"/>
                <w:color w:val="auto"/>
                <w:kern w:val="0"/>
                <w:sz w:val="21"/>
                <w:szCs w:val="21"/>
                <w:u w:val="none"/>
                <w:lang w:val="en-US" w:eastAsia="zh-CN" w:bidi="ar"/>
              </w:rPr>
              <w:t>0.5</w:t>
            </w:r>
          </w:p>
        </w:tc>
        <w:tc>
          <w:tcPr>
            <w:tcW w:w="780" w:type="dxa"/>
            <w:vMerge w:val="continue"/>
            <w:shd w:val="clear" w:color="auto" w:fill="auto"/>
            <w:vAlign w:val="center"/>
          </w:tcPr>
          <w:p w14:paraId="155E6413">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r>
      <w:tr w14:paraId="1369F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1208" w:type="dxa"/>
            <w:vMerge w:val="continue"/>
            <w:shd w:val="clear" w:color="auto" w:fill="auto"/>
            <w:vAlign w:val="center"/>
          </w:tcPr>
          <w:p w14:paraId="59B4503D">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c>
          <w:tcPr>
            <w:tcW w:w="1802" w:type="dxa"/>
            <w:shd w:val="clear" w:color="auto" w:fill="auto"/>
            <w:vAlign w:val="center"/>
          </w:tcPr>
          <w:p w14:paraId="79EED911">
            <w:pPr>
              <w:spacing w:before="31" w:beforeLines="10" w:after="31" w:afterLines="10"/>
              <w:jc w:val="center"/>
              <w:rPr>
                <w:rFonts w:hint="eastAsia" w:cs="Times New Roman"/>
                <w:color w:val="auto"/>
                <w:sz w:val="21"/>
                <w:szCs w:val="21"/>
                <w:lang w:val="en-US" w:eastAsia="zh-CN"/>
              </w:rPr>
            </w:pPr>
            <w:r>
              <w:rPr>
                <w:rFonts w:hint="eastAsia" w:cs="Times New Roman"/>
                <w:color w:val="auto"/>
                <w:sz w:val="21"/>
                <w:szCs w:val="21"/>
                <w:lang w:val="en-US" w:eastAsia="zh-CN"/>
              </w:rPr>
              <w:t>河宽</w:t>
            </w:r>
          </w:p>
        </w:tc>
        <w:tc>
          <w:tcPr>
            <w:tcW w:w="954" w:type="dxa"/>
            <w:shd w:val="clear" w:color="auto" w:fill="auto"/>
            <w:vAlign w:val="center"/>
          </w:tcPr>
          <w:p w14:paraId="56E7DF05">
            <w:pPr>
              <w:keepNext w:val="0"/>
              <w:keepLines w:val="0"/>
              <w:pageBreakBefore w:val="0"/>
              <w:kinsoku/>
              <w:wordWrap/>
              <w:overflowPunct/>
              <w:topLinePunct w:val="0"/>
              <w:autoSpaceDE/>
              <w:autoSpaceDN/>
              <w:bidi w:val="0"/>
              <w:adjustRightInd w:val="0"/>
              <w:snapToGrid w:val="0"/>
              <w:jc w:val="center"/>
              <w:rPr>
                <w:rFonts w:hint="eastAsia" w:cs="Times New Roman"/>
                <w:color w:val="auto"/>
                <w:sz w:val="21"/>
                <w:szCs w:val="21"/>
                <w:lang w:val="en-US" w:eastAsia="zh-CN"/>
              </w:rPr>
            </w:pPr>
            <w:r>
              <w:rPr>
                <w:rFonts w:hint="default" w:ascii="Times New Roman" w:hAnsi="Times New Roman" w:eastAsia="宋体" w:cs="Times New Roman"/>
                <w:bCs/>
                <w:color w:val="auto"/>
                <w:sz w:val="21"/>
                <w:szCs w:val="21"/>
                <w:lang w:val="en-US" w:eastAsia="zh-CN"/>
              </w:rPr>
              <w:t>m</w:t>
            </w:r>
          </w:p>
        </w:tc>
        <w:tc>
          <w:tcPr>
            <w:tcW w:w="6297" w:type="dxa"/>
            <w:gridSpan w:val="5"/>
            <w:shd w:val="clear" w:color="auto" w:fill="auto"/>
            <w:vAlign w:val="center"/>
          </w:tcPr>
          <w:p w14:paraId="168A1E36">
            <w:pPr>
              <w:keepNext w:val="0"/>
              <w:keepLines w:val="0"/>
              <w:widowControl/>
              <w:suppressLineNumbers w:val="0"/>
              <w:spacing w:before="109" w:beforeAutospacing="0" w:after="0" w:afterAutospacing="0" w:line="262" w:lineRule="auto"/>
              <w:ind w:left="512" w:leftChars="0" w:right="130" w:rightChars="0" w:hanging="383" w:firstLineChars="0"/>
              <w:jc w:val="center"/>
              <w:rPr>
                <w:rFonts w:hint="eastAsia" w:cs="Times New Roman"/>
                <w:color w:val="auto"/>
                <w:sz w:val="21"/>
                <w:szCs w:val="21"/>
                <w:lang w:val="en-US" w:eastAsia="zh-CN"/>
              </w:rPr>
            </w:pPr>
            <w:r>
              <w:rPr>
                <w:rFonts w:hint="eastAsia" w:cs="Times New Roman"/>
                <w:color w:val="auto"/>
                <w:kern w:val="2"/>
                <w:sz w:val="21"/>
                <w:szCs w:val="21"/>
                <w:highlight w:val="none"/>
                <w:lang w:val="en-US" w:eastAsia="zh-CN" w:bidi="ar-SA"/>
              </w:rPr>
              <w:t>8</w:t>
            </w:r>
          </w:p>
        </w:tc>
      </w:tr>
      <w:tr w14:paraId="5E738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1208" w:type="dxa"/>
            <w:vMerge w:val="continue"/>
            <w:shd w:val="clear" w:color="auto" w:fill="auto"/>
            <w:vAlign w:val="center"/>
          </w:tcPr>
          <w:p w14:paraId="3BE1D7CB">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c>
          <w:tcPr>
            <w:tcW w:w="1802" w:type="dxa"/>
            <w:shd w:val="clear" w:color="auto" w:fill="auto"/>
            <w:vAlign w:val="center"/>
          </w:tcPr>
          <w:p w14:paraId="5845E4A6">
            <w:pPr>
              <w:spacing w:before="31" w:beforeLines="10" w:after="31" w:afterLines="10"/>
              <w:jc w:val="center"/>
              <w:rPr>
                <w:rFonts w:hint="eastAsia" w:cs="Times New Roman"/>
                <w:color w:val="auto"/>
                <w:sz w:val="21"/>
                <w:szCs w:val="21"/>
                <w:lang w:val="en-US" w:eastAsia="zh-CN"/>
              </w:rPr>
            </w:pPr>
            <w:r>
              <w:rPr>
                <w:rFonts w:hint="eastAsia" w:cs="Times New Roman"/>
                <w:color w:val="auto"/>
                <w:sz w:val="21"/>
                <w:szCs w:val="21"/>
                <w:lang w:val="en-US" w:eastAsia="zh-CN"/>
              </w:rPr>
              <w:t>水深</w:t>
            </w:r>
          </w:p>
        </w:tc>
        <w:tc>
          <w:tcPr>
            <w:tcW w:w="954" w:type="dxa"/>
            <w:shd w:val="clear" w:color="auto" w:fill="auto"/>
            <w:vAlign w:val="center"/>
          </w:tcPr>
          <w:p w14:paraId="6879F5BD">
            <w:pPr>
              <w:keepNext w:val="0"/>
              <w:keepLines w:val="0"/>
              <w:pageBreakBefore w:val="0"/>
              <w:kinsoku/>
              <w:wordWrap/>
              <w:overflowPunct/>
              <w:topLinePunct w:val="0"/>
              <w:autoSpaceDE/>
              <w:autoSpaceDN/>
              <w:bidi w:val="0"/>
              <w:adjustRightInd w:val="0"/>
              <w:snapToGrid w:val="0"/>
              <w:jc w:val="center"/>
              <w:rPr>
                <w:rFonts w:hint="eastAsia" w:cs="Times New Roman"/>
                <w:color w:val="auto"/>
                <w:sz w:val="21"/>
                <w:szCs w:val="21"/>
                <w:lang w:val="en-US" w:eastAsia="zh-CN"/>
              </w:rPr>
            </w:pPr>
            <w:r>
              <w:rPr>
                <w:rFonts w:hint="default" w:ascii="Times New Roman" w:hAnsi="Times New Roman" w:eastAsia="宋体" w:cs="Times New Roman"/>
                <w:bCs/>
                <w:color w:val="auto"/>
                <w:sz w:val="21"/>
                <w:szCs w:val="21"/>
                <w:lang w:val="en-US" w:eastAsia="zh-CN"/>
              </w:rPr>
              <w:t>m</w:t>
            </w:r>
          </w:p>
        </w:tc>
        <w:tc>
          <w:tcPr>
            <w:tcW w:w="6297" w:type="dxa"/>
            <w:gridSpan w:val="5"/>
            <w:shd w:val="clear" w:color="auto" w:fill="auto"/>
            <w:vAlign w:val="center"/>
          </w:tcPr>
          <w:p w14:paraId="04616D3D">
            <w:pPr>
              <w:keepNext w:val="0"/>
              <w:keepLines w:val="0"/>
              <w:widowControl/>
              <w:suppressLineNumbers w:val="0"/>
              <w:spacing w:before="109" w:beforeAutospacing="0" w:after="0" w:afterAutospacing="0" w:line="262" w:lineRule="auto"/>
              <w:ind w:left="512" w:leftChars="0" w:right="130" w:rightChars="0" w:hanging="383" w:firstLineChars="0"/>
              <w:jc w:val="center"/>
              <w:rPr>
                <w:rFonts w:hint="default" w:cs="Times New Roman"/>
                <w:color w:val="auto"/>
                <w:sz w:val="21"/>
                <w:szCs w:val="21"/>
                <w:lang w:val="en-US" w:eastAsia="zh-CN"/>
              </w:rPr>
            </w:pPr>
            <w:r>
              <w:rPr>
                <w:rFonts w:hint="eastAsia" w:cs="Times New Roman"/>
                <w:color w:val="auto"/>
                <w:kern w:val="2"/>
                <w:sz w:val="21"/>
                <w:szCs w:val="21"/>
                <w:highlight w:val="none"/>
                <w:lang w:val="en-US" w:eastAsia="zh-CN" w:bidi="ar-SA"/>
              </w:rPr>
              <w:t>1.0</w:t>
            </w:r>
          </w:p>
        </w:tc>
      </w:tr>
      <w:tr w14:paraId="7780D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1208" w:type="dxa"/>
            <w:vMerge w:val="continue"/>
            <w:shd w:val="clear" w:color="auto" w:fill="auto"/>
            <w:vAlign w:val="center"/>
          </w:tcPr>
          <w:p w14:paraId="49F5756C">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c>
          <w:tcPr>
            <w:tcW w:w="1802" w:type="dxa"/>
            <w:shd w:val="clear" w:color="auto" w:fill="auto"/>
            <w:vAlign w:val="center"/>
          </w:tcPr>
          <w:p w14:paraId="5CED14F7">
            <w:pPr>
              <w:spacing w:before="31" w:beforeLines="10" w:after="31" w:afterLines="10"/>
              <w:jc w:val="center"/>
              <w:rPr>
                <w:rFonts w:hint="eastAsia" w:cs="Times New Roman"/>
                <w:color w:val="auto"/>
                <w:sz w:val="21"/>
                <w:szCs w:val="21"/>
                <w:lang w:val="en-US" w:eastAsia="zh-CN"/>
              </w:rPr>
            </w:pPr>
            <w:r>
              <w:rPr>
                <w:rFonts w:hint="eastAsia" w:cs="Times New Roman"/>
                <w:color w:val="auto"/>
                <w:sz w:val="21"/>
                <w:szCs w:val="21"/>
                <w:lang w:val="en-US" w:eastAsia="zh-CN"/>
              </w:rPr>
              <w:t>流速</w:t>
            </w:r>
          </w:p>
        </w:tc>
        <w:tc>
          <w:tcPr>
            <w:tcW w:w="954" w:type="dxa"/>
            <w:shd w:val="clear" w:color="auto" w:fill="auto"/>
            <w:vAlign w:val="center"/>
          </w:tcPr>
          <w:p w14:paraId="15FFCE01">
            <w:pPr>
              <w:keepNext w:val="0"/>
              <w:keepLines w:val="0"/>
              <w:pageBreakBefore w:val="0"/>
              <w:kinsoku/>
              <w:wordWrap/>
              <w:overflowPunct/>
              <w:topLinePunct w:val="0"/>
              <w:autoSpaceDE/>
              <w:autoSpaceDN/>
              <w:bidi w:val="0"/>
              <w:adjustRightInd w:val="0"/>
              <w:snapToGrid w:val="0"/>
              <w:jc w:val="center"/>
              <w:rPr>
                <w:rFonts w:hint="eastAsia" w:cs="Times New Roman"/>
                <w:color w:val="auto"/>
                <w:sz w:val="21"/>
                <w:szCs w:val="21"/>
                <w:lang w:val="en-US" w:eastAsia="zh-CN"/>
              </w:rPr>
            </w:pPr>
            <w:r>
              <w:rPr>
                <w:rFonts w:hint="default" w:ascii="Times New Roman" w:hAnsi="Times New Roman" w:eastAsia="宋体" w:cs="Times New Roman"/>
                <w:bCs/>
                <w:color w:val="auto"/>
                <w:sz w:val="21"/>
                <w:szCs w:val="21"/>
                <w:lang w:val="en-US" w:eastAsia="zh-CN"/>
              </w:rPr>
              <w:t>m</w:t>
            </w:r>
            <w:r>
              <w:rPr>
                <w:rFonts w:hint="eastAsia" w:eastAsia="宋体" w:cs="Times New Roman"/>
                <w:bCs/>
                <w:color w:val="auto"/>
                <w:sz w:val="21"/>
                <w:szCs w:val="21"/>
                <w:lang w:val="en-US" w:eastAsia="zh-CN"/>
              </w:rPr>
              <w:t>/s</w:t>
            </w:r>
          </w:p>
        </w:tc>
        <w:tc>
          <w:tcPr>
            <w:tcW w:w="6297" w:type="dxa"/>
            <w:gridSpan w:val="5"/>
            <w:shd w:val="clear" w:color="auto" w:fill="auto"/>
            <w:vAlign w:val="center"/>
          </w:tcPr>
          <w:p w14:paraId="58960BB0">
            <w:pPr>
              <w:keepNext w:val="0"/>
              <w:keepLines w:val="0"/>
              <w:widowControl/>
              <w:suppressLineNumbers w:val="0"/>
              <w:spacing w:before="109" w:beforeAutospacing="0" w:after="0" w:afterAutospacing="0" w:line="262" w:lineRule="auto"/>
              <w:ind w:left="512" w:leftChars="0" w:right="130" w:rightChars="0" w:hanging="383" w:firstLineChars="0"/>
              <w:jc w:val="center"/>
              <w:rPr>
                <w:rFonts w:hint="eastAsia" w:ascii="Times New Roman" w:hAnsi="Times New Roman" w:eastAsia="宋体" w:cs="Times New Roman"/>
                <w:color w:val="auto"/>
                <w:sz w:val="21"/>
                <w:szCs w:val="21"/>
                <w:lang w:val="en-US" w:eastAsia="zh-CN"/>
              </w:rPr>
            </w:pPr>
            <w:r>
              <w:rPr>
                <w:rFonts w:hint="eastAsia" w:cs="Times New Roman"/>
                <w:color w:val="auto"/>
                <w:kern w:val="2"/>
                <w:sz w:val="21"/>
                <w:szCs w:val="21"/>
                <w:highlight w:val="none"/>
                <w:lang w:val="en-US" w:eastAsia="zh-CN" w:bidi="ar-SA"/>
              </w:rPr>
              <w:t>0.22</w:t>
            </w:r>
          </w:p>
        </w:tc>
      </w:tr>
      <w:tr w14:paraId="2CC70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1208" w:type="dxa"/>
            <w:vMerge w:val="continue"/>
            <w:shd w:val="clear" w:color="auto" w:fill="auto"/>
            <w:vAlign w:val="center"/>
          </w:tcPr>
          <w:p w14:paraId="3801E8B3">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c>
          <w:tcPr>
            <w:tcW w:w="1802" w:type="dxa"/>
            <w:shd w:val="clear" w:color="auto" w:fill="auto"/>
            <w:vAlign w:val="center"/>
          </w:tcPr>
          <w:p w14:paraId="73C694FB">
            <w:pPr>
              <w:spacing w:before="31" w:beforeLines="10" w:after="31" w:afterLines="10"/>
              <w:jc w:val="center"/>
              <w:rPr>
                <w:rFonts w:hint="eastAsia" w:cs="Times New Roman"/>
                <w:color w:val="auto"/>
                <w:sz w:val="21"/>
                <w:szCs w:val="21"/>
                <w:lang w:val="en-US" w:eastAsia="zh-CN"/>
              </w:rPr>
            </w:pPr>
            <w:r>
              <w:rPr>
                <w:rFonts w:hint="eastAsia" w:cs="Times New Roman"/>
                <w:color w:val="auto"/>
                <w:sz w:val="21"/>
                <w:szCs w:val="21"/>
                <w:lang w:val="en-US" w:eastAsia="zh-CN"/>
              </w:rPr>
              <w:t>坡降度</w:t>
            </w:r>
          </w:p>
        </w:tc>
        <w:tc>
          <w:tcPr>
            <w:tcW w:w="954" w:type="dxa"/>
            <w:shd w:val="clear" w:color="auto" w:fill="auto"/>
            <w:vAlign w:val="center"/>
          </w:tcPr>
          <w:p w14:paraId="6DEA416D">
            <w:pPr>
              <w:keepNext w:val="0"/>
              <w:keepLines w:val="0"/>
              <w:pageBreakBefore w:val="0"/>
              <w:kinsoku/>
              <w:wordWrap/>
              <w:overflowPunct/>
              <w:topLinePunct w:val="0"/>
              <w:autoSpaceDE/>
              <w:autoSpaceDN/>
              <w:bidi w:val="0"/>
              <w:adjustRightInd w:val="0"/>
              <w:snapToGrid w:val="0"/>
              <w:jc w:val="center"/>
              <w:rPr>
                <w:rFonts w:hint="eastAsia" w:cs="Times New Roman"/>
                <w:color w:val="auto"/>
                <w:sz w:val="21"/>
                <w:szCs w:val="21"/>
                <w:lang w:val="en-US" w:eastAsia="zh-CN"/>
              </w:rPr>
            </w:pPr>
            <w:r>
              <w:rPr>
                <w:rFonts w:hint="default" w:ascii="Arial" w:hAnsi="Arial" w:eastAsia="宋体" w:cs="Arial"/>
                <w:bCs/>
                <w:color w:val="auto"/>
                <w:sz w:val="21"/>
                <w:szCs w:val="21"/>
                <w:lang w:val="en-US" w:eastAsia="zh-CN"/>
              </w:rPr>
              <w:t>‰</w:t>
            </w:r>
          </w:p>
        </w:tc>
        <w:tc>
          <w:tcPr>
            <w:tcW w:w="6297" w:type="dxa"/>
            <w:gridSpan w:val="5"/>
            <w:shd w:val="clear" w:color="auto" w:fill="auto"/>
            <w:vAlign w:val="center"/>
          </w:tcPr>
          <w:p w14:paraId="534CA20F">
            <w:pPr>
              <w:keepNext w:val="0"/>
              <w:keepLines w:val="0"/>
              <w:widowControl/>
              <w:suppressLineNumbers w:val="0"/>
              <w:spacing w:before="109" w:beforeAutospacing="0" w:after="0" w:afterAutospacing="0" w:line="262" w:lineRule="auto"/>
              <w:ind w:left="512" w:leftChars="0" w:right="130" w:rightChars="0" w:hanging="383" w:firstLineChars="0"/>
              <w:jc w:val="center"/>
              <w:rPr>
                <w:rFonts w:hint="eastAsia" w:cs="Times New Roman"/>
                <w:color w:val="auto"/>
                <w:sz w:val="21"/>
                <w:szCs w:val="21"/>
                <w:lang w:val="en-US" w:eastAsia="zh-CN"/>
              </w:rPr>
            </w:pPr>
            <w:r>
              <w:rPr>
                <w:rFonts w:hint="eastAsia" w:cs="Times New Roman"/>
                <w:color w:val="auto"/>
                <w:kern w:val="2"/>
                <w:sz w:val="21"/>
                <w:szCs w:val="21"/>
                <w:highlight w:val="none"/>
                <w:lang w:val="en-US" w:eastAsia="zh-CN" w:bidi="ar-SA"/>
              </w:rPr>
              <w:t>0.13</w:t>
            </w:r>
          </w:p>
        </w:tc>
      </w:tr>
      <w:tr w14:paraId="108DC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08" w:type="dxa"/>
            <w:vMerge w:val="restart"/>
            <w:shd w:val="clear" w:color="auto" w:fill="auto"/>
            <w:vAlign w:val="center"/>
          </w:tcPr>
          <w:p w14:paraId="774D5919">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r>
              <w:rPr>
                <w:rFonts w:hint="eastAsia" w:cs="Times New Roman"/>
                <w:color w:val="auto"/>
                <w:sz w:val="21"/>
                <w:szCs w:val="21"/>
                <w:lang w:eastAsia="zh-CN"/>
              </w:rPr>
              <w:t>W4吉水河与排水渠交汇处上游300米</w:t>
            </w:r>
          </w:p>
        </w:tc>
        <w:tc>
          <w:tcPr>
            <w:tcW w:w="1802" w:type="dxa"/>
            <w:shd w:val="clear" w:color="auto" w:fill="auto"/>
            <w:vAlign w:val="center"/>
          </w:tcPr>
          <w:p w14:paraId="3773A4B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悬浮物</w:t>
            </w:r>
          </w:p>
        </w:tc>
        <w:tc>
          <w:tcPr>
            <w:tcW w:w="954" w:type="dxa"/>
            <w:shd w:val="clear" w:color="auto" w:fill="auto"/>
            <w:vAlign w:val="center"/>
          </w:tcPr>
          <w:p w14:paraId="682ECC08">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2FDD0485">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558" w:type="dxa"/>
            <w:shd w:val="clear" w:color="auto" w:fill="auto"/>
            <w:vAlign w:val="center"/>
          </w:tcPr>
          <w:p w14:paraId="112317DD">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13</w:t>
            </w:r>
          </w:p>
        </w:tc>
        <w:tc>
          <w:tcPr>
            <w:tcW w:w="1558" w:type="dxa"/>
            <w:shd w:val="clear" w:color="auto" w:fill="auto"/>
            <w:vAlign w:val="center"/>
          </w:tcPr>
          <w:p w14:paraId="66551004">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17</w:t>
            </w:r>
          </w:p>
        </w:tc>
        <w:tc>
          <w:tcPr>
            <w:tcW w:w="843" w:type="dxa"/>
            <w:shd w:val="clear" w:color="auto" w:fill="auto"/>
            <w:vAlign w:val="center"/>
          </w:tcPr>
          <w:p w14:paraId="5A273466">
            <w:pPr>
              <w:keepNext w:val="0"/>
              <w:keepLines w:val="0"/>
              <w:widowControl/>
              <w:suppressLineNumbers w:val="0"/>
              <w:jc w:val="center"/>
              <w:textAlignment w:val="center"/>
              <w:rPr>
                <w:rFonts w:hint="eastAsia" w:cs="Times New Roman"/>
                <w:color w:val="auto"/>
                <w:sz w:val="21"/>
                <w:szCs w:val="21"/>
                <w:lang w:val="en-US" w:eastAsia="zh-CN"/>
              </w:rPr>
            </w:pPr>
            <w:r>
              <w:rPr>
                <w:rFonts w:hint="eastAsia" w:ascii="Times New Roman" w:hAnsi="Times New Roman" w:eastAsia="宋体" w:cs="Times New Roman"/>
                <w:color w:val="auto"/>
                <w:sz w:val="21"/>
                <w:szCs w:val="21"/>
                <w:vertAlign w:val="baseline"/>
                <w:lang w:val="en-US" w:eastAsia="zh-CN"/>
              </w:rPr>
              <w:t>/</w:t>
            </w:r>
          </w:p>
        </w:tc>
        <w:tc>
          <w:tcPr>
            <w:tcW w:w="780" w:type="dxa"/>
            <w:vMerge w:val="restart"/>
            <w:shd w:val="clear" w:color="auto" w:fill="auto"/>
            <w:vAlign w:val="center"/>
          </w:tcPr>
          <w:p w14:paraId="1853D470">
            <w:pPr>
              <w:keepNext w:val="0"/>
              <w:keepLines w:val="0"/>
              <w:pageBreakBefore w:val="0"/>
              <w:widowControl/>
              <w:kinsoku w:val="0"/>
              <w:wordWrap/>
              <w:overflowPunct/>
              <w:topLinePunct w:val="0"/>
              <w:autoSpaceDE w:val="0"/>
              <w:autoSpaceDN w:val="0"/>
              <w:bidi w:val="0"/>
              <w:adjustRightInd w:val="0"/>
              <w:snapToGrid w:val="0"/>
              <w:spacing w:line="231" w:lineRule="auto"/>
              <w:jc w:val="both"/>
              <w:textAlignment w:val="baseline"/>
              <w:rPr>
                <w:rFonts w:hint="eastAsia" w:cs="Times New Roman"/>
                <w:color w:val="auto"/>
                <w:sz w:val="21"/>
                <w:szCs w:val="21"/>
                <w:lang w:val="en-US" w:eastAsia="zh-CN"/>
              </w:rPr>
            </w:pPr>
            <w:r>
              <w:rPr>
                <w:rFonts w:hint="default" w:ascii="Times New Roman" w:hAnsi="Times New Roman" w:eastAsia="宋体" w:cs="Times New Roman"/>
                <w:color w:val="auto"/>
                <w:sz w:val="21"/>
                <w:szCs w:val="21"/>
                <w:vertAlign w:val="baseline"/>
                <w:lang w:val="en-US" w:eastAsia="zh-CN"/>
              </w:rPr>
              <w:t>《地表水环境质量标准》（GB3838-2002）</w:t>
            </w:r>
            <w:r>
              <w:rPr>
                <w:rFonts w:hint="eastAsia" w:ascii="Times New Roman" w:hAnsi="Times New Roman" w:eastAsia="宋体" w:cs="Times New Roman"/>
                <w:color w:val="auto"/>
                <w:sz w:val="21"/>
                <w:szCs w:val="21"/>
                <w:vertAlign w:val="baseline"/>
                <w:lang w:val="en-US" w:eastAsia="zh-CN"/>
              </w:rPr>
              <w:fldChar w:fldCharType="begin"/>
            </w:r>
            <w:r>
              <w:rPr>
                <w:rFonts w:hint="eastAsia" w:ascii="Times New Roman" w:hAnsi="Times New Roman" w:eastAsia="宋体" w:cs="Times New Roman"/>
                <w:color w:val="auto"/>
                <w:sz w:val="21"/>
                <w:szCs w:val="21"/>
                <w:vertAlign w:val="baseline"/>
                <w:lang w:val="en-US" w:eastAsia="zh-CN"/>
              </w:rPr>
              <w:instrText xml:space="preserve"> = 2 \* ROMAN \* MERGEFORMAT </w:instrText>
            </w:r>
            <w:r>
              <w:rPr>
                <w:rFonts w:hint="eastAsia" w:ascii="Times New Roman" w:hAnsi="Times New Roman" w:eastAsia="宋体" w:cs="Times New Roman"/>
                <w:color w:val="auto"/>
                <w:sz w:val="21"/>
                <w:szCs w:val="21"/>
                <w:vertAlign w:val="baseline"/>
                <w:lang w:val="en-US" w:eastAsia="zh-CN"/>
              </w:rPr>
              <w:fldChar w:fldCharType="separate"/>
            </w:r>
            <w:r>
              <w:rPr>
                <w:color w:val="auto"/>
              </w:rPr>
              <w:t>II</w:t>
            </w:r>
            <w:r>
              <w:rPr>
                <w:rFonts w:hint="eastAsia" w:ascii="Times New Roman" w:hAnsi="Times New Roman" w:eastAsia="宋体" w:cs="Times New Roman"/>
                <w:color w:val="auto"/>
                <w:sz w:val="21"/>
                <w:szCs w:val="21"/>
                <w:vertAlign w:val="baseline"/>
                <w:lang w:val="en-US" w:eastAsia="zh-CN"/>
              </w:rPr>
              <w:fldChar w:fldCharType="end"/>
            </w:r>
            <w:r>
              <w:rPr>
                <w:rFonts w:hint="default" w:ascii="Times New Roman" w:hAnsi="Times New Roman" w:eastAsia="宋体" w:cs="Times New Roman"/>
                <w:color w:val="auto"/>
                <w:sz w:val="21"/>
                <w:szCs w:val="21"/>
                <w:vertAlign w:val="baseline"/>
                <w:lang w:val="en-US" w:eastAsia="zh-CN"/>
              </w:rPr>
              <w:t>类标准</w:t>
            </w:r>
          </w:p>
        </w:tc>
      </w:tr>
      <w:tr w14:paraId="3A468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08" w:type="dxa"/>
            <w:vMerge w:val="continue"/>
            <w:shd w:val="clear" w:color="auto" w:fill="auto"/>
            <w:vAlign w:val="center"/>
          </w:tcPr>
          <w:p w14:paraId="60368B08">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color w:val="auto"/>
              </w:rPr>
            </w:pPr>
          </w:p>
        </w:tc>
        <w:tc>
          <w:tcPr>
            <w:tcW w:w="1802" w:type="dxa"/>
            <w:shd w:val="clear" w:color="auto" w:fill="auto"/>
            <w:vAlign w:val="center"/>
          </w:tcPr>
          <w:p w14:paraId="3E41D86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pH</w:t>
            </w:r>
            <w:r>
              <w:rPr>
                <w:rFonts w:hint="eastAsia" w:ascii="宋体" w:hAnsi="宋体" w:eastAsia="宋体" w:cs="宋体"/>
                <w:i w:val="0"/>
                <w:iCs w:val="0"/>
                <w:color w:val="auto"/>
                <w:kern w:val="0"/>
                <w:sz w:val="21"/>
                <w:szCs w:val="21"/>
                <w:u w:val="none"/>
                <w:lang w:val="en-US" w:eastAsia="zh-CN" w:bidi="ar"/>
              </w:rPr>
              <w:t>值</w:t>
            </w:r>
          </w:p>
        </w:tc>
        <w:tc>
          <w:tcPr>
            <w:tcW w:w="954" w:type="dxa"/>
            <w:shd w:val="clear" w:color="auto" w:fill="auto"/>
            <w:vAlign w:val="center"/>
          </w:tcPr>
          <w:p w14:paraId="7462929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无量纲</w:t>
            </w:r>
          </w:p>
        </w:tc>
        <w:tc>
          <w:tcPr>
            <w:tcW w:w="1558" w:type="dxa"/>
            <w:shd w:val="clear" w:color="auto" w:fill="auto"/>
            <w:vAlign w:val="center"/>
          </w:tcPr>
          <w:p w14:paraId="445E3D2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7.3</w:t>
            </w:r>
          </w:p>
        </w:tc>
        <w:tc>
          <w:tcPr>
            <w:tcW w:w="1558" w:type="dxa"/>
            <w:shd w:val="clear" w:color="auto" w:fill="auto"/>
            <w:vAlign w:val="center"/>
          </w:tcPr>
          <w:p w14:paraId="19AB99B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7.2</w:t>
            </w:r>
          </w:p>
        </w:tc>
        <w:tc>
          <w:tcPr>
            <w:tcW w:w="1558" w:type="dxa"/>
            <w:shd w:val="clear" w:color="auto" w:fill="auto"/>
            <w:vAlign w:val="center"/>
          </w:tcPr>
          <w:p w14:paraId="731D58E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7.2</w:t>
            </w:r>
          </w:p>
        </w:tc>
        <w:tc>
          <w:tcPr>
            <w:tcW w:w="843" w:type="dxa"/>
            <w:shd w:val="clear" w:color="auto" w:fill="auto"/>
            <w:vAlign w:val="center"/>
          </w:tcPr>
          <w:p w14:paraId="7FD2300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6~9</w:t>
            </w:r>
          </w:p>
        </w:tc>
        <w:tc>
          <w:tcPr>
            <w:tcW w:w="780" w:type="dxa"/>
            <w:vMerge w:val="continue"/>
            <w:shd w:val="clear" w:color="auto" w:fill="auto"/>
            <w:vAlign w:val="center"/>
          </w:tcPr>
          <w:p w14:paraId="2EFF247B">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i w:val="0"/>
                <w:iCs w:val="0"/>
                <w:color w:val="auto"/>
                <w:kern w:val="0"/>
                <w:sz w:val="21"/>
                <w:szCs w:val="21"/>
                <w:u w:val="none"/>
                <w:lang w:val="en-US" w:eastAsia="zh-CN" w:bidi="ar"/>
              </w:rPr>
            </w:pPr>
          </w:p>
        </w:tc>
      </w:tr>
      <w:tr w14:paraId="6A005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08" w:type="dxa"/>
            <w:vMerge w:val="continue"/>
            <w:shd w:val="clear" w:color="auto" w:fill="auto"/>
            <w:vAlign w:val="center"/>
          </w:tcPr>
          <w:p w14:paraId="48A12203">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i w:val="0"/>
                <w:iCs w:val="0"/>
                <w:color w:val="auto"/>
                <w:kern w:val="0"/>
                <w:sz w:val="21"/>
                <w:szCs w:val="21"/>
                <w:u w:val="none"/>
                <w:lang w:val="en-US" w:eastAsia="zh-CN" w:bidi="ar"/>
              </w:rPr>
            </w:pPr>
          </w:p>
        </w:tc>
        <w:tc>
          <w:tcPr>
            <w:tcW w:w="1802" w:type="dxa"/>
            <w:shd w:val="clear" w:color="auto" w:fill="auto"/>
            <w:vAlign w:val="center"/>
          </w:tcPr>
          <w:p w14:paraId="3AB4F05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溶解氧</w:t>
            </w:r>
          </w:p>
        </w:tc>
        <w:tc>
          <w:tcPr>
            <w:tcW w:w="954" w:type="dxa"/>
            <w:shd w:val="clear" w:color="auto" w:fill="auto"/>
            <w:vAlign w:val="center"/>
          </w:tcPr>
          <w:p w14:paraId="4068C68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3E16215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w:t>
            </w:r>
            <w:r>
              <w:rPr>
                <w:rFonts w:hint="eastAsia" w:cs="Times New Roman"/>
                <w:i w:val="0"/>
                <w:iCs w:val="0"/>
                <w:color w:val="auto"/>
                <w:kern w:val="0"/>
                <w:sz w:val="21"/>
                <w:szCs w:val="21"/>
                <w:u w:val="none"/>
                <w:lang w:val="en-US" w:eastAsia="zh-CN" w:bidi="ar"/>
              </w:rPr>
              <w:t>7</w:t>
            </w:r>
          </w:p>
        </w:tc>
        <w:tc>
          <w:tcPr>
            <w:tcW w:w="1558" w:type="dxa"/>
            <w:shd w:val="clear" w:color="auto" w:fill="auto"/>
            <w:vAlign w:val="center"/>
          </w:tcPr>
          <w:p w14:paraId="021CB8F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6.5</w:t>
            </w:r>
          </w:p>
        </w:tc>
        <w:tc>
          <w:tcPr>
            <w:tcW w:w="1558" w:type="dxa"/>
            <w:shd w:val="clear" w:color="auto" w:fill="auto"/>
            <w:vAlign w:val="center"/>
          </w:tcPr>
          <w:p w14:paraId="47DD64C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6</w:t>
            </w:r>
            <w:r>
              <w:rPr>
                <w:rFonts w:hint="default" w:ascii="Times New Roman" w:hAnsi="Times New Roman" w:eastAsia="宋体" w:cs="Times New Roman"/>
                <w:i w:val="0"/>
                <w:iCs w:val="0"/>
                <w:color w:val="auto"/>
                <w:kern w:val="0"/>
                <w:sz w:val="21"/>
                <w:szCs w:val="21"/>
                <w:u w:val="none"/>
                <w:lang w:val="en-US" w:eastAsia="zh-CN" w:bidi="ar"/>
              </w:rPr>
              <w:t>.9</w:t>
            </w:r>
          </w:p>
        </w:tc>
        <w:tc>
          <w:tcPr>
            <w:tcW w:w="843" w:type="dxa"/>
            <w:shd w:val="clear" w:color="auto" w:fill="auto"/>
            <w:vAlign w:val="center"/>
          </w:tcPr>
          <w:p w14:paraId="4EA3CE5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≥6</w:t>
            </w:r>
          </w:p>
        </w:tc>
        <w:tc>
          <w:tcPr>
            <w:tcW w:w="780" w:type="dxa"/>
            <w:vMerge w:val="continue"/>
            <w:shd w:val="clear" w:color="auto" w:fill="auto"/>
            <w:vAlign w:val="center"/>
          </w:tcPr>
          <w:p w14:paraId="1A6CB37A">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i w:val="0"/>
                <w:iCs w:val="0"/>
                <w:color w:val="auto"/>
                <w:kern w:val="0"/>
                <w:sz w:val="21"/>
                <w:szCs w:val="21"/>
                <w:u w:val="none"/>
                <w:lang w:val="en-US" w:eastAsia="zh-CN" w:bidi="ar"/>
              </w:rPr>
            </w:pPr>
          </w:p>
        </w:tc>
      </w:tr>
      <w:tr w14:paraId="272D4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08" w:type="dxa"/>
            <w:vMerge w:val="continue"/>
            <w:shd w:val="clear" w:color="auto" w:fill="auto"/>
            <w:vAlign w:val="center"/>
          </w:tcPr>
          <w:p w14:paraId="3DFBB21A">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i w:val="0"/>
                <w:iCs w:val="0"/>
                <w:color w:val="auto"/>
                <w:kern w:val="0"/>
                <w:sz w:val="21"/>
                <w:szCs w:val="21"/>
                <w:u w:val="none"/>
                <w:lang w:val="en-US" w:eastAsia="zh-CN" w:bidi="ar"/>
              </w:rPr>
            </w:pPr>
          </w:p>
        </w:tc>
        <w:tc>
          <w:tcPr>
            <w:tcW w:w="1802" w:type="dxa"/>
            <w:shd w:val="clear" w:color="auto" w:fill="auto"/>
            <w:vAlign w:val="center"/>
          </w:tcPr>
          <w:p w14:paraId="435F22F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化学需氧量</w:t>
            </w:r>
          </w:p>
        </w:tc>
        <w:tc>
          <w:tcPr>
            <w:tcW w:w="954" w:type="dxa"/>
            <w:shd w:val="clear" w:color="auto" w:fill="auto"/>
            <w:vAlign w:val="center"/>
          </w:tcPr>
          <w:p w14:paraId="2963B4A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6497B9C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w:t>
            </w:r>
            <w:r>
              <w:rPr>
                <w:rFonts w:hint="eastAsia" w:cs="Times New Roman"/>
                <w:i w:val="0"/>
                <w:iCs w:val="0"/>
                <w:color w:val="auto"/>
                <w:kern w:val="0"/>
                <w:sz w:val="21"/>
                <w:szCs w:val="21"/>
                <w:u w:val="none"/>
                <w:lang w:val="en-US" w:eastAsia="zh-CN" w:bidi="ar"/>
              </w:rPr>
              <w:t>2</w:t>
            </w:r>
          </w:p>
        </w:tc>
        <w:tc>
          <w:tcPr>
            <w:tcW w:w="1558" w:type="dxa"/>
            <w:shd w:val="clear" w:color="auto" w:fill="auto"/>
            <w:vAlign w:val="center"/>
          </w:tcPr>
          <w:p w14:paraId="2213831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w:t>
            </w:r>
            <w:r>
              <w:rPr>
                <w:rFonts w:hint="eastAsia" w:cs="Times New Roman"/>
                <w:i w:val="0"/>
                <w:iCs w:val="0"/>
                <w:color w:val="auto"/>
                <w:kern w:val="0"/>
                <w:sz w:val="21"/>
                <w:szCs w:val="21"/>
                <w:u w:val="none"/>
                <w:lang w:val="en-US" w:eastAsia="zh-CN" w:bidi="ar"/>
              </w:rPr>
              <w:t>1</w:t>
            </w:r>
          </w:p>
        </w:tc>
        <w:tc>
          <w:tcPr>
            <w:tcW w:w="1558" w:type="dxa"/>
            <w:shd w:val="clear" w:color="auto" w:fill="auto"/>
            <w:vAlign w:val="center"/>
          </w:tcPr>
          <w:p w14:paraId="1FD6429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w:t>
            </w:r>
            <w:r>
              <w:rPr>
                <w:rFonts w:hint="eastAsia" w:cs="Times New Roman"/>
                <w:i w:val="0"/>
                <w:iCs w:val="0"/>
                <w:color w:val="auto"/>
                <w:kern w:val="0"/>
                <w:sz w:val="21"/>
                <w:szCs w:val="21"/>
                <w:u w:val="none"/>
                <w:lang w:val="en-US" w:eastAsia="zh-CN" w:bidi="ar"/>
              </w:rPr>
              <w:t>0</w:t>
            </w:r>
          </w:p>
        </w:tc>
        <w:tc>
          <w:tcPr>
            <w:tcW w:w="843" w:type="dxa"/>
            <w:shd w:val="clear" w:color="auto" w:fill="auto"/>
            <w:vAlign w:val="center"/>
          </w:tcPr>
          <w:p w14:paraId="4C42E0E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15</w:t>
            </w:r>
          </w:p>
        </w:tc>
        <w:tc>
          <w:tcPr>
            <w:tcW w:w="780" w:type="dxa"/>
            <w:vMerge w:val="continue"/>
            <w:shd w:val="clear" w:color="auto" w:fill="auto"/>
            <w:vAlign w:val="center"/>
          </w:tcPr>
          <w:p w14:paraId="6317505A">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i w:val="0"/>
                <w:iCs w:val="0"/>
                <w:color w:val="auto"/>
                <w:kern w:val="0"/>
                <w:sz w:val="21"/>
                <w:szCs w:val="21"/>
                <w:u w:val="none"/>
                <w:lang w:val="en-US" w:eastAsia="zh-CN" w:bidi="ar"/>
              </w:rPr>
            </w:pPr>
          </w:p>
        </w:tc>
      </w:tr>
      <w:tr w14:paraId="44735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08" w:type="dxa"/>
            <w:vMerge w:val="continue"/>
            <w:shd w:val="clear" w:color="auto" w:fill="auto"/>
            <w:vAlign w:val="center"/>
          </w:tcPr>
          <w:p w14:paraId="67ACBD2A">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i w:val="0"/>
                <w:iCs w:val="0"/>
                <w:color w:val="auto"/>
                <w:kern w:val="0"/>
                <w:sz w:val="21"/>
                <w:szCs w:val="21"/>
                <w:u w:val="none"/>
                <w:lang w:val="en-US" w:eastAsia="zh-CN" w:bidi="ar"/>
              </w:rPr>
            </w:pPr>
          </w:p>
        </w:tc>
        <w:tc>
          <w:tcPr>
            <w:tcW w:w="1802" w:type="dxa"/>
            <w:shd w:val="clear" w:color="auto" w:fill="auto"/>
            <w:vAlign w:val="center"/>
          </w:tcPr>
          <w:p w14:paraId="556727E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五日生化需氧量</w:t>
            </w:r>
          </w:p>
        </w:tc>
        <w:tc>
          <w:tcPr>
            <w:tcW w:w="954" w:type="dxa"/>
            <w:shd w:val="clear" w:color="auto" w:fill="auto"/>
            <w:vAlign w:val="center"/>
          </w:tcPr>
          <w:p w14:paraId="2678AF2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251CAD9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w:t>
            </w:r>
            <w:r>
              <w:rPr>
                <w:rFonts w:hint="eastAsia" w:cs="Times New Roman"/>
                <w:i w:val="0"/>
                <w:iCs w:val="0"/>
                <w:color w:val="auto"/>
                <w:kern w:val="0"/>
                <w:sz w:val="21"/>
                <w:szCs w:val="21"/>
                <w:u w:val="none"/>
                <w:lang w:val="en-US" w:eastAsia="zh-CN" w:bidi="ar"/>
              </w:rPr>
              <w:t>1</w:t>
            </w:r>
          </w:p>
        </w:tc>
        <w:tc>
          <w:tcPr>
            <w:tcW w:w="1558" w:type="dxa"/>
            <w:shd w:val="clear" w:color="auto" w:fill="auto"/>
            <w:vAlign w:val="center"/>
          </w:tcPr>
          <w:p w14:paraId="2D0EE86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2.4</w:t>
            </w:r>
          </w:p>
        </w:tc>
        <w:tc>
          <w:tcPr>
            <w:tcW w:w="1558" w:type="dxa"/>
            <w:shd w:val="clear" w:color="auto" w:fill="auto"/>
            <w:vAlign w:val="center"/>
          </w:tcPr>
          <w:p w14:paraId="73BB320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w:t>
            </w:r>
          </w:p>
        </w:tc>
        <w:tc>
          <w:tcPr>
            <w:tcW w:w="843" w:type="dxa"/>
            <w:shd w:val="clear" w:color="auto" w:fill="auto"/>
            <w:vAlign w:val="center"/>
          </w:tcPr>
          <w:p w14:paraId="5A53B6E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3</w:t>
            </w:r>
          </w:p>
        </w:tc>
        <w:tc>
          <w:tcPr>
            <w:tcW w:w="780" w:type="dxa"/>
            <w:vMerge w:val="continue"/>
            <w:shd w:val="clear" w:color="auto" w:fill="auto"/>
            <w:vAlign w:val="center"/>
          </w:tcPr>
          <w:p w14:paraId="2AF907BD">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i w:val="0"/>
                <w:iCs w:val="0"/>
                <w:color w:val="auto"/>
                <w:kern w:val="0"/>
                <w:sz w:val="21"/>
                <w:szCs w:val="21"/>
                <w:u w:val="none"/>
                <w:lang w:val="en-US" w:eastAsia="zh-CN" w:bidi="ar"/>
              </w:rPr>
            </w:pPr>
          </w:p>
        </w:tc>
      </w:tr>
      <w:tr w14:paraId="152E3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08" w:type="dxa"/>
            <w:vMerge w:val="continue"/>
            <w:shd w:val="clear" w:color="auto" w:fill="auto"/>
            <w:vAlign w:val="center"/>
          </w:tcPr>
          <w:p w14:paraId="0FDAFF8B">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i w:val="0"/>
                <w:iCs w:val="0"/>
                <w:color w:val="auto"/>
                <w:kern w:val="0"/>
                <w:sz w:val="21"/>
                <w:szCs w:val="21"/>
                <w:u w:val="none"/>
                <w:lang w:val="en-US" w:eastAsia="zh-CN" w:bidi="ar"/>
              </w:rPr>
            </w:pPr>
          </w:p>
        </w:tc>
        <w:tc>
          <w:tcPr>
            <w:tcW w:w="1802" w:type="dxa"/>
            <w:shd w:val="clear" w:color="auto" w:fill="auto"/>
            <w:vAlign w:val="center"/>
          </w:tcPr>
          <w:p w14:paraId="4D0CD8D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氨氮</w:t>
            </w:r>
          </w:p>
        </w:tc>
        <w:tc>
          <w:tcPr>
            <w:tcW w:w="954" w:type="dxa"/>
            <w:shd w:val="clear" w:color="auto" w:fill="auto"/>
            <w:vAlign w:val="center"/>
          </w:tcPr>
          <w:p w14:paraId="0AC600F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5ACC223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0.3</w:t>
            </w:r>
            <w:r>
              <w:rPr>
                <w:rFonts w:hint="eastAsia" w:cs="Times New Roman"/>
                <w:i w:val="0"/>
                <w:iCs w:val="0"/>
                <w:color w:val="auto"/>
                <w:kern w:val="0"/>
                <w:sz w:val="21"/>
                <w:szCs w:val="21"/>
                <w:u w:val="none"/>
                <w:lang w:val="en-US" w:eastAsia="zh-CN" w:bidi="ar"/>
              </w:rPr>
              <w:t>5</w:t>
            </w:r>
            <w:r>
              <w:rPr>
                <w:rFonts w:hint="default" w:ascii="Times New Roman" w:hAnsi="Times New Roman" w:eastAsia="宋体" w:cs="Times New Roman"/>
                <w:i w:val="0"/>
                <w:iCs w:val="0"/>
                <w:color w:val="auto"/>
                <w:kern w:val="0"/>
                <w:sz w:val="21"/>
                <w:szCs w:val="21"/>
                <w:u w:val="none"/>
                <w:lang w:val="en-US" w:eastAsia="zh-CN" w:bidi="ar"/>
              </w:rPr>
              <w:t>8</w:t>
            </w:r>
          </w:p>
        </w:tc>
        <w:tc>
          <w:tcPr>
            <w:tcW w:w="1558" w:type="dxa"/>
            <w:shd w:val="clear" w:color="auto" w:fill="auto"/>
            <w:vAlign w:val="center"/>
          </w:tcPr>
          <w:p w14:paraId="548E916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0.320</w:t>
            </w:r>
          </w:p>
        </w:tc>
        <w:tc>
          <w:tcPr>
            <w:tcW w:w="1558" w:type="dxa"/>
            <w:shd w:val="clear" w:color="auto" w:fill="auto"/>
            <w:vAlign w:val="center"/>
          </w:tcPr>
          <w:p w14:paraId="4B54067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0.3</w:t>
            </w:r>
            <w:r>
              <w:rPr>
                <w:rFonts w:hint="eastAsia" w:cs="Times New Roman"/>
                <w:i w:val="0"/>
                <w:iCs w:val="0"/>
                <w:color w:val="auto"/>
                <w:kern w:val="0"/>
                <w:sz w:val="21"/>
                <w:szCs w:val="21"/>
                <w:u w:val="none"/>
                <w:lang w:val="en-US" w:eastAsia="zh-CN" w:bidi="ar"/>
              </w:rPr>
              <w:t>1</w:t>
            </w:r>
            <w:r>
              <w:rPr>
                <w:rFonts w:hint="default" w:ascii="Times New Roman" w:hAnsi="Times New Roman" w:eastAsia="宋体" w:cs="Times New Roman"/>
                <w:i w:val="0"/>
                <w:iCs w:val="0"/>
                <w:color w:val="auto"/>
                <w:kern w:val="0"/>
                <w:sz w:val="21"/>
                <w:szCs w:val="21"/>
                <w:u w:val="none"/>
                <w:lang w:val="en-US" w:eastAsia="zh-CN" w:bidi="ar"/>
              </w:rPr>
              <w:t>1</w:t>
            </w:r>
          </w:p>
        </w:tc>
        <w:tc>
          <w:tcPr>
            <w:tcW w:w="843" w:type="dxa"/>
            <w:shd w:val="clear" w:color="auto" w:fill="auto"/>
            <w:vAlign w:val="center"/>
          </w:tcPr>
          <w:p w14:paraId="21CE6A0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0.5</w:t>
            </w:r>
          </w:p>
        </w:tc>
        <w:tc>
          <w:tcPr>
            <w:tcW w:w="780" w:type="dxa"/>
            <w:vMerge w:val="continue"/>
            <w:shd w:val="clear" w:color="auto" w:fill="auto"/>
            <w:vAlign w:val="center"/>
          </w:tcPr>
          <w:p w14:paraId="22655099">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i w:val="0"/>
                <w:iCs w:val="0"/>
                <w:color w:val="auto"/>
                <w:kern w:val="0"/>
                <w:sz w:val="21"/>
                <w:szCs w:val="21"/>
                <w:u w:val="none"/>
                <w:lang w:val="en-US" w:eastAsia="zh-CN" w:bidi="ar"/>
              </w:rPr>
            </w:pPr>
          </w:p>
        </w:tc>
      </w:tr>
      <w:tr w14:paraId="56948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08" w:type="dxa"/>
            <w:vMerge w:val="continue"/>
            <w:shd w:val="clear" w:color="auto" w:fill="auto"/>
            <w:vAlign w:val="center"/>
          </w:tcPr>
          <w:p w14:paraId="1E2F3446">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i w:val="0"/>
                <w:iCs w:val="0"/>
                <w:color w:val="auto"/>
                <w:kern w:val="0"/>
                <w:sz w:val="21"/>
                <w:szCs w:val="21"/>
                <w:u w:val="none"/>
                <w:lang w:val="en-US" w:eastAsia="zh-CN" w:bidi="ar"/>
              </w:rPr>
            </w:pPr>
          </w:p>
        </w:tc>
        <w:tc>
          <w:tcPr>
            <w:tcW w:w="1802" w:type="dxa"/>
            <w:shd w:val="clear" w:color="auto" w:fill="auto"/>
            <w:vAlign w:val="center"/>
          </w:tcPr>
          <w:p w14:paraId="2B03A45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总磷</w:t>
            </w:r>
          </w:p>
        </w:tc>
        <w:tc>
          <w:tcPr>
            <w:tcW w:w="954" w:type="dxa"/>
            <w:shd w:val="clear" w:color="auto" w:fill="auto"/>
            <w:vAlign w:val="center"/>
          </w:tcPr>
          <w:p w14:paraId="663AF04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0EA92CE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w:t>
            </w:r>
            <w:r>
              <w:rPr>
                <w:rFonts w:hint="eastAsia" w:cs="Times New Roman"/>
                <w:i w:val="0"/>
                <w:iCs w:val="0"/>
                <w:color w:val="auto"/>
                <w:kern w:val="0"/>
                <w:sz w:val="21"/>
                <w:szCs w:val="21"/>
                <w:u w:val="none"/>
                <w:lang w:val="en-US" w:eastAsia="zh-CN" w:bidi="ar"/>
              </w:rPr>
              <w:t>6</w:t>
            </w:r>
          </w:p>
        </w:tc>
        <w:tc>
          <w:tcPr>
            <w:tcW w:w="1558" w:type="dxa"/>
            <w:shd w:val="clear" w:color="auto" w:fill="auto"/>
            <w:vAlign w:val="center"/>
          </w:tcPr>
          <w:p w14:paraId="04A6751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0.07</w:t>
            </w:r>
          </w:p>
        </w:tc>
        <w:tc>
          <w:tcPr>
            <w:tcW w:w="1558" w:type="dxa"/>
            <w:shd w:val="clear" w:color="auto" w:fill="auto"/>
            <w:vAlign w:val="center"/>
          </w:tcPr>
          <w:p w14:paraId="7CB1F02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0.06</w:t>
            </w:r>
          </w:p>
        </w:tc>
        <w:tc>
          <w:tcPr>
            <w:tcW w:w="843" w:type="dxa"/>
            <w:shd w:val="clear" w:color="auto" w:fill="auto"/>
            <w:vAlign w:val="center"/>
          </w:tcPr>
          <w:p w14:paraId="2529BEF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0.1</w:t>
            </w:r>
          </w:p>
        </w:tc>
        <w:tc>
          <w:tcPr>
            <w:tcW w:w="780" w:type="dxa"/>
            <w:vMerge w:val="continue"/>
            <w:shd w:val="clear" w:color="auto" w:fill="auto"/>
            <w:vAlign w:val="center"/>
          </w:tcPr>
          <w:p w14:paraId="218C74FC">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i w:val="0"/>
                <w:iCs w:val="0"/>
                <w:color w:val="auto"/>
                <w:kern w:val="0"/>
                <w:sz w:val="21"/>
                <w:szCs w:val="21"/>
                <w:u w:val="none"/>
                <w:lang w:val="en-US" w:eastAsia="zh-CN" w:bidi="ar"/>
              </w:rPr>
            </w:pPr>
          </w:p>
        </w:tc>
      </w:tr>
      <w:tr w14:paraId="22E20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08" w:type="dxa"/>
            <w:vMerge w:val="continue"/>
            <w:shd w:val="clear" w:color="auto" w:fill="auto"/>
            <w:vAlign w:val="center"/>
          </w:tcPr>
          <w:p w14:paraId="79D6EEF7">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i w:val="0"/>
                <w:iCs w:val="0"/>
                <w:color w:val="auto"/>
                <w:kern w:val="0"/>
                <w:sz w:val="21"/>
                <w:szCs w:val="21"/>
                <w:u w:val="none"/>
                <w:lang w:val="en-US" w:eastAsia="zh-CN" w:bidi="ar"/>
              </w:rPr>
            </w:pPr>
          </w:p>
        </w:tc>
        <w:tc>
          <w:tcPr>
            <w:tcW w:w="1802" w:type="dxa"/>
            <w:shd w:val="clear" w:color="auto" w:fill="auto"/>
            <w:vAlign w:val="center"/>
          </w:tcPr>
          <w:p w14:paraId="3930489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总氮</w:t>
            </w:r>
          </w:p>
        </w:tc>
        <w:tc>
          <w:tcPr>
            <w:tcW w:w="954" w:type="dxa"/>
            <w:shd w:val="clear" w:color="auto" w:fill="auto"/>
            <w:vAlign w:val="center"/>
          </w:tcPr>
          <w:p w14:paraId="3704284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2C2938A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39</w:t>
            </w:r>
          </w:p>
        </w:tc>
        <w:tc>
          <w:tcPr>
            <w:tcW w:w="1558" w:type="dxa"/>
            <w:shd w:val="clear" w:color="auto" w:fill="auto"/>
            <w:vAlign w:val="center"/>
          </w:tcPr>
          <w:p w14:paraId="71FABCF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41</w:t>
            </w:r>
          </w:p>
        </w:tc>
        <w:tc>
          <w:tcPr>
            <w:tcW w:w="1558" w:type="dxa"/>
            <w:shd w:val="clear" w:color="auto" w:fill="auto"/>
            <w:vAlign w:val="center"/>
          </w:tcPr>
          <w:p w14:paraId="5DD4C5B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43</w:t>
            </w:r>
          </w:p>
        </w:tc>
        <w:tc>
          <w:tcPr>
            <w:tcW w:w="843" w:type="dxa"/>
            <w:shd w:val="clear" w:color="auto" w:fill="auto"/>
            <w:vAlign w:val="center"/>
          </w:tcPr>
          <w:p w14:paraId="7820A95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0.5</w:t>
            </w:r>
          </w:p>
        </w:tc>
        <w:tc>
          <w:tcPr>
            <w:tcW w:w="780" w:type="dxa"/>
            <w:vMerge w:val="continue"/>
            <w:shd w:val="clear" w:color="auto" w:fill="auto"/>
            <w:vAlign w:val="center"/>
          </w:tcPr>
          <w:p w14:paraId="04537A85">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i w:val="0"/>
                <w:iCs w:val="0"/>
                <w:color w:val="auto"/>
                <w:kern w:val="0"/>
                <w:sz w:val="21"/>
                <w:szCs w:val="21"/>
                <w:u w:val="none"/>
                <w:lang w:val="en-US" w:eastAsia="zh-CN" w:bidi="ar"/>
              </w:rPr>
            </w:pPr>
          </w:p>
        </w:tc>
      </w:tr>
      <w:tr w14:paraId="176AE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08" w:type="dxa"/>
            <w:vMerge w:val="continue"/>
            <w:shd w:val="clear" w:color="auto" w:fill="auto"/>
            <w:vAlign w:val="center"/>
          </w:tcPr>
          <w:p w14:paraId="2089647B">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i w:val="0"/>
                <w:iCs w:val="0"/>
                <w:color w:val="auto"/>
                <w:kern w:val="0"/>
                <w:sz w:val="21"/>
                <w:szCs w:val="21"/>
                <w:u w:val="none"/>
                <w:lang w:val="en-US" w:eastAsia="zh-CN" w:bidi="ar"/>
              </w:rPr>
            </w:pPr>
          </w:p>
        </w:tc>
        <w:tc>
          <w:tcPr>
            <w:tcW w:w="1802" w:type="dxa"/>
            <w:shd w:val="clear" w:color="auto" w:fill="auto"/>
            <w:vAlign w:val="center"/>
          </w:tcPr>
          <w:p w14:paraId="55C37972">
            <w:pPr>
              <w:spacing w:before="31" w:beforeLines="10" w:after="31" w:afterLines="10"/>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color w:val="auto"/>
                <w:sz w:val="21"/>
                <w:szCs w:val="21"/>
                <w:lang w:val="en-US" w:eastAsia="zh-CN"/>
              </w:rPr>
              <w:t>河宽</w:t>
            </w:r>
          </w:p>
        </w:tc>
        <w:tc>
          <w:tcPr>
            <w:tcW w:w="954" w:type="dxa"/>
            <w:shd w:val="clear" w:color="auto" w:fill="auto"/>
            <w:vAlign w:val="center"/>
          </w:tcPr>
          <w:p w14:paraId="6694B375">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bCs/>
                <w:color w:val="auto"/>
                <w:sz w:val="21"/>
                <w:szCs w:val="21"/>
                <w:lang w:val="en-US" w:eastAsia="zh-CN"/>
              </w:rPr>
              <w:t>m</w:t>
            </w:r>
          </w:p>
        </w:tc>
        <w:tc>
          <w:tcPr>
            <w:tcW w:w="6297" w:type="dxa"/>
            <w:gridSpan w:val="5"/>
            <w:shd w:val="clear" w:color="auto" w:fill="auto"/>
            <w:vAlign w:val="center"/>
          </w:tcPr>
          <w:p w14:paraId="4A3A0CC8">
            <w:pPr>
              <w:keepNext w:val="0"/>
              <w:keepLines w:val="0"/>
              <w:widowControl/>
              <w:suppressLineNumbers w:val="0"/>
              <w:spacing w:before="109" w:beforeAutospacing="0" w:after="0" w:afterAutospacing="0" w:line="262" w:lineRule="auto"/>
              <w:ind w:left="512" w:leftChars="0" w:right="130" w:rightChars="0" w:hanging="383" w:firstLineChars="0"/>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eastAsia="Times New Roman" w:cs="Times New Roman"/>
                <w:color w:val="auto"/>
                <w:spacing w:val="6"/>
                <w:sz w:val="20"/>
                <w:szCs w:val="20"/>
                <w:lang w:val="en-US" w:eastAsia="zh-CN"/>
              </w:rPr>
              <w:t>12</w:t>
            </w:r>
          </w:p>
        </w:tc>
      </w:tr>
      <w:tr w14:paraId="334FB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08" w:type="dxa"/>
            <w:vMerge w:val="continue"/>
            <w:shd w:val="clear" w:color="auto" w:fill="auto"/>
            <w:vAlign w:val="center"/>
          </w:tcPr>
          <w:p w14:paraId="6FF6AC5B">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i w:val="0"/>
                <w:iCs w:val="0"/>
                <w:color w:val="auto"/>
                <w:kern w:val="0"/>
                <w:sz w:val="21"/>
                <w:szCs w:val="21"/>
                <w:u w:val="none"/>
                <w:lang w:val="en-US" w:eastAsia="zh-CN" w:bidi="ar"/>
              </w:rPr>
            </w:pPr>
          </w:p>
        </w:tc>
        <w:tc>
          <w:tcPr>
            <w:tcW w:w="1802" w:type="dxa"/>
            <w:shd w:val="clear" w:color="auto" w:fill="auto"/>
            <w:vAlign w:val="center"/>
          </w:tcPr>
          <w:p w14:paraId="76FB2236">
            <w:pPr>
              <w:spacing w:before="31" w:beforeLines="10" w:after="31" w:afterLines="10"/>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color w:val="auto"/>
                <w:sz w:val="21"/>
                <w:szCs w:val="21"/>
                <w:lang w:val="en-US" w:eastAsia="zh-CN"/>
              </w:rPr>
              <w:t>水深</w:t>
            </w:r>
          </w:p>
        </w:tc>
        <w:tc>
          <w:tcPr>
            <w:tcW w:w="954" w:type="dxa"/>
            <w:shd w:val="clear" w:color="auto" w:fill="auto"/>
            <w:vAlign w:val="center"/>
          </w:tcPr>
          <w:p w14:paraId="3212AF46">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bCs/>
                <w:color w:val="auto"/>
                <w:sz w:val="21"/>
                <w:szCs w:val="21"/>
                <w:lang w:val="en-US" w:eastAsia="zh-CN"/>
              </w:rPr>
              <w:t>m</w:t>
            </w:r>
          </w:p>
        </w:tc>
        <w:tc>
          <w:tcPr>
            <w:tcW w:w="6297" w:type="dxa"/>
            <w:gridSpan w:val="5"/>
            <w:shd w:val="clear" w:color="auto" w:fill="auto"/>
            <w:vAlign w:val="center"/>
          </w:tcPr>
          <w:p w14:paraId="784CD160">
            <w:pPr>
              <w:keepNext w:val="0"/>
              <w:keepLines w:val="0"/>
              <w:widowControl/>
              <w:suppressLineNumbers w:val="0"/>
              <w:spacing w:before="109" w:beforeAutospacing="0" w:after="0" w:afterAutospacing="0" w:line="262" w:lineRule="auto"/>
              <w:ind w:left="512" w:leftChars="0" w:right="130" w:rightChars="0" w:hanging="383" w:firstLineChars="0"/>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eastAsia="Times New Roman" w:cs="Times New Roman"/>
                <w:color w:val="auto"/>
                <w:spacing w:val="6"/>
                <w:sz w:val="20"/>
                <w:szCs w:val="20"/>
                <w:lang w:val="en-US" w:eastAsia="zh-CN"/>
              </w:rPr>
              <w:t>1.7</w:t>
            </w:r>
          </w:p>
        </w:tc>
      </w:tr>
      <w:tr w14:paraId="45149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08" w:type="dxa"/>
            <w:vMerge w:val="continue"/>
            <w:shd w:val="clear" w:color="auto" w:fill="auto"/>
            <w:vAlign w:val="center"/>
          </w:tcPr>
          <w:p w14:paraId="62EE1DAC">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i w:val="0"/>
                <w:iCs w:val="0"/>
                <w:color w:val="auto"/>
                <w:kern w:val="0"/>
                <w:sz w:val="21"/>
                <w:szCs w:val="21"/>
                <w:u w:val="none"/>
                <w:lang w:val="en-US" w:eastAsia="zh-CN" w:bidi="ar"/>
              </w:rPr>
            </w:pPr>
          </w:p>
        </w:tc>
        <w:tc>
          <w:tcPr>
            <w:tcW w:w="1802" w:type="dxa"/>
            <w:shd w:val="clear" w:color="auto" w:fill="auto"/>
            <w:vAlign w:val="center"/>
          </w:tcPr>
          <w:p w14:paraId="78422F6F">
            <w:pPr>
              <w:spacing w:before="31" w:beforeLines="10" w:after="31" w:afterLines="10"/>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color w:val="auto"/>
                <w:sz w:val="21"/>
                <w:szCs w:val="21"/>
                <w:lang w:val="en-US" w:eastAsia="zh-CN"/>
              </w:rPr>
              <w:t>流速</w:t>
            </w:r>
          </w:p>
        </w:tc>
        <w:tc>
          <w:tcPr>
            <w:tcW w:w="954" w:type="dxa"/>
            <w:shd w:val="clear" w:color="auto" w:fill="auto"/>
            <w:vAlign w:val="center"/>
          </w:tcPr>
          <w:p w14:paraId="31441DAC">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bCs/>
                <w:color w:val="auto"/>
                <w:sz w:val="21"/>
                <w:szCs w:val="21"/>
                <w:lang w:val="en-US" w:eastAsia="zh-CN"/>
              </w:rPr>
              <w:t>m</w:t>
            </w:r>
            <w:r>
              <w:rPr>
                <w:rFonts w:hint="eastAsia" w:eastAsia="宋体" w:cs="Times New Roman"/>
                <w:bCs/>
                <w:color w:val="auto"/>
                <w:sz w:val="21"/>
                <w:szCs w:val="21"/>
                <w:lang w:val="en-US" w:eastAsia="zh-CN"/>
              </w:rPr>
              <w:t>/s</w:t>
            </w:r>
          </w:p>
        </w:tc>
        <w:tc>
          <w:tcPr>
            <w:tcW w:w="6297" w:type="dxa"/>
            <w:gridSpan w:val="5"/>
            <w:shd w:val="clear" w:color="auto" w:fill="auto"/>
            <w:vAlign w:val="center"/>
          </w:tcPr>
          <w:p w14:paraId="6D9E8A9D">
            <w:pPr>
              <w:keepNext w:val="0"/>
              <w:keepLines w:val="0"/>
              <w:widowControl/>
              <w:suppressLineNumbers w:val="0"/>
              <w:spacing w:before="109" w:beforeAutospacing="0" w:after="0" w:afterAutospacing="0" w:line="262" w:lineRule="auto"/>
              <w:ind w:left="512" w:leftChars="0" w:right="130" w:rightChars="0" w:hanging="383" w:firstLineChars="0"/>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Times New Roman" w:cs="Times New Roman"/>
                <w:color w:val="auto"/>
                <w:spacing w:val="6"/>
                <w:sz w:val="20"/>
                <w:szCs w:val="20"/>
                <w:lang w:val="en-US" w:eastAsia="zh-CN"/>
              </w:rPr>
              <w:t>0.2</w:t>
            </w:r>
            <w:r>
              <w:rPr>
                <w:rFonts w:hint="eastAsia" w:eastAsia="Times New Roman" w:cs="Times New Roman"/>
                <w:color w:val="auto"/>
                <w:spacing w:val="6"/>
                <w:sz w:val="20"/>
                <w:szCs w:val="20"/>
                <w:lang w:val="en-US" w:eastAsia="zh-CN"/>
              </w:rPr>
              <w:t>1</w:t>
            </w:r>
          </w:p>
        </w:tc>
      </w:tr>
      <w:tr w14:paraId="78C98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08" w:type="dxa"/>
            <w:vMerge w:val="continue"/>
            <w:shd w:val="clear" w:color="auto" w:fill="auto"/>
            <w:vAlign w:val="center"/>
          </w:tcPr>
          <w:p w14:paraId="6D392129">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i w:val="0"/>
                <w:iCs w:val="0"/>
                <w:color w:val="auto"/>
                <w:kern w:val="0"/>
                <w:sz w:val="21"/>
                <w:szCs w:val="21"/>
                <w:u w:val="none"/>
                <w:lang w:val="en-US" w:eastAsia="zh-CN" w:bidi="ar"/>
              </w:rPr>
            </w:pPr>
          </w:p>
        </w:tc>
        <w:tc>
          <w:tcPr>
            <w:tcW w:w="1802" w:type="dxa"/>
            <w:shd w:val="clear" w:color="auto" w:fill="auto"/>
            <w:vAlign w:val="center"/>
          </w:tcPr>
          <w:p w14:paraId="60EF3915">
            <w:pPr>
              <w:spacing w:before="31" w:beforeLines="10" w:after="31" w:afterLines="10"/>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color w:val="auto"/>
                <w:sz w:val="21"/>
                <w:szCs w:val="21"/>
                <w:lang w:val="en-US" w:eastAsia="zh-CN"/>
              </w:rPr>
              <w:t>坡降度</w:t>
            </w:r>
          </w:p>
        </w:tc>
        <w:tc>
          <w:tcPr>
            <w:tcW w:w="954" w:type="dxa"/>
            <w:shd w:val="clear" w:color="auto" w:fill="auto"/>
            <w:vAlign w:val="center"/>
          </w:tcPr>
          <w:p w14:paraId="0B4528B7">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Arial" w:hAnsi="Arial" w:eastAsia="宋体" w:cs="Arial"/>
                <w:bCs/>
                <w:color w:val="auto"/>
                <w:sz w:val="21"/>
                <w:szCs w:val="21"/>
                <w:lang w:val="en-US" w:eastAsia="zh-CN"/>
              </w:rPr>
              <w:t>‰</w:t>
            </w:r>
          </w:p>
        </w:tc>
        <w:tc>
          <w:tcPr>
            <w:tcW w:w="6297" w:type="dxa"/>
            <w:gridSpan w:val="5"/>
            <w:shd w:val="clear" w:color="auto" w:fill="auto"/>
            <w:vAlign w:val="center"/>
          </w:tcPr>
          <w:p w14:paraId="688D4202">
            <w:pPr>
              <w:keepNext w:val="0"/>
              <w:keepLines w:val="0"/>
              <w:widowControl/>
              <w:suppressLineNumbers w:val="0"/>
              <w:spacing w:before="109" w:beforeAutospacing="0" w:after="0" w:afterAutospacing="0" w:line="262" w:lineRule="auto"/>
              <w:ind w:left="512" w:leftChars="0" w:right="130" w:rightChars="0" w:hanging="383" w:firstLineChars="0"/>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eastAsia="Times New Roman" w:cs="Times New Roman"/>
                <w:color w:val="auto"/>
                <w:spacing w:val="6"/>
                <w:sz w:val="20"/>
                <w:szCs w:val="20"/>
                <w:lang w:val="en-US" w:eastAsia="zh-CN"/>
              </w:rPr>
              <w:t>0.17</w:t>
            </w:r>
          </w:p>
        </w:tc>
      </w:tr>
      <w:tr w14:paraId="4E43C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 w:hRule="atLeast"/>
        </w:trPr>
        <w:tc>
          <w:tcPr>
            <w:tcW w:w="1208" w:type="dxa"/>
            <w:vMerge w:val="restart"/>
            <w:shd w:val="clear" w:color="auto" w:fill="auto"/>
            <w:vAlign w:val="center"/>
          </w:tcPr>
          <w:p w14:paraId="40E90365">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color w:val="auto"/>
                <w:sz w:val="21"/>
                <w:szCs w:val="21"/>
                <w:lang w:eastAsia="zh-CN"/>
              </w:rPr>
              <w:t>W5吉水河与排水渠交汇处下游500米</w:t>
            </w:r>
          </w:p>
        </w:tc>
        <w:tc>
          <w:tcPr>
            <w:tcW w:w="1802" w:type="dxa"/>
            <w:shd w:val="clear" w:color="auto" w:fill="auto"/>
            <w:vAlign w:val="center"/>
          </w:tcPr>
          <w:p w14:paraId="21290DAF">
            <w:pPr>
              <w:keepNext w:val="0"/>
              <w:keepLines w:val="0"/>
              <w:widowControl/>
              <w:suppressLineNumbers w:val="0"/>
              <w:jc w:val="center"/>
              <w:textAlignment w:val="center"/>
              <w:rPr>
                <w:rFonts w:hint="eastAsia" w:cs="Times New Roman"/>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悬浮物</w:t>
            </w:r>
          </w:p>
        </w:tc>
        <w:tc>
          <w:tcPr>
            <w:tcW w:w="954" w:type="dxa"/>
            <w:shd w:val="clear" w:color="auto" w:fill="auto"/>
            <w:vAlign w:val="center"/>
          </w:tcPr>
          <w:p w14:paraId="1C520DEF">
            <w:pPr>
              <w:keepNext w:val="0"/>
              <w:keepLines w:val="0"/>
              <w:widowControl/>
              <w:suppressLineNumbers w:val="0"/>
              <w:jc w:val="center"/>
              <w:textAlignment w:val="center"/>
              <w:rPr>
                <w:rFonts w:hint="default" w:ascii="Arial" w:hAnsi="Arial" w:eastAsia="宋体" w:cs="Arial"/>
                <w:bCs/>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5D79562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14</w:t>
            </w:r>
          </w:p>
        </w:tc>
        <w:tc>
          <w:tcPr>
            <w:tcW w:w="1558" w:type="dxa"/>
            <w:shd w:val="clear" w:color="auto" w:fill="auto"/>
            <w:vAlign w:val="center"/>
          </w:tcPr>
          <w:p w14:paraId="6CE661C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16</w:t>
            </w:r>
          </w:p>
        </w:tc>
        <w:tc>
          <w:tcPr>
            <w:tcW w:w="1558" w:type="dxa"/>
            <w:shd w:val="clear" w:color="auto" w:fill="auto"/>
            <w:vAlign w:val="center"/>
          </w:tcPr>
          <w:p w14:paraId="6A497FB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w:t>
            </w:r>
          </w:p>
        </w:tc>
        <w:tc>
          <w:tcPr>
            <w:tcW w:w="843" w:type="dxa"/>
            <w:shd w:val="clear" w:color="auto" w:fill="auto"/>
            <w:vAlign w:val="center"/>
          </w:tcPr>
          <w:p w14:paraId="62ABC59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780" w:type="dxa"/>
            <w:vMerge w:val="restart"/>
            <w:shd w:val="clear" w:color="auto" w:fill="auto"/>
            <w:vAlign w:val="center"/>
          </w:tcPr>
          <w:p w14:paraId="1D9FC36A">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color w:val="auto"/>
                <w:sz w:val="21"/>
                <w:szCs w:val="21"/>
                <w:vertAlign w:val="baseline"/>
                <w:lang w:val="en-US" w:eastAsia="zh-CN"/>
              </w:rPr>
              <w:t>《地表水环境质量标准》（GB3838-2002）</w:t>
            </w:r>
            <w:r>
              <w:rPr>
                <w:rFonts w:hint="eastAsia" w:ascii="Times New Roman" w:hAnsi="Times New Roman" w:eastAsia="宋体" w:cs="Times New Roman"/>
                <w:color w:val="auto"/>
                <w:sz w:val="21"/>
                <w:szCs w:val="21"/>
                <w:vertAlign w:val="baseline"/>
                <w:lang w:val="en-US" w:eastAsia="zh-CN"/>
              </w:rPr>
              <w:fldChar w:fldCharType="begin"/>
            </w:r>
            <w:r>
              <w:rPr>
                <w:rFonts w:hint="eastAsia" w:ascii="Times New Roman" w:hAnsi="Times New Roman" w:eastAsia="宋体" w:cs="Times New Roman"/>
                <w:color w:val="auto"/>
                <w:sz w:val="21"/>
                <w:szCs w:val="21"/>
                <w:vertAlign w:val="baseline"/>
                <w:lang w:val="en-US" w:eastAsia="zh-CN"/>
              </w:rPr>
              <w:instrText xml:space="preserve"> = 2 \* ROMAN \* MERGEFORMAT </w:instrText>
            </w:r>
            <w:r>
              <w:rPr>
                <w:rFonts w:hint="eastAsia" w:ascii="Times New Roman" w:hAnsi="Times New Roman" w:eastAsia="宋体" w:cs="Times New Roman"/>
                <w:color w:val="auto"/>
                <w:sz w:val="21"/>
                <w:szCs w:val="21"/>
                <w:vertAlign w:val="baseline"/>
                <w:lang w:val="en-US" w:eastAsia="zh-CN"/>
              </w:rPr>
              <w:fldChar w:fldCharType="separate"/>
            </w:r>
            <w:r>
              <w:rPr>
                <w:color w:val="auto"/>
              </w:rPr>
              <w:t>II</w:t>
            </w:r>
            <w:r>
              <w:rPr>
                <w:rFonts w:hint="eastAsia" w:ascii="Times New Roman" w:hAnsi="Times New Roman" w:eastAsia="宋体" w:cs="Times New Roman"/>
                <w:color w:val="auto"/>
                <w:sz w:val="21"/>
                <w:szCs w:val="21"/>
                <w:vertAlign w:val="baseline"/>
                <w:lang w:val="en-US" w:eastAsia="zh-CN"/>
              </w:rPr>
              <w:fldChar w:fldCharType="end"/>
            </w:r>
            <w:r>
              <w:rPr>
                <w:rFonts w:hint="default" w:ascii="Times New Roman" w:hAnsi="Times New Roman" w:eastAsia="宋体" w:cs="Times New Roman"/>
                <w:color w:val="auto"/>
                <w:sz w:val="21"/>
                <w:szCs w:val="21"/>
                <w:vertAlign w:val="baseline"/>
                <w:lang w:val="en-US" w:eastAsia="zh-CN"/>
              </w:rPr>
              <w:t>类标准</w:t>
            </w:r>
          </w:p>
        </w:tc>
      </w:tr>
      <w:tr w14:paraId="5EDBC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 w:hRule="atLeast"/>
        </w:trPr>
        <w:tc>
          <w:tcPr>
            <w:tcW w:w="1208" w:type="dxa"/>
            <w:vMerge w:val="continue"/>
            <w:shd w:val="clear" w:color="auto" w:fill="auto"/>
            <w:vAlign w:val="center"/>
          </w:tcPr>
          <w:p w14:paraId="7E21B56C">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color w:val="auto"/>
              </w:rPr>
            </w:pPr>
          </w:p>
        </w:tc>
        <w:tc>
          <w:tcPr>
            <w:tcW w:w="1802" w:type="dxa"/>
            <w:shd w:val="clear" w:color="auto" w:fill="auto"/>
            <w:vAlign w:val="center"/>
          </w:tcPr>
          <w:p w14:paraId="240265BF">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pH</w:t>
            </w:r>
            <w:r>
              <w:rPr>
                <w:rFonts w:hint="eastAsia" w:ascii="宋体" w:hAnsi="宋体" w:eastAsia="宋体" w:cs="宋体"/>
                <w:i w:val="0"/>
                <w:iCs w:val="0"/>
                <w:color w:val="auto"/>
                <w:kern w:val="0"/>
                <w:sz w:val="21"/>
                <w:szCs w:val="21"/>
                <w:u w:val="none"/>
                <w:lang w:val="en-US" w:eastAsia="zh-CN" w:bidi="ar"/>
              </w:rPr>
              <w:t>值</w:t>
            </w:r>
          </w:p>
        </w:tc>
        <w:tc>
          <w:tcPr>
            <w:tcW w:w="954" w:type="dxa"/>
            <w:shd w:val="clear" w:color="auto" w:fill="auto"/>
            <w:vAlign w:val="center"/>
          </w:tcPr>
          <w:p w14:paraId="7C5A2B4F">
            <w:pPr>
              <w:keepNext w:val="0"/>
              <w:keepLines w:val="0"/>
              <w:widowControl/>
              <w:suppressLineNumbers w:val="0"/>
              <w:jc w:val="center"/>
              <w:textAlignment w:val="center"/>
              <w:rPr>
                <w:rFonts w:hint="eastAsia" w:cs="Times New Roman"/>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无量纲</w:t>
            </w:r>
          </w:p>
        </w:tc>
        <w:tc>
          <w:tcPr>
            <w:tcW w:w="1558" w:type="dxa"/>
            <w:shd w:val="clear" w:color="auto" w:fill="auto"/>
            <w:vAlign w:val="center"/>
          </w:tcPr>
          <w:p w14:paraId="44068708">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7.1</w:t>
            </w:r>
          </w:p>
        </w:tc>
        <w:tc>
          <w:tcPr>
            <w:tcW w:w="1558" w:type="dxa"/>
            <w:shd w:val="clear" w:color="auto" w:fill="auto"/>
            <w:vAlign w:val="center"/>
          </w:tcPr>
          <w:p w14:paraId="79A48194">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7.2</w:t>
            </w:r>
          </w:p>
        </w:tc>
        <w:tc>
          <w:tcPr>
            <w:tcW w:w="1558" w:type="dxa"/>
            <w:shd w:val="clear" w:color="auto" w:fill="auto"/>
            <w:vAlign w:val="center"/>
          </w:tcPr>
          <w:p w14:paraId="643F0BF4">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7.3</w:t>
            </w:r>
          </w:p>
        </w:tc>
        <w:tc>
          <w:tcPr>
            <w:tcW w:w="843" w:type="dxa"/>
            <w:shd w:val="clear" w:color="auto" w:fill="auto"/>
            <w:vAlign w:val="center"/>
          </w:tcPr>
          <w:p w14:paraId="342DBA43">
            <w:pPr>
              <w:keepNext w:val="0"/>
              <w:keepLines w:val="0"/>
              <w:widowControl/>
              <w:suppressLineNumbers w:val="0"/>
              <w:jc w:val="center"/>
              <w:textAlignment w:val="center"/>
              <w:rPr>
                <w:rFonts w:hint="eastAsia" w:cs="Times New Roman"/>
                <w:color w:val="auto"/>
                <w:sz w:val="21"/>
                <w:szCs w:val="21"/>
                <w:lang w:val="en-US" w:eastAsia="zh-CN"/>
              </w:rPr>
            </w:pPr>
          </w:p>
        </w:tc>
        <w:tc>
          <w:tcPr>
            <w:tcW w:w="780" w:type="dxa"/>
            <w:vMerge w:val="continue"/>
            <w:shd w:val="clear" w:color="auto" w:fill="auto"/>
            <w:vAlign w:val="center"/>
          </w:tcPr>
          <w:p w14:paraId="1627CD2E">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r>
      <w:tr w14:paraId="56242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 w:hRule="atLeast"/>
        </w:trPr>
        <w:tc>
          <w:tcPr>
            <w:tcW w:w="1208" w:type="dxa"/>
            <w:vMerge w:val="continue"/>
            <w:shd w:val="clear" w:color="auto" w:fill="auto"/>
            <w:vAlign w:val="center"/>
          </w:tcPr>
          <w:p w14:paraId="51E6E3E8">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c>
          <w:tcPr>
            <w:tcW w:w="1802" w:type="dxa"/>
            <w:shd w:val="clear" w:color="auto" w:fill="auto"/>
            <w:vAlign w:val="center"/>
          </w:tcPr>
          <w:p w14:paraId="2EECC04B">
            <w:pPr>
              <w:keepNext w:val="0"/>
              <w:keepLines w:val="0"/>
              <w:widowControl/>
              <w:suppressLineNumbers w:val="0"/>
              <w:jc w:val="center"/>
              <w:textAlignment w:val="center"/>
              <w:rPr>
                <w:rFonts w:hint="eastAsia" w:cs="Times New Roman"/>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溶解氧</w:t>
            </w:r>
          </w:p>
        </w:tc>
        <w:tc>
          <w:tcPr>
            <w:tcW w:w="954" w:type="dxa"/>
            <w:shd w:val="clear" w:color="auto" w:fill="auto"/>
            <w:vAlign w:val="center"/>
          </w:tcPr>
          <w:p w14:paraId="3492AB13">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6A7AACF4">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6.7</w:t>
            </w:r>
          </w:p>
        </w:tc>
        <w:tc>
          <w:tcPr>
            <w:tcW w:w="1558" w:type="dxa"/>
            <w:shd w:val="clear" w:color="auto" w:fill="auto"/>
            <w:vAlign w:val="center"/>
          </w:tcPr>
          <w:p w14:paraId="0BEAFA08">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6.6</w:t>
            </w:r>
          </w:p>
        </w:tc>
        <w:tc>
          <w:tcPr>
            <w:tcW w:w="1558" w:type="dxa"/>
            <w:shd w:val="clear" w:color="auto" w:fill="auto"/>
            <w:vAlign w:val="center"/>
          </w:tcPr>
          <w:p w14:paraId="726CCCE5">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6.7</w:t>
            </w:r>
          </w:p>
        </w:tc>
        <w:tc>
          <w:tcPr>
            <w:tcW w:w="843" w:type="dxa"/>
            <w:shd w:val="clear" w:color="auto" w:fill="auto"/>
            <w:vAlign w:val="center"/>
          </w:tcPr>
          <w:p w14:paraId="1BC5522F">
            <w:pPr>
              <w:keepNext w:val="0"/>
              <w:keepLines w:val="0"/>
              <w:widowControl/>
              <w:suppressLineNumbers w:val="0"/>
              <w:jc w:val="center"/>
              <w:textAlignment w:val="center"/>
              <w:rPr>
                <w:rFonts w:hint="eastAsia" w:cs="Times New Roman"/>
                <w:color w:val="auto"/>
                <w:sz w:val="21"/>
                <w:szCs w:val="21"/>
                <w:lang w:val="en-US" w:eastAsia="zh-CN"/>
              </w:rPr>
            </w:pPr>
          </w:p>
        </w:tc>
        <w:tc>
          <w:tcPr>
            <w:tcW w:w="780" w:type="dxa"/>
            <w:vMerge w:val="continue"/>
            <w:shd w:val="clear" w:color="auto" w:fill="auto"/>
            <w:vAlign w:val="center"/>
          </w:tcPr>
          <w:p w14:paraId="017D8D70">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r>
      <w:tr w14:paraId="500B3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 w:hRule="atLeast"/>
        </w:trPr>
        <w:tc>
          <w:tcPr>
            <w:tcW w:w="1208" w:type="dxa"/>
            <w:vMerge w:val="continue"/>
            <w:shd w:val="clear" w:color="auto" w:fill="auto"/>
            <w:vAlign w:val="center"/>
          </w:tcPr>
          <w:p w14:paraId="75D7DF16">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c>
          <w:tcPr>
            <w:tcW w:w="1802" w:type="dxa"/>
            <w:shd w:val="clear" w:color="auto" w:fill="auto"/>
            <w:vAlign w:val="center"/>
          </w:tcPr>
          <w:p w14:paraId="449F6D2F">
            <w:pPr>
              <w:keepNext w:val="0"/>
              <w:keepLines w:val="0"/>
              <w:widowControl/>
              <w:suppressLineNumbers w:val="0"/>
              <w:jc w:val="center"/>
              <w:textAlignment w:val="center"/>
              <w:rPr>
                <w:rFonts w:hint="eastAsia" w:cs="Times New Roman"/>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化学需氧量</w:t>
            </w:r>
          </w:p>
        </w:tc>
        <w:tc>
          <w:tcPr>
            <w:tcW w:w="954" w:type="dxa"/>
            <w:shd w:val="clear" w:color="auto" w:fill="auto"/>
            <w:vAlign w:val="center"/>
          </w:tcPr>
          <w:p w14:paraId="0405D84E">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0C607510">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1</w:t>
            </w:r>
            <w:r>
              <w:rPr>
                <w:rFonts w:hint="eastAsia" w:cs="Times New Roman"/>
                <w:i w:val="0"/>
                <w:iCs w:val="0"/>
                <w:color w:val="auto"/>
                <w:kern w:val="0"/>
                <w:sz w:val="21"/>
                <w:szCs w:val="21"/>
                <w:u w:val="none"/>
                <w:lang w:val="en-US" w:eastAsia="zh-CN" w:bidi="ar"/>
              </w:rPr>
              <w:t>1</w:t>
            </w:r>
          </w:p>
        </w:tc>
        <w:tc>
          <w:tcPr>
            <w:tcW w:w="1558" w:type="dxa"/>
            <w:shd w:val="clear" w:color="auto" w:fill="auto"/>
            <w:vAlign w:val="center"/>
          </w:tcPr>
          <w:p w14:paraId="0B80A132">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1</w:t>
            </w:r>
            <w:r>
              <w:rPr>
                <w:rFonts w:hint="eastAsia" w:cs="Times New Roman"/>
                <w:i w:val="0"/>
                <w:iCs w:val="0"/>
                <w:color w:val="auto"/>
                <w:kern w:val="0"/>
                <w:sz w:val="21"/>
                <w:szCs w:val="21"/>
                <w:u w:val="none"/>
                <w:lang w:val="en-US" w:eastAsia="zh-CN" w:bidi="ar"/>
              </w:rPr>
              <w:t>2</w:t>
            </w:r>
          </w:p>
        </w:tc>
        <w:tc>
          <w:tcPr>
            <w:tcW w:w="1558" w:type="dxa"/>
            <w:shd w:val="clear" w:color="auto" w:fill="auto"/>
            <w:vAlign w:val="center"/>
          </w:tcPr>
          <w:p w14:paraId="2EDB599D">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1</w:t>
            </w:r>
            <w:r>
              <w:rPr>
                <w:rFonts w:hint="eastAsia" w:cs="Times New Roman"/>
                <w:i w:val="0"/>
                <w:iCs w:val="0"/>
                <w:color w:val="auto"/>
                <w:kern w:val="0"/>
                <w:sz w:val="21"/>
                <w:szCs w:val="21"/>
                <w:u w:val="none"/>
                <w:lang w:val="en-US" w:eastAsia="zh-CN" w:bidi="ar"/>
              </w:rPr>
              <w:t>0</w:t>
            </w:r>
          </w:p>
        </w:tc>
        <w:tc>
          <w:tcPr>
            <w:tcW w:w="843" w:type="dxa"/>
            <w:shd w:val="clear" w:color="auto" w:fill="auto"/>
            <w:vAlign w:val="center"/>
          </w:tcPr>
          <w:p w14:paraId="07B89792">
            <w:pPr>
              <w:keepNext w:val="0"/>
              <w:keepLines w:val="0"/>
              <w:widowControl/>
              <w:suppressLineNumbers w:val="0"/>
              <w:jc w:val="center"/>
              <w:textAlignment w:val="center"/>
              <w:rPr>
                <w:rFonts w:hint="eastAsia" w:cs="Times New Roman"/>
                <w:color w:val="auto"/>
                <w:sz w:val="21"/>
                <w:szCs w:val="21"/>
                <w:lang w:val="en-US" w:eastAsia="zh-CN"/>
              </w:rPr>
            </w:pPr>
          </w:p>
        </w:tc>
        <w:tc>
          <w:tcPr>
            <w:tcW w:w="780" w:type="dxa"/>
            <w:vMerge w:val="continue"/>
            <w:shd w:val="clear" w:color="auto" w:fill="auto"/>
            <w:vAlign w:val="center"/>
          </w:tcPr>
          <w:p w14:paraId="0D6DD9DC">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r>
      <w:tr w14:paraId="3E1C8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 w:hRule="atLeast"/>
        </w:trPr>
        <w:tc>
          <w:tcPr>
            <w:tcW w:w="1208" w:type="dxa"/>
            <w:vMerge w:val="continue"/>
            <w:shd w:val="clear" w:color="auto" w:fill="auto"/>
            <w:vAlign w:val="center"/>
          </w:tcPr>
          <w:p w14:paraId="7CE348A2">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c>
          <w:tcPr>
            <w:tcW w:w="1802" w:type="dxa"/>
            <w:shd w:val="clear" w:color="auto" w:fill="auto"/>
            <w:vAlign w:val="center"/>
          </w:tcPr>
          <w:p w14:paraId="1A95297A">
            <w:pPr>
              <w:keepNext w:val="0"/>
              <w:keepLines w:val="0"/>
              <w:widowControl/>
              <w:suppressLineNumbers w:val="0"/>
              <w:jc w:val="center"/>
              <w:textAlignment w:val="center"/>
              <w:rPr>
                <w:rFonts w:hint="eastAsia" w:cs="Times New Roman"/>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五日生化需氧量</w:t>
            </w:r>
          </w:p>
        </w:tc>
        <w:tc>
          <w:tcPr>
            <w:tcW w:w="954" w:type="dxa"/>
            <w:shd w:val="clear" w:color="auto" w:fill="auto"/>
            <w:vAlign w:val="center"/>
          </w:tcPr>
          <w:p w14:paraId="1EFD0DD8">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59DA20A5">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2.4</w:t>
            </w:r>
          </w:p>
        </w:tc>
        <w:tc>
          <w:tcPr>
            <w:tcW w:w="1558" w:type="dxa"/>
            <w:shd w:val="clear" w:color="auto" w:fill="auto"/>
            <w:vAlign w:val="center"/>
          </w:tcPr>
          <w:p w14:paraId="06193FAE">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2.1</w:t>
            </w:r>
          </w:p>
        </w:tc>
        <w:tc>
          <w:tcPr>
            <w:tcW w:w="1558" w:type="dxa"/>
            <w:shd w:val="clear" w:color="auto" w:fill="auto"/>
            <w:vAlign w:val="center"/>
          </w:tcPr>
          <w:p w14:paraId="12FFCFC7">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2.0</w:t>
            </w:r>
          </w:p>
        </w:tc>
        <w:tc>
          <w:tcPr>
            <w:tcW w:w="843" w:type="dxa"/>
            <w:shd w:val="clear" w:color="auto" w:fill="auto"/>
            <w:vAlign w:val="center"/>
          </w:tcPr>
          <w:p w14:paraId="7703E2F0">
            <w:pPr>
              <w:keepNext w:val="0"/>
              <w:keepLines w:val="0"/>
              <w:widowControl/>
              <w:suppressLineNumbers w:val="0"/>
              <w:jc w:val="center"/>
              <w:textAlignment w:val="center"/>
              <w:rPr>
                <w:rFonts w:hint="eastAsia" w:cs="Times New Roman"/>
                <w:color w:val="auto"/>
                <w:sz w:val="21"/>
                <w:szCs w:val="21"/>
                <w:lang w:val="en-US" w:eastAsia="zh-CN"/>
              </w:rPr>
            </w:pPr>
          </w:p>
        </w:tc>
        <w:tc>
          <w:tcPr>
            <w:tcW w:w="780" w:type="dxa"/>
            <w:vMerge w:val="continue"/>
            <w:shd w:val="clear" w:color="auto" w:fill="auto"/>
            <w:vAlign w:val="center"/>
          </w:tcPr>
          <w:p w14:paraId="06C1194E">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r>
      <w:tr w14:paraId="449D9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 w:hRule="atLeast"/>
        </w:trPr>
        <w:tc>
          <w:tcPr>
            <w:tcW w:w="1208" w:type="dxa"/>
            <w:vMerge w:val="continue"/>
            <w:shd w:val="clear" w:color="auto" w:fill="auto"/>
            <w:vAlign w:val="center"/>
          </w:tcPr>
          <w:p w14:paraId="13DF2201">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c>
          <w:tcPr>
            <w:tcW w:w="1802" w:type="dxa"/>
            <w:shd w:val="clear" w:color="auto" w:fill="auto"/>
            <w:vAlign w:val="center"/>
          </w:tcPr>
          <w:p w14:paraId="225B8AB7">
            <w:pPr>
              <w:keepNext w:val="0"/>
              <w:keepLines w:val="0"/>
              <w:widowControl/>
              <w:suppressLineNumbers w:val="0"/>
              <w:jc w:val="center"/>
              <w:textAlignment w:val="center"/>
              <w:rPr>
                <w:rFonts w:hint="eastAsia" w:cs="Times New Roman"/>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氨氮</w:t>
            </w:r>
          </w:p>
        </w:tc>
        <w:tc>
          <w:tcPr>
            <w:tcW w:w="954" w:type="dxa"/>
            <w:shd w:val="clear" w:color="auto" w:fill="auto"/>
            <w:vAlign w:val="center"/>
          </w:tcPr>
          <w:p w14:paraId="6E9D9739">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03C5AE23">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0.34</w:t>
            </w:r>
            <w:r>
              <w:rPr>
                <w:rFonts w:hint="eastAsia" w:cs="Times New Roman"/>
                <w:i w:val="0"/>
                <w:iCs w:val="0"/>
                <w:color w:val="auto"/>
                <w:kern w:val="0"/>
                <w:sz w:val="21"/>
                <w:szCs w:val="21"/>
                <w:u w:val="none"/>
                <w:lang w:val="en-US" w:eastAsia="zh-CN" w:bidi="ar"/>
              </w:rPr>
              <w:t>4</w:t>
            </w:r>
          </w:p>
        </w:tc>
        <w:tc>
          <w:tcPr>
            <w:tcW w:w="1558" w:type="dxa"/>
            <w:shd w:val="clear" w:color="auto" w:fill="auto"/>
            <w:vAlign w:val="center"/>
          </w:tcPr>
          <w:p w14:paraId="61161A10">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0.341</w:t>
            </w:r>
          </w:p>
        </w:tc>
        <w:tc>
          <w:tcPr>
            <w:tcW w:w="1558" w:type="dxa"/>
            <w:shd w:val="clear" w:color="auto" w:fill="auto"/>
            <w:vAlign w:val="center"/>
          </w:tcPr>
          <w:p w14:paraId="337EBF0E">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308</w:t>
            </w:r>
          </w:p>
        </w:tc>
        <w:tc>
          <w:tcPr>
            <w:tcW w:w="843" w:type="dxa"/>
            <w:shd w:val="clear" w:color="auto" w:fill="auto"/>
            <w:vAlign w:val="center"/>
          </w:tcPr>
          <w:p w14:paraId="1ADFC3BC">
            <w:pPr>
              <w:keepNext w:val="0"/>
              <w:keepLines w:val="0"/>
              <w:widowControl/>
              <w:suppressLineNumbers w:val="0"/>
              <w:jc w:val="center"/>
              <w:textAlignment w:val="center"/>
              <w:rPr>
                <w:rFonts w:hint="eastAsia" w:cs="Times New Roman"/>
                <w:color w:val="auto"/>
                <w:sz w:val="21"/>
                <w:szCs w:val="21"/>
                <w:lang w:val="en-US" w:eastAsia="zh-CN"/>
              </w:rPr>
            </w:pPr>
          </w:p>
        </w:tc>
        <w:tc>
          <w:tcPr>
            <w:tcW w:w="780" w:type="dxa"/>
            <w:vMerge w:val="continue"/>
            <w:shd w:val="clear" w:color="auto" w:fill="auto"/>
            <w:vAlign w:val="center"/>
          </w:tcPr>
          <w:p w14:paraId="25F98097">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r>
      <w:tr w14:paraId="34AB4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 w:hRule="atLeast"/>
        </w:trPr>
        <w:tc>
          <w:tcPr>
            <w:tcW w:w="1208" w:type="dxa"/>
            <w:vMerge w:val="continue"/>
            <w:shd w:val="clear" w:color="auto" w:fill="auto"/>
            <w:vAlign w:val="center"/>
          </w:tcPr>
          <w:p w14:paraId="5A070E06">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c>
          <w:tcPr>
            <w:tcW w:w="1802" w:type="dxa"/>
            <w:shd w:val="clear" w:color="auto" w:fill="auto"/>
            <w:vAlign w:val="center"/>
          </w:tcPr>
          <w:p w14:paraId="1E7F16EA">
            <w:pPr>
              <w:keepNext w:val="0"/>
              <w:keepLines w:val="0"/>
              <w:widowControl/>
              <w:suppressLineNumbers w:val="0"/>
              <w:jc w:val="center"/>
              <w:textAlignment w:val="center"/>
              <w:rPr>
                <w:rFonts w:hint="eastAsia" w:cs="Times New Roman"/>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总磷</w:t>
            </w:r>
          </w:p>
        </w:tc>
        <w:tc>
          <w:tcPr>
            <w:tcW w:w="954" w:type="dxa"/>
            <w:shd w:val="clear" w:color="auto" w:fill="auto"/>
            <w:vAlign w:val="center"/>
          </w:tcPr>
          <w:p w14:paraId="03297787">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7BC2CEC0">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0.05</w:t>
            </w:r>
          </w:p>
        </w:tc>
        <w:tc>
          <w:tcPr>
            <w:tcW w:w="1558" w:type="dxa"/>
            <w:shd w:val="clear" w:color="auto" w:fill="auto"/>
            <w:vAlign w:val="center"/>
          </w:tcPr>
          <w:p w14:paraId="29533177">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0.06</w:t>
            </w:r>
          </w:p>
        </w:tc>
        <w:tc>
          <w:tcPr>
            <w:tcW w:w="1558" w:type="dxa"/>
            <w:shd w:val="clear" w:color="auto" w:fill="auto"/>
            <w:vAlign w:val="center"/>
          </w:tcPr>
          <w:p w14:paraId="17CA10D3">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0.07</w:t>
            </w:r>
          </w:p>
        </w:tc>
        <w:tc>
          <w:tcPr>
            <w:tcW w:w="843" w:type="dxa"/>
            <w:shd w:val="clear" w:color="auto" w:fill="auto"/>
            <w:vAlign w:val="center"/>
          </w:tcPr>
          <w:p w14:paraId="6A4C2895">
            <w:pPr>
              <w:keepNext w:val="0"/>
              <w:keepLines w:val="0"/>
              <w:widowControl/>
              <w:suppressLineNumbers w:val="0"/>
              <w:jc w:val="center"/>
              <w:textAlignment w:val="center"/>
              <w:rPr>
                <w:rFonts w:hint="eastAsia" w:cs="Times New Roman"/>
                <w:color w:val="auto"/>
                <w:sz w:val="21"/>
                <w:szCs w:val="21"/>
                <w:lang w:val="en-US" w:eastAsia="zh-CN"/>
              </w:rPr>
            </w:pPr>
          </w:p>
        </w:tc>
        <w:tc>
          <w:tcPr>
            <w:tcW w:w="780" w:type="dxa"/>
            <w:vMerge w:val="continue"/>
            <w:shd w:val="clear" w:color="auto" w:fill="auto"/>
            <w:vAlign w:val="center"/>
          </w:tcPr>
          <w:p w14:paraId="1CF831DC">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r>
      <w:tr w14:paraId="164CD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 w:hRule="atLeast"/>
        </w:trPr>
        <w:tc>
          <w:tcPr>
            <w:tcW w:w="1208" w:type="dxa"/>
            <w:vMerge w:val="continue"/>
            <w:shd w:val="clear" w:color="auto" w:fill="auto"/>
            <w:vAlign w:val="center"/>
          </w:tcPr>
          <w:p w14:paraId="7058C85F">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c>
          <w:tcPr>
            <w:tcW w:w="1802" w:type="dxa"/>
            <w:shd w:val="clear" w:color="auto" w:fill="auto"/>
            <w:vAlign w:val="center"/>
          </w:tcPr>
          <w:p w14:paraId="7A0FFB0E">
            <w:pPr>
              <w:keepNext w:val="0"/>
              <w:keepLines w:val="0"/>
              <w:widowControl/>
              <w:suppressLineNumbers w:val="0"/>
              <w:jc w:val="center"/>
              <w:textAlignment w:val="center"/>
              <w:rPr>
                <w:rFonts w:hint="eastAsia" w:cs="Times New Roman"/>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总氮</w:t>
            </w:r>
          </w:p>
        </w:tc>
        <w:tc>
          <w:tcPr>
            <w:tcW w:w="954" w:type="dxa"/>
            <w:shd w:val="clear" w:color="auto" w:fill="auto"/>
            <w:vAlign w:val="center"/>
          </w:tcPr>
          <w:p w14:paraId="3C61D7F0">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558" w:type="dxa"/>
            <w:shd w:val="clear" w:color="auto" w:fill="auto"/>
            <w:vAlign w:val="center"/>
          </w:tcPr>
          <w:p w14:paraId="0E12096B">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39</w:t>
            </w:r>
          </w:p>
        </w:tc>
        <w:tc>
          <w:tcPr>
            <w:tcW w:w="1558" w:type="dxa"/>
            <w:shd w:val="clear" w:color="auto" w:fill="auto"/>
            <w:vAlign w:val="center"/>
          </w:tcPr>
          <w:p w14:paraId="0194C09C">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42</w:t>
            </w:r>
          </w:p>
        </w:tc>
        <w:tc>
          <w:tcPr>
            <w:tcW w:w="1558" w:type="dxa"/>
            <w:shd w:val="clear" w:color="auto" w:fill="auto"/>
            <w:vAlign w:val="center"/>
          </w:tcPr>
          <w:p w14:paraId="7F6AB968">
            <w:pPr>
              <w:keepNext w:val="0"/>
              <w:keepLines w:val="0"/>
              <w:widowControl/>
              <w:suppressLineNumbers w:val="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41</w:t>
            </w:r>
          </w:p>
        </w:tc>
        <w:tc>
          <w:tcPr>
            <w:tcW w:w="843" w:type="dxa"/>
            <w:shd w:val="clear" w:color="auto" w:fill="auto"/>
            <w:vAlign w:val="center"/>
          </w:tcPr>
          <w:p w14:paraId="5D32B77A">
            <w:pPr>
              <w:keepNext w:val="0"/>
              <w:keepLines w:val="0"/>
              <w:widowControl/>
              <w:suppressLineNumbers w:val="0"/>
              <w:jc w:val="center"/>
              <w:textAlignment w:val="center"/>
              <w:rPr>
                <w:rFonts w:hint="eastAsia" w:cs="Times New Roman"/>
                <w:color w:val="auto"/>
                <w:sz w:val="21"/>
                <w:szCs w:val="21"/>
                <w:lang w:val="en-US" w:eastAsia="zh-CN"/>
              </w:rPr>
            </w:pPr>
          </w:p>
        </w:tc>
        <w:tc>
          <w:tcPr>
            <w:tcW w:w="780" w:type="dxa"/>
            <w:vMerge w:val="continue"/>
            <w:shd w:val="clear" w:color="auto" w:fill="auto"/>
            <w:vAlign w:val="center"/>
          </w:tcPr>
          <w:p w14:paraId="38F969C1">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r>
      <w:tr w14:paraId="58C71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 w:hRule="atLeast"/>
        </w:trPr>
        <w:tc>
          <w:tcPr>
            <w:tcW w:w="1208" w:type="dxa"/>
            <w:vMerge w:val="continue"/>
            <w:shd w:val="clear" w:color="auto" w:fill="auto"/>
            <w:vAlign w:val="center"/>
          </w:tcPr>
          <w:p w14:paraId="07215DB2">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c>
          <w:tcPr>
            <w:tcW w:w="1802" w:type="dxa"/>
            <w:shd w:val="clear" w:color="auto" w:fill="auto"/>
            <w:vAlign w:val="center"/>
          </w:tcPr>
          <w:p w14:paraId="581743F6">
            <w:pPr>
              <w:spacing w:before="31" w:beforeLines="10" w:after="31" w:afterLines="10"/>
              <w:jc w:val="center"/>
              <w:rPr>
                <w:rFonts w:hint="eastAsia" w:cs="Times New Roman"/>
                <w:color w:val="auto"/>
                <w:sz w:val="21"/>
                <w:szCs w:val="21"/>
                <w:lang w:val="en-US" w:eastAsia="zh-CN"/>
              </w:rPr>
            </w:pPr>
            <w:r>
              <w:rPr>
                <w:rFonts w:hint="eastAsia" w:cs="Times New Roman"/>
                <w:color w:val="auto"/>
                <w:sz w:val="21"/>
                <w:szCs w:val="21"/>
                <w:lang w:val="en-US" w:eastAsia="zh-CN"/>
              </w:rPr>
              <w:t>河宽</w:t>
            </w:r>
          </w:p>
        </w:tc>
        <w:tc>
          <w:tcPr>
            <w:tcW w:w="954" w:type="dxa"/>
            <w:shd w:val="clear" w:color="auto" w:fill="auto"/>
            <w:vAlign w:val="center"/>
          </w:tcPr>
          <w:p w14:paraId="4D07EFC3">
            <w:pPr>
              <w:keepNext w:val="0"/>
              <w:keepLines w:val="0"/>
              <w:pageBreakBefore w:val="0"/>
              <w:kinsoku/>
              <w:wordWrap/>
              <w:overflowPunct/>
              <w:topLinePunct w:val="0"/>
              <w:autoSpaceDE/>
              <w:autoSpaceDN/>
              <w:bidi w:val="0"/>
              <w:adjustRightInd w:val="0"/>
              <w:snapToGrid w:val="0"/>
              <w:jc w:val="center"/>
              <w:rPr>
                <w:rFonts w:hint="eastAsia" w:cs="Times New Roman"/>
                <w:color w:val="auto"/>
                <w:sz w:val="21"/>
                <w:szCs w:val="21"/>
                <w:lang w:val="en-US" w:eastAsia="zh-CN"/>
              </w:rPr>
            </w:pPr>
            <w:r>
              <w:rPr>
                <w:rFonts w:hint="default" w:ascii="Times New Roman" w:hAnsi="Times New Roman" w:eastAsia="宋体" w:cs="Times New Roman"/>
                <w:bCs/>
                <w:color w:val="auto"/>
                <w:sz w:val="21"/>
                <w:szCs w:val="21"/>
                <w:lang w:val="en-US" w:eastAsia="zh-CN"/>
              </w:rPr>
              <w:t>m</w:t>
            </w:r>
          </w:p>
        </w:tc>
        <w:tc>
          <w:tcPr>
            <w:tcW w:w="6297" w:type="dxa"/>
            <w:gridSpan w:val="5"/>
            <w:shd w:val="clear" w:color="auto" w:fill="auto"/>
            <w:vAlign w:val="center"/>
          </w:tcPr>
          <w:p w14:paraId="5726518F">
            <w:pPr>
              <w:keepNext w:val="0"/>
              <w:keepLines w:val="0"/>
              <w:widowControl/>
              <w:suppressLineNumbers w:val="0"/>
              <w:spacing w:before="109" w:beforeAutospacing="0" w:after="0" w:afterAutospacing="0" w:line="262" w:lineRule="auto"/>
              <w:ind w:left="512" w:leftChars="0" w:right="130" w:rightChars="0" w:hanging="383" w:firstLineChars="0"/>
              <w:jc w:val="center"/>
              <w:rPr>
                <w:rFonts w:hint="default" w:cs="Times New Roman"/>
                <w:color w:val="auto"/>
                <w:sz w:val="21"/>
                <w:szCs w:val="21"/>
                <w:lang w:val="en-US" w:eastAsia="zh-CN"/>
              </w:rPr>
            </w:pPr>
            <w:r>
              <w:rPr>
                <w:rFonts w:hint="eastAsia" w:eastAsia="Times New Roman" w:cs="Times New Roman"/>
                <w:color w:val="auto"/>
                <w:spacing w:val="6"/>
                <w:sz w:val="20"/>
                <w:szCs w:val="20"/>
                <w:lang w:val="en-US" w:eastAsia="zh-CN"/>
              </w:rPr>
              <w:t>10</w:t>
            </w:r>
          </w:p>
        </w:tc>
      </w:tr>
      <w:tr w14:paraId="08AC6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 w:hRule="atLeast"/>
        </w:trPr>
        <w:tc>
          <w:tcPr>
            <w:tcW w:w="1208" w:type="dxa"/>
            <w:vMerge w:val="continue"/>
            <w:shd w:val="clear" w:color="auto" w:fill="auto"/>
            <w:vAlign w:val="center"/>
          </w:tcPr>
          <w:p w14:paraId="6F02F69B">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c>
          <w:tcPr>
            <w:tcW w:w="1802" w:type="dxa"/>
            <w:shd w:val="clear" w:color="auto" w:fill="auto"/>
            <w:vAlign w:val="center"/>
          </w:tcPr>
          <w:p w14:paraId="6091AA08">
            <w:pPr>
              <w:spacing w:before="31" w:beforeLines="10" w:after="31" w:afterLines="10"/>
              <w:jc w:val="center"/>
              <w:rPr>
                <w:rFonts w:hint="eastAsia" w:cs="Times New Roman"/>
                <w:color w:val="auto"/>
                <w:sz w:val="21"/>
                <w:szCs w:val="21"/>
                <w:lang w:val="en-US" w:eastAsia="zh-CN"/>
              </w:rPr>
            </w:pPr>
            <w:r>
              <w:rPr>
                <w:rFonts w:hint="eastAsia" w:cs="Times New Roman"/>
                <w:color w:val="auto"/>
                <w:sz w:val="21"/>
                <w:szCs w:val="21"/>
                <w:lang w:val="en-US" w:eastAsia="zh-CN"/>
              </w:rPr>
              <w:t>水深</w:t>
            </w:r>
          </w:p>
        </w:tc>
        <w:tc>
          <w:tcPr>
            <w:tcW w:w="954" w:type="dxa"/>
            <w:shd w:val="clear" w:color="auto" w:fill="auto"/>
            <w:vAlign w:val="center"/>
          </w:tcPr>
          <w:p w14:paraId="67B64E93">
            <w:pPr>
              <w:keepNext w:val="0"/>
              <w:keepLines w:val="0"/>
              <w:pageBreakBefore w:val="0"/>
              <w:kinsoku/>
              <w:wordWrap/>
              <w:overflowPunct/>
              <w:topLinePunct w:val="0"/>
              <w:autoSpaceDE/>
              <w:autoSpaceDN/>
              <w:bidi w:val="0"/>
              <w:adjustRightInd w:val="0"/>
              <w:snapToGrid w:val="0"/>
              <w:jc w:val="center"/>
              <w:rPr>
                <w:rFonts w:hint="eastAsia" w:cs="Times New Roman"/>
                <w:color w:val="auto"/>
                <w:sz w:val="21"/>
                <w:szCs w:val="21"/>
                <w:lang w:val="en-US" w:eastAsia="zh-CN"/>
              </w:rPr>
            </w:pPr>
            <w:r>
              <w:rPr>
                <w:rFonts w:hint="default" w:ascii="Times New Roman" w:hAnsi="Times New Roman" w:eastAsia="宋体" w:cs="Times New Roman"/>
                <w:bCs/>
                <w:color w:val="auto"/>
                <w:sz w:val="21"/>
                <w:szCs w:val="21"/>
                <w:lang w:val="en-US" w:eastAsia="zh-CN"/>
              </w:rPr>
              <w:t>m</w:t>
            </w:r>
          </w:p>
        </w:tc>
        <w:tc>
          <w:tcPr>
            <w:tcW w:w="6297" w:type="dxa"/>
            <w:gridSpan w:val="5"/>
            <w:shd w:val="clear" w:color="auto" w:fill="auto"/>
            <w:vAlign w:val="center"/>
          </w:tcPr>
          <w:p w14:paraId="4296064A">
            <w:pPr>
              <w:keepNext w:val="0"/>
              <w:keepLines w:val="0"/>
              <w:widowControl/>
              <w:suppressLineNumbers w:val="0"/>
              <w:spacing w:before="109" w:beforeAutospacing="0" w:after="0" w:afterAutospacing="0" w:line="262" w:lineRule="auto"/>
              <w:ind w:left="512" w:leftChars="0" w:right="130" w:rightChars="0" w:hanging="383" w:firstLineChars="0"/>
              <w:jc w:val="center"/>
              <w:rPr>
                <w:rFonts w:hint="default" w:cs="Times New Roman"/>
                <w:color w:val="auto"/>
                <w:sz w:val="21"/>
                <w:szCs w:val="21"/>
                <w:lang w:val="en-US" w:eastAsia="zh-CN"/>
              </w:rPr>
            </w:pPr>
            <w:r>
              <w:rPr>
                <w:rFonts w:hint="eastAsia" w:eastAsia="Times New Roman" w:cs="Times New Roman"/>
                <w:color w:val="auto"/>
                <w:spacing w:val="6"/>
                <w:sz w:val="20"/>
                <w:szCs w:val="20"/>
                <w:lang w:val="en-US" w:eastAsia="zh-CN"/>
              </w:rPr>
              <w:t>1.5</w:t>
            </w:r>
          </w:p>
        </w:tc>
      </w:tr>
      <w:tr w14:paraId="3F7AF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 w:hRule="atLeast"/>
        </w:trPr>
        <w:tc>
          <w:tcPr>
            <w:tcW w:w="1208" w:type="dxa"/>
            <w:vMerge w:val="continue"/>
            <w:shd w:val="clear" w:color="auto" w:fill="auto"/>
            <w:vAlign w:val="center"/>
          </w:tcPr>
          <w:p w14:paraId="4E36916F">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c>
          <w:tcPr>
            <w:tcW w:w="1802" w:type="dxa"/>
            <w:shd w:val="clear" w:color="auto" w:fill="auto"/>
            <w:vAlign w:val="center"/>
          </w:tcPr>
          <w:p w14:paraId="7D4E0305">
            <w:pPr>
              <w:spacing w:before="31" w:beforeLines="10" w:after="31" w:afterLines="10"/>
              <w:jc w:val="center"/>
              <w:rPr>
                <w:rFonts w:hint="eastAsia" w:cs="Times New Roman"/>
                <w:color w:val="auto"/>
                <w:sz w:val="21"/>
                <w:szCs w:val="21"/>
                <w:lang w:val="en-US" w:eastAsia="zh-CN"/>
              </w:rPr>
            </w:pPr>
            <w:r>
              <w:rPr>
                <w:rFonts w:hint="eastAsia" w:cs="Times New Roman"/>
                <w:color w:val="auto"/>
                <w:sz w:val="21"/>
                <w:szCs w:val="21"/>
                <w:lang w:val="en-US" w:eastAsia="zh-CN"/>
              </w:rPr>
              <w:t>流速</w:t>
            </w:r>
          </w:p>
        </w:tc>
        <w:tc>
          <w:tcPr>
            <w:tcW w:w="954" w:type="dxa"/>
            <w:shd w:val="clear" w:color="auto" w:fill="auto"/>
            <w:vAlign w:val="center"/>
          </w:tcPr>
          <w:p w14:paraId="4BF52D07">
            <w:pPr>
              <w:keepNext w:val="0"/>
              <w:keepLines w:val="0"/>
              <w:pageBreakBefore w:val="0"/>
              <w:kinsoku/>
              <w:wordWrap/>
              <w:overflowPunct/>
              <w:topLinePunct w:val="0"/>
              <w:autoSpaceDE/>
              <w:autoSpaceDN/>
              <w:bidi w:val="0"/>
              <w:adjustRightInd w:val="0"/>
              <w:snapToGrid w:val="0"/>
              <w:jc w:val="center"/>
              <w:rPr>
                <w:rFonts w:hint="eastAsia" w:cs="Times New Roman"/>
                <w:color w:val="auto"/>
                <w:sz w:val="21"/>
                <w:szCs w:val="21"/>
                <w:lang w:val="en-US" w:eastAsia="zh-CN"/>
              </w:rPr>
            </w:pPr>
            <w:r>
              <w:rPr>
                <w:rFonts w:hint="default" w:ascii="Times New Roman" w:hAnsi="Times New Roman" w:eastAsia="宋体" w:cs="Times New Roman"/>
                <w:bCs/>
                <w:color w:val="auto"/>
                <w:sz w:val="21"/>
                <w:szCs w:val="21"/>
                <w:lang w:val="en-US" w:eastAsia="zh-CN"/>
              </w:rPr>
              <w:t>m</w:t>
            </w:r>
            <w:r>
              <w:rPr>
                <w:rFonts w:hint="eastAsia" w:eastAsia="宋体" w:cs="Times New Roman"/>
                <w:bCs/>
                <w:color w:val="auto"/>
                <w:sz w:val="21"/>
                <w:szCs w:val="21"/>
                <w:lang w:val="en-US" w:eastAsia="zh-CN"/>
              </w:rPr>
              <w:t>/s</w:t>
            </w:r>
          </w:p>
        </w:tc>
        <w:tc>
          <w:tcPr>
            <w:tcW w:w="6297" w:type="dxa"/>
            <w:gridSpan w:val="5"/>
            <w:shd w:val="clear" w:color="auto" w:fill="auto"/>
            <w:vAlign w:val="center"/>
          </w:tcPr>
          <w:p w14:paraId="7C7A6970">
            <w:pPr>
              <w:keepNext w:val="0"/>
              <w:keepLines w:val="0"/>
              <w:widowControl/>
              <w:suppressLineNumbers w:val="0"/>
              <w:spacing w:before="109" w:beforeAutospacing="0" w:after="0" w:afterAutospacing="0" w:line="262" w:lineRule="auto"/>
              <w:ind w:left="512" w:leftChars="0" w:right="130" w:rightChars="0" w:hanging="383" w:firstLineChars="0"/>
              <w:jc w:val="center"/>
              <w:rPr>
                <w:rFonts w:hint="eastAsia" w:cs="Times New Roman"/>
                <w:color w:val="auto"/>
                <w:sz w:val="21"/>
                <w:szCs w:val="21"/>
                <w:lang w:val="en-US" w:eastAsia="zh-CN"/>
              </w:rPr>
            </w:pPr>
            <w:r>
              <w:rPr>
                <w:rFonts w:hint="default" w:ascii="Times New Roman" w:hAnsi="Times New Roman" w:eastAsia="Times New Roman" w:cs="Times New Roman"/>
                <w:color w:val="auto"/>
                <w:spacing w:val="6"/>
                <w:sz w:val="20"/>
                <w:szCs w:val="20"/>
                <w:lang w:val="en-US" w:eastAsia="zh-CN"/>
              </w:rPr>
              <w:t>0.2</w:t>
            </w:r>
            <w:r>
              <w:rPr>
                <w:rFonts w:hint="eastAsia" w:eastAsia="Times New Roman" w:cs="Times New Roman"/>
                <w:color w:val="auto"/>
                <w:spacing w:val="6"/>
                <w:sz w:val="20"/>
                <w:szCs w:val="20"/>
                <w:lang w:val="en-US" w:eastAsia="zh-CN"/>
              </w:rPr>
              <w:t>3</w:t>
            </w:r>
          </w:p>
        </w:tc>
      </w:tr>
      <w:tr w14:paraId="1D4B3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 w:hRule="atLeast"/>
        </w:trPr>
        <w:tc>
          <w:tcPr>
            <w:tcW w:w="1208" w:type="dxa"/>
            <w:vMerge w:val="continue"/>
            <w:shd w:val="clear" w:color="auto" w:fill="auto"/>
            <w:vAlign w:val="center"/>
          </w:tcPr>
          <w:p w14:paraId="21DE18BB">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cs="Times New Roman"/>
                <w:color w:val="auto"/>
                <w:sz w:val="21"/>
                <w:szCs w:val="21"/>
                <w:lang w:val="en-US" w:eastAsia="zh-CN"/>
              </w:rPr>
            </w:pPr>
          </w:p>
        </w:tc>
        <w:tc>
          <w:tcPr>
            <w:tcW w:w="1802" w:type="dxa"/>
            <w:shd w:val="clear" w:color="auto" w:fill="auto"/>
            <w:vAlign w:val="center"/>
          </w:tcPr>
          <w:p w14:paraId="3C9C950B">
            <w:pPr>
              <w:spacing w:before="31" w:beforeLines="10" w:after="31" w:afterLines="10"/>
              <w:jc w:val="center"/>
              <w:rPr>
                <w:rFonts w:hint="eastAsia" w:cs="Times New Roman"/>
                <w:color w:val="auto"/>
                <w:sz w:val="21"/>
                <w:szCs w:val="21"/>
                <w:lang w:val="en-US" w:eastAsia="zh-CN"/>
              </w:rPr>
            </w:pPr>
            <w:r>
              <w:rPr>
                <w:rFonts w:hint="eastAsia" w:cs="Times New Roman"/>
                <w:color w:val="auto"/>
                <w:sz w:val="21"/>
                <w:szCs w:val="21"/>
                <w:lang w:val="en-US" w:eastAsia="zh-CN"/>
              </w:rPr>
              <w:t>坡降度</w:t>
            </w:r>
          </w:p>
        </w:tc>
        <w:tc>
          <w:tcPr>
            <w:tcW w:w="954" w:type="dxa"/>
            <w:shd w:val="clear" w:color="auto" w:fill="auto"/>
            <w:vAlign w:val="center"/>
          </w:tcPr>
          <w:p w14:paraId="5819D0A5">
            <w:pPr>
              <w:keepNext w:val="0"/>
              <w:keepLines w:val="0"/>
              <w:pageBreakBefore w:val="0"/>
              <w:kinsoku/>
              <w:wordWrap/>
              <w:overflowPunct/>
              <w:topLinePunct w:val="0"/>
              <w:autoSpaceDE/>
              <w:autoSpaceDN/>
              <w:bidi w:val="0"/>
              <w:adjustRightInd w:val="0"/>
              <w:snapToGrid w:val="0"/>
              <w:jc w:val="center"/>
              <w:rPr>
                <w:rFonts w:hint="eastAsia" w:cs="Times New Roman"/>
                <w:color w:val="auto"/>
                <w:sz w:val="21"/>
                <w:szCs w:val="21"/>
                <w:lang w:val="en-US" w:eastAsia="zh-CN"/>
              </w:rPr>
            </w:pPr>
            <w:r>
              <w:rPr>
                <w:rFonts w:hint="default" w:ascii="Arial" w:hAnsi="Arial" w:eastAsia="宋体" w:cs="Arial"/>
                <w:bCs/>
                <w:color w:val="auto"/>
                <w:sz w:val="21"/>
                <w:szCs w:val="21"/>
                <w:lang w:val="en-US" w:eastAsia="zh-CN"/>
              </w:rPr>
              <w:t>‰</w:t>
            </w:r>
          </w:p>
        </w:tc>
        <w:tc>
          <w:tcPr>
            <w:tcW w:w="6297" w:type="dxa"/>
            <w:gridSpan w:val="5"/>
            <w:shd w:val="clear" w:color="auto" w:fill="auto"/>
            <w:vAlign w:val="center"/>
          </w:tcPr>
          <w:p w14:paraId="597655A4">
            <w:pPr>
              <w:keepNext w:val="0"/>
              <w:keepLines w:val="0"/>
              <w:widowControl/>
              <w:suppressLineNumbers w:val="0"/>
              <w:spacing w:before="109" w:beforeAutospacing="0" w:after="0" w:afterAutospacing="0" w:line="262" w:lineRule="auto"/>
              <w:ind w:left="512" w:leftChars="0" w:right="130" w:rightChars="0" w:hanging="383" w:firstLineChars="0"/>
              <w:jc w:val="center"/>
              <w:rPr>
                <w:rFonts w:hint="eastAsia" w:cs="Times New Roman"/>
                <w:color w:val="auto"/>
                <w:sz w:val="21"/>
                <w:szCs w:val="21"/>
                <w:lang w:val="en-US" w:eastAsia="zh-CN"/>
              </w:rPr>
            </w:pPr>
            <w:r>
              <w:rPr>
                <w:rFonts w:hint="eastAsia" w:eastAsia="Times New Roman" w:cs="Times New Roman"/>
                <w:color w:val="auto"/>
                <w:spacing w:val="6"/>
                <w:sz w:val="20"/>
                <w:szCs w:val="20"/>
                <w:lang w:val="en-US" w:eastAsia="zh-CN"/>
              </w:rPr>
              <w:t>0.18</w:t>
            </w:r>
          </w:p>
        </w:tc>
      </w:tr>
    </w:tbl>
    <w:p w14:paraId="061B060D">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 xml:space="preserve">评价结果 </w:t>
      </w:r>
    </w:p>
    <w:p w14:paraId="670E8D28">
      <w:pPr>
        <w:spacing w:line="360" w:lineRule="auto"/>
        <w:ind w:firstLine="480" w:firstLineChars="20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监测结果表明：排水渠监测断面各污染物指标均达到《地表水环境质量标准》（GB3838-2002）Ⅲ类标准，大八河监测断面各污染物指标均达到《地表水环境质量标准》（GB3838-2002）Ⅱ类标准，说明该项目所在地表水环境质量良好。</w:t>
      </w:r>
    </w:p>
    <w:p w14:paraId="0007CA4B">
      <w:pPr>
        <w:rPr>
          <w:rFonts w:hint="eastAsia"/>
          <w:color w:val="auto"/>
          <w:lang w:val="en-US" w:eastAsia="zh-CN"/>
        </w:rPr>
      </w:pPr>
      <w:r>
        <w:rPr>
          <w:rFonts w:hint="eastAsia"/>
          <w:color w:val="auto"/>
          <w:lang w:val="en-US" w:eastAsia="zh-CN"/>
        </w:rPr>
        <w:br w:type="page"/>
      </w:r>
    </w:p>
    <w:p w14:paraId="116CA2FE">
      <w:pPr>
        <w:pStyle w:val="3"/>
        <w:bidi w:val="0"/>
        <w:rPr>
          <w:color w:val="auto"/>
        </w:rPr>
      </w:pPr>
      <w:bookmarkStart w:id="48" w:name="_Toc6153"/>
      <w:bookmarkStart w:id="49" w:name="_Toc27537"/>
      <w:bookmarkStart w:id="50" w:name="_Toc23583"/>
      <w:r>
        <w:rPr>
          <w:color w:val="auto"/>
          <w:lang w:val="en-US" w:eastAsia="zh-CN"/>
        </w:rPr>
        <w:t>水功能区</w:t>
      </w:r>
      <w:r>
        <w:rPr>
          <w:rFonts w:hint="eastAsia"/>
          <w:color w:val="auto"/>
          <w:lang w:val="en-US" w:eastAsia="zh-CN"/>
        </w:rPr>
        <w:t>管理要求和现有取排水状况</w:t>
      </w:r>
      <w:bookmarkEnd w:id="48"/>
      <w:bookmarkEnd w:id="49"/>
    </w:p>
    <w:p w14:paraId="2CBF1212">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bookmarkStart w:id="51" w:name="_Toc26847"/>
      <w:bookmarkStart w:id="52" w:name="_Toc16847"/>
      <w:r>
        <w:rPr>
          <w:rFonts w:hint="eastAsia"/>
          <w:color w:val="auto"/>
          <w:lang w:val="en-US" w:eastAsia="zh-CN"/>
        </w:rPr>
        <w:t>水功能区保护水质管理目标与要求</w:t>
      </w:r>
      <w:bookmarkEnd w:id="51"/>
      <w:bookmarkEnd w:id="52"/>
    </w:p>
    <w:p w14:paraId="6914E14F">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根据阳江市人民政府批准的《阳江市水功能区划》（2013年），市水功能区划采用两级体系，即一级区划和二级区划。一级区划是宏观上解决水资源合理开发利用与保护的问题，主要协调地区间用水关系，长远上考虑可持续发展的需求，应包括保护区、缓冲区、开发利用区和保留区；二级区划主要协调各市和市内部门之间的关系，明确水域主要用水需求，以及相应的水质控制目标。控制目标是在开发利用区中进一步划分为饮用水源区、工业用水区、农业用水区、渔业用水区、景观娱乐用水区、过渡区、排污控制区。</w:t>
      </w:r>
    </w:p>
    <w:p w14:paraId="70238D7B">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cs="Times New Roman"/>
          <w:color w:val="auto"/>
          <w:sz w:val="24"/>
          <w:highlight w:val="none"/>
          <w:lang w:val="en-US" w:eastAsia="zh-CN"/>
        </w:rPr>
        <w:t>（1</w:t>
      </w:r>
      <w:r>
        <w:rPr>
          <w:rFonts w:hint="eastAsia" w:ascii="Times New Roman" w:hAnsi="Times New Roman" w:cs="Times New Roman"/>
          <w:color w:val="auto"/>
          <w:sz w:val="24"/>
          <w:highlight w:val="none"/>
          <w:lang w:val="en-US" w:eastAsia="zh-CN"/>
        </w:rPr>
        <w:t>）一级水功能区划</w:t>
      </w:r>
    </w:p>
    <w:p w14:paraId="7EF5959F">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阳江市一级水功能区共</w:t>
      </w:r>
      <w:r>
        <w:rPr>
          <w:rFonts w:hint="default" w:ascii="Times New Roman" w:hAnsi="Times New Roman" w:cs="Times New Roman"/>
          <w:color w:val="auto"/>
          <w:sz w:val="24"/>
          <w:highlight w:val="none"/>
          <w:lang w:val="en-US" w:eastAsia="zh-CN"/>
        </w:rPr>
        <w:t>138</w:t>
      </w:r>
      <w:r>
        <w:rPr>
          <w:rFonts w:hint="eastAsia" w:ascii="Times New Roman" w:hAnsi="Times New Roman" w:cs="Times New Roman"/>
          <w:color w:val="auto"/>
          <w:sz w:val="24"/>
          <w:highlight w:val="none"/>
          <w:lang w:val="en-US" w:eastAsia="zh-CN"/>
        </w:rPr>
        <w:t>个，其中河流水功能区</w:t>
      </w:r>
      <w:r>
        <w:rPr>
          <w:rFonts w:hint="default" w:ascii="Times New Roman" w:hAnsi="Times New Roman" w:cs="Times New Roman"/>
          <w:color w:val="auto"/>
          <w:sz w:val="24"/>
          <w:highlight w:val="none"/>
          <w:lang w:val="en-US" w:eastAsia="zh-CN"/>
        </w:rPr>
        <w:t>41</w:t>
      </w:r>
      <w:r>
        <w:rPr>
          <w:rFonts w:hint="eastAsia" w:ascii="Times New Roman" w:hAnsi="Times New Roman" w:cs="Times New Roman"/>
          <w:color w:val="auto"/>
          <w:sz w:val="24"/>
          <w:highlight w:val="none"/>
          <w:lang w:val="en-US" w:eastAsia="zh-CN"/>
        </w:rPr>
        <w:t>个，水库水功能区</w:t>
      </w:r>
      <w:r>
        <w:rPr>
          <w:rFonts w:hint="default" w:ascii="Times New Roman" w:hAnsi="Times New Roman" w:cs="Times New Roman"/>
          <w:color w:val="auto"/>
          <w:sz w:val="24"/>
          <w:highlight w:val="none"/>
          <w:lang w:val="en-US" w:eastAsia="zh-CN"/>
        </w:rPr>
        <w:t>97</w:t>
      </w:r>
      <w:r>
        <w:rPr>
          <w:rFonts w:hint="eastAsia" w:ascii="Times New Roman" w:hAnsi="Times New Roman" w:cs="Times New Roman"/>
          <w:color w:val="auto"/>
          <w:sz w:val="24"/>
          <w:highlight w:val="none"/>
          <w:lang w:val="en-US" w:eastAsia="zh-CN"/>
        </w:rPr>
        <w:t>个。一级水功能区中保护区</w:t>
      </w:r>
      <w:r>
        <w:rPr>
          <w:rFonts w:hint="default" w:ascii="Times New Roman" w:hAnsi="Times New Roman" w:cs="Times New Roman"/>
          <w:color w:val="auto"/>
          <w:sz w:val="24"/>
          <w:highlight w:val="none"/>
          <w:lang w:val="en-US" w:eastAsia="zh-CN"/>
        </w:rPr>
        <w:t>9</w:t>
      </w:r>
      <w:r>
        <w:rPr>
          <w:rFonts w:hint="eastAsia" w:ascii="Times New Roman" w:hAnsi="Times New Roman" w:cs="Times New Roman"/>
          <w:color w:val="auto"/>
          <w:sz w:val="24"/>
          <w:highlight w:val="none"/>
          <w:lang w:val="en-US" w:eastAsia="zh-CN"/>
        </w:rPr>
        <w:t>个，占</w:t>
      </w:r>
      <w:r>
        <w:rPr>
          <w:rFonts w:hint="default" w:ascii="Times New Roman" w:hAnsi="Times New Roman" w:cs="Times New Roman"/>
          <w:color w:val="auto"/>
          <w:sz w:val="24"/>
          <w:highlight w:val="none"/>
          <w:lang w:val="en-US" w:eastAsia="zh-CN"/>
        </w:rPr>
        <w:t>6.5%</w:t>
      </w:r>
      <w:r>
        <w:rPr>
          <w:rFonts w:hint="eastAsia" w:ascii="Times New Roman" w:hAnsi="Times New Roman" w:cs="Times New Roman"/>
          <w:color w:val="auto"/>
          <w:sz w:val="24"/>
          <w:highlight w:val="none"/>
          <w:lang w:val="en-US" w:eastAsia="zh-CN"/>
        </w:rPr>
        <w:t>；开发利用区</w:t>
      </w:r>
      <w:r>
        <w:rPr>
          <w:rFonts w:hint="default" w:ascii="Times New Roman" w:hAnsi="Times New Roman" w:cs="Times New Roman"/>
          <w:color w:val="auto"/>
          <w:sz w:val="24"/>
          <w:highlight w:val="none"/>
          <w:lang w:val="en-US" w:eastAsia="zh-CN"/>
        </w:rPr>
        <w:t>114</w:t>
      </w:r>
      <w:r>
        <w:rPr>
          <w:rFonts w:hint="eastAsia" w:ascii="Times New Roman" w:hAnsi="Times New Roman" w:cs="Times New Roman"/>
          <w:color w:val="auto"/>
          <w:sz w:val="24"/>
          <w:highlight w:val="none"/>
          <w:lang w:val="en-US" w:eastAsia="zh-CN"/>
        </w:rPr>
        <w:t>个，占</w:t>
      </w:r>
      <w:r>
        <w:rPr>
          <w:rFonts w:hint="default" w:ascii="Times New Roman" w:hAnsi="Times New Roman" w:cs="Times New Roman"/>
          <w:color w:val="auto"/>
          <w:sz w:val="24"/>
          <w:highlight w:val="none"/>
          <w:lang w:val="en-US" w:eastAsia="zh-CN"/>
        </w:rPr>
        <w:t>82.6%</w:t>
      </w:r>
      <w:r>
        <w:rPr>
          <w:rFonts w:hint="eastAsia" w:ascii="Times New Roman" w:hAnsi="Times New Roman" w:cs="Times New Roman"/>
          <w:color w:val="auto"/>
          <w:sz w:val="24"/>
          <w:highlight w:val="none"/>
          <w:lang w:val="en-US" w:eastAsia="zh-CN"/>
        </w:rPr>
        <w:t>；保留区</w:t>
      </w:r>
      <w:r>
        <w:rPr>
          <w:rFonts w:hint="default" w:ascii="Times New Roman" w:hAnsi="Times New Roman" w:cs="Times New Roman"/>
          <w:color w:val="auto"/>
          <w:sz w:val="24"/>
          <w:highlight w:val="none"/>
          <w:lang w:val="en-US" w:eastAsia="zh-CN"/>
        </w:rPr>
        <w:t>15</w:t>
      </w:r>
      <w:r>
        <w:rPr>
          <w:rFonts w:hint="eastAsia" w:ascii="Times New Roman" w:hAnsi="Times New Roman" w:cs="Times New Roman"/>
          <w:color w:val="auto"/>
          <w:sz w:val="24"/>
          <w:highlight w:val="none"/>
          <w:lang w:val="en-US" w:eastAsia="zh-CN"/>
        </w:rPr>
        <w:t>个，占</w:t>
      </w:r>
      <w:r>
        <w:rPr>
          <w:rFonts w:hint="default" w:ascii="Times New Roman" w:hAnsi="Times New Roman" w:cs="Times New Roman"/>
          <w:color w:val="auto"/>
          <w:sz w:val="24"/>
          <w:highlight w:val="none"/>
          <w:lang w:val="en-US" w:eastAsia="zh-CN"/>
        </w:rPr>
        <w:t>10.9%</w:t>
      </w:r>
      <w:r>
        <w:rPr>
          <w:rFonts w:hint="eastAsia" w:ascii="Times New Roman" w:hAnsi="Times New Roman" w:cs="Times New Roman"/>
          <w:color w:val="auto"/>
          <w:sz w:val="24"/>
          <w:highlight w:val="none"/>
          <w:lang w:val="en-US" w:eastAsia="zh-CN"/>
        </w:rPr>
        <w:t>；缓冲区无。</w:t>
      </w:r>
    </w:p>
    <w:p w14:paraId="746AAB03">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cs="Times New Roman"/>
          <w:color w:val="auto"/>
          <w:sz w:val="24"/>
          <w:highlight w:val="none"/>
          <w:lang w:val="en-US" w:eastAsia="zh-CN"/>
        </w:rPr>
        <w:t>（2）</w:t>
      </w:r>
      <w:r>
        <w:rPr>
          <w:rFonts w:hint="eastAsia" w:ascii="Times New Roman" w:hAnsi="Times New Roman" w:cs="Times New Roman"/>
          <w:color w:val="auto"/>
          <w:sz w:val="24"/>
          <w:highlight w:val="none"/>
          <w:lang w:val="en-US" w:eastAsia="zh-CN"/>
        </w:rPr>
        <w:t>二级水功能区划</w:t>
      </w:r>
    </w:p>
    <w:p w14:paraId="3D4DAFD0">
      <w:pPr>
        <w:spacing w:line="360" w:lineRule="auto"/>
        <w:ind w:firstLine="480" w:firstLineChars="200"/>
        <w:rPr>
          <w:rFonts w:hint="eastAsia" w:ascii="Times New Roman" w:hAnsi="Times New Roman" w:cs="Times New Roman"/>
          <w:color w:val="auto"/>
          <w:sz w:val="24"/>
          <w:highlight w:val="none"/>
          <w:vertAlign w:val="baseline"/>
          <w:lang w:val="en-US" w:eastAsia="zh-CN"/>
        </w:rPr>
      </w:pPr>
      <w:r>
        <w:rPr>
          <w:rFonts w:hint="eastAsia" w:ascii="Times New Roman" w:hAnsi="Times New Roman" w:cs="Times New Roman"/>
          <w:color w:val="auto"/>
          <w:sz w:val="24"/>
          <w:highlight w:val="none"/>
          <w:lang w:val="en-US" w:eastAsia="zh-CN"/>
        </w:rPr>
        <w:t>根据水功能区划的分级分类系统，二级区划仅在一级区划中的开发利用区进行。根据阳江市人民政府批准的《阳江市水功能区划》（</w:t>
      </w:r>
      <w:r>
        <w:rPr>
          <w:rFonts w:hint="default" w:ascii="Times New Roman" w:hAnsi="Times New Roman" w:cs="Times New Roman"/>
          <w:color w:val="auto"/>
          <w:sz w:val="24"/>
          <w:highlight w:val="none"/>
          <w:lang w:val="en-US" w:eastAsia="zh-CN"/>
        </w:rPr>
        <w:t>2013</w:t>
      </w:r>
      <w:r>
        <w:rPr>
          <w:rFonts w:hint="eastAsia" w:ascii="Times New Roman" w:hAnsi="Times New Roman" w:cs="Times New Roman"/>
          <w:color w:val="auto"/>
          <w:sz w:val="24"/>
          <w:highlight w:val="none"/>
          <w:lang w:val="en-US" w:eastAsia="zh-CN"/>
        </w:rPr>
        <w:t>年）划定结果，共划分</w:t>
      </w:r>
      <w:r>
        <w:rPr>
          <w:rFonts w:hint="default" w:ascii="Times New Roman" w:hAnsi="Times New Roman" w:cs="Times New Roman"/>
          <w:color w:val="auto"/>
          <w:sz w:val="24"/>
          <w:highlight w:val="none"/>
          <w:lang w:val="en-US" w:eastAsia="zh-CN"/>
        </w:rPr>
        <w:t>120</w:t>
      </w:r>
      <w:r>
        <w:rPr>
          <w:rFonts w:hint="eastAsia" w:ascii="Times New Roman" w:hAnsi="Times New Roman" w:cs="Times New Roman"/>
          <w:color w:val="auto"/>
          <w:sz w:val="24"/>
          <w:highlight w:val="none"/>
          <w:lang w:val="en-US" w:eastAsia="zh-CN"/>
        </w:rPr>
        <w:t>个二级水功能区，其中河流水功能区</w:t>
      </w:r>
      <w:r>
        <w:rPr>
          <w:rFonts w:hint="default" w:ascii="Times New Roman" w:hAnsi="Times New Roman" w:cs="Times New Roman"/>
          <w:color w:val="auto"/>
          <w:sz w:val="24"/>
          <w:highlight w:val="none"/>
          <w:lang w:val="en-US" w:eastAsia="zh-CN"/>
        </w:rPr>
        <w:t>29</w:t>
      </w:r>
      <w:r>
        <w:rPr>
          <w:rFonts w:hint="eastAsia" w:ascii="Times New Roman" w:hAnsi="Times New Roman" w:cs="Times New Roman"/>
          <w:color w:val="auto"/>
          <w:sz w:val="24"/>
          <w:highlight w:val="none"/>
          <w:lang w:val="en-US" w:eastAsia="zh-CN"/>
        </w:rPr>
        <w:t>个，其总评价河长</w:t>
      </w:r>
      <w:r>
        <w:rPr>
          <w:rFonts w:hint="default" w:ascii="Times New Roman" w:hAnsi="Times New Roman" w:cs="Times New Roman"/>
          <w:color w:val="auto"/>
          <w:sz w:val="24"/>
          <w:highlight w:val="none"/>
          <w:lang w:val="en-US" w:eastAsia="zh-CN"/>
        </w:rPr>
        <w:t>650km</w:t>
      </w:r>
      <w:r>
        <w:rPr>
          <w:rFonts w:hint="eastAsia" w:ascii="Times New Roman" w:hAnsi="Times New Roman" w:cs="Times New Roman"/>
          <w:color w:val="auto"/>
          <w:sz w:val="24"/>
          <w:highlight w:val="none"/>
          <w:lang w:val="en-US" w:eastAsia="zh-CN"/>
        </w:rPr>
        <w:t>；水库水功能区</w:t>
      </w:r>
      <w:r>
        <w:rPr>
          <w:rFonts w:hint="default" w:ascii="Times New Roman" w:hAnsi="Times New Roman" w:cs="Times New Roman"/>
          <w:color w:val="auto"/>
          <w:sz w:val="24"/>
          <w:highlight w:val="none"/>
          <w:lang w:val="en-US" w:eastAsia="zh-CN"/>
        </w:rPr>
        <w:t>91</w:t>
      </w:r>
      <w:r>
        <w:rPr>
          <w:rFonts w:hint="eastAsia" w:ascii="Times New Roman" w:hAnsi="Times New Roman" w:cs="Times New Roman"/>
          <w:color w:val="auto"/>
          <w:sz w:val="24"/>
          <w:highlight w:val="none"/>
          <w:lang w:val="en-US" w:eastAsia="zh-CN"/>
        </w:rPr>
        <w:t>个，总集雨面积</w:t>
      </w:r>
      <w:r>
        <w:rPr>
          <w:rFonts w:hint="default" w:ascii="Times New Roman" w:hAnsi="Times New Roman" w:cs="Times New Roman"/>
          <w:color w:val="auto"/>
          <w:sz w:val="24"/>
          <w:highlight w:val="none"/>
          <w:lang w:val="en-US" w:eastAsia="zh-CN"/>
        </w:rPr>
        <w:t>793km</w:t>
      </w:r>
      <w:r>
        <w:rPr>
          <w:rFonts w:hint="default" w:ascii="Times New Roman" w:hAnsi="Times New Roman" w:cs="Times New Roman"/>
          <w:color w:val="auto"/>
          <w:sz w:val="24"/>
          <w:highlight w:val="none"/>
          <w:vertAlign w:val="superscript"/>
          <w:lang w:val="en-US" w:eastAsia="zh-CN"/>
        </w:rPr>
        <w:t>2</w:t>
      </w:r>
      <w:r>
        <w:rPr>
          <w:rFonts w:hint="eastAsia" w:ascii="Times New Roman" w:hAnsi="Times New Roman" w:cs="Times New Roman"/>
          <w:color w:val="auto"/>
          <w:sz w:val="24"/>
          <w:highlight w:val="none"/>
          <w:lang w:val="en-US" w:eastAsia="zh-CN"/>
        </w:rPr>
        <w:t>，总库容</w:t>
      </w:r>
      <w:r>
        <w:rPr>
          <w:rFonts w:hint="default" w:ascii="Times New Roman" w:hAnsi="Times New Roman" w:cs="Times New Roman"/>
          <w:color w:val="auto"/>
          <w:sz w:val="24"/>
          <w:highlight w:val="none"/>
          <w:lang w:val="en-US" w:eastAsia="zh-CN"/>
        </w:rPr>
        <w:t>80300</w:t>
      </w:r>
      <w:r>
        <w:rPr>
          <w:rFonts w:hint="eastAsia" w:ascii="Times New Roman" w:hAnsi="Times New Roman" w:cs="Times New Roman"/>
          <w:color w:val="auto"/>
          <w:sz w:val="24"/>
          <w:highlight w:val="none"/>
          <w:lang w:val="en-US" w:eastAsia="zh-CN"/>
        </w:rPr>
        <w:t>万</w:t>
      </w:r>
      <w:r>
        <w:rPr>
          <w:rFonts w:hint="default" w:ascii="Times New Roman" w:hAnsi="Times New Roman" w:cs="Times New Roman"/>
          <w:color w:val="auto"/>
          <w:sz w:val="24"/>
          <w:highlight w:val="none"/>
          <w:lang w:val="en-US" w:eastAsia="zh-CN"/>
        </w:rPr>
        <w:t>m</w:t>
      </w:r>
      <w:r>
        <w:rPr>
          <w:rFonts w:hint="default" w:ascii="Times New Roman" w:hAnsi="Times New Roman" w:cs="Times New Roman"/>
          <w:color w:val="auto"/>
          <w:sz w:val="24"/>
          <w:highlight w:val="none"/>
          <w:vertAlign w:val="superscript"/>
          <w:lang w:val="en-US" w:eastAsia="zh-CN"/>
        </w:rPr>
        <w:t>3</w:t>
      </w:r>
      <w:r>
        <w:rPr>
          <w:rFonts w:hint="eastAsia" w:cs="Times New Roman"/>
          <w:color w:val="auto"/>
          <w:sz w:val="24"/>
          <w:highlight w:val="none"/>
          <w:vertAlign w:val="baseline"/>
          <w:lang w:val="en-US" w:eastAsia="zh-CN"/>
        </w:rPr>
        <w:t>。</w:t>
      </w:r>
    </w:p>
    <w:p w14:paraId="1AAF6147">
      <w:pPr>
        <w:spacing w:line="360" w:lineRule="auto"/>
        <w:ind w:firstLine="480" w:firstLineChars="200"/>
        <w:rPr>
          <w:rFonts w:hint="default"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本排污口出水直接受纳水体为</w:t>
      </w:r>
      <w:r>
        <w:rPr>
          <w:rFonts w:hint="eastAsia" w:cs="Times New Roman"/>
          <w:color w:val="auto"/>
          <w:sz w:val="24"/>
          <w:highlight w:val="none"/>
          <w:lang w:val="en-US" w:eastAsia="zh-CN"/>
        </w:rPr>
        <w:t>排水渠</w:t>
      </w:r>
      <w:r>
        <w:rPr>
          <w:rFonts w:hint="eastAsia" w:ascii="Times New Roman" w:hAnsi="Times New Roman" w:cs="Times New Roman"/>
          <w:color w:val="auto"/>
          <w:sz w:val="24"/>
          <w:highlight w:val="none"/>
          <w:lang w:val="en-US" w:eastAsia="zh-CN"/>
        </w:rPr>
        <w:t>，</w:t>
      </w:r>
      <w:r>
        <w:rPr>
          <w:rFonts w:hint="eastAsia"/>
          <w:color w:val="auto"/>
          <w:kern w:val="0"/>
          <w:sz w:val="24"/>
        </w:rPr>
        <w:t>尾水排入</w:t>
      </w:r>
      <w:r>
        <w:rPr>
          <w:rFonts w:hint="eastAsia"/>
          <w:color w:val="auto"/>
          <w:kern w:val="0"/>
          <w:sz w:val="24"/>
          <w:lang w:eastAsia="zh-CN"/>
        </w:rPr>
        <w:t>排水渠</w:t>
      </w:r>
      <w:r>
        <w:rPr>
          <w:rFonts w:hint="eastAsia"/>
          <w:color w:val="auto"/>
          <w:kern w:val="0"/>
          <w:sz w:val="24"/>
        </w:rPr>
        <w:t>后，于排污口下游约</w:t>
      </w:r>
      <w:r>
        <w:rPr>
          <w:rFonts w:hint="eastAsia"/>
          <w:color w:val="auto"/>
          <w:kern w:val="0"/>
          <w:sz w:val="24"/>
          <w:lang w:val="en-US" w:eastAsia="zh-CN"/>
        </w:rPr>
        <w:t>20</w:t>
      </w:r>
      <w:r>
        <w:rPr>
          <w:color w:val="auto"/>
          <w:kern w:val="0"/>
          <w:sz w:val="24"/>
        </w:rPr>
        <w:t>0m</w:t>
      </w:r>
      <w:r>
        <w:rPr>
          <w:rFonts w:hint="eastAsia"/>
          <w:color w:val="auto"/>
          <w:kern w:val="0"/>
          <w:sz w:val="24"/>
        </w:rPr>
        <w:t>的</w:t>
      </w:r>
      <w:r>
        <w:rPr>
          <w:rFonts w:hint="eastAsia" w:cs="Times New Roman"/>
          <w:color w:val="auto"/>
          <w:sz w:val="24"/>
          <w:highlight w:val="none"/>
          <w:lang w:val="en-US" w:eastAsia="zh-CN"/>
        </w:rPr>
        <w:t>排水渠</w:t>
      </w:r>
      <w:r>
        <w:rPr>
          <w:rFonts w:hint="eastAsia"/>
          <w:color w:val="auto"/>
          <w:kern w:val="0"/>
          <w:sz w:val="24"/>
        </w:rPr>
        <w:t>与大八河交汇处流入大八河</w:t>
      </w:r>
      <w:r>
        <w:rPr>
          <w:rFonts w:hint="eastAsia"/>
          <w:color w:val="auto"/>
          <w:kern w:val="0"/>
          <w:sz w:val="24"/>
          <w:lang w:eastAsia="zh-CN"/>
        </w:rPr>
        <w:t>，</w:t>
      </w:r>
      <w:r>
        <w:rPr>
          <w:rFonts w:hint="eastAsia" w:ascii="Times New Roman" w:hAnsi="Times New Roman" w:cs="Times New Roman"/>
          <w:color w:val="auto"/>
          <w:sz w:val="24"/>
          <w:highlight w:val="none"/>
          <w:lang w:val="en-US" w:eastAsia="zh-CN"/>
        </w:rPr>
        <w:t>间接涉及</w:t>
      </w:r>
      <w:r>
        <w:rPr>
          <w:rFonts w:hint="eastAsia" w:cs="Times New Roman"/>
          <w:color w:val="auto"/>
          <w:sz w:val="24"/>
          <w:highlight w:val="none"/>
          <w:lang w:val="en-US" w:eastAsia="zh-CN"/>
        </w:rPr>
        <w:t>排水渠</w:t>
      </w:r>
      <w:r>
        <w:rPr>
          <w:rFonts w:hint="eastAsia" w:ascii="Times New Roman" w:hAnsi="Times New Roman" w:cs="Times New Roman"/>
          <w:color w:val="auto"/>
          <w:sz w:val="24"/>
          <w:highlight w:val="none"/>
          <w:lang w:val="en-US" w:eastAsia="zh-CN"/>
        </w:rPr>
        <w:t>与大八河交汇处下游1500m</w:t>
      </w:r>
      <w:r>
        <w:rPr>
          <w:rFonts w:hint="eastAsia" w:cs="Times New Roman"/>
          <w:color w:val="auto"/>
          <w:sz w:val="24"/>
          <w:highlight w:val="none"/>
          <w:lang w:val="en-US" w:eastAsia="zh-CN"/>
        </w:rPr>
        <w:t>水域，根据《广东省地表水环境功能区划的通知》粤环〔2011〕14号和《阳江市环境保护规划纲要(2016-2030年)》，排水渠</w:t>
      </w:r>
      <w:r>
        <w:rPr>
          <w:rFonts w:hint="eastAsia" w:ascii="Times New Roman" w:hAnsi="Times New Roman" w:cs="Times New Roman"/>
          <w:color w:val="auto"/>
          <w:sz w:val="24"/>
          <w:highlight w:val="none"/>
          <w:lang w:val="en-US" w:eastAsia="zh-CN"/>
        </w:rPr>
        <w:t>与大八河交汇处</w:t>
      </w:r>
      <w:r>
        <w:rPr>
          <w:rFonts w:hint="eastAsia" w:cs="Times New Roman"/>
          <w:color w:val="auto"/>
          <w:sz w:val="24"/>
          <w:highlight w:val="none"/>
          <w:lang w:val="en-US" w:eastAsia="zh-CN"/>
        </w:rPr>
        <w:t>至红丰镇19km水域现状水质为</w:t>
      </w:r>
      <w:r>
        <w:rPr>
          <w:rFonts w:hint="eastAsia" w:ascii="Times New Roman" w:hAnsi="Times New Roman" w:cs="Times New Roman"/>
          <w:color w:val="auto"/>
          <w:sz w:val="24"/>
          <w:highlight w:val="none"/>
          <w:lang w:val="en-US" w:eastAsia="zh-CN"/>
        </w:rPr>
        <w:t>Ⅱ</w:t>
      </w:r>
      <w:r>
        <w:rPr>
          <w:rFonts w:hint="eastAsia" w:cs="Times New Roman"/>
          <w:color w:val="auto"/>
          <w:sz w:val="24"/>
          <w:highlight w:val="none"/>
          <w:lang w:val="en-US" w:eastAsia="zh-CN"/>
        </w:rPr>
        <w:t>类，水质管理目标为</w:t>
      </w:r>
      <w:r>
        <w:rPr>
          <w:rFonts w:hint="eastAsia" w:ascii="Times New Roman" w:hAnsi="Times New Roman" w:cs="Times New Roman"/>
          <w:color w:val="auto"/>
          <w:sz w:val="24"/>
          <w:highlight w:val="none"/>
          <w:lang w:val="en-US" w:eastAsia="zh-CN"/>
        </w:rPr>
        <w:t>Ⅱ</w:t>
      </w:r>
      <w:r>
        <w:rPr>
          <w:rFonts w:hint="eastAsia" w:cs="Times New Roman"/>
          <w:color w:val="auto"/>
          <w:sz w:val="24"/>
          <w:highlight w:val="none"/>
          <w:lang w:val="en-US" w:eastAsia="zh-CN"/>
        </w:rPr>
        <w:t>类。本项目纳污区域的排水渠不涉及以上一级和二级水功能区划。</w:t>
      </w:r>
    </w:p>
    <w:p w14:paraId="05CD7423">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bookmarkStart w:id="53" w:name="_Toc26075"/>
      <w:bookmarkStart w:id="54" w:name="_Toc3929"/>
      <w:r>
        <w:rPr>
          <w:rFonts w:hint="eastAsia"/>
          <w:color w:val="auto"/>
          <w:lang w:val="en-US" w:eastAsia="zh-CN"/>
        </w:rPr>
        <w:t>水功能区纳污能力及限制排污总量</w:t>
      </w:r>
      <w:bookmarkEnd w:id="53"/>
      <w:bookmarkEnd w:id="54"/>
    </w:p>
    <w:p w14:paraId="3CF31E76">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水功能区纳污能力分析</w:t>
      </w:r>
    </w:p>
    <w:p w14:paraId="55361F88">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水体纳污能力是指在水资源开发利用区内，按给定的水质目标、设计水量及水质背景条件、排污口位置及排污方式情况下，水体所能容纳的最大污染物量。水域最大允许纳污量的计算，是制定污染物排放总量控制方案的依据。河流纳污能力一般采用数学模型计算法。</w:t>
      </w:r>
    </w:p>
    <w:p w14:paraId="5D30AB08">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水域纳污能力应采纳各级水行政主管部门或流域管理机构核定的数据，未核定纳污能力的水域，应按《水域纳污能力计算规程》（GB/T25173-2010）的规定和水功能区管理要求核算纳污能力。项目所在区域各级水行政主管部门或流域管理机构未对</w:t>
      </w:r>
      <w:r>
        <w:rPr>
          <w:rFonts w:hint="eastAsia" w:cs="Times New Roman"/>
          <w:color w:val="auto"/>
          <w:sz w:val="24"/>
          <w:highlight w:val="none"/>
          <w:lang w:val="en-US" w:eastAsia="zh-CN"/>
        </w:rPr>
        <w:t>排水渠</w:t>
      </w:r>
      <w:r>
        <w:rPr>
          <w:rFonts w:hint="eastAsia" w:ascii="Times New Roman" w:hAnsi="Times New Roman" w:cs="Times New Roman"/>
          <w:color w:val="auto"/>
          <w:sz w:val="24"/>
          <w:highlight w:val="none"/>
          <w:lang w:val="en-US" w:eastAsia="zh-CN"/>
        </w:rPr>
        <w:t>进行过纳污能力核算。本报告根据现状河道基本情况、水文特征及取排水情况，按照《水域纳污能力计算规程》（GB/T25173-2010）对</w:t>
      </w:r>
      <w:r>
        <w:rPr>
          <w:rFonts w:hint="eastAsia" w:cs="Times New Roman"/>
          <w:color w:val="auto"/>
          <w:sz w:val="24"/>
          <w:highlight w:val="none"/>
          <w:lang w:val="en-US" w:eastAsia="zh-CN"/>
        </w:rPr>
        <w:t>排水渠</w:t>
      </w:r>
      <w:r>
        <w:rPr>
          <w:rFonts w:hint="eastAsia" w:ascii="Times New Roman" w:hAnsi="Times New Roman" w:cs="Times New Roman"/>
          <w:color w:val="auto"/>
          <w:sz w:val="24"/>
          <w:highlight w:val="none"/>
          <w:lang w:val="en-US" w:eastAsia="zh-CN"/>
        </w:rPr>
        <w:t>纳污能力进行核算。</w:t>
      </w:r>
    </w:p>
    <w:p w14:paraId="31E7C1FC">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1、河道基本情况</w:t>
      </w:r>
    </w:p>
    <w:p w14:paraId="178F18DF">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根据检测单位的现场测量</w:t>
      </w:r>
      <w:r>
        <w:rPr>
          <w:rFonts w:hint="eastAsia" w:cs="Times New Roman"/>
          <w:color w:val="auto"/>
          <w:sz w:val="24"/>
          <w:highlight w:val="none"/>
          <w:lang w:val="en-US" w:eastAsia="zh-CN"/>
        </w:rPr>
        <w:t>，排水渠</w:t>
      </w:r>
      <w:r>
        <w:rPr>
          <w:rFonts w:hint="eastAsia" w:ascii="Times New Roman" w:hAnsi="Times New Roman" w:cs="Times New Roman"/>
          <w:color w:val="auto"/>
          <w:sz w:val="24"/>
          <w:highlight w:val="none"/>
          <w:lang w:val="en-US" w:eastAsia="zh-CN"/>
        </w:rPr>
        <w:t>主要功能为</w:t>
      </w:r>
      <w:r>
        <w:rPr>
          <w:rFonts w:hint="eastAsia" w:cs="Times New Roman"/>
          <w:color w:val="auto"/>
          <w:sz w:val="24"/>
          <w:highlight w:val="none"/>
          <w:lang w:val="en-US" w:eastAsia="zh-CN"/>
        </w:rPr>
        <w:t>农业灌溉</w:t>
      </w:r>
      <w:r>
        <w:rPr>
          <w:rFonts w:hint="eastAsia" w:ascii="Times New Roman" w:hAnsi="Times New Roman" w:cs="Times New Roman"/>
          <w:color w:val="auto"/>
          <w:sz w:val="24"/>
          <w:highlight w:val="none"/>
          <w:lang w:val="en-US" w:eastAsia="zh-CN"/>
        </w:rPr>
        <w:t>，平均河宽</w:t>
      </w:r>
      <w:r>
        <w:rPr>
          <w:rFonts w:hint="eastAsia" w:cs="Times New Roman"/>
          <w:color w:val="auto"/>
          <w:sz w:val="24"/>
          <w:highlight w:val="none"/>
          <w:lang w:val="en-US" w:eastAsia="zh-CN"/>
        </w:rPr>
        <w:t>4m</w:t>
      </w:r>
      <w:r>
        <w:rPr>
          <w:rFonts w:hint="eastAsia" w:ascii="Times New Roman" w:hAnsi="Times New Roman" w:cs="Times New Roman"/>
          <w:color w:val="auto"/>
          <w:sz w:val="24"/>
          <w:highlight w:val="none"/>
          <w:lang w:val="en-US" w:eastAsia="zh-CN"/>
        </w:rPr>
        <w:t>，平均水深</w:t>
      </w:r>
      <w:r>
        <w:rPr>
          <w:rFonts w:hint="eastAsia" w:cs="Times New Roman"/>
          <w:color w:val="auto"/>
          <w:sz w:val="24"/>
          <w:highlight w:val="none"/>
          <w:lang w:val="en-US" w:eastAsia="zh-CN"/>
        </w:rPr>
        <w:t>0.5m</w:t>
      </w:r>
      <w:r>
        <w:rPr>
          <w:rFonts w:hint="eastAsia" w:ascii="Times New Roman" w:hAnsi="Times New Roman" w:cs="Times New Roman"/>
          <w:color w:val="auto"/>
          <w:sz w:val="24"/>
          <w:highlight w:val="none"/>
          <w:lang w:val="en-US" w:eastAsia="zh-CN"/>
        </w:rPr>
        <w:t>，平均流速</w:t>
      </w:r>
      <w:r>
        <w:rPr>
          <w:rFonts w:hint="eastAsia" w:cs="Times New Roman"/>
          <w:color w:val="auto"/>
          <w:sz w:val="24"/>
          <w:highlight w:val="none"/>
          <w:lang w:val="en-US" w:eastAsia="zh-CN"/>
        </w:rPr>
        <w:t>0.29</w:t>
      </w:r>
      <w:r>
        <w:rPr>
          <w:rFonts w:hint="eastAsia" w:ascii="Times New Roman" w:hAnsi="Times New Roman" w:cs="Times New Roman"/>
          <w:color w:val="auto"/>
          <w:sz w:val="24"/>
          <w:highlight w:val="none"/>
          <w:lang w:val="en-US" w:eastAsia="zh-CN"/>
        </w:rPr>
        <w:t>m/s，平均流量</w:t>
      </w:r>
      <w:r>
        <w:rPr>
          <w:rFonts w:hint="eastAsia" w:cs="Times New Roman"/>
          <w:color w:val="auto"/>
          <w:sz w:val="24"/>
          <w:highlight w:val="none"/>
          <w:lang w:val="en-US" w:eastAsia="zh-CN"/>
        </w:rPr>
        <w:t>0.58</w:t>
      </w:r>
      <w:r>
        <w:rPr>
          <w:rFonts w:hint="eastAsia" w:ascii="Times New Roman" w:hAnsi="Times New Roman" w:cs="Times New Roman"/>
          <w:color w:val="auto"/>
          <w:sz w:val="24"/>
          <w:highlight w:val="none"/>
          <w:lang w:val="en-US" w:eastAsia="zh-CN"/>
        </w:rPr>
        <w:t>m</w:t>
      </w:r>
      <w:r>
        <w:rPr>
          <w:rFonts w:hint="eastAsia" w:ascii="Times New Roman" w:hAnsi="Times New Roman" w:cs="Times New Roman"/>
          <w:color w:val="auto"/>
          <w:sz w:val="24"/>
          <w:highlight w:val="none"/>
          <w:vertAlign w:val="superscript"/>
          <w:lang w:val="en-US" w:eastAsia="zh-CN"/>
        </w:rPr>
        <w:t>3</w:t>
      </w:r>
      <w:r>
        <w:rPr>
          <w:rFonts w:hint="eastAsia" w:ascii="Times New Roman" w:hAnsi="Times New Roman" w:cs="Times New Roman"/>
          <w:color w:val="auto"/>
          <w:sz w:val="24"/>
          <w:highlight w:val="none"/>
          <w:lang w:val="en-US" w:eastAsia="zh-CN"/>
        </w:rPr>
        <w:t>/s，</w:t>
      </w:r>
      <w:r>
        <w:rPr>
          <w:rFonts w:hint="eastAsia" w:cs="Times New Roman"/>
          <w:color w:val="auto"/>
          <w:sz w:val="24"/>
          <w:highlight w:val="none"/>
          <w:lang w:val="en-US" w:eastAsia="zh-CN"/>
        </w:rPr>
        <w:t>坡降度为0.10‰，</w:t>
      </w:r>
      <w:r>
        <w:rPr>
          <w:rFonts w:hint="eastAsia" w:ascii="Times New Roman" w:hAnsi="Times New Roman" w:cs="Times New Roman"/>
          <w:color w:val="auto"/>
          <w:sz w:val="24"/>
          <w:highlight w:val="none"/>
          <w:lang w:val="en-US" w:eastAsia="zh-CN"/>
        </w:rPr>
        <w:t>属于小型河段。</w:t>
      </w:r>
    </w:p>
    <w:p w14:paraId="266E328F">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2、水质模型</w:t>
      </w:r>
    </w:p>
    <w:p w14:paraId="112F99FF">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根据《水域纳污能力计算规程》（GB/T 25173-2010），当河段为污染物均匀混合的小型河段时，纳污能力计算采用河流零维模型，计算公式如下：</w:t>
      </w:r>
    </w:p>
    <w:p w14:paraId="5CE7BA57">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①河段的污染物浓度计算公式为：</w:t>
      </w:r>
    </w:p>
    <w:p w14:paraId="0DB78F43">
      <w:pPr>
        <w:jc w:val="center"/>
        <w:rPr>
          <w:color w:val="auto"/>
        </w:rPr>
      </w:pPr>
      <w:r>
        <w:rPr>
          <w:rFonts w:hint="eastAsia"/>
          <w:color w:val="auto"/>
          <w:position w:val="-14"/>
        </w:rPr>
        <w:object>
          <v:shape id="_x0000_i1026" o:spt="75" type="#_x0000_t75" style="height:19pt;width:8pt;" o:ole="t" filled="f" o:preferrelative="t" stroked="f" coordsize="21600,21600">
            <v:path/>
            <v:fill on="f" focussize="0,0"/>
            <v:stroke on="f" joinstyle="miter"/>
            <v:imagedata r:id="rId31" o:title=""/>
            <o:lock v:ext="edit" aspectratio="t"/>
            <w10:wrap type="none"/>
            <w10:anchorlock/>
          </v:shape>
          <o:OLEObject Type="Embed" ProgID="Equation.3" ShapeID="_x0000_i1026" DrawAspect="Content" ObjectID="_1468075726" r:id="rId30">
            <o:LockedField>false</o:LockedField>
          </o:OLEObject>
        </w:object>
      </w:r>
      <w:r>
        <w:rPr>
          <w:color w:val="auto"/>
        </w:rPr>
        <w:drawing>
          <wp:inline distT="0" distB="0" distL="114300" distR="114300">
            <wp:extent cx="2606675" cy="370205"/>
            <wp:effectExtent l="0" t="0" r="3175" b="10795"/>
            <wp:docPr id="7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5"/>
                    <pic:cNvPicPr>
                      <a:picLocks noChangeAspect="1"/>
                    </pic:cNvPicPr>
                  </pic:nvPicPr>
                  <pic:blipFill>
                    <a:blip r:embed="rId32"/>
                    <a:stretch>
                      <a:fillRect/>
                    </a:stretch>
                  </pic:blipFill>
                  <pic:spPr>
                    <a:xfrm>
                      <a:off x="0" y="0"/>
                      <a:ext cx="2606675" cy="370205"/>
                    </a:xfrm>
                    <a:prstGeom prst="rect">
                      <a:avLst/>
                    </a:prstGeom>
                    <a:noFill/>
                    <a:ln>
                      <a:noFill/>
                    </a:ln>
                  </pic:spPr>
                </pic:pic>
              </a:graphicData>
            </a:graphic>
          </wp:inline>
        </w:drawing>
      </w:r>
    </w:p>
    <w:p w14:paraId="61CCCED1">
      <w:pPr>
        <w:spacing w:line="360" w:lineRule="auto"/>
        <w:ind w:firstLine="480" w:firstLineChars="200"/>
        <w:rPr>
          <w:rFonts w:hint="eastAsia" w:eastAsia="宋体"/>
          <w:color w:val="auto"/>
          <w:sz w:val="24"/>
          <w:szCs w:val="24"/>
          <w:lang w:eastAsia="zh-CN"/>
        </w:rPr>
      </w:pPr>
      <w:r>
        <w:rPr>
          <w:color w:val="auto"/>
          <w:sz w:val="24"/>
          <w:szCs w:val="24"/>
        </w:rPr>
        <w:t>式中：</w:t>
      </w:r>
      <w:r>
        <w:rPr>
          <w:rFonts w:hint="eastAsia"/>
          <w:color w:val="auto"/>
          <w:sz w:val="24"/>
          <w:szCs w:val="24"/>
        </w:rPr>
        <w:t>C——污染物浓度，mg/L</w:t>
      </w:r>
      <w:r>
        <w:rPr>
          <w:rFonts w:hint="eastAsia"/>
          <w:color w:val="auto"/>
          <w:sz w:val="24"/>
          <w:szCs w:val="24"/>
          <w:lang w:eastAsia="zh-CN"/>
        </w:rPr>
        <w:t>；</w:t>
      </w:r>
    </w:p>
    <w:p w14:paraId="4B91FA87">
      <w:pPr>
        <w:spacing w:line="360" w:lineRule="auto"/>
        <w:ind w:firstLine="1200" w:firstLineChars="500"/>
        <w:rPr>
          <w:rFonts w:hint="eastAsia" w:eastAsia="宋体"/>
          <w:color w:val="auto"/>
          <w:sz w:val="24"/>
          <w:szCs w:val="24"/>
          <w:lang w:eastAsia="zh-CN"/>
        </w:rPr>
      </w:pPr>
      <w:r>
        <w:rPr>
          <w:rFonts w:hint="eastAsia"/>
          <w:color w:val="auto"/>
          <w:sz w:val="24"/>
          <w:szCs w:val="24"/>
        </w:rPr>
        <w:t>C</w:t>
      </w:r>
      <w:r>
        <w:rPr>
          <w:rFonts w:hint="eastAsia"/>
          <w:color w:val="auto"/>
          <w:sz w:val="24"/>
          <w:szCs w:val="24"/>
          <w:vertAlign w:val="subscript"/>
        </w:rPr>
        <w:t>p</w:t>
      </w:r>
      <w:r>
        <w:rPr>
          <w:rFonts w:hint="eastAsia"/>
          <w:color w:val="auto"/>
          <w:sz w:val="24"/>
          <w:szCs w:val="24"/>
        </w:rPr>
        <w:t>——排放的废污水污染物排放浓度，mg/L</w:t>
      </w:r>
      <w:r>
        <w:rPr>
          <w:rFonts w:hint="eastAsia"/>
          <w:color w:val="auto"/>
          <w:sz w:val="24"/>
          <w:szCs w:val="24"/>
          <w:lang w:eastAsia="zh-CN"/>
        </w:rPr>
        <w:t>；</w:t>
      </w:r>
    </w:p>
    <w:p w14:paraId="06430914">
      <w:pPr>
        <w:spacing w:line="360" w:lineRule="auto"/>
        <w:ind w:firstLine="1200" w:firstLineChars="500"/>
        <w:rPr>
          <w:rFonts w:hint="eastAsia"/>
          <w:color w:val="auto"/>
          <w:sz w:val="24"/>
          <w:szCs w:val="24"/>
        </w:rPr>
      </w:pPr>
      <w:r>
        <w:rPr>
          <w:rFonts w:hint="eastAsia"/>
          <w:color w:val="auto"/>
          <w:sz w:val="24"/>
          <w:szCs w:val="24"/>
        </w:rPr>
        <w:t>C</w:t>
      </w:r>
      <w:r>
        <w:rPr>
          <w:rFonts w:hint="eastAsia"/>
          <w:color w:val="auto"/>
          <w:sz w:val="24"/>
          <w:szCs w:val="24"/>
          <w:vertAlign w:val="subscript"/>
          <w:lang w:val="en-US" w:eastAsia="zh-CN"/>
        </w:rPr>
        <w:t>0</w:t>
      </w:r>
      <w:r>
        <w:rPr>
          <w:rFonts w:hint="eastAsia"/>
          <w:color w:val="auto"/>
          <w:sz w:val="24"/>
          <w:szCs w:val="24"/>
        </w:rPr>
        <w:t>——</w:t>
      </w:r>
      <w:r>
        <w:rPr>
          <w:rFonts w:hint="eastAsia"/>
          <w:color w:val="auto"/>
          <w:sz w:val="24"/>
          <w:szCs w:val="24"/>
          <w:lang w:eastAsia="zh-CN"/>
        </w:rPr>
        <w:t>初始断面的污染物浓度</w:t>
      </w:r>
      <w:r>
        <w:rPr>
          <w:rFonts w:hint="eastAsia"/>
          <w:color w:val="auto"/>
          <w:sz w:val="24"/>
          <w:szCs w:val="24"/>
        </w:rPr>
        <w:t>，mg/L</w:t>
      </w:r>
      <w:r>
        <w:rPr>
          <w:rFonts w:hint="eastAsia"/>
          <w:color w:val="auto"/>
          <w:sz w:val="24"/>
          <w:szCs w:val="24"/>
          <w:lang w:eastAsia="zh-CN"/>
        </w:rPr>
        <w:t>；</w:t>
      </w:r>
    </w:p>
    <w:p w14:paraId="16DA96AA">
      <w:pPr>
        <w:spacing w:line="360" w:lineRule="auto"/>
        <w:ind w:firstLine="1200" w:firstLineChars="500"/>
        <w:rPr>
          <w:rFonts w:hint="eastAsia" w:eastAsia="宋体"/>
          <w:color w:val="auto"/>
          <w:sz w:val="24"/>
          <w:szCs w:val="24"/>
          <w:lang w:eastAsia="zh-CN"/>
        </w:rPr>
      </w:pPr>
      <w:r>
        <w:rPr>
          <w:rFonts w:hint="eastAsia"/>
          <w:color w:val="auto"/>
          <w:sz w:val="24"/>
          <w:szCs w:val="24"/>
        </w:rPr>
        <w:t>Q</w:t>
      </w:r>
      <w:r>
        <w:rPr>
          <w:rFonts w:hint="eastAsia"/>
          <w:color w:val="auto"/>
          <w:sz w:val="24"/>
          <w:szCs w:val="24"/>
          <w:vertAlign w:val="subscript"/>
        </w:rPr>
        <w:t>p</w:t>
      </w:r>
      <w:r>
        <w:rPr>
          <w:rFonts w:hint="eastAsia"/>
          <w:color w:val="auto"/>
          <w:sz w:val="24"/>
          <w:szCs w:val="24"/>
        </w:rPr>
        <w:t>——废污水排放流量，m</w:t>
      </w:r>
      <w:r>
        <w:rPr>
          <w:rFonts w:hint="eastAsia"/>
          <w:color w:val="auto"/>
          <w:sz w:val="24"/>
          <w:szCs w:val="24"/>
          <w:vertAlign w:val="superscript"/>
        </w:rPr>
        <w:t>3</w:t>
      </w:r>
      <w:r>
        <w:rPr>
          <w:rFonts w:hint="eastAsia"/>
          <w:color w:val="auto"/>
          <w:sz w:val="24"/>
          <w:szCs w:val="24"/>
        </w:rPr>
        <w:t>/s；</w:t>
      </w:r>
    </w:p>
    <w:p w14:paraId="7F6E6614">
      <w:pPr>
        <w:spacing w:line="360" w:lineRule="auto"/>
        <w:ind w:firstLine="1200" w:firstLineChars="500"/>
        <w:rPr>
          <w:color w:val="auto"/>
          <w:sz w:val="24"/>
          <w:szCs w:val="24"/>
        </w:rPr>
      </w:pPr>
      <w:r>
        <w:rPr>
          <w:rFonts w:hint="eastAsia"/>
          <w:color w:val="auto"/>
          <w:sz w:val="24"/>
          <w:szCs w:val="24"/>
        </w:rPr>
        <w:t>Q——</w:t>
      </w:r>
      <w:r>
        <w:rPr>
          <w:rFonts w:hint="eastAsia"/>
          <w:color w:val="auto"/>
          <w:sz w:val="24"/>
          <w:szCs w:val="24"/>
          <w:lang w:eastAsia="zh-CN"/>
        </w:rPr>
        <w:t>初始断面的入流</w:t>
      </w:r>
      <w:r>
        <w:rPr>
          <w:rFonts w:hint="eastAsia"/>
          <w:color w:val="auto"/>
          <w:sz w:val="24"/>
          <w:szCs w:val="24"/>
        </w:rPr>
        <w:t>流量，m</w:t>
      </w:r>
      <w:r>
        <w:rPr>
          <w:rFonts w:hint="eastAsia"/>
          <w:color w:val="auto"/>
          <w:sz w:val="24"/>
          <w:szCs w:val="24"/>
          <w:vertAlign w:val="superscript"/>
        </w:rPr>
        <w:t>3</w:t>
      </w:r>
      <w:r>
        <w:rPr>
          <w:rFonts w:hint="eastAsia"/>
          <w:color w:val="auto"/>
          <w:sz w:val="24"/>
          <w:szCs w:val="24"/>
        </w:rPr>
        <w:t>/s。</w:t>
      </w:r>
    </w:p>
    <w:p w14:paraId="672741CB">
      <w:pPr>
        <w:spacing w:line="360" w:lineRule="auto"/>
        <w:ind w:firstLine="480" w:firstLineChars="200"/>
        <w:rPr>
          <w:color w:val="auto"/>
          <w:sz w:val="24"/>
          <w:szCs w:val="24"/>
        </w:rPr>
      </w:pPr>
      <w:r>
        <w:rPr>
          <w:rFonts w:hint="eastAsia"/>
          <w:color w:val="auto"/>
          <w:sz w:val="24"/>
          <w:szCs w:val="24"/>
        </w:rPr>
        <w:t>②河段的水域纳污能力计算公式为：</w:t>
      </w:r>
    </w:p>
    <w:p w14:paraId="2CED1C4D">
      <w:pPr>
        <w:pStyle w:val="37"/>
        <w:jc w:val="center"/>
        <w:rPr>
          <w:color w:val="auto"/>
          <w:sz w:val="24"/>
          <w:szCs w:val="24"/>
        </w:rPr>
      </w:pPr>
      <w:r>
        <w:rPr>
          <w:color w:val="auto"/>
          <w:sz w:val="24"/>
          <w:szCs w:val="24"/>
        </w:rPr>
        <w:drawing>
          <wp:inline distT="0" distB="0" distL="114300" distR="114300">
            <wp:extent cx="2358390" cy="363855"/>
            <wp:effectExtent l="0" t="0" r="3810" b="17145"/>
            <wp:docPr id="7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6"/>
                    <pic:cNvPicPr>
                      <a:picLocks noChangeAspect="1"/>
                    </pic:cNvPicPr>
                  </pic:nvPicPr>
                  <pic:blipFill>
                    <a:blip r:embed="rId33"/>
                    <a:stretch>
                      <a:fillRect/>
                    </a:stretch>
                  </pic:blipFill>
                  <pic:spPr>
                    <a:xfrm>
                      <a:off x="0" y="0"/>
                      <a:ext cx="2358390" cy="363855"/>
                    </a:xfrm>
                    <a:prstGeom prst="rect">
                      <a:avLst/>
                    </a:prstGeom>
                    <a:noFill/>
                    <a:ln>
                      <a:noFill/>
                    </a:ln>
                  </pic:spPr>
                </pic:pic>
              </a:graphicData>
            </a:graphic>
          </wp:inline>
        </w:drawing>
      </w:r>
    </w:p>
    <w:p w14:paraId="001AB199">
      <w:pPr>
        <w:spacing w:line="360" w:lineRule="auto"/>
        <w:ind w:firstLine="480" w:firstLineChars="200"/>
        <w:rPr>
          <w:color w:val="auto"/>
          <w:sz w:val="24"/>
          <w:szCs w:val="24"/>
        </w:rPr>
      </w:pPr>
      <w:r>
        <w:rPr>
          <w:rFonts w:hint="eastAsia"/>
          <w:color w:val="auto"/>
          <w:sz w:val="24"/>
          <w:szCs w:val="24"/>
        </w:rPr>
        <w:t>式中：M——河段的纳污能力，g/s；</w:t>
      </w:r>
    </w:p>
    <w:p w14:paraId="62DACE06">
      <w:pPr>
        <w:spacing w:line="360" w:lineRule="auto"/>
        <w:ind w:firstLine="1200" w:firstLineChars="500"/>
        <w:rPr>
          <w:color w:val="auto"/>
          <w:sz w:val="24"/>
          <w:szCs w:val="24"/>
        </w:rPr>
      </w:pPr>
      <w:r>
        <w:rPr>
          <w:rFonts w:hint="eastAsia"/>
          <w:color w:val="auto"/>
          <w:sz w:val="24"/>
          <w:szCs w:val="24"/>
        </w:rPr>
        <w:t>C</w:t>
      </w:r>
      <w:r>
        <w:rPr>
          <w:rFonts w:hint="eastAsia"/>
          <w:color w:val="auto"/>
          <w:sz w:val="24"/>
          <w:szCs w:val="24"/>
          <w:vertAlign w:val="subscript"/>
        </w:rPr>
        <w:t>s</w:t>
      </w:r>
      <w:r>
        <w:rPr>
          <w:rFonts w:hint="eastAsia"/>
          <w:color w:val="auto"/>
          <w:sz w:val="24"/>
          <w:szCs w:val="24"/>
        </w:rPr>
        <w:t>——水质目标浓度值，mg/L；</w:t>
      </w:r>
    </w:p>
    <w:p w14:paraId="686FD8F1">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①设计流速u</w:t>
      </w:r>
    </w:p>
    <w:p w14:paraId="144B8AB3">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设计流速是指对应于设计流量的过水断面的平均流速，用设计流量除以过水断面面积计算。设计流量是指纳污能力计算指定频率的河道月平均流量，根据《水域纳污能力计算规程》（GB/T25173-1010）规定，河流设计流量一般采用90%保证率最枯月平均流量或近10年最枯月平均流量作为设计流量。</w:t>
      </w:r>
      <w:r>
        <w:rPr>
          <w:rFonts w:hint="eastAsia" w:cs="Times New Roman"/>
          <w:color w:val="auto"/>
          <w:sz w:val="24"/>
          <w:highlight w:val="none"/>
          <w:lang w:val="en-US" w:eastAsia="zh-CN"/>
        </w:rPr>
        <w:t>排水渠</w:t>
      </w:r>
      <w:r>
        <w:rPr>
          <w:rFonts w:hint="eastAsia" w:ascii="Times New Roman" w:hAnsi="Times New Roman" w:cs="Times New Roman"/>
          <w:color w:val="auto"/>
          <w:sz w:val="24"/>
          <w:highlight w:val="none"/>
          <w:lang w:val="en-US" w:eastAsia="zh-CN"/>
        </w:rPr>
        <w:t>没有水文站，在对</w:t>
      </w:r>
      <w:r>
        <w:rPr>
          <w:rFonts w:hint="eastAsia" w:cs="Times New Roman"/>
          <w:color w:val="auto"/>
          <w:sz w:val="24"/>
          <w:highlight w:val="none"/>
          <w:lang w:val="en-US" w:eastAsia="zh-CN"/>
        </w:rPr>
        <w:t>排水渠</w:t>
      </w:r>
      <w:r>
        <w:rPr>
          <w:rFonts w:hint="eastAsia" w:ascii="Times New Roman" w:hAnsi="Times New Roman" w:cs="Times New Roman"/>
          <w:color w:val="auto"/>
          <w:sz w:val="24"/>
          <w:highlight w:val="none"/>
          <w:lang w:val="en-US" w:eastAsia="zh-CN"/>
        </w:rPr>
        <w:t>流速进行了监测，本报告采用最小监测流速0.</w:t>
      </w:r>
      <w:r>
        <w:rPr>
          <w:rFonts w:hint="eastAsia" w:cs="Times New Roman"/>
          <w:color w:val="auto"/>
          <w:sz w:val="24"/>
          <w:highlight w:val="none"/>
          <w:lang w:val="en-US" w:eastAsia="zh-CN"/>
        </w:rPr>
        <w:t>261</w:t>
      </w:r>
      <w:r>
        <w:rPr>
          <w:rFonts w:hint="eastAsia" w:ascii="Times New Roman" w:hAnsi="Times New Roman" w:cs="Times New Roman"/>
          <w:color w:val="auto"/>
          <w:sz w:val="24"/>
          <w:highlight w:val="none"/>
          <w:lang w:val="en-US" w:eastAsia="zh-CN"/>
        </w:rPr>
        <w:t>m/s为设计流速。</w:t>
      </w:r>
    </w:p>
    <w:p w14:paraId="3114823C">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②污染物综合衰减系数K</w:t>
      </w:r>
    </w:p>
    <w:p w14:paraId="15A69DC7">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污染物综合降解系数K是反映污染物沿程变化的综合系数，它体现污染物自身的变化，也体现了环境对污染物的影响。它是计算水体纳污能力的一项重要参数，对于不同的污染物、不同的环境条件，其值是不同的。常用经验公式法或自然条件下的实测资料率定，率定方法常用二断面法和多断面法。近年来，华南环境科学研究所、中山大学等多个科研单位对珠江三角洲网河区各类水体的COD</w:t>
      </w:r>
      <w:r>
        <w:rPr>
          <w:rFonts w:hint="eastAsia" w:ascii="Times New Roman" w:hAnsi="Times New Roman" w:cs="Times New Roman"/>
          <w:color w:val="auto"/>
          <w:sz w:val="24"/>
          <w:highlight w:val="none"/>
          <w:vertAlign w:val="subscript"/>
          <w:lang w:val="en-US" w:eastAsia="zh-CN"/>
        </w:rPr>
        <w:t>Cr</w:t>
      </w:r>
      <w:r>
        <w:rPr>
          <w:rFonts w:hint="eastAsia" w:ascii="Times New Roman" w:hAnsi="Times New Roman" w:cs="Times New Roman"/>
          <w:color w:val="auto"/>
          <w:sz w:val="24"/>
          <w:highlight w:val="none"/>
          <w:lang w:val="en-US" w:eastAsia="zh-CN"/>
        </w:rPr>
        <w:t>、NH</w:t>
      </w:r>
      <w:r>
        <w:rPr>
          <w:rFonts w:hint="eastAsia" w:ascii="Times New Roman" w:hAnsi="Times New Roman" w:cs="Times New Roman"/>
          <w:color w:val="auto"/>
          <w:sz w:val="24"/>
          <w:highlight w:val="none"/>
          <w:vertAlign w:val="subscript"/>
          <w:lang w:val="en-US" w:eastAsia="zh-CN"/>
        </w:rPr>
        <w:t>3</w:t>
      </w:r>
      <w:r>
        <w:rPr>
          <w:rFonts w:hint="eastAsia" w:ascii="Times New Roman" w:hAnsi="Times New Roman" w:cs="Times New Roman"/>
          <w:color w:val="auto"/>
          <w:sz w:val="24"/>
          <w:highlight w:val="none"/>
          <w:lang w:val="en-US" w:eastAsia="zh-CN"/>
        </w:rPr>
        <w:t>-N的衰减规律作了相关研究，本报告污染物综合降解系数结合区域其他河流实践经验及</w:t>
      </w:r>
      <w:r>
        <w:rPr>
          <w:rFonts w:hint="eastAsia" w:cs="Times New Roman"/>
          <w:color w:val="auto"/>
          <w:sz w:val="24"/>
          <w:highlight w:val="none"/>
          <w:lang w:val="en-US" w:eastAsia="zh-CN"/>
        </w:rPr>
        <w:t>排水渠</w:t>
      </w:r>
      <w:r>
        <w:rPr>
          <w:rFonts w:hint="eastAsia" w:ascii="Times New Roman" w:hAnsi="Times New Roman" w:cs="Times New Roman"/>
          <w:color w:val="auto"/>
          <w:sz w:val="24"/>
          <w:highlight w:val="none"/>
          <w:lang w:val="en-US" w:eastAsia="zh-CN"/>
        </w:rPr>
        <w:t>水质、水量监测资料综合分析确定。</w:t>
      </w:r>
    </w:p>
    <w:p w14:paraId="4106F9E1">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水质预测模型参数取值见表</w:t>
      </w:r>
    </w:p>
    <w:p w14:paraId="14E979E6">
      <w:pPr>
        <w:spacing w:line="240" w:lineRule="auto"/>
        <w:ind w:firstLine="422" w:firstLineChars="200"/>
        <w:jc w:val="center"/>
        <w:rPr>
          <w:rFonts w:hint="eastAsia" w:ascii="Times New Roman" w:hAnsi="Times New Roman" w:eastAsia="宋体" w:cs="Times New Roman"/>
          <w:b/>
          <w:bCs/>
          <w:color w:val="auto"/>
          <w:sz w:val="21"/>
          <w:szCs w:val="18"/>
          <w:highlight w:val="none"/>
          <w:lang w:val="en-US" w:eastAsia="zh-CN"/>
        </w:rPr>
      </w:pPr>
      <w:r>
        <w:rPr>
          <w:rFonts w:hint="eastAsia" w:ascii="Times New Roman" w:hAnsi="Times New Roman" w:eastAsia="宋体" w:cs="Times New Roman"/>
          <w:b/>
          <w:bCs/>
          <w:color w:val="auto"/>
          <w:sz w:val="21"/>
          <w:szCs w:val="18"/>
          <w:highlight w:val="none"/>
          <w:lang w:val="en-US" w:eastAsia="zh-CN"/>
        </w:rPr>
        <w:t>表4.2-1</w:t>
      </w:r>
      <w:r>
        <w:rPr>
          <w:rFonts w:hint="eastAsia" w:cs="Times New Roman"/>
          <w:b/>
          <w:bCs/>
          <w:color w:val="auto"/>
          <w:sz w:val="21"/>
          <w:szCs w:val="18"/>
          <w:highlight w:val="none"/>
          <w:lang w:val="en-US" w:eastAsia="zh-CN"/>
        </w:rPr>
        <w:t>排水渠</w:t>
      </w:r>
      <w:r>
        <w:rPr>
          <w:rFonts w:hint="eastAsia" w:ascii="Times New Roman" w:hAnsi="Times New Roman" w:eastAsia="宋体" w:cs="Times New Roman"/>
          <w:b/>
          <w:bCs/>
          <w:color w:val="auto"/>
          <w:sz w:val="21"/>
          <w:szCs w:val="18"/>
          <w:highlight w:val="none"/>
          <w:lang w:val="en-US" w:eastAsia="zh-CN"/>
        </w:rPr>
        <w:t>水质预测模型参数取值一览表</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2"/>
        <w:gridCol w:w="1952"/>
        <w:gridCol w:w="1276"/>
        <w:gridCol w:w="1184"/>
        <w:gridCol w:w="3402"/>
      </w:tblGrid>
      <w:tr w14:paraId="1EC93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99" w:type="pct"/>
            <w:vAlign w:val="center"/>
          </w:tcPr>
          <w:p w14:paraId="2B4BCF3A">
            <w:pPr>
              <w:spacing w:line="240" w:lineRule="auto"/>
              <w:jc w:val="center"/>
              <w:rPr>
                <w:b/>
                <w:bCs/>
                <w:color w:val="auto"/>
                <w:sz w:val="21"/>
              </w:rPr>
            </w:pPr>
            <w:r>
              <w:rPr>
                <w:rFonts w:hint="eastAsia"/>
                <w:b/>
                <w:bCs/>
                <w:color w:val="auto"/>
                <w:sz w:val="21"/>
              </w:rPr>
              <w:t>参数类型</w:t>
            </w:r>
          </w:p>
        </w:tc>
        <w:tc>
          <w:tcPr>
            <w:tcW w:w="999" w:type="pct"/>
            <w:vAlign w:val="center"/>
          </w:tcPr>
          <w:p w14:paraId="5E02EFA0">
            <w:pPr>
              <w:spacing w:line="240" w:lineRule="auto"/>
              <w:jc w:val="center"/>
              <w:rPr>
                <w:b/>
                <w:bCs/>
                <w:color w:val="auto"/>
                <w:sz w:val="21"/>
              </w:rPr>
            </w:pPr>
            <w:r>
              <w:rPr>
                <w:rFonts w:hint="eastAsia"/>
                <w:b/>
                <w:bCs/>
                <w:color w:val="auto"/>
                <w:sz w:val="21"/>
              </w:rPr>
              <w:t>变量</w:t>
            </w:r>
          </w:p>
        </w:tc>
        <w:tc>
          <w:tcPr>
            <w:tcW w:w="653" w:type="pct"/>
            <w:vAlign w:val="center"/>
          </w:tcPr>
          <w:p w14:paraId="69DE35BE">
            <w:pPr>
              <w:spacing w:line="240" w:lineRule="auto"/>
              <w:jc w:val="center"/>
              <w:rPr>
                <w:b/>
                <w:bCs/>
                <w:color w:val="auto"/>
                <w:sz w:val="21"/>
              </w:rPr>
            </w:pPr>
            <w:r>
              <w:rPr>
                <w:rFonts w:hint="eastAsia"/>
                <w:b/>
                <w:bCs/>
                <w:color w:val="auto"/>
                <w:sz w:val="21"/>
              </w:rPr>
              <w:t>取值</w:t>
            </w:r>
          </w:p>
        </w:tc>
        <w:tc>
          <w:tcPr>
            <w:tcW w:w="606" w:type="pct"/>
            <w:vAlign w:val="center"/>
          </w:tcPr>
          <w:p w14:paraId="73BD687D">
            <w:pPr>
              <w:spacing w:line="240" w:lineRule="auto"/>
              <w:jc w:val="center"/>
              <w:rPr>
                <w:b/>
                <w:bCs/>
                <w:color w:val="auto"/>
                <w:sz w:val="21"/>
              </w:rPr>
            </w:pPr>
            <w:r>
              <w:rPr>
                <w:rFonts w:hint="eastAsia"/>
                <w:b/>
                <w:bCs/>
                <w:color w:val="auto"/>
                <w:sz w:val="21"/>
              </w:rPr>
              <w:t>单位</w:t>
            </w:r>
          </w:p>
        </w:tc>
        <w:tc>
          <w:tcPr>
            <w:tcW w:w="1741" w:type="pct"/>
            <w:vAlign w:val="center"/>
          </w:tcPr>
          <w:p w14:paraId="02DF49AD">
            <w:pPr>
              <w:spacing w:line="240" w:lineRule="auto"/>
              <w:jc w:val="center"/>
              <w:rPr>
                <w:b/>
                <w:bCs/>
                <w:color w:val="auto"/>
                <w:sz w:val="21"/>
              </w:rPr>
            </w:pPr>
            <w:r>
              <w:rPr>
                <w:rFonts w:hint="eastAsia"/>
                <w:b/>
                <w:bCs/>
                <w:color w:val="auto"/>
                <w:sz w:val="21"/>
              </w:rPr>
              <w:t>变量说明</w:t>
            </w:r>
          </w:p>
        </w:tc>
      </w:tr>
      <w:tr w14:paraId="35FB9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99" w:type="pct"/>
            <w:vAlign w:val="center"/>
          </w:tcPr>
          <w:p w14:paraId="45D44E24">
            <w:pPr>
              <w:spacing w:line="240" w:lineRule="auto"/>
              <w:jc w:val="center"/>
              <w:rPr>
                <w:color w:val="auto"/>
                <w:sz w:val="21"/>
              </w:rPr>
            </w:pPr>
            <w:r>
              <w:rPr>
                <w:rFonts w:hint="eastAsia"/>
                <w:color w:val="auto"/>
                <w:sz w:val="21"/>
                <w:lang w:val="en-US" w:eastAsia="zh-CN"/>
              </w:rPr>
              <w:t>排水渠</w:t>
            </w:r>
            <w:r>
              <w:rPr>
                <w:rFonts w:hint="eastAsia"/>
                <w:color w:val="auto"/>
                <w:sz w:val="21"/>
              </w:rPr>
              <w:t>特征参数</w:t>
            </w:r>
          </w:p>
        </w:tc>
        <w:tc>
          <w:tcPr>
            <w:tcW w:w="999" w:type="pct"/>
            <w:vAlign w:val="center"/>
          </w:tcPr>
          <w:p w14:paraId="6CDB61AD">
            <w:pPr>
              <w:spacing w:line="240" w:lineRule="auto"/>
              <w:jc w:val="center"/>
              <w:rPr>
                <w:rFonts w:ascii="Times New Roman" w:hAnsi="Times New Roman" w:eastAsia="宋体" w:cs="Times New Roman"/>
                <w:color w:val="auto"/>
                <w:kern w:val="2"/>
                <w:sz w:val="21"/>
                <w:szCs w:val="21"/>
                <w:highlight w:val="none"/>
                <w:vertAlign w:val="subscript"/>
                <w:lang w:val="en-US" w:eastAsia="zh-CN" w:bidi="ar-SA"/>
              </w:rPr>
            </w:pPr>
            <w:r>
              <w:rPr>
                <w:rFonts w:hint="eastAsia"/>
                <w:color w:val="auto"/>
                <w:sz w:val="21"/>
                <w:highlight w:val="none"/>
              </w:rPr>
              <w:t>Q</w:t>
            </w:r>
          </w:p>
        </w:tc>
        <w:tc>
          <w:tcPr>
            <w:tcW w:w="653" w:type="pct"/>
            <w:vAlign w:val="center"/>
          </w:tcPr>
          <w:p w14:paraId="538EA095">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highlight w:val="none"/>
                <w:lang w:val="en-US" w:eastAsia="zh-CN"/>
              </w:rPr>
              <w:t>0.58</w:t>
            </w:r>
          </w:p>
        </w:tc>
        <w:tc>
          <w:tcPr>
            <w:tcW w:w="606" w:type="pct"/>
            <w:vAlign w:val="center"/>
          </w:tcPr>
          <w:p w14:paraId="3898FE1A">
            <w:pPr>
              <w:spacing w:line="240" w:lineRule="auto"/>
              <w:jc w:val="center"/>
              <w:rPr>
                <w:rFonts w:ascii="Times New Roman" w:hAnsi="Times New Roman" w:eastAsia="宋体" w:cs="Times New Roman"/>
                <w:color w:val="auto"/>
                <w:kern w:val="2"/>
                <w:sz w:val="21"/>
                <w:szCs w:val="21"/>
                <w:highlight w:val="none"/>
                <w:lang w:val="en-US" w:eastAsia="zh-CN" w:bidi="ar-SA"/>
              </w:rPr>
            </w:pPr>
            <w:r>
              <w:rPr>
                <w:rFonts w:hint="eastAsia"/>
                <w:color w:val="auto"/>
                <w:sz w:val="21"/>
                <w:highlight w:val="none"/>
              </w:rPr>
              <w:t>m</w:t>
            </w:r>
            <w:r>
              <w:rPr>
                <w:rFonts w:hint="eastAsia"/>
                <w:color w:val="auto"/>
                <w:sz w:val="21"/>
                <w:highlight w:val="none"/>
                <w:vertAlign w:val="superscript"/>
              </w:rPr>
              <w:t>3</w:t>
            </w:r>
            <w:r>
              <w:rPr>
                <w:rFonts w:hint="eastAsia"/>
                <w:color w:val="auto"/>
                <w:sz w:val="21"/>
                <w:highlight w:val="none"/>
              </w:rPr>
              <w:t>/s</w:t>
            </w:r>
          </w:p>
        </w:tc>
        <w:tc>
          <w:tcPr>
            <w:tcW w:w="1741" w:type="pct"/>
            <w:vAlign w:val="center"/>
          </w:tcPr>
          <w:p w14:paraId="086EC176">
            <w:pPr>
              <w:spacing w:line="240" w:lineRule="auto"/>
              <w:jc w:val="center"/>
              <w:rPr>
                <w:rFonts w:ascii="Times New Roman" w:hAnsi="Times New Roman" w:eastAsia="宋体" w:cs="Times New Roman"/>
                <w:color w:val="auto"/>
                <w:kern w:val="2"/>
                <w:sz w:val="21"/>
                <w:szCs w:val="21"/>
                <w:highlight w:val="none"/>
                <w:lang w:val="en-US" w:eastAsia="zh-CN" w:bidi="ar-SA"/>
              </w:rPr>
            </w:pPr>
            <w:r>
              <w:rPr>
                <w:rFonts w:hint="eastAsia"/>
                <w:color w:val="auto"/>
                <w:sz w:val="21"/>
                <w:highlight w:val="none"/>
              </w:rPr>
              <w:t>河流流量</w:t>
            </w:r>
          </w:p>
        </w:tc>
      </w:tr>
      <w:tr w14:paraId="3447B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999" w:type="pct"/>
            <w:vAlign w:val="center"/>
          </w:tcPr>
          <w:p w14:paraId="65863827">
            <w:pPr>
              <w:spacing w:line="240" w:lineRule="auto"/>
              <w:jc w:val="center"/>
              <w:rPr>
                <w:color w:val="auto"/>
                <w:sz w:val="21"/>
              </w:rPr>
            </w:pPr>
            <w:r>
              <w:rPr>
                <w:rFonts w:hint="eastAsia"/>
                <w:color w:val="auto"/>
                <w:sz w:val="21"/>
              </w:rPr>
              <w:t>污水排放量</w:t>
            </w:r>
          </w:p>
        </w:tc>
        <w:tc>
          <w:tcPr>
            <w:tcW w:w="999" w:type="pct"/>
            <w:vAlign w:val="center"/>
          </w:tcPr>
          <w:p w14:paraId="7247A67D">
            <w:pPr>
              <w:spacing w:line="240" w:lineRule="auto"/>
              <w:jc w:val="center"/>
              <w:rPr>
                <w:color w:val="auto"/>
                <w:sz w:val="21"/>
                <w:highlight w:val="none"/>
                <w:vertAlign w:val="subscript"/>
              </w:rPr>
            </w:pPr>
            <w:r>
              <w:rPr>
                <w:rFonts w:hint="eastAsia"/>
                <w:color w:val="auto"/>
                <w:sz w:val="21"/>
                <w:highlight w:val="none"/>
              </w:rPr>
              <w:t>Q</w:t>
            </w:r>
            <w:r>
              <w:rPr>
                <w:rFonts w:hint="eastAsia"/>
                <w:color w:val="auto"/>
                <w:sz w:val="21"/>
                <w:highlight w:val="none"/>
                <w:vertAlign w:val="subscript"/>
              </w:rPr>
              <w:t>p</w:t>
            </w:r>
          </w:p>
        </w:tc>
        <w:tc>
          <w:tcPr>
            <w:tcW w:w="653" w:type="pct"/>
            <w:vAlign w:val="center"/>
          </w:tcPr>
          <w:p w14:paraId="3ADE5BF4">
            <w:pPr>
              <w:spacing w:line="240" w:lineRule="auto"/>
              <w:jc w:val="center"/>
              <w:rPr>
                <w:rFonts w:hint="default" w:eastAsia="宋体"/>
                <w:color w:val="auto"/>
                <w:sz w:val="21"/>
                <w:highlight w:val="none"/>
                <w:lang w:val="en-US" w:eastAsia="zh-CN"/>
              </w:rPr>
            </w:pPr>
            <w:r>
              <w:rPr>
                <w:rFonts w:hint="eastAsia"/>
                <w:color w:val="auto"/>
                <w:sz w:val="21"/>
                <w:highlight w:val="none"/>
                <w:lang w:val="en-US" w:eastAsia="zh-CN"/>
              </w:rPr>
              <w:t>0.0347</w:t>
            </w:r>
          </w:p>
        </w:tc>
        <w:tc>
          <w:tcPr>
            <w:tcW w:w="606" w:type="pct"/>
            <w:vAlign w:val="center"/>
          </w:tcPr>
          <w:p w14:paraId="0287AF9E">
            <w:pPr>
              <w:spacing w:line="240" w:lineRule="auto"/>
              <w:jc w:val="center"/>
              <w:rPr>
                <w:rFonts w:hint="eastAsia" w:eastAsia="宋体"/>
                <w:color w:val="auto"/>
                <w:sz w:val="21"/>
                <w:highlight w:val="none"/>
                <w:lang w:val="en-US" w:eastAsia="zh-CN"/>
              </w:rPr>
            </w:pPr>
            <w:r>
              <w:rPr>
                <w:rFonts w:hint="eastAsia"/>
                <w:color w:val="auto"/>
                <w:sz w:val="21"/>
                <w:highlight w:val="none"/>
              </w:rPr>
              <w:t>m</w:t>
            </w:r>
            <w:r>
              <w:rPr>
                <w:rFonts w:hint="eastAsia"/>
                <w:color w:val="auto"/>
                <w:sz w:val="21"/>
                <w:highlight w:val="none"/>
                <w:vertAlign w:val="superscript"/>
              </w:rPr>
              <w:t>3</w:t>
            </w:r>
            <w:r>
              <w:rPr>
                <w:rFonts w:hint="eastAsia"/>
                <w:color w:val="auto"/>
                <w:sz w:val="21"/>
                <w:highlight w:val="none"/>
              </w:rPr>
              <w:t>/</w:t>
            </w:r>
            <w:r>
              <w:rPr>
                <w:rFonts w:hint="eastAsia"/>
                <w:color w:val="auto"/>
                <w:sz w:val="21"/>
                <w:highlight w:val="none"/>
                <w:lang w:val="en-US" w:eastAsia="zh-CN"/>
              </w:rPr>
              <w:t>s</w:t>
            </w:r>
          </w:p>
        </w:tc>
        <w:tc>
          <w:tcPr>
            <w:tcW w:w="1741" w:type="pct"/>
            <w:vAlign w:val="center"/>
          </w:tcPr>
          <w:p w14:paraId="0AB2E899">
            <w:pPr>
              <w:spacing w:line="240" w:lineRule="auto"/>
              <w:jc w:val="center"/>
              <w:rPr>
                <w:color w:val="auto"/>
                <w:sz w:val="21"/>
                <w:highlight w:val="none"/>
              </w:rPr>
            </w:pPr>
            <w:r>
              <w:rPr>
                <w:rFonts w:hint="eastAsia"/>
                <w:color w:val="auto"/>
                <w:sz w:val="21"/>
                <w:highlight w:val="none"/>
              </w:rPr>
              <w:t>污水排放量</w:t>
            </w:r>
          </w:p>
        </w:tc>
      </w:tr>
      <w:tr w14:paraId="42BF0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99" w:type="pct"/>
            <w:vMerge w:val="restart"/>
            <w:vAlign w:val="center"/>
          </w:tcPr>
          <w:p w14:paraId="44EEC343">
            <w:pPr>
              <w:spacing w:line="240" w:lineRule="auto"/>
              <w:jc w:val="center"/>
              <w:rPr>
                <w:color w:val="auto"/>
                <w:sz w:val="21"/>
                <w:vertAlign w:val="subscript"/>
              </w:rPr>
            </w:pPr>
            <w:r>
              <w:rPr>
                <w:rFonts w:hint="eastAsia"/>
                <w:color w:val="auto"/>
                <w:sz w:val="21"/>
              </w:rPr>
              <w:t>COD</w:t>
            </w:r>
            <w:r>
              <w:rPr>
                <w:rFonts w:hint="eastAsia"/>
                <w:color w:val="auto"/>
                <w:sz w:val="21"/>
                <w:vertAlign w:val="subscript"/>
              </w:rPr>
              <w:t>cr</w:t>
            </w:r>
          </w:p>
        </w:tc>
        <w:tc>
          <w:tcPr>
            <w:tcW w:w="999" w:type="pct"/>
            <w:vAlign w:val="center"/>
          </w:tcPr>
          <w:p w14:paraId="1347C355">
            <w:pPr>
              <w:spacing w:line="240" w:lineRule="auto"/>
              <w:jc w:val="center"/>
              <w:rPr>
                <w:rFonts w:ascii="Times New Roman" w:hAnsi="Times New Roman" w:eastAsia="宋体" w:cs="Times New Roman"/>
                <w:color w:val="auto"/>
                <w:kern w:val="2"/>
                <w:sz w:val="21"/>
                <w:szCs w:val="21"/>
                <w:highlight w:val="none"/>
                <w:vertAlign w:val="subscript"/>
                <w:lang w:val="en-US" w:eastAsia="zh-CN" w:bidi="ar-SA"/>
              </w:rPr>
            </w:pPr>
            <w:r>
              <w:rPr>
                <w:rFonts w:hint="eastAsia"/>
                <w:color w:val="auto"/>
                <w:sz w:val="21"/>
                <w:highlight w:val="none"/>
              </w:rPr>
              <w:t>C</w:t>
            </w:r>
            <w:r>
              <w:rPr>
                <w:rFonts w:hint="eastAsia"/>
                <w:color w:val="auto"/>
                <w:sz w:val="21"/>
                <w:highlight w:val="none"/>
                <w:vertAlign w:val="subscript"/>
              </w:rPr>
              <w:t>s</w:t>
            </w:r>
          </w:p>
        </w:tc>
        <w:tc>
          <w:tcPr>
            <w:tcW w:w="653" w:type="pct"/>
            <w:vAlign w:val="center"/>
          </w:tcPr>
          <w:p w14:paraId="5E51B936">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highlight w:val="none"/>
                <w:lang w:val="en-US" w:eastAsia="zh-CN"/>
              </w:rPr>
              <w:t>20</w:t>
            </w:r>
          </w:p>
        </w:tc>
        <w:tc>
          <w:tcPr>
            <w:tcW w:w="606" w:type="pct"/>
            <w:vAlign w:val="center"/>
          </w:tcPr>
          <w:p w14:paraId="5BF33EED">
            <w:pPr>
              <w:spacing w:line="240" w:lineRule="auto"/>
              <w:jc w:val="center"/>
              <w:rPr>
                <w:rFonts w:ascii="Times New Roman" w:hAnsi="Times New Roman" w:eastAsia="宋体" w:cs="Times New Roman"/>
                <w:color w:val="auto"/>
                <w:kern w:val="2"/>
                <w:sz w:val="21"/>
                <w:szCs w:val="21"/>
                <w:highlight w:val="none"/>
                <w:lang w:val="en-US" w:eastAsia="zh-CN" w:bidi="ar-SA"/>
              </w:rPr>
            </w:pPr>
            <w:r>
              <w:rPr>
                <w:rFonts w:hint="eastAsia"/>
                <w:color w:val="auto"/>
                <w:sz w:val="21"/>
                <w:highlight w:val="none"/>
              </w:rPr>
              <w:t>mg/L</w:t>
            </w:r>
          </w:p>
        </w:tc>
        <w:tc>
          <w:tcPr>
            <w:tcW w:w="1741" w:type="pct"/>
            <w:vAlign w:val="center"/>
          </w:tcPr>
          <w:p w14:paraId="3D1CD22D">
            <w:pPr>
              <w:spacing w:line="240" w:lineRule="auto"/>
              <w:jc w:val="center"/>
              <w:rPr>
                <w:rFonts w:ascii="Times New Roman" w:hAnsi="Times New Roman" w:eastAsia="宋体" w:cs="Times New Roman"/>
                <w:color w:val="auto"/>
                <w:kern w:val="2"/>
                <w:sz w:val="21"/>
                <w:szCs w:val="21"/>
                <w:highlight w:val="none"/>
                <w:lang w:val="en-US" w:eastAsia="zh-CN" w:bidi="ar-SA"/>
              </w:rPr>
            </w:pPr>
            <w:r>
              <w:rPr>
                <w:rFonts w:hint="eastAsia"/>
                <w:color w:val="auto"/>
                <w:sz w:val="21"/>
                <w:highlight w:val="none"/>
              </w:rPr>
              <w:t>水质目标浓度</w:t>
            </w:r>
          </w:p>
        </w:tc>
      </w:tr>
      <w:tr w14:paraId="64E2F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99" w:type="pct"/>
            <w:vMerge w:val="continue"/>
            <w:vAlign w:val="center"/>
          </w:tcPr>
          <w:p w14:paraId="61FA132D">
            <w:pPr>
              <w:spacing w:line="240" w:lineRule="auto"/>
              <w:jc w:val="center"/>
              <w:rPr>
                <w:color w:val="auto"/>
                <w:sz w:val="21"/>
              </w:rPr>
            </w:pPr>
          </w:p>
        </w:tc>
        <w:tc>
          <w:tcPr>
            <w:tcW w:w="999" w:type="pct"/>
            <w:vAlign w:val="center"/>
          </w:tcPr>
          <w:p w14:paraId="254ABA98">
            <w:pPr>
              <w:spacing w:line="240" w:lineRule="auto"/>
              <w:jc w:val="center"/>
              <w:rPr>
                <w:rFonts w:hint="eastAsia" w:ascii="Times New Roman" w:hAnsi="Times New Roman" w:eastAsia="宋体" w:cs="Times New Roman"/>
                <w:color w:val="auto"/>
                <w:kern w:val="2"/>
                <w:sz w:val="21"/>
                <w:szCs w:val="21"/>
                <w:highlight w:val="none"/>
                <w:vertAlign w:val="subscript"/>
                <w:lang w:val="en-US" w:eastAsia="zh-CN" w:bidi="ar-SA"/>
              </w:rPr>
            </w:pPr>
            <w:r>
              <w:rPr>
                <w:rFonts w:hint="eastAsia"/>
                <w:color w:val="auto"/>
                <w:sz w:val="21"/>
                <w:highlight w:val="none"/>
              </w:rPr>
              <w:t>C</w:t>
            </w:r>
            <w:r>
              <w:rPr>
                <w:rFonts w:hint="eastAsia"/>
                <w:color w:val="auto"/>
                <w:sz w:val="21"/>
                <w:highlight w:val="none"/>
                <w:vertAlign w:val="subscript"/>
                <w:lang w:val="en-US" w:eastAsia="zh-CN"/>
              </w:rPr>
              <w:t>0</w:t>
            </w:r>
          </w:p>
        </w:tc>
        <w:tc>
          <w:tcPr>
            <w:tcW w:w="653" w:type="pct"/>
            <w:vAlign w:val="center"/>
          </w:tcPr>
          <w:p w14:paraId="5A47BFAD">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highlight w:val="none"/>
                <w:lang w:val="en-US" w:eastAsia="zh-CN"/>
              </w:rPr>
              <w:t>16</w:t>
            </w:r>
          </w:p>
        </w:tc>
        <w:tc>
          <w:tcPr>
            <w:tcW w:w="606" w:type="pct"/>
            <w:vAlign w:val="center"/>
          </w:tcPr>
          <w:p w14:paraId="5547D10B">
            <w:pPr>
              <w:spacing w:line="240" w:lineRule="auto"/>
              <w:jc w:val="center"/>
              <w:rPr>
                <w:rFonts w:ascii="Times New Roman" w:hAnsi="Times New Roman" w:eastAsia="宋体" w:cs="Times New Roman"/>
                <w:color w:val="auto"/>
                <w:kern w:val="2"/>
                <w:sz w:val="21"/>
                <w:szCs w:val="21"/>
                <w:highlight w:val="none"/>
                <w:lang w:val="en-US" w:eastAsia="zh-CN" w:bidi="ar-SA"/>
              </w:rPr>
            </w:pPr>
            <w:r>
              <w:rPr>
                <w:rFonts w:hint="eastAsia"/>
                <w:color w:val="auto"/>
                <w:sz w:val="21"/>
                <w:highlight w:val="none"/>
              </w:rPr>
              <w:t>mg/L</w:t>
            </w:r>
          </w:p>
        </w:tc>
        <w:tc>
          <w:tcPr>
            <w:tcW w:w="1741" w:type="pct"/>
            <w:vAlign w:val="center"/>
          </w:tcPr>
          <w:p w14:paraId="778EE30E">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highlight w:val="none"/>
                <w:lang w:val="en-US" w:eastAsia="zh-CN"/>
              </w:rPr>
              <w:t>河流上游污染物浓度</w:t>
            </w:r>
          </w:p>
        </w:tc>
      </w:tr>
      <w:tr w14:paraId="25659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99" w:type="pct"/>
            <w:vMerge w:val="continue"/>
            <w:vAlign w:val="center"/>
          </w:tcPr>
          <w:p w14:paraId="7A0D6823">
            <w:pPr>
              <w:spacing w:line="240" w:lineRule="auto"/>
              <w:jc w:val="center"/>
              <w:rPr>
                <w:color w:val="auto"/>
                <w:sz w:val="21"/>
              </w:rPr>
            </w:pPr>
          </w:p>
        </w:tc>
        <w:tc>
          <w:tcPr>
            <w:tcW w:w="999" w:type="pct"/>
            <w:vAlign w:val="center"/>
          </w:tcPr>
          <w:p w14:paraId="3D24CFF9">
            <w:pPr>
              <w:spacing w:line="240" w:lineRule="auto"/>
              <w:jc w:val="center"/>
              <w:rPr>
                <w:rFonts w:hint="default" w:ascii="Times New Roman" w:hAnsi="Times New Roman" w:eastAsia="宋体" w:cs="Times New Roman"/>
                <w:color w:val="auto"/>
                <w:kern w:val="2"/>
                <w:sz w:val="21"/>
                <w:szCs w:val="21"/>
                <w:highlight w:val="none"/>
                <w:vertAlign w:val="subscript"/>
                <w:lang w:val="en-US" w:eastAsia="zh-CN" w:bidi="ar-SA"/>
              </w:rPr>
            </w:pPr>
            <w:r>
              <w:rPr>
                <w:rFonts w:hint="eastAsia"/>
                <w:color w:val="auto"/>
                <w:sz w:val="21"/>
                <w:highlight w:val="none"/>
              </w:rPr>
              <w:t>C</w:t>
            </w:r>
            <w:r>
              <w:rPr>
                <w:rFonts w:hint="eastAsia"/>
                <w:color w:val="auto"/>
                <w:sz w:val="21"/>
                <w:highlight w:val="none"/>
                <w:vertAlign w:val="subscript"/>
                <w:lang w:val="en-US" w:eastAsia="zh-CN"/>
              </w:rPr>
              <w:t>p</w:t>
            </w:r>
          </w:p>
        </w:tc>
        <w:tc>
          <w:tcPr>
            <w:tcW w:w="653" w:type="pct"/>
            <w:vAlign w:val="center"/>
          </w:tcPr>
          <w:p w14:paraId="610D3C0A">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highlight w:val="none"/>
                <w:lang w:val="en-US" w:eastAsia="zh-CN"/>
              </w:rPr>
              <w:t>40</w:t>
            </w:r>
          </w:p>
        </w:tc>
        <w:tc>
          <w:tcPr>
            <w:tcW w:w="606" w:type="pct"/>
            <w:vAlign w:val="center"/>
          </w:tcPr>
          <w:p w14:paraId="03D600B4">
            <w:pPr>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highlight w:val="none"/>
              </w:rPr>
              <w:t>mg/L</w:t>
            </w:r>
          </w:p>
        </w:tc>
        <w:tc>
          <w:tcPr>
            <w:tcW w:w="1741" w:type="pct"/>
            <w:vAlign w:val="center"/>
          </w:tcPr>
          <w:p w14:paraId="515F9867">
            <w:pPr>
              <w:spacing w:line="240" w:lineRule="auto"/>
              <w:jc w:val="center"/>
              <w:rPr>
                <w:rFonts w:hint="eastAsia" w:ascii="Times New Roman" w:hAnsi="Times New Roman" w:eastAsia="宋体" w:cs="Times New Roman"/>
                <w:color w:val="auto"/>
                <w:kern w:val="2"/>
                <w:sz w:val="21"/>
                <w:szCs w:val="21"/>
                <w:lang w:val="en-US" w:eastAsia="zh-CN" w:bidi="ar-SA"/>
              </w:rPr>
            </w:pPr>
            <w:r>
              <w:rPr>
                <w:rFonts w:hint="eastAsia"/>
                <w:color w:val="auto"/>
                <w:sz w:val="21"/>
                <w:lang w:val="en-US" w:eastAsia="zh-CN"/>
              </w:rPr>
              <w:t>排放污水中污染物浓度</w:t>
            </w:r>
          </w:p>
        </w:tc>
      </w:tr>
      <w:tr w14:paraId="697D5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99" w:type="pct"/>
            <w:vMerge w:val="restart"/>
            <w:vAlign w:val="center"/>
          </w:tcPr>
          <w:p w14:paraId="04FBFDCE">
            <w:pPr>
              <w:spacing w:line="240" w:lineRule="auto"/>
              <w:jc w:val="center"/>
              <w:rPr>
                <w:color w:val="auto"/>
                <w:sz w:val="21"/>
              </w:rPr>
            </w:pPr>
            <w:r>
              <w:rPr>
                <w:rFonts w:hint="eastAsia"/>
                <w:color w:val="auto"/>
                <w:sz w:val="21"/>
              </w:rPr>
              <w:t>氨氮</w:t>
            </w:r>
          </w:p>
        </w:tc>
        <w:tc>
          <w:tcPr>
            <w:tcW w:w="999" w:type="pct"/>
            <w:vAlign w:val="center"/>
          </w:tcPr>
          <w:p w14:paraId="37155AAD">
            <w:pPr>
              <w:spacing w:line="240" w:lineRule="auto"/>
              <w:jc w:val="center"/>
              <w:rPr>
                <w:rFonts w:ascii="Times New Roman" w:hAnsi="Times New Roman" w:eastAsia="宋体" w:cs="Times New Roman"/>
                <w:color w:val="auto"/>
                <w:kern w:val="2"/>
                <w:sz w:val="21"/>
                <w:szCs w:val="21"/>
                <w:vertAlign w:val="subscript"/>
                <w:lang w:val="en-US" w:eastAsia="zh-CN" w:bidi="ar-SA"/>
              </w:rPr>
            </w:pPr>
            <w:r>
              <w:rPr>
                <w:rFonts w:hint="eastAsia"/>
                <w:color w:val="auto"/>
                <w:sz w:val="21"/>
              </w:rPr>
              <w:t>C</w:t>
            </w:r>
            <w:r>
              <w:rPr>
                <w:rFonts w:hint="eastAsia"/>
                <w:color w:val="auto"/>
                <w:sz w:val="21"/>
                <w:vertAlign w:val="subscript"/>
              </w:rPr>
              <w:t>s</w:t>
            </w:r>
          </w:p>
        </w:tc>
        <w:tc>
          <w:tcPr>
            <w:tcW w:w="653" w:type="pct"/>
            <w:vAlign w:val="center"/>
          </w:tcPr>
          <w:p w14:paraId="1B3883B0">
            <w:pPr>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highlight w:val="none"/>
                <w:lang w:val="en-US" w:eastAsia="zh-CN"/>
              </w:rPr>
              <w:t>1</w:t>
            </w:r>
          </w:p>
        </w:tc>
        <w:tc>
          <w:tcPr>
            <w:tcW w:w="606" w:type="pct"/>
            <w:vAlign w:val="center"/>
          </w:tcPr>
          <w:p w14:paraId="62AE5ECC">
            <w:pPr>
              <w:spacing w:line="240" w:lineRule="auto"/>
              <w:jc w:val="center"/>
              <w:rPr>
                <w:rFonts w:ascii="Times New Roman" w:hAnsi="Times New Roman" w:eastAsia="宋体" w:cs="Times New Roman"/>
                <w:color w:val="auto"/>
                <w:kern w:val="2"/>
                <w:sz w:val="21"/>
                <w:szCs w:val="21"/>
                <w:highlight w:val="none"/>
                <w:lang w:val="en-US" w:eastAsia="zh-CN" w:bidi="ar-SA"/>
              </w:rPr>
            </w:pPr>
            <w:r>
              <w:rPr>
                <w:rFonts w:hint="eastAsia"/>
                <w:color w:val="auto"/>
                <w:sz w:val="21"/>
                <w:highlight w:val="none"/>
              </w:rPr>
              <w:t>mg/L</w:t>
            </w:r>
          </w:p>
        </w:tc>
        <w:tc>
          <w:tcPr>
            <w:tcW w:w="1741" w:type="pct"/>
            <w:vAlign w:val="center"/>
          </w:tcPr>
          <w:p w14:paraId="2E605BF1">
            <w:pPr>
              <w:spacing w:line="240" w:lineRule="auto"/>
              <w:jc w:val="center"/>
              <w:rPr>
                <w:rFonts w:ascii="Times New Roman" w:hAnsi="Times New Roman" w:eastAsia="宋体" w:cs="Times New Roman"/>
                <w:color w:val="auto"/>
                <w:kern w:val="2"/>
                <w:sz w:val="21"/>
                <w:szCs w:val="21"/>
                <w:lang w:val="en-US" w:eastAsia="zh-CN" w:bidi="ar-SA"/>
              </w:rPr>
            </w:pPr>
            <w:r>
              <w:rPr>
                <w:rFonts w:hint="eastAsia"/>
                <w:color w:val="auto"/>
                <w:sz w:val="21"/>
              </w:rPr>
              <w:t>水质目标浓度</w:t>
            </w:r>
          </w:p>
        </w:tc>
      </w:tr>
      <w:tr w14:paraId="14AE6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99" w:type="pct"/>
            <w:vMerge w:val="continue"/>
            <w:vAlign w:val="center"/>
          </w:tcPr>
          <w:p w14:paraId="079AE67E">
            <w:pPr>
              <w:spacing w:line="240" w:lineRule="auto"/>
              <w:jc w:val="center"/>
              <w:rPr>
                <w:color w:val="auto"/>
                <w:sz w:val="21"/>
              </w:rPr>
            </w:pPr>
          </w:p>
        </w:tc>
        <w:tc>
          <w:tcPr>
            <w:tcW w:w="999" w:type="pct"/>
            <w:vAlign w:val="center"/>
          </w:tcPr>
          <w:p w14:paraId="2491152A">
            <w:pPr>
              <w:spacing w:line="240" w:lineRule="auto"/>
              <w:jc w:val="center"/>
              <w:rPr>
                <w:rFonts w:hint="eastAsia" w:ascii="Times New Roman" w:hAnsi="Times New Roman" w:eastAsia="宋体" w:cs="Times New Roman"/>
                <w:color w:val="auto"/>
                <w:kern w:val="2"/>
                <w:sz w:val="21"/>
                <w:szCs w:val="21"/>
                <w:vertAlign w:val="subscript"/>
                <w:lang w:val="en-US" w:eastAsia="zh-CN" w:bidi="ar-SA"/>
              </w:rPr>
            </w:pPr>
            <w:r>
              <w:rPr>
                <w:rFonts w:hint="eastAsia"/>
                <w:color w:val="auto"/>
                <w:sz w:val="21"/>
              </w:rPr>
              <w:t>C</w:t>
            </w:r>
            <w:r>
              <w:rPr>
                <w:rFonts w:hint="eastAsia"/>
                <w:color w:val="auto"/>
                <w:sz w:val="21"/>
                <w:vertAlign w:val="subscript"/>
                <w:lang w:val="en-US" w:eastAsia="zh-CN"/>
              </w:rPr>
              <w:t>0</w:t>
            </w:r>
          </w:p>
        </w:tc>
        <w:tc>
          <w:tcPr>
            <w:tcW w:w="653" w:type="pct"/>
            <w:vAlign w:val="center"/>
          </w:tcPr>
          <w:p w14:paraId="56CF8E36">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highlight w:val="none"/>
                <w:lang w:val="en-US" w:eastAsia="zh-CN"/>
              </w:rPr>
              <w:t>0.342</w:t>
            </w:r>
          </w:p>
        </w:tc>
        <w:tc>
          <w:tcPr>
            <w:tcW w:w="606" w:type="pct"/>
            <w:vAlign w:val="center"/>
          </w:tcPr>
          <w:p w14:paraId="4A569BB1">
            <w:pPr>
              <w:spacing w:line="240" w:lineRule="auto"/>
              <w:jc w:val="center"/>
              <w:rPr>
                <w:rFonts w:ascii="Times New Roman" w:hAnsi="Times New Roman" w:eastAsia="宋体" w:cs="Times New Roman"/>
                <w:color w:val="auto"/>
                <w:kern w:val="2"/>
                <w:sz w:val="21"/>
                <w:szCs w:val="21"/>
                <w:highlight w:val="none"/>
                <w:lang w:val="en-US" w:eastAsia="zh-CN" w:bidi="ar-SA"/>
              </w:rPr>
            </w:pPr>
            <w:r>
              <w:rPr>
                <w:rFonts w:hint="eastAsia"/>
                <w:color w:val="auto"/>
                <w:sz w:val="21"/>
                <w:highlight w:val="none"/>
              </w:rPr>
              <w:t>mg/L</w:t>
            </w:r>
          </w:p>
        </w:tc>
        <w:tc>
          <w:tcPr>
            <w:tcW w:w="1741" w:type="pct"/>
            <w:vAlign w:val="center"/>
          </w:tcPr>
          <w:p w14:paraId="7EDE7F7C">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lang w:val="en-US" w:eastAsia="zh-CN"/>
              </w:rPr>
              <w:t>河流上游污染物浓度</w:t>
            </w:r>
          </w:p>
        </w:tc>
      </w:tr>
      <w:tr w14:paraId="174F9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99" w:type="pct"/>
            <w:vMerge w:val="continue"/>
            <w:vAlign w:val="center"/>
          </w:tcPr>
          <w:p w14:paraId="6B5958FC">
            <w:pPr>
              <w:spacing w:line="240" w:lineRule="auto"/>
              <w:jc w:val="center"/>
              <w:rPr>
                <w:color w:val="auto"/>
                <w:sz w:val="21"/>
              </w:rPr>
            </w:pPr>
          </w:p>
        </w:tc>
        <w:tc>
          <w:tcPr>
            <w:tcW w:w="999" w:type="pct"/>
            <w:vAlign w:val="center"/>
          </w:tcPr>
          <w:p w14:paraId="5F6A341B">
            <w:pPr>
              <w:spacing w:line="240" w:lineRule="auto"/>
              <w:jc w:val="center"/>
              <w:rPr>
                <w:rFonts w:hint="default" w:ascii="Times New Roman" w:hAnsi="Times New Roman" w:eastAsia="宋体" w:cs="Times New Roman"/>
                <w:color w:val="auto"/>
                <w:kern w:val="2"/>
                <w:sz w:val="21"/>
                <w:szCs w:val="21"/>
                <w:vertAlign w:val="subscript"/>
                <w:lang w:val="en-US" w:eastAsia="zh-CN" w:bidi="ar-SA"/>
              </w:rPr>
            </w:pPr>
            <w:r>
              <w:rPr>
                <w:rFonts w:hint="eastAsia"/>
                <w:color w:val="auto"/>
                <w:sz w:val="21"/>
              </w:rPr>
              <w:t>C</w:t>
            </w:r>
            <w:r>
              <w:rPr>
                <w:rFonts w:hint="eastAsia"/>
                <w:color w:val="auto"/>
                <w:sz w:val="21"/>
                <w:vertAlign w:val="subscript"/>
                <w:lang w:val="en-US" w:eastAsia="zh-CN"/>
              </w:rPr>
              <w:t>p</w:t>
            </w:r>
          </w:p>
        </w:tc>
        <w:tc>
          <w:tcPr>
            <w:tcW w:w="653" w:type="pct"/>
            <w:vAlign w:val="center"/>
          </w:tcPr>
          <w:p w14:paraId="6904B498">
            <w:pPr>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highlight w:val="none"/>
                <w:lang w:val="en-US" w:eastAsia="zh-CN"/>
              </w:rPr>
              <w:t>5</w:t>
            </w:r>
          </w:p>
        </w:tc>
        <w:tc>
          <w:tcPr>
            <w:tcW w:w="606" w:type="pct"/>
            <w:vAlign w:val="center"/>
          </w:tcPr>
          <w:p w14:paraId="055BF36D">
            <w:pPr>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highlight w:val="none"/>
              </w:rPr>
              <w:t>mg/L</w:t>
            </w:r>
          </w:p>
        </w:tc>
        <w:tc>
          <w:tcPr>
            <w:tcW w:w="1741" w:type="pct"/>
            <w:vAlign w:val="center"/>
          </w:tcPr>
          <w:p w14:paraId="3252986C">
            <w:pPr>
              <w:spacing w:line="240" w:lineRule="auto"/>
              <w:jc w:val="center"/>
              <w:rPr>
                <w:rFonts w:hint="eastAsia" w:ascii="Times New Roman" w:hAnsi="Times New Roman" w:eastAsia="宋体" w:cs="Times New Roman"/>
                <w:color w:val="auto"/>
                <w:kern w:val="2"/>
                <w:sz w:val="21"/>
                <w:szCs w:val="21"/>
                <w:lang w:val="en-US" w:eastAsia="zh-CN" w:bidi="ar-SA"/>
              </w:rPr>
            </w:pPr>
            <w:r>
              <w:rPr>
                <w:rFonts w:hint="eastAsia"/>
                <w:color w:val="auto"/>
                <w:sz w:val="21"/>
                <w:lang w:val="en-US" w:eastAsia="zh-CN"/>
              </w:rPr>
              <w:t>排放污水中污染物浓度</w:t>
            </w:r>
          </w:p>
        </w:tc>
      </w:tr>
      <w:tr w14:paraId="2211A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999" w:type="pct"/>
            <w:vMerge w:val="restart"/>
            <w:vAlign w:val="center"/>
          </w:tcPr>
          <w:p w14:paraId="0639647B">
            <w:pPr>
              <w:spacing w:line="240" w:lineRule="auto"/>
              <w:jc w:val="center"/>
              <w:rPr>
                <w:rFonts w:hint="eastAsia" w:eastAsia="宋体"/>
                <w:color w:val="auto"/>
                <w:sz w:val="21"/>
                <w:lang w:val="en-US" w:eastAsia="zh-CN"/>
              </w:rPr>
            </w:pPr>
            <w:r>
              <w:rPr>
                <w:rFonts w:hint="eastAsia"/>
                <w:color w:val="auto"/>
                <w:sz w:val="21"/>
                <w:lang w:val="en-US" w:eastAsia="zh-CN"/>
              </w:rPr>
              <w:t>总磷</w:t>
            </w:r>
          </w:p>
        </w:tc>
        <w:tc>
          <w:tcPr>
            <w:tcW w:w="1952" w:type="dxa"/>
            <w:vAlign w:val="center"/>
          </w:tcPr>
          <w:p w14:paraId="1D44702F">
            <w:pPr>
              <w:spacing w:line="240" w:lineRule="auto"/>
              <w:jc w:val="center"/>
              <w:rPr>
                <w:rFonts w:hint="eastAsia"/>
                <w:color w:val="auto"/>
                <w:sz w:val="21"/>
              </w:rPr>
            </w:pPr>
            <w:r>
              <w:rPr>
                <w:rFonts w:hint="eastAsia"/>
                <w:color w:val="auto"/>
                <w:sz w:val="21"/>
              </w:rPr>
              <w:t>C</w:t>
            </w:r>
            <w:r>
              <w:rPr>
                <w:rFonts w:hint="eastAsia"/>
                <w:color w:val="auto"/>
                <w:sz w:val="21"/>
                <w:vertAlign w:val="subscript"/>
              </w:rPr>
              <w:t>s</w:t>
            </w:r>
          </w:p>
        </w:tc>
        <w:tc>
          <w:tcPr>
            <w:tcW w:w="653" w:type="pct"/>
            <w:vAlign w:val="center"/>
          </w:tcPr>
          <w:p w14:paraId="63850295">
            <w:pPr>
              <w:spacing w:line="240" w:lineRule="auto"/>
              <w:jc w:val="center"/>
              <w:rPr>
                <w:rFonts w:hint="eastAsia"/>
                <w:color w:val="auto"/>
                <w:sz w:val="21"/>
                <w:highlight w:val="none"/>
                <w:lang w:val="en-US" w:eastAsia="zh-CN"/>
              </w:rPr>
            </w:pPr>
          </w:p>
        </w:tc>
        <w:tc>
          <w:tcPr>
            <w:tcW w:w="606" w:type="pct"/>
            <w:vAlign w:val="center"/>
          </w:tcPr>
          <w:p w14:paraId="6BDC1DF9">
            <w:pPr>
              <w:spacing w:line="240" w:lineRule="auto"/>
              <w:jc w:val="center"/>
              <w:rPr>
                <w:rFonts w:hint="eastAsia"/>
                <w:color w:val="auto"/>
                <w:sz w:val="21"/>
                <w:highlight w:val="none"/>
              </w:rPr>
            </w:pPr>
          </w:p>
        </w:tc>
        <w:tc>
          <w:tcPr>
            <w:tcW w:w="3402" w:type="dxa"/>
            <w:vAlign w:val="center"/>
          </w:tcPr>
          <w:p w14:paraId="3A0ED5EC">
            <w:pPr>
              <w:spacing w:line="240" w:lineRule="auto"/>
              <w:jc w:val="center"/>
              <w:rPr>
                <w:rFonts w:hint="eastAsia"/>
                <w:color w:val="auto"/>
                <w:sz w:val="21"/>
                <w:lang w:val="en-US" w:eastAsia="zh-CN"/>
              </w:rPr>
            </w:pPr>
            <w:r>
              <w:rPr>
                <w:rFonts w:hint="eastAsia"/>
                <w:color w:val="auto"/>
                <w:sz w:val="21"/>
              </w:rPr>
              <w:t>水质目标浓度</w:t>
            </w:r>
          </w:p>
        </w:tc>
      </w:tr>
      <w:tr w14:paraId="32F4C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999" w:type="pct"/>
            <w:vMerge w:val="continue"/>
            <w:vAlign w:val="center"/>
          </w:tcPr>
          <w:p w14:paraId="7BADF98A">
            <w:pPr>
              <w:spacing w:line="240" w:lineRule="auto"/>
              <w:jc w:val="center"/>
              <w:rPr>
                <w:color w:val="auto"/>
              </w:rPr>
            </w:pPr>
          </w:p>
        </w:tc>
        <w:tc>
          <w:tcPr>
            <w:tcW w:w="1952" w:type="dxa"/>
            <w:vAlign w:val="center"/>
          </w:tcPr>
          <w:p w14:paraId="672FE7D6">
            <w:pPr>
              <w:spacing w:line="240" w:lineRule="auto"/>
              <w:jc w:val="center"/>
              <w:rPr>
                <w:rFonts w:hint="eastAsia"/>
                <w:color w:val="auto"/>
                <w:sz w:val="21"/>
              </w:rPr>
            </w:pPr>
            <w:r>
              <w:rPr>
                <w:rFonts w:hint="eastAsia"/>
                <w:color w:val="auto"/>
                <w:sz w:val="21"/>
              </w:rPr>
              <w:t>C</w:t>
            </w:r>
            <w:r>
              <w:rPr>
                <w:rFonts w:hint="eastAsia"/>
                <w:color w:val="auto"/>
                <w:sz w:val="21"/>
                <w:vertAlign w:val="subscript"/>
                <w:lang w:val="en-US" w:eastAsia="zh-CN"/>
              </w:rPr>
              <w:t>0</w:t>
            </w:r>
          </w:p>
        </w:tc>
        <w:tc>
          <w:tcPr>
            <w:tcW w:w="653" w:type="pct"/>
            <w:vAlign w:val="center"/>
          </w:tcPr>
          <w:p w14:paraId="270D0129">
            <w:pPr>
              <w:spacing w:line="240" w:lineRule="auto"/>
              <w:jc w:val="center"/>
              <w:rPr>
                <w:rFonts w:hint="eastAsia"/>
                <w:color w:val="auto"/>
                <w:sz w:val="21"/>
              </w:rPr>
            </w:pPr>
          </w:p>
        </w:tc>
        <w:tc>
          <w:tcPr>
            <w:tcW w:w="606" w:type="pct"/>
            <w:vAlign w:val="center"/>
          </w:tcPr>
          <w:p w14:paraId="7ED777ED">
            <w:pPr>
              <w:spacing w:line="240" w:lineRule="auto"/>
              <w:jc w:val="center"/>
              <w:rPr>
                <w:rFonts w:hint="eastAsia"/>
                <w:color w:val="auto"/>
                <w:sz w:val="21"/>
              </w:rPr>
            </w:pPr>
          </w:p>
        </w:tc>
        <w:tc>
          <w:tcPr>
            <w:tcW w:w="3402" w:type="dxa"/>
            <w:vAlign w:val="center"/>
          </w:tcPr>
          <w:p w14:paraId="0402A028">
            <w:pPr>
              <w:spacing w:line="240" w:lineRule="auto"/>
              <w:jc w:val="center"/>
              <w:rPr>
                <w:rFonts w:hint="eastAsia"/>
                <w:color w:val="auto"/>
                <w:sz w:val="21"/>
              </w:rPr>
            </w:pPr>
            <w:r>
              <w:rPr>
                <w:rFonts w:hint="eastAsia"/>
                <w:color w:val="auto"/>
                <w:sz w:val="21"/>
                <w:lang w:val="en-US" w:eastAsia="zh-CN"/>
              </w:rPr>
              <w:t>河流上游污染物浓度</w:t>
            </w:r>
          </w:p>
        </w:tc>
      </w:tr>
      <w:tr w14:paraId="3D651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999" w:type="pct"/>
            <w:vMerge w:val="continue"/>
            <w:vAlign w:val="center"/>
          </w:tcPr>
          <w:p w14:paraId="19352A85">
            <w:pPr>
              <w:spacing w:line="240" w:lineRule="auto"/>
              <w:jc w:val="center"/>
              <w:rPr>
                <w:rFonts w:hint="eastAsia"/>
                <w:color w:val="auto"/>
                <w:sz w:val="21"/>
              </w:rPr>
            </w:pPr>
          </w:p>
        </w:tc>
        <w:tc>
          <w:tcPr>
            <w:tcW w:w="1952" w:type="dxa"/>
            <w:vAlign w:val="center"/>
          </w:tcPr>
          <w:p w14:paraId="6695E248">
            <w:pPr>
              <w:spacing w:line="240" w:lineRule="auto"/>
              <w:jc w:val="center"/>
              <w:rPr>
                <w:rFonts w:hint="eastAsia"/>
                <w:color w:val="auto"/>
                <w:sz w:val="21"/>
              </w:rPr>
            </w:pPr>
            <w:r>
              <w:rPr>
                <w:rFonts w:hint="eastAsia"/>
                <w:color w:val="auto"/>
                <w:sz w:val="21"/>
              </w:rPr>
              <w:t>C</w:t>
            </w:r>
            <w:r>
              <w:rPr>
                <w:rFonts w:hint="eastAsia"/>
                <w:color w:val="auto"/>
                <w:sz w:val="21"/>
                <w:vertAlign w:val="subscript"/>
                <w:lang w:val="en-US" w:eastAsia="zh-CN"/>
              </w:rPr>
              <w:t>p</w:t>
            </w:r>
          </w:p>
        </w:tc>
        <w:tc>
          <w:tcPr>
            <w:tcW w:w="653" w:type="pct"/>
            <w:vAlign w:val="center"/>
          </w:tcPr>
          <w:p w14:paraId="2E11206B">
            <w:pPr>
              <w:spacing w:line="240" w:lineRule="auto"/>
              <w:jc w:val="center"/>
              <w:rPr>
                <w:rFonts w:hint="eastAsia"/>
                <w:color w:val="auto"/>
                <w:sz w:val="21"/>
              </w:rPr>
            </w:pPr>
          </w:p>
        </w:tc>
        <w:tc>
          <w:tcPr>
            <w:tcW w:w="606" w:type="pct"/>
            <w:vAlign w:val="center"/>
          </w:tcPr>
          <w:p w14:paraId="7B24B93A">
            <w:pPr>
              <w:spacing w:line="240" w:lineRule="auto"/>
              <w:jc w:val="center"/>
              <w:rPr>
                <w:rFonts w:hint="eastAsia"/>
                <w:color w:val="auto"/>
                <w:sz w:val="21"/>
              </w:rPr>
            </w:pPr>
          </w:p>
        </w:tc>
        <w:tc>
          <w:tcPr>
            <w:tcW w:w="3402" w:type="dxa"/>
            <w:vAlign w:val="center"/>
          </w:tcPr>
          <w:p w14:paraId="47B05623">
            <w:pPr>
              <w:spacing w:line="240" w:lineRule="auto"/>
              <w:jc w:val="center"/>
              <w:rPr>
                <w:rFonts w:hint="eastAsia"/>
                <w:color w:val="auto"/>
                <w:sz w:val="21"/>
              </w:rPr>
            </w:pPr>
            <w:r>
              <w:rPr>
                <w:rFonts w:hint="eastAsia"/>
                <w:color w:val="auto"/>
                <w:sz w:val="21"/>
                <w:lang w:val="en-US" w:eastAsia="zh-CN"/>
              </w:rPr>
              <w:t>排放污水中污染物浓度</w:t>
            </w:r>
          </w:p>
        </w:tc>
      </w:tr>
    </w:tbl>
    <w:p w14:paraId="47CF3A8F">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水功能区纳污能力及限制排污总量</w:t>
      </w:r>
    </w:p>
    <w:p w14:paraId="20EE40DF">
      <w:pPr>
        <w:spacing w:line="360" w:lineRule="auto"/>
        <w:ind w:firstLine="480" w:firstLineChars="200"/>
        <w:rPr>
          <w:rFonts w:hint="eastAsia"/>
          <w:color w:val="auto"/>
          <w:lang w:val="en-US" w:eastAsia="zh-CN"/>
        </w:rPr>
      </w:pPr>
      <w:r>
        <w:rPr>
          <w:rFonts w:hint="eastAsia" w:cs="Times New Roman"/>
          <w:color w:val="auto"/>
          <w:sz w:val="24"/>
          <w:highlight w:val="none"/>
          <w:lang w:val="en-US" w:eastAsia="zh-CN"/>
        </w:rPr>
        <w:t>根据上述分析，计算</w:t>
      </w:r>
      <w:r>
        <w:rPr>
          <w:rFonts w:hint="eastAsia" w:ascii="Times New Roman" w:hAnsi="Times New Roman" w:cs="Times New Roman"/>
          <w:color w:val="auto"/>
          <w:sz w:val="24"/>
          <w:highlight w:val="none"/>
          <w:lang w:val="en-US" w:eastAsia="zh-CN"/>
        </w:rPr>
        <w:t>结果见下表。</w:t>
      </w:r>
    </w:p>
    <w:p w14:paraId="0B931F7F">
      <w:pPr>
        <w:spacing w:line="240" w:lineRule="auto"/>
        <w:ind w:firstLine="422" w:firstLineChars="200"/>
        <w:jc w:val="center"/>
        <w:rPr>
          <w:rFonts w:hint="eastAsia" w:ascii="Times New Roman" w:hAnsi="Times New Roman" w:eastAsia="宋体" w:cs="Times New Roman"/>
          <w:b/>
          <w:bCs/>
          <w:color w:val="auto"/>
          <w:sz w:val="21"/>
          <w:szCs w:val="18"/>
          <w:highlight w:val="none"/>
          <w:lang w:val="en-US" w:eastAsia="zh-CN"/>
        </w:rPr>
      </w:pPr>
      <w:r>
        <w:rPr>
          <w:rFonts w:hint="eastAsia" w:ascii="Times New Roman" w:hAnsi="Times New Roman" w:eastAsia="宋体" w:cs="Times New Roman"/>
          <w:b/>
          <w:bCs/>
          <w:color w:val="auto"/>
          <w:sz w:val="21"/>
          <w:szCs w:val="18"/>
          <w:highlight w:val="none"/>
          <w:lang w:val="en-US" w:eastAsia="zh-CN"/>
        </w:rPr>
        <w:t>表4.2-1</w:t>
      </w:r>
      <w:r>
        <w:rPr>
          <w:rFonts w:hint="eastAsia" w:cs="Times New Roman"/>
          <w:b/>
          <w:bCs/>
          <w:color w:val="auto"/>
          <w:sz w:val="21"/>
          <w:szCs w:val="18"/>
          <w:highlight w:val="none"/>
          <w:lang w:val="en-US" w:eastAsia="zh-CN"/>
        </w:rPr>
        <w:t>排水渠</w:t>
      </w:r>
      <w:r>
        <w:rPr>
          <w:rFonts w:hint="eastAsia" w:ascii="Times New Roman" w:hAnsi="Times New Roman" w:eastAsia="宋体" w:cs="Times New Roman"/>
          <w:b/>
          <w:bCs/>
          <w:color w:val="auto"/>
          <w:sz w:val="21"/>
          <w:szCs w:val="18"/>
          <w:highlight w:val="none"/>
          <w:lang w:val="en-US" w:eastAsia="zh-CN"/>
        </w:rPr>
        <w:t>纳污能力</w:t>
      </w:r>
      <w:r>
        <w:rPr>
          <w:rFonts w:hint="eastAsia" w:cs="Times New Roman"/>
          <w:b/>
          <w:bCs/>
          <w:color w:val="auto"/>
          <w:sz w:val="21"/>
          <w:szCs w:val="18"/>
          <w:highlight w:val="none"/>
          <w:lang w:val="en-US" w:eastAsia="zh-CN"/>
        </w:rPr>
        <w:t>及限制排污总量</w:t>
      </w:r>
      <w:r>
        <w:rPr>
          <w:rFonts w:hint="eastAsia" w:ascii="Times New Roman" w:hAnsi="Times New Roman" w:eastAsia="宋体" w:cs="Times New Roman"/>
          <w:b/>
          <w:bCs/>
          <w:color w:val="auto"/>
          <w:sz w:val="21"/>
          <w:szCs w:val="18"/>
          <w:highlight w:val="none"/>
          <w:lang w:val="en-US" w:eastAsia="zh-CN"/>
        </w:rPr>
        <w:t>计算结果一览表</w:t>
      </w:r>
    </w:p>
    <w:tbl>
      <w:tblPr>
        <w:tblStyle w:val="31"/>
        <w:tblW w:w="34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964"/>
        <w:gridCol w:w="1233"/>
        <w:gridCol w:w="2002"/>
        <w:gridCol w:w="2485"/>
      </w:tblGrid>
      <w:tr w14:paraId="62185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721" w:type="pct"/>
            <w:tcBorders>
              <w:top w:val="single" w:color="000000" w:sz="4" w:space="0"/>
              <w:left w:val="single" w:color="000000" w:sz="4" w:space="0"/>
              <w:bottom w:val="single" w:color="000000" w:sz="4" w:space="0"/>
              <w:right w:val="single" w:color="000000" w:sz="4" w:space="0"/>
            </w:tcBorders>
            <w:vAlign w:val="center"/>
          </w:tcPr>
          <w:p w14:paraId="66472058">
            <w:pPr>
              <w:autoSpaceDE w:val="0"/>
              <w:autoSpaceDN w:val="0"/>
              <w:spacing w:line="240" w:lineRule="auto"/>
              <w:jc w:val="center"/>
              <w:rPr>
                <w:b/>
                <w:bCs/>
                <w:color w:val="auto"/>
                <w:kern w:val="0"/>
                <w:sz w:val="21"/>
              </w:rPr>
            </w:pPr>
            <w:r>
              <w:rPr>
                <w:b/>
                <w:bCs/>
                <w:color w:val="auto"/>
                <w:kern w:val="0"/>
                <w:sz w:val="21"/>
              </w:rPr>
              <w:t>污染物</w:t>
            </w:r>
          </w:p>
        </w:tc>
        <w:tc>
          <w:tcPr>
            <w:tcW w:w="922" w:type="pct"/>
            <w:tcBorders>
              <w:top w:val="single" w:color="000000" w:sz="4" w:space="0"/>
              <w:left w:val="nil"/>
              <w:bottom w:val="single" w:color="000000" w:sz="4" w:space="0"/>
              <w:right w:val="single" w:color="000000" w:sz="4" w:space="0"/>
            </w:tcBorders>
            <w:vAlign w:val="center"/>
          </w:tcPr>
          <w:p w14:paraId="043CC1B3">
            <w:pPr>
              <w:autoSpaceDE w:val="0"/>
              <w:autoSpaceDN w:val="0"/>
              <w:spacing w:line="240" w:lineRule="auto"/>
              <w:jc w:val="center"/>
              <w:rPr>
                <w:rFonts w:hint="default" w:eastAsia="宋体"/>
                <w:b/>
                <w:bCs/>
                <w:color w:val="auto"/>
                <w:kern w:val="0"/>
                <w:sz w:val="21"/>
                <w:lang w:val="en-US" w:eastAsia="zh-CN"/>
              </w:rPr>
            </w:pPr>
            <w:r>
              <w:rPr>
                <w:rFonts w:hint="eastAsia"/>
                <w:b/>
                <w:bCs/>
                <w:color w:val="auto"/>
                <w:kern w:val="0"/>
                <w:sz w:val="21"/>
                <w:lang w:val="en-US" w:eastAsia="zh-CN"/>
              </w:rPr>
              <w:t>水质现状</w:t>
            </w:r>
          </w:p>
        </w:tc>
        <w:tc>
          <w:tcPr>
            <w:tcW w:w="1497" w:type="pct"/>
            <w:tcBorders>
              <w:top w:val="single" w:color="000000" w:sz="4" w:space="0"/>
              <w:left w:val="nil"/>
              <w:bottom w:val="single" w:color="000000" w:sz="4" w:space="0"/>
              <w:right w:val="single" w:color="000000" w:sz="4" w:space="0"/>
            </w:tcBorders>
            <w:vAlign w:val="center"/>
          </w:tcPr>
          <w:p w14:paraId="0F11F5BE">
            <w:pPr>
              <w:autoSpaceDE w:val="0"/>
              <w:autoSpaceDN w:val="0"/>
              <w:spacing w:line="240" w:lineRule="auto"/>
              <w:jc w:val="center"/>
              <w:rPr>
                <w:rFonts w:hint="default" w:eastAsia="宋体"/>
                <w:b/>
                <w:bCs/>
                <w:color w:val="auto"/>
                <w:kern w:val="0"/>
                <w:sz w:val="21"/>
                <w:lang w:val="en-US" w:eastAsia="zh-CN"/>
              </w:rPr>
            </w:pPr>
            <w:r>
              <w:rPr>
                <w:rFonts w:hint="eastAsia"/>
                <w:b/>
                <w:bCs/>
                <w:color w:val="auto"/>
                <w:kern w:val="0"/>
                <w:sz w:val="21"/>
                <w:lang w:val="en-US" w:eastAsia="zh-CN"/>
              </w:rPr>
              <w:t>水质目标</w:t>
            </w:r>
          </w:p>
        </w:tc>
        <w:tc>
          <w:tcPr>
            <w:tcW w:w="1858" w:type="pct"/>
            <w:tcBorders>
              <w:top w:val="single" w:color="000000" w:sz="4" w:space="0"/>
              <w:left w:val="nil"/>
              <w:bottom w:val="single" w:color="000000" w:sz="4" w:space="0"/>
              <w:right w:val="single" w:color="000000" w:sz="4" w:space="0"/>
            </w:tcBorders>
            <w:vAlign w:val="center"/>
          </w:tcPr>
          <w:p w14:paraId="0D7E0F29">
            <w:pPr>
              <w:autoSpaceDE w:val="0"/>
              <w:autoSpaceDN w:val="0"/>
              <w:spacing w:line="240" w:lineRule="auto"/>
              <w:jc w:val="center"/>
              <w:rPr>
                <w:b/>
                <w:bCs/>
                <w:color w:val="auto"/>
                <w:kern w:val="0"/>
                <w:sz w:val="21"/>
                <w:highlight w:val="none"/>
              </w:rPr>
            </w:pPr>
            <w:r>
              <w:rPr>
                <w:b/>
                <w:bCs/>
                <w:color w:val="auto"/>
                <w:kern w:val="0"/>
                <w:sz w:val="21"/>
                <w:highlight w:val="none"/>
              </w:rPr>
              <w:t>纳污能力M（</w:t>
            </w:r>
            <w:r>
              <w:rPr>
                <w:rFonts w:hint="eastAsia"/>
                <w:b/>
                <w:bCs/>
                <w:color w:val="auto"/>
                <w:kern w:val="0"/>
                <w:sz w:val="21"/>
                <w:highlight w:val="none"/>
                <w:lang w:val="en-US" w:eastAsia="zh-CN"/>
              </w:rPr>
              <w:t>t/a</w:t>
            </w:r>
            <w:r>
              <w:rPr>
                <w:b/>
                <w:bCs/>
                <w:color w:val="auto"/>
                <w:kern w:val="0"/>
                <w:sz w:val="21"/>
                <w:highlight w:val="none"/>
              </w:rPr>
              <w:t>）</w:t>
            </w:r>
          </w:p>
        </w:tc>
      </w:tr>
      <w:tr w14:paraId="6CC80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721" w:type="pct"/>
            <w:tcBorders>
              <w:top w:val="single" w:color="000000" w:sz="4" w:space="0"/>
              <w:left w:val="single" w:color="000000" w:sz="4" w:space="0"/>
              <w:bottom w:val="single" w:color="000000" w:sz="4" w:space="0"/>
              <w:right w:val="single" w:color="000000" w:sz="4" w:space="0"/>
            </w:tcBorders>
            <w:vAlign w:val="center"/>
          </w:tcPr>
          <w:p w14:paraId="70BBA22B">
            <w:pPr>
              <w:autoSpaceDE w:val="0"/>
              <w:autoSpaceDN w:val="0"/>
              <w:spacing w:line="240" w:lineRule="auto"/>
              <w:jc w:val="center"/>
              <w:rPr>
                <w:color w:val="auto"/>
                <w:kern w:val="0"/>
                <w:sz w:val="21"/>
              </w:rPr>
            </w:pPr>
            <w:r>
              <w:rPr>
                <w:color w:val="auto"/>
                <w:kern w:val="0"/>
                <w:sz w:val="21"/>
              </w:rPr>
              <w:t>COD</w:t>
            </w:r>
            <w:r>
              <w:rPr>
                <w:color w:val="auto"/>
                <w:kern w:val="0"/>
                <w:sz w:val="21"/>
                <w:vertAlign w:val="subscript"/>
              </w:rPr>
              <w:t>Cr</w:t>
            </w:r>
          </w:p>
        </w:tc>
        <w:tc>
          <w:tcPr>
            <w:tcW w:w="922" w:type="pct"/>
            <w:tcBorders>
              <w:top w:val="single" w:color="000000" w:sz="4" w:space="0"/>
              <w:left w:val="nil"/>
              <w:bottom w:val="single" w:color="000000" w:sz="4" w:space="0"/>
              <w:right w:val="single" w:color="000000" w:sz="4" w:space="0"/>
            </w:tcBorders>
            <w:vAlign w:val="center"/>
          </w:tcPr>
          <w:p w14:paraId="51CD55C2">
            <w:pPr>
              <w:autoSpaceDE w:val="0"/>
              <w:autoSpaceDN w:val="0"/>
              <w:spacing w:line="240" w:lineRule="auto"/>
              <w:jc w:val="center"/>
              <w:rPr>
                <w:rFonts w:hint="default" w:eastAsia="宋体"/>
                <w:color w:val="auto"/>
                <w:kern w:val="0"/>
                <w:sz w:val="21"/>
                <w:lang w:val="en-US" w:eastAsia="zh-CN"/>
              </w:rPr>
            </w:pPr>
            <w:r>
              <w:rPr>
                <w:rFonts w:hint="eastAsia"/>
                <w:color w:val="auto"/>
                <w:kern w:val="0"/>
                <w:sz w:val="21"/>
                <w:lang w:val="en-US" w:eastAsia="zh-CN"/>
              </w:rPr>
              <w:t>Ⅲ</w:t>
            </w:r>
          </w:p>
        </w:tc>
        <w:tc>
          <w:tcPr>
            <w:tcW w:w="1497" w:type="pct"/>
            <w:tcBorders>
              <w:top w:val="single" w:color="000000" w:sz="4" w:space="0"/>
              <w:left w:val="nil"/>
              <w:bottom w:val="single" w:color="000000" w:sz="4" w:space="0"/>
              <w:right w:val="single" w:color="000000" w:sz="4" w:space="0"/>
            </w:tcBorders>
            <w:vAlign w:val="center"/>
          </w:tcPr>
          <w:p w14:paraId="40C6013A">
            <w:pPr>
              <w:autoSpaceDE w:val="0"/>
              <w:autoSpaceDN w:val="0"/>
              <w:spacing w:line="240" w:lineRule="auto"/>
              <w:jc w:val="center"/>
              <w:rPr>
                <w:rFonts w:hint="eastAsia"/>
                <w:color w:val="auto"/>
                <w:kern w:val="0"/>
                <w:sz w:val="21"/>
                <w:lang w:val="en-US" w:eastAsia="zh-CN"/>
              </w:rPr>
            </w:pPr>
            <w:r>
              <w:rPr>
                <w:rFonts w:hint="eastAsia"/>
                <w:color w:val="auto"/>
                <w:kern w:val="0"/>
                <w:sz w:val="21"/>
                <w:lang w:val="en-US" w:eastAsia="zh-CN"/>
              </w:rPr>
              <w:t>Ⅲ</w:t>
            </w:r>
          </w:p>
        </w:tc>
        <w:tc>
          <w:tcPr>
            <w:tcW w:w="1858" w:type="pct"/>
            <w:tcBorders>
              <w:top w:val="single" w:color="000000" w:sz="4" w:space="0"/>
              <w:left w:val="nil"/>
              <w:bottom w:val="single" w:color="000000" w:sz="4" w:space="0"/>
              <w:right w:val="single" w:color="000000" w:sz="4" w:space="0"/>
            </w:tcBorders>
            <w:vAlign w:val="center"/>
          </w:tcPr>
          <w:p w14:paraId="3309C4C2">
            <w:pPr>
              <w:autoSpaceDE w:val="0"/>
              <w:autoSpaceDN w:val="0"/>
              <w:spacing w:line="240" w:lineRule="auto"/>
              <w:jc w:val="center"/>
              <w:rPr>
                <w:rFonts w:hint="default" w:eastAsia="宋体"/>
                <w:color w:val="auto"/>
                <w:kern w:val="0"/>
                <w:sz w:val="21"/>
                <w:highlight w:val="none"/>
                <w:lang w:val="en-US" w:eastAsia="zh-CN"/>
              </w:rPr>
            </w:pPr>
            <w:r>
              <w:rPr>
                <w:rFonts w:hint="eastAsia"/>
                <w:color w:val="auto"/>
                <w:kern w:val="0"/>
                <w:sz w:val="21"/>
                <w:highlight w:val="none"/>
                <w:lang w:val="en-US" w:eastAsia="zh-CN"/>
              </w:rPr>
              <w:t>73.16</w:t>
            </w:r>
          </w:p>
        </w:tc>
      </w:tr>
      <w:tr w14:paraId="5F5FAF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jc w:val="center"/>
        </w:trPr>
        <w:tc>
          <w:tcPr>
            <w:tcW w:w="721" w:type="pct"/>
            <w:tcBorders>
              <w:top w:val="single" w:color="000000" w:sz="4" w:space="0"/>
              <w:left w:val="single" w:color="000000" w:sz="4" w:space="0"/>
              <w:bottom w:val="single" w:color="000000" w:sz="4" w:space="0"/>
              <w:right w:val="single" w:color="000000" w:sz="4" w:space="0"/>
            </w:tcBorders>
            <w:vAlign w:val="center"/>
          </w:tcPr>
          <w:p w14:paraId="292AB4DE">
            <w:pPr>
              <w:autoSpaceDE w:val="0"/>
              <w:autoSpaceDN w:val="0"/>
              <w:spacing w:line="240" w:lineRule="auto"/>
              <w:jc w:val="center"/>
              <w:rPr>
                <w:color w:val="auto"/>
                <w:kern w:val="0"/>
                <w:sz w:val="21"/>
              </w:rPr>
            </w:pPr>
            <w:r>
              <w:rPr>
                <w:color w:val="auto"/>
                <w:kern w:val="0"/>
                <w:sz w:val="21"/>
              </w:rPr>
              <w:t>NH</w:t>
            </w:r>
            <w:r>
              <w:rPr>
                <w:color w:val="auto"/>
                <w:kern w:val="0"/>
                <w:sz w:val="21"/>
                <w:vertAlign w:val="subscript"/>
              </w:rPr>
              <w:t>3</w:t>
            </w:r>
            <w:r>
              <w:rPr>
                <w:color w:val="auto"/>
                <w:kern w:val="0"/>
                <w:sz w:val="21"/>
              </w:rPr>
              <w:t>-N</w:t>
            </w:r>
          </w:p>
        </w:tc>
        <w:tc>
          <w:tcPr>
            <w:tcW w:w="922" w:type="pct"/>
            <w:tcBorders>
              <w:top w:val="single" w:color="000000" w:sz="4" w:space="0"/>
              <w:left w:val="nil"/>
              <w:bottom w:val="single" w:color="000000" w:sz="4" w:space="0"/>
              <w:right w:val="single" w:color="000000" w:sz="4" w:space="0"/>
            </w:tcBorders>
            <w:vAlign w:val="center"/>
          </w:tcPr>
          <w:p w14:paraId="0AC97F8B">
            <w:pPr>
              <w:autoSpaceDE w:val="0"/>
              <w:autoSpaceDN w:val="0"/>
              <w:spacing w:line="240" w:lineRule="auto"/>
              <w:jc w:val="center"/>
              <w:rPr>
                <w:rFonts w:hint="default" w:eastAsia="宋体"/>
                <w:color w:val="auto"/>
                <w:kern w:val="0"/>
                <w:sz w:val="21"/>
                <w:lang w:val="en-US" w:eastAsia="zh-CN"/>
              </w:rPr>
            </w:pPr>
            <w:r>
              <w:rPr>
                <w:rFonts w:hint="eastAsia"/>
                <w:color w:val="auto"/>
                <w:kern w:val="0"/>
                <w:sz w:val="21"/>
                <w:lang w:val="en-US" w:eastAsia="zh-CN"/>
              </w:rPr>
              <w:t>Ⅲ</w:t>
            </w:r>
          </w:p>
        </w:tc>
        <w:tc>
          <w:tcPr>
            <w:tcW w:w="1497" w:type="pct"/>
            <w:tcBorders>
              <w:top w:val="single" w:color="000000" w:sz="4" w:space="0"/>
              <w:left w:val="nil"/>
              <w:bottom w:val="single" w:color="000000" w:sz="4" w:space="0"/>
              <w:right w:val="single" w:color="000000" w:sz="4" w:space="0"/>
            </w:tcBorders>
            <w:vAlign w:val="center"/>
          </w:tcPr>
          <w:p w14:paraId="03C8DEE1">
            <w:pPr>
              <w:autoSpaceDE w:val="0"/>
              <w:autoSpaceDN w:val="0"/>
              <w:spacing w:line="240" w:lineRule="auto"/>
              <w:jc w:val="center"/>
              <w:rPr>
                <w:rFonts w:hint="eastAsia"/>
                <w:color w:val="auto"/>
                <w:kern w:val="0"/>
                <w:sz w:val="21"/>
                <w:lang w:val="en-US" w:eastAsia="zh-CN"/>
              </w:rPr>
            </w:pPr>
            <w:r>
              <w:rPr>
                <w:rFonts w:hint="eastAsia"/>
                <w:color w:val="auto"/>
                <w:kern w:val="0"/>
                <w:sz w:val="21"/>
                <w:lang w:val="en-US" w:eastAsia="zh-CN"/>
              </w:rPr>
              <w:t>Ⅲ</w:t>
            </w:r>
          </w:p>
        </w:tc>
        <w:tc>
          <w:tcPr>
            <w:tcW w:w="1858" w:type="pct"/>
            <w:tcBorders>
              <w:top w:val="single" w:color="000000" w:sz="4" w:space="0"/>
              <w:left w:val="nil"/>
              <w:bottom w:val="single" w:color="000000" w:sz="4" w:space="0"/>
              <w:right w:val="single" w:color="000000" w:sz="4" w:space="0"/>
            </w:tcBorders>
            <w:vAlign w:val="center"/>
          </w:tcPr>
          <w:p w14:paraId="06F98E81">
            <w:pPr>
              <w:autoSpaceDE w:val="0"/>
              <w:autoSpaceDN w:val="0"/>
              <w:spacing w:line="240" w:lineRule="auto"/>
              <w:jc w:val="center"/>
              <w:rPr>
                <w:rFonts w:hint="default" w:eastAsia="宋体"/>
                <w:color w:val="auto"/>
                <w:kern w:val="0"/>
                <w:sz w:val="21"/>
                <w:highlight w:val="none"/>
                <w:lang w:val="en-US" w:eastAsia="zh-CN"/>
              </w:rPr>
            </w:pPr>
            <w:r>
              <w:rPr>
                <w:rFonts w:hint="eastAsia"/>
                <w:color w:val="auto"/>
                <w:kern w:val="0"/>
                <w:sz w:val="21"/>
                <w:highlight w:val="none"/>
                <w:lang w:val="en-US" w:eastAsia="zh-CN"/>
              </w:rPr>
              <w:t>12.04</w:t>
            </w:r>
          </w:p>
        </w:tc>
      </w:tr>
      <w:tr w14:paraId="68DE2E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jc w:val="center"/>
        </w:trPr>
        <w:tc>
          <w:tcPr>
            <w:tcW w:w="721" w:type="pct"/>
            <w:tcBorders>
              <w:top w:val="single" w:color="000000" w:sz="4" w:space="0"/>
              <w:left w:val="single" w:color="000000" w:sz="4" w:space="0"/>
              <w:bottom w:val="single" w:color="000000" w:sz="4" w:space="0"/>
              <w:right w:val="single" w:color="000000" w:sz="4" w:space="0"/>
            </w:tcBorders>
            <w:vAlign w:val="center"/>
          </w:tcPr>
          <w:p w14:paraId="38F87A91">
            <w:pPr>
              <w:autoSpaceDE w:val="0"/>
              <w:autoSpaceDN w:val="0"/>
              <w:spacing w:line="240" w:lineRule="auto"/>
              <w:jc w:val="center"/>
              <w:rPr>
                <w:rFonts w:hint="eastAsia" w:eastAsia="宋体"/>
                <w:color w:val="auto"/>
                <w:kern w:val="0"/>
                <w:sz w:val="21"/>
                <w:lang w:val="en-US" w:eastAsia="zh-CN"/>
              </w:rPr>
            </w:pPr>
            <w:r>
              <w:rPr>
                <w:rFonts w:hint="eastAsia"/>
                <w:color w:val="auto"/>
                <w:kern w:val="0"/>
                <w:sz w:val="21"/>
                <w:lang w:val="en-US" w:eastAsia="zh-CN"/>
              </w:rPr>
              <w:t>总磷</w:t>
            </w:r>
          </w:p>
        </w:tc>
        <w:tc>
          <w:tcPr>
            <w:tcW w:w="1233" w:type="dxa"/>
            <w:tcBorders>
              <w:top w:val="single" w:color="000000" w:sz="4" w:space="0"/>
              <w:left w:val="nil"/>
              <w:bottom w:val="single" w:color="000000" w:sz="4" w:space="0"/>
              <w:right w:val="single" w:color="000000" w:sz="4" w:space="0"/>
            </w:tcBorders>
            <w:vAlign w:val="center"/>
          </w:tcPr>
          <w:p w14:paraId="10147CB7">
            <w:pPr>
              <w:autoSpaceDE w:val="0"/>
              <w:autoSpaceDN w:val="0"/>
              <w:spacing w:line="240" w:lineRule="auto"/>
              <w:jc w:val="center"/>
              <w:rPr>
                <w:rFonts w:hint="eastAsia"/>
                <w:color w:val="auto"/>
                <w:kern w:val="0"/>
                <w:sz w:val="21"/>
                <w:lang w:val="en-US" w:eastAsia="zh-CN"/>
              </w:rPr>
            </w:pPr>
            <w:r>
              <w:rPr>
                <w:rFonts w:hint="eastAsia"/>
                <w:color w:val="auto"/>
                <w:kern w:val="0"/>
                <w:sz w:val="21"/>
                <w:lang w:val="en-US" w:eastAsia="zh-CN"/>
              </w:rPr>
              <w:t>Ⅲ</w:t>
            </w:r>
          </w:p>
        </w:tc>
        <w:tc>
          <w:tcPr>
            <w:tcW w:w="2002" w:type="dxa"/>
            <w:tcBorders>
              <w:top w:val="single" w:color="000000" w:sz="4" w:space="0"/>
              <w:left w:val="nil"/>
              <w:bottom w:val="single" w:color="000000" w:sz="4" w:space="0"/>
              <w:right w:val="single" w:color="000000" w:sz="4" w:space="0"/>
            </w:tcBorders>
            <w:vAlign w:val="center"/>
          </w:tcPr>
          <w:p w14:paraId="7F659998">
            <w:pPr>
              <w:autoSpaceDE w:val="0"/>
              <w:autoSpaceDN w:val="0"/>
              <w:spacing w:line="240" w:lineRule="auto"/>
              <w:jc w:val="center"/>
              <w:rPr>
                <w:rFonts w:hint="eastAsia"/>
                <w:color w:val="auto"/>
                <w:kern w:val="0"/>
                <w:sz w:val="21"/>
                <w:lang w:val="en-US" w:eastAsia="zh-CN"/>
              </w:rPr>
            </w:pPr>
            <w:r>
              <w:rPr>
                <w:rFonts w:hint="eastAsia"/>
                <w:color w:val="auto"/>
                <w:kern w:val="0"/>
                <w:sz w:val="21"/>
                <w:lang w:val="en-US" w:eastAsia="zh-CN"/>
              </w:rPr>
              <w:t>Ⅲ</w:t>
            </w:r>
          </w:p>
        </w:tc>
        <w:tc>
          <w:tcPr>
            <w:tcW w:w="1858" w:type="pct"/>
            <w:tcBorders>
              <w:top w:val="single" w:color="000000" w:sz="4" w:space="0"/>
              <w:left w:val="nil"/>
              <w:bottom w:val="single" w:color="000000" w:sz="4" w:space="0"/>
              <w:right w:val="single" w:color="000000" w:sz="4" w:space="0"/>
            </w:tcBorders>
            <w:vAlign w:val="center"/>
          </w:tcPr>
          <w:p w14:paraId="4C784B1B">
            <w:pPr>
              <w:autoSpaceDE w:val="0"/>
              <w:autoSpaceDN w:val="0"/>
              <w:spacing w:line="240" w:lineRule="auto"/>
              <w:jc w:val="center"/>
              <w:rPr>
                <w:rFonts w:hint="eastAsia"/>
                <w:color w:val="auto"/>
                <w:kern w:val="0"/>
                <w:sz w:val="21"/>
                <w:highlight w:val="none"/>
                <w:lang w:val="en-US" w:eastAsia="zh-CN"/>
              </w:rPr>
            </w:pPr>
          </w:p>
        </w:tc>
      </w:tr>
    </w:tbl>
    <w:p w14:paraId="5004E523">
      <w:pPr>
        <w:keepNext w:val="0"/>
        <w:keepLines w:val="0"/>
        <w:pageBreakBefore w:val="0"/>
        <w:widowControl w:val="0"/>
        <w:kinsoku/>
        <w:wordWrap/>
        <w:overflowPunct/>
        <w:topLinePunct w:val="0"/>
        <w:autoSpaceDE/>
        <w:autoSpaceDN/>
        <w:bidi w:val="0"/>
        <w:adjustRightInd/>
        <w:snapToGrid/>
        <w:spacing w:before="0" w:beforeLines="50" w:line="360" w:lineRule="auto"/>
        <w:ind w:firstLine="480" w:firstLineChars="200"/>
        <w:textAlignment w:val="auto"/>
        <w:rPr>
          <w:rFonts w:hint="eastAsia" w:cs="Times New Roman"/>
          <w:color w:val="auto"/>
          <w:sz w:val="24"/>
          <w:highlight w:val="none"/>
          <w:lang w:val="en-US" w:eastAsia="zh-CN"/>
        </w:rPr>
      </w:pPr>
      <w:r>
        <w:rPr>
          <w:rFonts w:hint="eastAsia" w:cs="Times New Roman"/>
          <w:color w:val="auto"/>
          <w:sz w:val="24"/>
          <w:highlight w:val="none"/>
          <w:lang w:val="en-US" w:eastAsia="zh-CN"/>
        </w:rPr>
        <w:t>由上表可见，项目的污染物排放量小于排水渠的纳污能力。考虑到本项目属于市政工程，项目的建设可完善大八镇污水管网，居民生活污水通过管网进入污水处理厂处理，遏制了污水未经处理直接排入附近地表水体。有助于减轻排水渠及周边其他地表水体的污染，有利于改善地表水环境质量，因此本项目入河排污口设置是可行的。</w:t>
      </w:r>
    </w:p>
    <w:p w14:paraId="79299CA3">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bookmarkStart w:id="55" w:name="_Toc2192"/>
      <w:bookmarkStart w:id="56" w:name="_Toc17317"/>
      <w:r>
        <w:rPr>
          <w:rFonts w:hint="eastAsia"/>
          <w:color w:val="auto"/>
          <w:lang w:val="en-US" w:eastAsia="zh-CN"/>
        </w:rPr>
        <w:t>论证水功能区现有取、排水状况</w:t>
      </w:r>
      <w:bookmarkEnd w:id="55"/>
      <w:bookmarkEnd w:id="56"/>
      <w:r>
        <w:rPr>
          <w:rFonts w:hint="eastAsia"/>
          <w:color w:val="auto"/>
          <w:lang w:val="en-US" w:eastAsia="zh-CN"/>
        </w:rPr>
        <w:t xml:space="preserve"> </w:t>
      </w:r>
    </w:p>
    <w:p w14:paraId="1191A131">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根据实际调查资料，区域现状取水大部分为农业取水， 没有生活取水。</w:t>
      </w:r>
      <w:r>
        <w:rPr>
          <w:rFonts w:hint="eastAsia" w:ascii="Times New Roman" w:hAnsi="Times New Roman" w:eastAsia="宋体" w:cs="Times New Roman"/>
          <w:color w:val="auto"/>
          <w:sz w:val="24"/>
          <w:highlight w:val="none"/>
          <w:lang w:val="en-US" w:eastAsia="zh-CN"/>
        </w:rPr>
        <w:t>项目区涉及的河流</w:t>
      </w:r>
      <w:r>
        <w:rPr>
          <w:rFonts w:hint="eastAsia" w:cs="Times New Roman"/>
          <w:color w:val="auto"/>
          <w:sz w:val="24"/>
          <w:highlight w:val="none"/>
          <w:lang w:val="en-US" w:eastAsia="zh-CN"/>
        </w:rPr>
        <w:t>为排水渠和大八河</w:t>
      </w:r>
      <w:r>
        <w:rPr>
          <w:rFonts w:hint="eastAsia" w:ascii="Times New Roman" w:hAnsi="Times New Roman" w:eastAsia="宋体" w:cs="Times New Roman"/>
          <w:color w:val="auto"/>
          <w:sz w:val="24"/>
          <w:highlight w:val="none"/>
          <w:lang w:val="en-US" w:eastAsia="zh-CN"/>
        </w:rPr>
        <w:t>，自上而下的顺序逐一对水功能区（水域）现有取、排水情况介绍：</w:t>
      </w:r>
    </w:p>
    <w:p w14:paraId="55BFBBEE">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cs="Times New Roman"/>
          <w:color w:val="auto"/>
          <w:lang w:val="en-US" w:eastAsia="zh-CN"/>
        </w:rPr>
        <w:t>排水渠和吉水河</w:t>
      </w:r>
    </w:p>
    <w:p w14:paraId="2114750E">
      <w:pPr>
        <w:spacing w:line="360" w:lineRule="auto"/>
        <w:ind w:firstLine="480" w:firstLineChars="200"/>
        <w:rPr>
          <w:rFonts w:hint="eastAsia" w:ascii="Times New Roman" w:hAnsi="Times New Roman" w:eastAsia="宋体" w:cs="Times New Roman"/>
          <w:color w:val="auto"/>
          <w:sz w:val="24"/>
          <w:highlight w:val="cyan"/>
          <w:lang w:val="en-US" w:eastAsia="zh-CN"/>
        </w:rPr>
      </w:pPr>
      <w:r>
        <w:rPr>
          <w:rFonts w:hint="eastAsia" w:ascii="Times New Roman" w:hAnsi="Times New Roman" w:eastAsia="宋体" w:cs="Times New Roman"/>
          <w:color w:val="auto"/>
          <w:sz w:val="24"/>
          <w:highlight w:val="none"/>
          <w:lang w:val="en-US" w:eastAsia="zh-CN"/>
        </w:rPr>
        <w:t>根据初步调查，</w:t>
      </w:r>
      <w:r>
        <w:rPr>
          <w:rFonts w:hint="eastAsia" w:cs="Times New Roman"/>
          <w:color w:val="auto"/>
          <w:sz w:val="24"/>
          <w:highlight w:val="none"/>
          <w:lang w:val="en-US" w:eastAsia="zh-CN"/>
        </w:rPr>
        <w:t>排水渠</w:t>
      </w:r>
      <w:r>
        <w:rPr>
          <w:rFonts w:hint="eastAsia" w:ascii="Times New Roman" w:hAnsi="Times New Roman" w:cs="Times New Roman"/>
          <w:color w:val="auto"/>
          <w:sz w:val="24"/>
          <w:highlight w:val="none"/>
          <w:lang w:val="en-US" w:eastAsia="zh-CN"/>
        </w:rPr>
        <w:t>为</w:t>
      </w:r>
      <w:r>
        <w:rPr>
          <w:rFonts w:hint="eastAsia" w:cs="Times New Roman"/>
          <w:color w:val="auto"/>
          <w:sz w:val="24"/>
          <w:highlight w:val="none"/>
          <w:lang w:val="en-US" w:eastAsia="zh-CN"/>
        </w:rPr>
        <w:t>排水渠</w:t>
      </w:r>
      <w:r>
        <w:rPr>
          <w:rFonts w:hint="eastAsia" w:ascii="Times New Roman" w:hAnsi="Times New Roman" w:cs="Times New Roman"/>
          <w:color w:val="auto"/>
          <w:sz w:val="24"/>
          <w:highlight w:val="none"/>
          <w:lang w:val="en-US" w:eastAsia="zh-CN"/>
        </w:rPr>
        <w:t>属农业水功能</w:t>
      </w:r>
      <w:r>
        <w:rPr>
          <w:rFonts w:hint="eastAsia" w:ascii="Times New Roman" w:hAnsi="Times New Roman" w:eastAsia="宋体" w:cs="Times New Roman"/>
          <w:color w:val="auto"/>
          <w:sz w:val="24"/>
          <w:highlight w:val="none"/>
          <w:lang w:val="en-US" w:eastAsia="zh-CN"/>
        </w:rPr>
        <w:t>，暂无工业、生活取用水户。大八镇内生活、农业面源染以地面径流的方式进入河道，无工业污水汇入河道，本项目排污口论证范围主要为</w:t>
      </w:r>
      <w:r>
        <w:rPr>
          <w:rFonts w:hint="eastAsia" w:cs="Times New Roman"/>
          <w:color w:val="auto"/>
          <w:sz w:val="24"/>
          <w:highlight w:val="none"/>
          <w:lang w:val="en-US" w:eastAsia="zh-CN"/>
        </w:rPr>
        <w:t>：排水渠段（入河</w:t>
      </w:r>
      <w:r>
        <w:rPr>
          <w:rFonts w:hint="eastAsia"/>
          <w:color w:val="auto"/>
          <w:sz w:val="24"/>
          <w:highlight w:val="none"/>
          <w:lang w:val="en-US" w:eastAsia="zh-CN"/>
        </w:rPr>
        <w:t>排污口上游500m</w:t>
      </w:r>
      <w:r>
        <w:rPr>
          <w:rFonts w:hint="eastAsia" w:ascii="Times New Roman" w:hAnsi="Times New Roman" w:eastAsia="宋体" w:cs="Times New Roman"/>
          <w:color w:val="auto"/>
          <w:sz w:val="24"/>
          <w:szCs w:val="24"/>
          <w:highlight w:val="none"/>
          <w:lang w:val="en-US" w:eastAsia="zh-CN"/>
        </w:rPr>
        <w:t>至与</w:t>
      </w:r>
      <w:r>
        <w:rPr>
          <w:rFonts w:hint="eastAsia" w:cs="Times New Roman"/>
          <w:color w:val="auto"/>
          <w:sz w:val="24"/>
          <w:szCs w:val="24"/>
          <w:highlight w:val="none"/>
          <w:lang w:val="en-US" w:eastAsia="zh-CN"/>
        </w:rPr>
        <w:t>吉水河</w:t>
      </w:r>
      <w:r>
        <w:rPr>
          <w:rFonts w:hint="eastAsia" w:ascii="Times New Roman" w:hAnsi="Times New Roman" w:eastAsia="宋体" w:cs="Times New Roman"/>
          <w:color w:val="auto"/>
          <w:sz w:val="24"/>
          <w:szCs w:val="24"/>
          <w:highlight w:val="none"/>
          <w:lang w:val="en-US" w:eastAsia="zh-CN"/>
        </w:rPr>
        <w:t>交汇处</w:t>
      </w:r>
      <w:r>
        <w:rPr>
          <w:rFonts w:hint="default" w:ascii="Times New Roman" w:hAnsi="Times New Roman" w:eastAsia="宋体" w:cs="Times New Roman"/>
          <w:color w:val="auto"/>
          <w:sz w:val="24"/>
          <w:szCs w:val="24"/>
          <w:highlight w:val="none"/>
          <w:lang w:eastAsia="zh-CN"/>
        </w:rPr>
        <w:t>的河段，长约</w:t>
      </w:r>
      <w:r>
        <w:rPr>
          <w:rFonts w:hint="eastAsia" w:ascii="Times New Roman" w:hAnsi="Times New Roman" w:eastAsia="宋体" w:cs="Times New Roman"/>
          <w:color w:val="auto"/>
          <w:sz w:val="24"/>
          <w:szCs w:val="24"/>
          <w:highlight w:val="none"/>
          <w:lang w:val="en-US" w:eastAsia="zh-CN"/>
        </w:rPr>
        <w:t>1050</w:t>
      </w:r>
      <w:r>
        <w:rPr>
          <w:rFonts w:hint="default" w:ascii="Times New Roman" w:hAnsi="Times New Roman" w:eastAsia="宋体" w:cs="Times New Roman"/>
          <w:color w:val="auto"/>
          <w:sz w:val="24"/>
          <w:szCs w:val="24"/>
          <w:highlight w:val="none"/>
          <w:lang w:eastAsia="zh-CN"/>
        </w:rPr>
        <w:t>m</w:t>
      </w:r>
      <w:r>
        <w:rPr>
          <w:rFonts w:hint="eastAsia" w:cs="Times New Roman"/>
          <w:color w:val="auto"/>
          <w:sz w:val="24"/>
          <w:highlight w:val="none"/>
          <w:lang w:val="en-US" w:eastAsia="zh-CN"/>
        </w:rPr>
        <w:t>）、吉水河段（吉水河与排水渠交汇处至大八河的河段，长650m）和大八河段（</w:t>
      </w:r>
      <w:r>
        <w:rPr>
          <w:rFonts w:hint="eastAsia"/>
          <w:color w:val="auto"/>
          <w:sz w:val="24"/>
          <w:highlight w:val="none"/>
          <w:lang w:val="en-US" w:eastAsia="zh-CN"/>
        </w:rPr>
        <w:t>吉水河与大八河交汇处至大八河下游1000m的河段</w:t>
      </w:r>
      <w:r>
        <w:rPr>
          <w:rFonts w:hint="eastAsia" w:cs="Times New Roman"/>
          <w:color w:val="auto"/>
          <w:sz w:val="24"/>
          <w:highlight w:val="none"/>
          <w:lang w:val="en-US" w:eastAsia="zh-CN"/>
        </w:rPr>
        <w:t>，长1000m）</w:t>
      </w:r>
      <w:r>
        <w:rPr>
          <w:rFonts w:hint="eastAsia"/>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由于近年来对集中式排污口进行了整治，</w:t>
      </w:r>
      <w:r>
        <w:rPr>
          <w:rFonts w:hint="eastAsia"/>
          <w:color w:val="auto"/>
          <w:sz w:val="24"/>
          <w:highlight w:val="none"/>
          <w:lang w:val="en-US" w:eastAsia="zh-CN"/>
        </w:rPr>
        <w:t>排水渠和吉水河</w:t>
      </w:r>
      <w:r>
        <w:rPr>
          <w:rFonts w:hint="eastAsia" w:ascii="Times New Roman" w:hAnsi="Times New Roman" w:eastAsia="宋体" w:cs="Times New Roman"/>
          <w:color w:val="auto"/>
          <w:sz w:val="24"/>
          <w:highlight w:val="none"/>
          <w:lang w:val="en-US" w:eastAsia="zh-CN"/>
        </w:rPr>
        <w:t>水体没有集中式排污口。</w:t>
      </w:r>
    </w:p>
    <w:p w14:paraId="1B452843">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大八河</w:t>
      </w:r>
    </w:p>
    <w:p w14:paraId="1C950CCC">
      <w:pPr>
        <w:spacing w:line="360" w:lineRule="auto"/>
        <w:ind w:firstLine="480" w:firstLineChars="200"/>
        <w:rPr>
          <w:rFonts w:hint="default" w:cs="Times New Roman"/>
          <w:color w:val="auto"/>
          <w:sz w:val="24"/>
          <w:highlight w:val="none"/>
          <w:lang w:val="en-US" w:eastAsia="zh-CN"/>
        </w:rPr>
      </w:pPr>
      <w:r>
        <w:rPr>
          <w:rFonts w:hint="eastAsia" w:cs="Times New Roman"/>
          <w:color w:val="auto"/>
          <w:sz w:val="24"/>
          <w:highlight w:val="none"/>
          <w:lang w:val="en-US" w:eastAsia="zh-CN"/>
        </w:rPr>
        <w:t>在大八河的论证范围内暂无工业、生活取用水户。大八镇的生活、农业面源染以地面径流的方式进入河道，无工业污水汇入河道。距离由于近年来对集中式排污口进行了整治，论证范围内的水功能区没有集中式排污口。项目下游饮用水取水点分别有位于项目下游20.76Kkm红丰镇饮用水取水点和位于项目下游6.74km塘坪镇饮用水取水点（相对位置图详见附图5），不在项目论证范围内。</w:t>
      </w:r>
    </w:p>
    <w:p w14:paraId="36EBC91D">
      <w:pPr>
        <w:spacing w:line="360" w:lineRule="auto"/>
        <w:ind w:firstLine="480" w:firstLineChars="200"/>
        <w:rPr>
          <w:rFonts w:hint="eastAsia" w:cs="Times New Roman"/>
          <w:color w:val="auto"/>
          <w:sz w:val="24"/>
          <w:highlight w:val="none"/>
          <w:lang w:val="en-US" w:eastAsia="zh-CN"/>
        </w:rPr>
      </w:pPr>
    </w:p>
    <w:p w14:paraId="3B888B18">
      <w:pPr>
        <w:rPr>
          <w:rFonts w:hint="eastAsia"/>
          <w:color w:val="auto"/>
          <w:lang w:val="en-US" w:eastAsia="zh-CN"/>
        </w:rPr>
        <w:sectPr>
          <w:pgSz w:w="11910" w:h="16840"/>
          <w:pgMar w:top="1340" w:right="1180" w:bottom="1220" w:left="1180" w:header="510" w:footer="850" w:gutter="0"/>
          <w:pgNumType w:fmt="decimal"/>
          <w:cols w:space="720" w:num="1"/>
        </w:sectPr>
      </w:pPr>
    </w:p>
    <w:p w14:paraId="3EA8AFE3">
      <w:pPr>
        <w:pStyle w:val="2"/>
        <w:rPr>
          <w:rFonts w:hint="eastAsia" w:ascii="Times New Roman" w:hAnsi="Times New Roman" w:eastAsia="宋体" w:cs="Times New Roman"/>
          <w:color w:val="auto"/>
          <w:sz w:val="24"/>
          <w:highlight w:val="none"/>
          <w:lang w:val="en-US" w:eastAsia="zh-CN"/>
        </w:rPr>
      </w:pPr>
      <w:r>
        <w:rPr>
          <w:color w:val="auto"/>
          <w:sz w:val="24"/>
        </w:rPr>
        <mc:AlternateContent>
          <mc:Choice Requires="wps">
            <w:drawing>
              <wp:anchor distT="0" distB="0" distL="114300" distR="114300" simplePos="0" relativeHeight="251672576" behindDoc="0" locked="0" layoutInCell="1" allowOverlap="1">
                <wp:simplePos x="0" y="0"/>
                <wp:positionH relativeFrom="column">
                  <wp:posOffset>4392295</wp:posOffset>
                </wp:positionH>
                <wp:positionV relativeFrom="paragraph">
                  <wp:posOffset>6375400</wp:posOffset>
                </wp:positionV>
                <wp:extent cx="186690" cy="8255"/>
                <wp:effectExtent l="0" t="0" r="0" b="0"/>
                <wp:wrapNone/>
                <wp:docPr id="43" name="直接连接符 43"/>
                <wp:cNvGraphicFramePr/>
                <a:graphic xmlns:a="http://schemas.openxmlformats.org/drawingml/2006/main">
                  <a:graphicData uri="http://schemas.microsoft.com/office/word/2010/wordprocessingShape">
                    <wps:wsp>
                      <wps:cNvCnPr/>
                      <wps:spPr>
                        <a:xfrm flipH="1" flipV="1">
                          <a:off x="0" y="0"/>
                          <a:ext cx="186690" cy="8255"/>
                        </a:xfrm>
                        <a:prstGeom prst="line">
                          <a:avLst/>
                        </a:prstGeom>
                        <a:ln w="19050" cap="flat" cmpd="sng">
                          <a:solidFill>
                            <a:srgbClr val="FFFF00"/>
                          </a:solidFill>
                          <a:prstDash val="solid"/>
                          <a:headEnd type="none" w="med" len="med"/>
                          <a:tailEnd type="none" w="med" len="med"/>
                        </a:ln>
                      </wps:spPr>
                      <wps:bodyPr upright="1"/>
                    </wps:wsp>
                  </a:graphicData>
                </a:graphic>
              </wp:anchor>
            </w:drawing>
          </mc:Choice>
          <mc:Fallback>
            <w:pict>
              <v:line id="_x0000_s1026" o:spid="_x0000_s1026" o:spt="20" style="position:absolute;left:0pt;flip:x y;margin-left:345.85pt;margin-top:502pt;height:0.65pt;width:14.7pt;z-index:251672576;mso-width-relative:page;mso-height-relative:page;" filled="f" stroked="t" coordsize="21600,21600" o:gfxdata="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A7d9O7ZAAAADQEAAA8AAAAAAAAAAQAgAAAAIgAA&#10;AGRycy9kb3ducmV2LnhtbFBLAQIUABQAAAAIAIdO4kCLbmykBwIAAP0DAAAOAAAAAAAAAAEAIAAA&#10;ACgBAABkcnMvZTJvRG9jLnhtbFBLBQYAAAAABgAGAFkBAAChBQAAAAA=&#10;">
                <v:fill on="f" focussize="0,0"/>
                <v:stroke weight="1.5pt" color="#FFFF00" joinstyle="round"/>
                <v:imagedata o:title=""/>
                <o:lock v:ext="edit" aspectratio="f"/>
              </v:line>
            </w:pict>
          </mc:Fallback>
        </mc:AlternateContent>
      </w:r>
      <w:r>
        <w:rPr>
          <w:color w:val="auto"/>
          <w:sz w:val="24"/>
        </w:rPr>
        <mc:AlternateContent>
          <mc:Choice Requires="wps">
            <w:drawing>
              <wp:anchor distT="0" distB="0" distL="114300" distR="114300" simplePos="0" relativeHeight="251699200" behindDoc="0" locked="0" layoutInCell="1" allowOverlap="1">
                <wp:simplePos x="0" y="0"/>
                <wp:positionH relativeFrom="column">
                  <wp:posOffset>4161790</wp:posOffset>
                </wp:positionH>
                <wp:positionV relativeFrom="paragraph">
                  <wp:posOffset>3923665</wp:posOffset>
                </wp:positionV>
                <wp:extent cx="75565" cy="75565"/>
                <wp:effectExtent l="12700" t="12700" r="13335" b="13335"/>
                <wp:wrapNone/>
                <wp:docPr id="102" name="椭圆 102"/>
                <wp:cNvGraphicFramePr/>
                <a:graphic xmlns:a="http://schemas.openxmlformats.org/drawingml/2006/main">
                  <a:graphicData uri="http://schemas.microsoft.com/office/word/2010/wordprocessingShape">
                    <wps:wsp>
                      <wps:cNvSpPr/>
                      <wps:spPr>
                        <a:xfrm>
                          <a:off x="4911090" y="4832350"/>
                          <a:ext cx="75565" cy="75565"/>
                        </a:xfrm>
                        <a:prstGeom prst="ellipse">
                          <a:avLst/>
                        </a:prstGeom>
                        <a:solidFill>
                          <a:srgbClr val="FFFF00"/>
                        </a:solidFill>
                        <a:ln w="2540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27.7pt;margin-top:308.95pt;height:5.95pt;width:5.95pt;z-index:251699200;v-text-anchor:middle;mso-width-relative:page;mso-height-relative:page;" fillcolor="#FFFF00" filled="t" stroked="t" coordsize="21600,21600" o:gfxdata="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BvTYg72gAAAAsBAAAPAAAAAAAAAAEAIAAA&#10;ACIAAABkcnMvZG93bnJldi54bWxQSwECFAAUAAAACACHTuJA4S+BsXwCAAAEBQAADgAAAAAAAAAB&#10;ACAAAAApAQAAZHJzL2Uyb0RvYy54bWxQSwUGAAAAAAYABgBZAQAAFwYAAAAA&#10;">
                <v:fill on="t" focussize="0,0"/>
                <v:stroke weight="2pt" color="#FF0000 [2404]" miterlimit="8" joinstyle="miter"/>
                <v:imagedata o:title=""/>
                <o:lock v:ext="edit" aspectratio="f"/>
              </v:shape>
            </w:pict>
          </mc:Fallback>
        </mc:AlternateContent>
      </w:r>
      <w:r>
        <w:rPr>
          <w:color w:val="auto"/>
          <w:sz w:val="24"/>
        </w:rPr>
        <mc:AlternateContent>
          <mc:Choice Requires="wps">
            <w:drawing>
              <wp:anchor distT="0" distB="0" distL="114300" distR="114300" simplePos="0" relativeHeight="251671552" behindDoc="0" locked="0" layoutInCell="1" allowOverlap="1">
                <wp:simplePos x="0" y="0"/>
                <wp:positionH relativeFrom="column">
                  <wp:posOffset>4880610</wp:posOffset>
                </wp:positionH>
                <wp:positionV relativeFrom="paragraph">
                  <wp:posOffset>2976245</wp:posOffset>
                </wp:positionV>
                <wp:extent cx="1546860" cy="353695"/>
                <wp:effectExtent l="680085" t="6350" r="20955" b="649605"/>
                <wp:wrapNone/>
                <wp:docPr id="21" name="圆角矩形标注 21"/>
                <wp:cNvGraphicFramePr/>
                <a:graphic xmlns:a="http://schemas.openxmlformats.org/drawingml/2006/main">
                  <a:graphicData uri="http://schemas.microsoft.com/office/word/2010/wordprocessingShape">
                    <wps:wsp>
                      <wps:cNvSpPr/>
                      <wps:spPr>
                        <a:xfrm>
                          <a:off x="6268720" y="3895090"/>
                          <a:ext cx="1546860" cy="353695"/>
                        </a:xfrm>
                        <a:prstGeom prst="wedgeRoundRectCallout">
                          <a:avLst>
                            <a:gd name="adj1" fmla="val -91050"/>
                            <a:gd name="adj2" fmla="val 223967"/>
                            <a:gd name="adj3" fmla="val 16667"/>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A9698C">
                            <w:pPr>
                              <w:jc w:val="left"/>
                              <w:rPr>
                                <w:rFonts w:hint="default"/>
                                <w:color w:val="000000" w:themeColor="text1"/>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宋体" w:hAnsi="宋体" w:cs="宋体"/>
                                <w:b/>
                                <w:bCs/>
                                <w:color w:val="000000" w:themeColor="text1"/>
                                <w:sz w:val="20"/>
                                <w:szCs w:val="2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本项目</w:t>
                            </w:r>
                            <w:r>
                              <w:rPr>
                                <w:rFonts w:hint="eastAsia" w:ascii="宋体" w:hAnsi="宋体" w:eastAsia="宋体" w:cs="宋体"/>
                                <w:b/>
                                <w:bCs/>
                                <w:color w:val="000000" w:themeColor="text1"/>
                                <w:sz w:val="20"/>
                                <w:szCs w:val="2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入河排污口</w:t>
                            </w:r>
                            <w:r>
                              <w:rPr>
                                <w:rFonts w:hint="eastAsia" w:ascii="宋体" w:hAnsi="宋体" w:cs="宋体"/>
                                <w:b/>
                                <w:bCs/>
                                <w:color w:val="000000" w:themeColor="text1"/>
                                <w:sz w:val="20"/>
                                <w:szCs w:val="2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384.3pt;margin-top:234.35pt;height:27.85pt;width:121.8pt;z-index:251671552;v-text-anchor:middle;mso-width-relative:page;mso-height-relative:page;" fillcolor="#FFFFFF [3212]" filled="t" stroked="t" coordsize="21600,21600" o:gfxdata="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1Pe0FdsAAAAMAQAADwAAAAAAAAABACAAAAAiAAAAZHJzL2Rvd25yZXYueG1sUEsBAhQA&#10;FAAAAAgAh07iQG5CxinTAgAAoQUAAA4AAAAAAAAAAQAgAAAAKgEAAGRycy9lMm9Eb2MueG1sUEsF&#10;BgAAAAAGAAYAWQEAAG8GAAAAAA==&#10;" adj="-8867,59177,14400">
                <v:fill on="t" focussize="0,0"/>
                <v:stroke weight="1pt" color="#000000 [3213]" miterlimit="8" joinstyle="miter"/>
                <v:imagedata o:title=""/>
                <o:lock v:ext="edit" aspectratio="f"/>
                <v:textbox>
                  <w:txbxContent>
                    <w:p w14:paraId="01A9698C">
                      <w:pPr>
                        <w:jc w:val="left"/>
                        <w:rPr>
                          <w:rFonts w:hint="default"/>
                          <w:color w:val="000000" w:themeColor="text1"/>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宋体" w:hAnsi="宋体" w:cs="宋体"/>
                          <w:b/>
                          <w:bCs/>
                          <w:color w:val="000000" w:themeColor="text1"/>
                          <w:sz w:val="20"/>
                          <w:szCs w:val="2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本项目</w:t>
                      </w:r>
                      <w:r>
                        <w:rPr>
                          <w:rFonts w:hint="eastAsia" w:ascii="宋体" w:hAnsi="宋体" w:eastAsia="宋体" w:cs="宋体"/>
                          <w:b/>
                          <w:bCs/>
                          <w:color w:val="000000" w:themeColor="text1"/>
                          <w:sz w:val="20"/>
                          <w:szCs w:val="2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入河排污口</w:t>
                      </w:r>
                      <w:r>
                        <w:rPr>
                          <w:rFonts w:hint="eastAsia" w:ascii="宋体" w:hAnsi="宋体" w:cs="宋体"/>
                          <w:b/>
                          <w:bCs/>
                          <w:color w:val="000000" w:themeColor="text1"/>
                          <w:sz w:val="20"/>
                          <w:szCs w:val="2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位置</w:t>
                      </w:r>
                    </w:p>
                  </w:txbxContent>
                </v:textbox>
              </v:shape>
            </w:pict>
          </mc:Fallback>
        </mc:AlternateContent>
      </w:r>
      <w:r>
        <w:rPr>
          <w:color w:val="auto"/>
        </w:rPr>
        <w:drawing>
          <wp:inline distT="0" distB="0" distL="114300" distR="114300">
            <wp:extent cx="6191250" cy="7949565"/>
            <wp:effectExtent l="0" t="0" r="0" b="13335"/>
            <wp:docPr id="109" name="图片 3" descr="图6-11 阳江水功能区划分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3" descr="图6-11 阳江水功能区划分图3"/>
                    <pic:cNvPicPr>
                      <a:picLocks noChangeAspect="1"/>
                    </pic:cNvPicPr>
                  </pic:nvPicPr>
                  <pic:blipFill>
                    <a:blip r:embed="rId34"/>
                    <a:srcRect l="1854" t="5374" r="4042" b="12573"/>
                    <a:stretch>
                      <a:fillRect/>
                    </a:stretch>
                  </pic:blipFill>
                  <pic:spPr>
                    <a:xfrm>
                      <a:off x="0" y="0"/>
                      <a:ext cx="6191250" cy="7949565"/>
                    </a:xfrm>
                    <a:prstGeom prst="rect">
                      <a:avLst/>
                    </a:prstGeom>
                    <a:noFill/>
                    <a:ln>
                      <a:noFill/>
                    </a:ln>
                  </pic:spPr>
                </pic:pic>
              </a:graphicData>
            </a:graphic>
          </wp:inline>
        </w:drawing>
      </w:r>
    </w:p>
    <w:p w14:paraId="05EC59E6">
      <w:pPr>
        <w:pStyle w:val="2"/>
        <w:rPr>
          <w:rFonts w:hint="eastAsia" w:ascii="Times New Roman" w:hAnsi="Times New Roman" w:eastAsia="宋体" w:cs="Times New Roman"/>
          <w:color w:val="auto"/>
          <w:sz w:val="24"/>
          <w:highlight w:val="none"/>
          <w:lang w:val="en-US" w:eastAsia="zh-CN"/>
        </w:rPr>
      </w:pPr>
    </w:p>
    <w:p w14:paraId="4F5C6357">
      <w:pPr>
        <w:jc w:val="center"/>
        <w:rPr>
          <w:rFonts w:hint="eastAsia"/>
          <w:color w:val="auto"/>
          <w:lang w:val="en-US" w:eastAsia="zh-CN"/>
        </w:rPr>
        <w:sectPr>
          <w:pgSz w:w="11910" w:h="16840"/>
          <w:pgMar w:top="1340" w:right="1180" w:bottom="1220" w:left="1180" w:header="510" w:footer="850" w:gutter="0"/>
          <w:pgNumType w:fmt="decimal"/>
          <w:cols w:space="720" w:num="1"/>
        </w:sectPr>
      </w:pPr>
      <w:r>
        <w:rPr>
          <w:rFonts w:hint="eastAsia"/>
          <w:color w:val="auto"/>
          <w:lang w:val="en-US" w:eastAsia="zh-CN"/>
        </w:rPr>
        <w:t>图</w:t>
      </w:r>
      <w:r>
        <w:rPr>
          <w:rFonts w:hint="eastAsia"/>
          <w:color w:val="auto"/>
          <w:sz w:val="24"/>
          <w:szCs w:val="24"/>
          <w:lang w:val="en-US" w:eastAsia="zh-CN"/>
        </w:rPr>
        <w:t>5.3-1项目周边地表水环境功能区划</w:t>
      </w:r>
    </w:p>
    <w:bookmarkEnd w:id="50"/>
    <w:p w14:paraId="6A0A7948">
      <w:pPr>
        <w:pStyle w:val="3"/>
        <w:bidi w:val="0"/>
        <w:rPr>
          <w:rFonts w:hint="eastAsia" w:ascii="Times New Roman" w:hAnsi="Times New Roman" w:cs="Times New Roman"/>
          <w:color w:val="auto"/>
          <w:lang w:val="en-US" w:eastAsia="zh-CN"/>
        </w:rPr>
      </w:pPr>
      <w:bookmarkStart w:id="57" w:name="_Toc10834"/>
      <w:bookmarkStart w:id="58" w:name="_Toc31738"/>
      <w:r>
        <w:rPr>
          <w:rFonts w:hint="eastAsia" w:ascii="Times New Roman" w:hAnsi="Times New Roman" w:cs="Times New Roman"/>
          <w:color w:val="auto"/>
          <w:lang w:val="en-US" w:eastAsia="zh-CN"/>
        </w:rPr>
        <w:t>拟建入河排污口设置可行性分析论证及设置情况</w:t>
      </w:r>
      <w:bookmarkEnd w:id="57"/>
      <w:bookmarkEnd w:id="58"/>
    </w:p>
    <w:p w14:paraId="489898BC">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bookmarkStart w:id="59" w:name="_Toc1542"/>
      <w:bookmarkStart w:id="60" w:name="_Toc17436"/>
      <w:r>
        <w:rPr>
          <w:rFonts w:hint="eastAsia"/>
          <w:color w:val="auto"/>
          <w:lang w:val="en-US" w:eastAsia="zh-CN"/>
        </w:rPr>
        <w:t>废污水来源及构成</w:t>
      </w:r>
      <w:bookmarkEnd w:id="59"/>
      <w:bookmarkEnd w:id="60"/>
    </w:p>
    <w:p w14:paraId="45BE5E8B">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本项目入河排污口排放尾水为阳江市阳东区大八镇的居民生活污水，各片区污水管网按照污水处理厂的位置布设污水干管，进一步完善排污管渠，</w:t>
      </w:r>
      <w:r>
        <w:rPr>
          <w:rFonts w:hint="eastAsia" w:ascii="Times New Roman" w:hAnsi="Times New Roman" w:cs="Times New Roman"/>
          <w:color w:val="auto"/>
          <w:kern w:val="0"/>
          <w:sz w:val="24"/>
          <w:szCs w:val="24"/>
          <w:lang w:val="en-US" w:eastAsia="zh-CN" w:bidi="ar-SA"/>
        </w:rPr>
        <w:t>纳污范围为</w:t>
      </w:r>
      <w:r>
        <w:rPr>
          <w:rFonts w:hint="eastAsia" w:cs="Times New Roman"/>
          <w:color w:val="auto"/>
          <w:kern w:val="0"/>
          <w:sz w:val="24"/>
          <w:szCs w:val="24"/>
          <w:lang w:val="en-US" w:eastAsia="zh-CN" w:bidi="ar-SA"/>
        </w:rPr>
        <w:t>阳江市阳东区大八镇</w:t>
      </w:r>
      <w:r>
        <w:rPr>
          <w:rFonts w:hint="eastAsia" w:ascii="Times New Roman" w:hAnsi="Times New Roman" w:cs="Times New Roman"/>
          <w:color w:val="auto"/>
          <w:kern w:val="0"/>
          <w:sz w:val="24"/>
          <w:szCs w:val="24"/>
          <w:lang w:val="en-US" w:eastAsia="zh-CN" w:bidi="ar-SA"/>
        </w:rPr>
        <w:t>区的居民生活污水</w:t>
      </w:r>
      <w:r>
        <w:rPr>
          <w:rFonts w:hint="eastAsia" w:cs="Times New Roman"/>
          <w:color w:val="auto"/>
          <w:kern w:val="0"/>
          <w:sz w:val="24"/>
          <w:szCs w:val="24"/>
          <w:lang w:val="en-US" w:eastAsia="zh-CN" w:bidi="ar-SA"/>
        </w:rPr>
        <w:t>，</w:t>
      </w:r>
      <w:r>
        <w:rPr>
          <w:rFonts w:hint="eastAsia"/>
          <w:color w:val="auto"/>
          <w:sz w:val="24"/>
          <w:highlight w:val="none"/>
          <w:lang w:val="en-US" w:eastAsia="zh-CN"/>
        </w:rPr>
        <w:t>采用雨污分流制，将生活污水引入阳东区大八镇污水处理厂集中处理。</w:t>
      </w:r>
    </w:p>
    <w:p w14:paraId="38CDF083">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按照《室外排水设计规范》（GB50014-2006）（2016年版），城镇旱季污水量为生活污水量，地下水位高的地区还应考虑地下水渗入量。本工程污水量将综合生活污水量进行预测。</w:t>
      </w:r>
    </w:p>
    <w:p w14:paraId="77F77BAA">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 xml:space="preserve">（1）综合生活污水量（包括居民生活污水及公共建筑污水） </w:t>
      </w:r>
    </w:p>
    <w:p w14:paraId="7CEBAC87">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 xml:space="preserve">综合生活污水量的预测一般以综合生活用水定额来推算。按照《镇（乡）村给水工程技术规程》（CJJ123-2008），户内有给水龙头卫生设备和淋浴设备的单位人口最高日居民生活用水定额为130~190L/人.日，本工程近期居民生活用水定额取150 L/人.日，远期居民生活用水定额取170 L/人.日。日变化系数宜采用1.4~1.7，本工程日变化系数近期取1.6，远期取1.5。《镇（乡）村给水工程技术规程》（CJJ123-2008）规定，公共建筑用水量可按居民生活用水量的8%~25%计算，本工程取15%。综合排放系数取 0.8，近期污水收集率取70%，远期污水收集率取85%。 </w:t>
      </w:r>
    </w:p>
    <w:p w14:paraId="15BB1F00">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至近期2026年，镇区规划人口约1.4万人，综合生活污水量为：</w:t>
      </w:r>
    </w:p>
    <w:p w14:paraId="0F5310E2">
      <w:pPr>
        <w:spacing w:line="360" w:lineRule="auto"/>
        <w:ind w:firstLine="480" w:firstLineChars="200"/>
        <w:jc w:val="center"/>
        <w:rPr>
          <w:rFonts w:hint="eastAsia"/>
          <w:color w:val="auto"/>
          <w:sz w:val="24"/>
          <w:highlight w:val="none"/>
          <w:lang w:val="en-US" w:eastAsia="zh-CN"/>
        </w:rPr>
      </w:pPr>
      <w:r>
        <w:rPr>
          <w:rFonts w:hint="eastAsia"/>
          <w:color w:val="auto"/>
          <w:sz w:val="24"/>
          <w:highlight w:val="none"/>
          <w:lang w:val="en-US" w:eastAsia="zh-CN"/>
        </w:rPr>
        <w:t>14000*150*（1+15%）*0.8*0.70=1352.4m</w:t>
      </w:r>
      <w:r>
        <w:rPr>
          <w:rFonts w:hint="default" w:ascii="Times New Roman" w:hAnsi="Times New Roman" w:eastAsia="宋体" w:cs="Times New Roman"/>
          <w:color w:val="auto"/>
          <w:sz w:val="24"/>
          <w:szCs w:val="24"/>
          <w:vertAlign w:val="superscript"/>
          <w:lang w:val="en-US" w:eastAsia="zh-CN"/>
        </w:rPr>
        <w:t>3</w:t>
      </w:r>
      <w:r>
        <w:rPr>
          <w:rFonts w:hint="eastAsia"/>
          <w:color w:val="auto"/>
          <w:sz w:val="24"/>
          <w:highlight w:val="none"/>
          <w:lang w:val="en-US" w:eastAsia="zh-CN"/>
        </w:rPr>
        <w:t>/d</w:t>
      </w:r>
    </w:p>
    <w:p w14:paraId="01641A21">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 xml:space="preserve">至远期2031年，镇区规划人口约1.5万人，综合生活污水量为： </w:t>
      </w:r>
    </w:p>
    <w:p w14:paraId="6CF8D06A">
      <w:pPr>
        <w:spacing w:line="360" w:lineRule="auto"/>
        <w:ind w:firstLine="480" w:firstLineChars="200"/>
        <w:jc w:val="center"/>
        <w:rPr>
          <w:rFonts w:hint="eastAsia"/>
          <w:color w:val="auto"/>
          <w:sz w:val="24"/>
          <w:highlight w:val="none"/>
          <w:lang w:val="en-US" w:eastAsia="zh-CN"/>
        </w:rPr>
      </w:pPr>
      <w:r>
        <w:rPr>
          <w:rFonts w:hint="eastAsia"/>
          <w:color w:val="auto"/>
          <w:sz w:val="24"/>
          <w:highlight w:val="none"/>
          <w:lang w:val="en-US" w:eastAsia="zh-CN"/>
        </w:rPr>
        <w:t>15000*170*（1+15%）*0.8*0.85=1994.1m</w:t>
      </w:r>
      <w:r>
        <w:rPr>
          <w:rFonts w:hint="default" w:ascii="Times New Roman" w:hAnsi="Times New Roman" w:eastAsia="宋体" w:cs="Times New Roman"/>
          <w:color w:val="auto"/>
          <w:sz w:val="24"/>
          <w:szCs w:val="24"/>
          <w:vertAlign w:val="superscript"/>
          <w:lang w:val="en-US" w:eastAsia="zh-CN"/>
        </w:rPr>
        <w:t>3</w:t>
      </w:r>
      <w:r>
        <w:rPr>
          <w:rFonts w:hint="eastAsia"/>
          <w:color w:val="auto"/>
          <w:sz w:val="24"/>
          <w:highlight w:val="none"/>
          <w:lang w:val="en-US" w:eastAsia="zh-CN"/>
        </w:rPr>
        <w:t>/d</w:t>
      </w:r>
    </w:p>
    <w:p w14:paraId="0433C7B3">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 xml:space="preserve">（2）总污水量 </w:t>
      </w:r>
    </w:p>
    <w:p w14:paraId="41910AE9">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 xml:space="preserve">镇区污水量为生活污水量，并考虑一定量的地下水渗入量。地下水渗入量按生活污水量及工业废水量之和的5%计算。 </w:t>
      </w:r>
    </w:p>
    <w:p w14:paraId="07A8F019">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 xml:space="preserve">至近期2026年，总污水量为： </w:t>
      </w:r>
    </w:p>
    <w:p w14:paraId="7CC73D81">
      <w:pPr>
        <w:spacing w:line="360" w:lineRule="auto"/>
        <w:ind w:firstLine="480" w:firstLineChars="200"/>
        <w:jc w:val="center"/>
        <w:rPr>
          <w:rFonts w:hint="eastAsia"/>
          <w:color w:val="auto"/>
          <w:sz w:val="24"/>
          <w:highlight w:val="none"/>
          <w:lang w:val="en-US" w:eastAsia="zh-CN"/>
        </w:rPr>
      </w:pPr>
      <w:r>
        <w:rPr>
          <w:rFonts w:hint="eastAsia"/>
          <w:color w:val="auto"/>
          <w:sz w:val="24"/>
          <w:highlight w:val="none"/>
          <w:lang w:val="en-US" w:eastAsia="zh-CN"/>
        </w:rPr>
        <w:t>1352.4*（1+5%）=1420.02m</w:t>
      </w:r>
      <w:r>
        <w:rPr>
          <w:rFonts w:hint="default" w:ascii="Times New Roman" w:hAnsi="Times New Roman" w:eastAsia="宋体" w:cs="Times New Roman"/>
          <w:color w:val="auto"/>
          <w:sz w:val="24"/>
          <w:szCs w:val="24"/>
          <w:vertAlign w:val="superscript"/>
          <w:lang w:val="en-US" w:eastAsia="zh-CN"/>
        </w:rPr>
        <w:t>3</w:t>
      </w:r>
      <w:r>
        <w:rPr>
          <w:rFonts w:hint="eastAsia"/>
          <w:color w:val="auto"/>
          <w:sz w:val="24"/>
          <w:highlight w:val="none"/>
          <w:lang w:val="en-US" w:eastAsia="zh-CN"/>
        </w:rPr>
        <w:t>/d</w:t>
      </w:r>
    </w:p>
    <w:p w14:paraId="36EA1764">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 xml:space="preserve">至远期2031年，总污水量为： </w:t>
      </w:r>
    </w:p>
    <w:p w14:paraId="26A48139">
      <w:pPr>
        <w:spacing w:line="360" w:lineRule="auto"/>
        <w:ind w:firstLine="480" w:firstLineChars="200"/>
        <w:jc w:val="center"/>
        <w:rPr>
          <w:rFonts w:hint="eastAsia"/>
          <w:color w:val="auto"/>
          <w:sz w:val="24"/>
          <w:highlight w:val="none"/>
          <w:lang w:val="en-US" w:eastAsia="zh-CN"/>
        </w:rPr>
      </w:pPr>
      <w:r>
        <w:rPr>
          <w:rFonts w:hint="eastAsia"/>
          <w:color w:val="auto"/>
          <w:sz w:val="24"/>
          <w:highlight w:val="none"/>
          <w:lang w:val="en-US" w:eastAsia="zh-CN"/>
        </w:rPr>
        <w:t>1994.1*（1+5%）=2093.81m</w:t>
      </w:r>
      <w:r>
        <w:rPr>
          <w:rFonts w:hint="default" w:ascii="Times New Roman" w:hAnsi="Times New Roman" w:eastAsia="宋体" w:cs="Times New Roman"/>
          <w:color w:val="auto"/>
          <w:sz w:val="24"/>
          <w:szCs w:val="24"/>
          <w:vertAlign w:val="superscript"/>
          <w:lang w:val="en-US" w:eastAsia="zh-CN"/>
        </w:rPr>
        <w:t>3</w:t>
      </w:r>
      <w:r>
        <w:rPr>
          <w:rFonts w:hint="eastAsia"/>
          <w:color w:val="auto"/>
          <w:sz w:val="24"/>
          <w:highlight w:val="none"/>
          <w:lang w:val="en-US" w:eastAsia="zh-CN"/>
        </w:rPr>
        <w:t>/d</w:t>
      </w:r>
    </w:p>
    <w:p w14:paraId="4060A997">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根据污水量预测分析，考虑一定余量，大八镇镇区污水处理规模为：近期（2026）年，污水处理厂规模为1500m</w:t>
      </w:r>
      <w:r>
        <w:rPr>
          <w:rFonts w:hint="default" w:ascii="Times New Roman" w:hAnsi="Times New Roman" w:eastAsia="宋体" w:cs="Times New Roman"/>
          <w:color w:val="auto"/>
          <w:sz w:val="24"/>
          <w:szCs w:val="24"/>
          <w:vertAlign w:val="superscript"/>
          <w:lang w:val="en-US" w:eastAsia="zh-CN"/>
        </w:rPr>
        <w:t>3</w:t>
      </w:r>
      <w:r>
        <w:rPr>
          <w:rFonts w:hint="eastAsia"/>
          <w:color w:val="auto"/>
          <w:sz w:val="24"/>
          <w:highlight w:val="none"/>
          <w:lang w:val="en-US" w:eastAsia="zh-CN"/>
        </w:rPr>
        <w:t>/d；远期（2031年），污水处理厂规模为3000m</w:t>
      </w:r>
      <w:r>
        <w:rPr>
          <w:rFonts w:hint="default" w:ascii="Times New Roman" w:hAnsi="Times New Roman" w:eastAsia="宋体" w:cs="Times New Roman"/>
          <w:color w:val="auto"/>
          <w:sz w:val="24"/>
          <w:szCs w:val="24"/>
          <w:vertAlign w:val="superscript"/>
          <w:lang w:val="en-US" w:eastAsia="zh-CN"/>
        </w:rPr>
        <w:t>3</w:t>
      </w:r>
      <w:r>
        <w:rPr>
          <w:rFonts w:hint="eastAsia"/>
          <w:color w:val="auto"/>
          <w:sz w:val="24"/>
          <w:highlight w:val="none"/>
          <w:lang w:val="en-US" w:eastAsia="zh-CN"/>
        </w:rPr>
        <w:t xml:space="preserve">/d。 </w:t>
      </w:r>
    </w:p>
    <w:p w14:paraId="30AE8706">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考虑到本工程的建设期，且近远期间距年限较短，本次设计大八镇污水处理厂按远期一次性建成，不分期建设。</w:t>
      </w:r>
    </w:p>
    <w:p w14:paraId="3FE0FB63">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bookmarkStart w:id="61" w:name="_Toc25466"/>
      <w:bookmarkStart w:id="62" w:name="_Toc9598"/>
      <w:r>
        <w:rPr>
          <w:rFonts w:hint="eastAsia"/>
          <w:color w:val="auto"/>
          <w:lang w:val="en-US" w:eastAsia="zh-CN"/>
        </w:rPr>
        <w:t>废污水所含主要污染物种类及其排放浓度、总量</w:t>
      </w:r>
      <w:bookmarkEnd w:id="61"/>
      <w:bookmarkEnd w:id="62"/>
    </w:p>
    <w:p w14:paraId="5FA7EEEC">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主要污染物及设计进水浓度</w:t>
      </w:r>
    </w:p>
    <w:p w14:paraId="773192AC">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污水处理厂进水污染物浓度的高低决定污水处理工艺流程的选择，与污水厂的基建投资和运行费用密切相关。然而，污水厂进水水质又与居民生活水平、 生活用水量以及污水收集方式等关联。</w:t>
      </w:r>
    </w:p>
    <w:p w14:paraId="6B3F34A9">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阳东区大八镇污水处理厂尾水中主要污染物为COD</w:t>
      </w:r>
      <w:r>
        <w:rPr>
          <w:rFonts w:hint="eastAsia" w:ascii="Times New Roman" w:hAnsi="Times New Roman" w:eastAsia="宋体" w:cs="Times New Roman"/>
          <w:b/>
          <w:bCs/>
          <w:color w:val="auto"/>
          <w:kern w:val="2"/>
          <w:sz w:val="21"/>
          <w:szCs w:val="21"/>
          <w:vertAlign w:val="subscript"/>
          <w:lang w:val="en-US" w:eastAsia="zh-CN" w:bidi="ar-SA"/>
        </w:rPr>
        <w:t>Cr</w:t>
      </w:r>
      <w:r>
        <w:rPr>
          <w:rFonts w:hint="eastAsia"/>
          <w:color w:val="auto"/>
          <w:sz w:val="24"/>
          <w:highlight w:val="none"/>
          <w:lang w:val="en-US" w:eastAsia="zh-CN"/>
        </w:rPr>
        <w:t>、BOD</w:t>
      </w:r>
      <w:r>
        <w:rPr>
          <w:rFonts w:hint="eastAsia" w:ascii="Times New Roman" w:hAnsi="Times New Roman" w:eastAsia="宋体" w:cs="Times New Roman"/>
          <w:b/>
          <w:bCs/>
          <w:color w:val="auto"/>
          <w:kern w:val="2"/>
          <w:sz w:val="21"/>
          <w:szCs w:val="21"/>
          <w:vertAlign w:val="subscript"/>
          <w:lang w:val="en-US" w:eastAsia="zh-CN" w:bidi="ar-SA"/>
        </w:rPr>
        <w:t>5</w:t>
      </w:r>
      <w:r>
        <w:rPr>
          <w:rFonts w:hint="eastAsia"/>
          <w:color w:val="auto"/>
          <w:sz w:val="24"/>
          <w:highlight w:val="none"/>
          <w:lang w:val="en-US" w:eastAsia="zh-CN"/>
        </w:rPr>
        <w:t>、SS、氨氮和总磷等， 进水水质如下：</w:t>
      </w:r>
    </w:p>
    <w:p w14:paraId="29151443">
      <w:pPr>
        <w:spacing w:line="240" w:lineRule="auto"/>
        <w:ind w:firstLine="422" w:firstLineChars="200"/>
        <w:jc w:val="center"/>
        <w:rPr>
          <w:b/>
          <w:bCs/>
          <w:color w:val="auto"/>
          <w:sz w:val="21"/>
          <w:szCs w:val="21"/>
        </w:rPr>
      </w:pPr>
      <w:r>
        <w:rPr>
          <w:rFonts w:hint="eastAsia" w:ascii="Times New Roman" w:hAnsi="Times New Roman" w:eastAsia="宋体" w:cs="Times New Roman"/>
          <w:b/>
          <w:bCs/>
          <w:color w:val="auto"/>
          <w:sz w:val="21"/>
          <w:szCs w:val="21"/>
          <w:highlight w:val="none"/>
          <w:lang w:val="en-US" w:eastAsia="zh-CN"/>
        </w:rPr>
        <w:t>表</w:t>
      </w:r>
      <w:r>
        <w:rPr>
          <w:rFonts w:hint="eastAsia" w:cs="Times New Roman"/>
          <w:b/>
          <w:bCs/>
          <w:color w:val="auto"/>
          <w:sz w:val="21"/>
          <w:szCs w:val="21"/>
          <w:highlight w:val="none"/>
          <w:lang w:val="en-US" w:eastAsia="zh-CN"/>
        </w:rPr>
        <w:t>6.2</w:t>
      </w:r>
      <w:r>
        <w:rPr>
          <w:rFonts w:hint="eastAsia" w:ascii="Times New Roman" w:hAnsi="Times New Roman" w:eastAsia="宋体" w:cs="Times New Roman"/>
          <w:b/>
          <w:bCs/>
          <w:color w:val="auto"/>
          <w:sz w:val="21"/>
          <w:szCs w:val="21"/>
          <w:highlight w:val="none"/>
          <w:lang w:val="en-US" w:eastAsia="zh-CN"/>
        </w:rPr>
        <w:t>-</w:t>
      </w:r>
      <w:r>
        <w:rPr>
          <w:rFonts w:hint="eastAsia" w:cs="Times New Roman"/>
          <w:b/>
          <w:bCs/>
          <w:color w:val="auto"/>
          <w:sz w:val="21"/>
          <w:szCs w:val="21"/>
          <w:highlight w:val="none"/>
          <w:lang w:val="en-US" w:eastAsia="zh-CN"/>
        </w:rPr>
        <w:t>1</w:t>
      </w:r>
      <w:r>
        <w:rPr>
          <w:rFonts w:hint="eastAsia"/>
          <w:b/>
          <w:bCs/>
          <w:color w:val="auto"/>
          <w:sz w:val="21"/>
          <w:szCs w:val="21"/>
          <w:highlight w:val="none"/>
          <w:lang w:val="en-US" w:eastAsia="zh-CN"/>
        </w:rPr>
        <w:t>阳东区大八镇污水处理厂设计进水水质指标表</w:t>
      </w:r>
    </w:p>
    <w:tbl>
      <w:tblPr>
        <w:tblStyle w:val="31"/>
        <w:tblW w:w="8738" w:type="dxa"/>
        <w:tblInd w:w="340" w:type="dxa"/>
        <w:tblLayout w:type="fixed"/>
        <w:tblCellMar>
          <w:top w:w="0" w:type="dxa"/>
          <w:left w:w="0" w:type="dxa"/>
          <w:bottom w:w="0" w:type="dxa"/>
          <w:right w:w="0" w:type="dxa"/>
        </w:tblCellMar>
      </w:tblPr>
      <w:tblGrid>
        <w:gridCol w:w="2581"/>
        <w:gridCol w:w="657"/>
        <w:gridCol w:w="1039"/>
        <w:gridCol w:w="911"/>
        <w:gridCol w:w="911"/>
        <w:gridCol w:w="1009"/>
        <w:gridCol w:w="783"/>
        <w:gridCol w:w="847"/>
      </w:tblGrid>
      <w:tr w14:paraId="786CF5A7">
        <w:tblPrEx>
          <w:tblCellMar>
            <w:top w:w="0" w:type="dxa"/>
            <w:left w:w="0" w:type="dxa"/>
            <w:bottom w:w="0" w:type="dxa"/>
            <w:right w:w="0" w:type="dxa"/>
          </w:tblCellMar>
        </w:tblPrEx>
        <w:trPr>
          <w:trHeight w:val="418" w:hRule="exact"/>
        </w:trPr>
        <w:tc>
          <w:tcPr>
            <w:tcW w:w="2581" w:type="dxa"/>
            <w:tcBorders>
              <w:top w:val="single" w:color="000000" w:sz="4" w:space="0"/>
              <w:left w:val="single" w:color="000000" w:sz="4" w:space="0"/>
              <w:bottom w:val="single" w:color="000000" w:sz="4" w:space="0"/>
              <w:right w:val="single" w:color="000000" w:sz="4" w:space="0"/>
            </w:tcBorders>
            <w:vAlign w:val="center"/>
          </w:tcPr>
          <w:p w14:paraId="3089B417">
            <w:pPr>
              <w:pStyle w:val="56"/>
              <w:bidi w:val="0"/>
              <w:jc w:val="center"/>
              <w:rPr>
                <w:b/>
                <w:bCs/>
                <w:color w:val="auto"/>
              </w:rPr>
            </w:pPr>
            <w:r>
              <w:rPr>
                <w:b/>
                <w:bCs/>
                <w:color w:val="auto"/>
              </w:rPr>
              <w:t>污染物</w:t>
            </w:r>
          </w:p>
        </w:tc>
        <w:tc>
          <w:tcPr>
            <w:tcW w:w="657" w:type="dxa"/>
            <w:tcBorders>
              <w:top w:val="single" w:color="000000" w:sz="4" w:space="0"/>
              <w:left w:val="single" w:color="000000" w:sz="4" w:space="0"/>
              <w:bottom w:val="single" w:color="000000" w:sz="4" w:space="0"/>
              <w:right w:val="single" w:color="000000" w:sz="4" w:space="0"/>
            </w:tcBorders>
            <w:vAlign w:val="center"/>
          </w:tcPr>
          <w:p w14:paraId="715F1BF4">
            <w:pPr>
              <w:pStyle w:val="56"/>
              <w:bidi w:val="0"/>
              <w:jc w:val="center"/>
              <w:rPr>
                <w:b/>
                <w:bCs/>
                <w:color w:val="auto"/>
              </w:rPr>
            </w:pPr>
            <w:r>
              <w:rPr>
                <w:b/>
                <w:bCs/>
                <w:color w:val="auto"/>
              </w:rPr>
              <w:t>pH</w:t>
            </w:r>
          </w:p>
        </w:tc>
        <w:tc>
          <w:tcPr>
            <w:tcW w:w="1039" w:type="dxa"/>
            <w:tcBorders>
              <w:top w:val="single" w:color="000000" w:sz="4" w:space="0"/>
              <w:left w:val="single" w:color="000000" w:sz="4" w:space="0"/>
              <w:bottom w:val="single" w:color="000000" w:sz="4" w:space="0"/>
              <w:right w:val="single" w:color="000000" w:sz="4" w:space="0"/>
            </w:tcBorders>
            <w:vAlign w:val="center"/>
          </w:tcPr>
          <w:p w14:paraId="45D587B8">
            <w:pPr>
              <w:pStyle w:val="56"/>
              <w:bidi w:val="0"/>
              <w:jc w:val="center"/>
              <w:rPr>
                <w:b/>
                <w:bCs/>
                <w:color w:val="auto"/>
              </w:rPr>
            </w:pPr>
            <w:r>
              <w:rPr>
                <w:b/>
                <w:bCs/>
                <w:color w:val="auto"/>
              </w:rPr>
              <w:t>COD</w:t>
            </w:r>
            <w:r>
              <w:rPr>
                <w:b/>
                <w:bCs/>
                <w:color w:val="auto"/>
                <w:vertAlign w:val="subscript"/>
              </w:rPr>
              <w:t>Cr</w:t>
            </w:r>
          </w:p>
        </w:tc>
        <w:tc>
          <w:tcPr>
            <w:tcW w:w="911" w:type="dxa"/>
            <w:tcBorders>
              <w:top w:val="single" w:color="000000" w:sz="4" w:space="0"/>
              <w:left w:val="single" w:color="000000" w:sz="4" w:space="0"/>
              <w:bottom w:val="single" w:color="000000" w:sz="4" w:space="0"/>
              <w:right w:val="single" w:color="000000" w:sz="4" w:space="0"/>
            </w:tcBorders>
            <w:vAlign w:val="center"/>
          </w:tcPr>
          <w:p w14:paraId="545ED3B6">
            <w:pPr>
              <w:pStyle w:val="56"/>
              <w:bidi w:val="0"/>
              <w:jc w:val="center"/>
              <w:rPr>
                <w:b/>
                <w:bCs/>
                <w:color w:val="auto"/>
              </w:rPr>
            </w:pPr>
            <w:r>
              <w:rPr>
                <w:b/>
                <w:bCs/>
                <w:color w:val="auto"/>
              </w:rPr>
              <w:t>BOD</w:t>
            </w:r>
            <w:r>
              <w:rPr>
                <w:b/>
                <w:bCs/>
                <w:color w:val="auto"/>
                <w:vertAlign w:val="subscript"/>
              </w:rPr>
              <w:t>5</w:t>
            </w:r>
          </w:p>
        </w:tc>
        <w:tc>
          <w:tcPr>
            <w:tcW w:w="911" w:type="dxa"/>
            <w:tcBorders>
              <w:top w:val="single" w:color="000000" w:sz="4" w:space="0"/>
              <w:left w:val="single" w:color="000000" w:sz="4" w:space="0"/>
              <w:bottom w:val="single" w:color="000000" w:sz="4" w:space="0"/>
              <w:right w:val="single" w:color="000000" w:sz="4" w:space="0"/>
            </w:tcBorders>
            <w:vAlign w:val="center"/>
          </w:tcPr>
          <w:p w14:paraId="48338F19">
            <w:pPr>
              <w:pStyle w:val="56"/>
              <w:bidi w:val="0"/>
              <w:jc w:val="center"/>
              <w:rPr>
                <w:b/>
                <w:bCs/>
                <w:color w:val="auto"/>
              </w:rPr>
            </w:pPr>
            <w:r>
              <w:rPr>
                <w:b/>
                <w:bCs/>
                <w:color w:val="auto"/>
              </w:rPr>
              <w:t>SS</w:t>
            </w:r>
          </w:p>
        </w:tc>
        <w:tc>
          <w:tcPr>
            <w:tcW w:w="1009" w:type="dxa"/>
            <w:tcBorders>
              <w:top w:val="single" w:color="000000" w:sz="4" w:space="0"/>
              <w:left w:val="single" w:color="000000" w:sz="4" w:space="0"/>
              <w:bottom w:val="single" w:color="000000" w:sz="4" w:space="0"/>
              <w:right w:val="single" w:color="000000" w:sz="4" w:space="0"/>
            </w:tcBorders>
            <w:vAlign w:val="center"/>
          </w:tcPr>
          <w:p w14:paraId="476BAD3A">
            <w:pPr>
              <w:pStyle w:val="56"/>
              <w:bidi w:val="0"/>
              <w:jc w:val="center"/>
              <w:rPr>
                <w:b/>
                <w:bCs/>
                <w:color w:val="auto"/>
              </w:rPr>
            </w:pPr>
            <w:r>
              <w:rPr>
                <w:b/>
                <w:bCs/>
                <w:color w:val="auto"/>
              </w:rPr>
              <w:t>NH</w:t>
            </w:r>
            <w:r>
              <w:rPr>
                <w:b/>
                <w:bCs/>
                <w:color w:val="auto"/>
                <w:vertAlign w:val="subscript"/>
              </w:rPr>
              <w:t>3</w:t>
            </w:r>
            <w:r>
              <w:rPr>
                <w:b/>
                <w:bCs/>
                <w:color w:val="auto"/>
              </w:rPr>
              <w:t>-N</w:t>
            </w:r>
          </w:p>
        </w:tc>
        <w:tc>
          <w:tcPr>
            <w:tcW w:w="783" w:type="dxa"/>
            <w:tcBorders>
              <w:top w:val="single" w:color="000000" w:sz="4" w:space="0"/>
              <w:left w:val="single" w:color="000000" w:sz="4" w:space="0"/>
              <w:bottom w:val="single" w:color="000000" w:sz="4" w:space="0"/>
              <w:right w:val="single" w:color="000000" w:sz="4" w:space="0"/>
            </w:tcBorders>
            <w:vAlign w:val="center"/>
          </w:tcPr>
          <w:p w14:paraId="7E71BF26">
            <w:pPr>
              <w:pStyle w:val="56"/>
              <w:bidi w:val="0"/>
              <w:jc w:val="center"/>
              <w:rPr>
                <w:b/>
                <w:bCs/>
                <w:color w:val="auto"/>
              </w:rPr>
            </w:pPr>
            <w:r>
              <w:rPr>
                <w:b/>
                <w:bCs/>
                <w:color w:val="auto"/>
              </w:rPr>
              <w:t>TN</w:t>
            </w:r>
          </w:p>
        </w:tc>
        <w:tc>
          <w:tcPr>
            <w:tcW w:w="847" w:type="dxa"/>
            <w:tcBorders>
              <w:top w:val="single" w:color="000000" w:sz="4" w:space="0"/>
              <w:left w:val="single" w:color="000000" w:sz="4" w:space="0"/>
              <w:bottom w:val="single" w:color="000000" w:sz="4" w:space="0"/>
              <w:right w:val="single" w:color="000000" w:sz="4" w:space="0"/>
            </w:tcBorders>
            <w:vAlign w:val="center"/>
          </w:tcPr>
          <w:p w14:paraId="0EEDCA4B">
            <w:pPr>
              <w:pStyle w:val="56"/>
              <w:bidi w:val="0"/>
              <w:jc w:val="center"/>
              <w:rPr>
                <w:b/>
                <w:bCs/>
                <w:color w:val="auto"/>
              </w:rPr>
            </w:pPr>
            <w:r>
              <w:rPr>
                <w:b/>
                <w:bCs/>
                <w:color w:val="auto"/>
              </w:rPr>
              <w:t>TP</w:t>
            </w:r>
          </w:p>
        </w:tc>
      </w:tr>
      <w:tr w14:paraId="1125F0E0">
        <w:tblPrEx>
          <w:tblCellMar>
            <w:top w:w="0" w:type="dxa"/>
            <w:left w:w="0" w:type="dxa"/>
            <w:bottom w:w="0" w:type="dxa"/>
            <w:right w:w="0" w:type="dxa"/>
          </w:tblCellMar>
        </w:tblPrEx>
        <w:trPr>
          <w:trHeight w:val="419" w:hRule="exact"/>
        </w:trPr>
        <w:tc>
          <w:tcPr>
            <w:tcW w:w="2581" w:type="dxa"/>
            <w:tcBorders>
              <w:top w:val="single" w:color="000000" w:sz="4" w:space="0"/>
              <w:left w:val="single" w:color="000000" w:sz="4" w:space="0"/>
              <w:bottom w:val="single" w:color="000000" w:sz="4" w:space="0"/>
              <w:right w:val="single" w:color="000000" w:sz="4" w:space="0"/>
            </w:tcBorders>
            <w:vAlign w:val="center"/>
          </w:tcPr>
          <w:p w14:paraId="07E83DC5">
            <w:pPr>
              <w:pStyle w:val="56"/>
              <w:bidi w:val="0"/>
              <w:jc w:val="center"/>
              <w:rPr>
                <w:color w:val="auto"/>
              </w:rPr>
            </w:pPr>
            <w:r>
              <w:rPr>
                <w:color w:val="auto"/>
              </w:rPr>
              <w:t>设计进水水质（mg/L）</w:t>
            </w:r>
          </w:p>
        </w:tc>
        <w:tc>
          <w:tcPr>
            <w:tcW w:w="657" w:type="dxa"/>
            <w:tcBorders>
              <w:top w:val="single" w:color="000000" w:sz="4" w:space="0"/>
              <w:left w:val="single" w:color="000000" w:sz="4" w:space="0"/>
              <w:bottom w:val="single" w:color="000000" w:sz="4" w:space="0"/>
              <w:right w:val="single" w:color="000000" w:sz="4" w:space="0"/>
            </w:tcBorders>
            <w:vAlign w:val="center"/>
          </w:tcPr>
          <w:p w14:paraId="16C2432D">
            <w:pPr>
              <w:spacing w:line="240" w:lineRule="auto"/>
              <w:ind w:firstLine="0" w:firstLineChars="0"/>
              <w:jc w:val="center"/>
              <w:rPr>
                <w:color w:val="auto"/>
              </w:rPr>
            </w:pPr>
            <w:r>
              <w:rPr>
                <w:rFonts w:hint="default" w:ascii="Times New Roman" w:hAnsi="Times New Roman" w:cs="Times New Roman"/>
                <w:color w:val="auto"/>
                <w:sz w:val="21"/>
                <w:szCs w:val="21"/>
              </w:rPr>
              <w:t>6~9</w:t>
            </w:r>
          </w:p>
        </w:tc>
        <w:tc>
          <w:tcPr>
            <w:tcW w:w="1039" w:type="dxa"/>
            <w:tcBorders>
              <w:top w:val="single" w:color="000000" w:sz="4" w:space="0"/>
              <w:left w:val="single" w:color="000000" w:sz="4" w:space="0"/>
              <w:bottom w:val="single" w:color="000000" w:sz="4" w:space="0"/>
              <w:right w:val="single" w:color="000000" w:sz="4" w:space="0"/>
            </w:tcBorders>
            <w:vAlign w:val="center"/>
          </w:tcPr>
          <w:p w14:paraId="235CCD27">
            <w:pPr>
              <w:spacing w:line="240" w:lineRule="auto"/>
              <w:ind w:firstLine="0" w:firstLineChars="0"/>
              <w:jc w:val="center"/>
              <w:rPr>
                <w:rFonts w:hint="default" w:eastAsia="宋体"/>
                <w:color w:val="auto"/>
                <w:lang w:val="en-US" w:eastAsia="zh-CN"/>
              </w:rPr>
            </w:pPr>
            <w:r>
              <w:rPr>
                <w:rFonts w:hint="default" w:ascii="Times New Roman" w:hAnsi="Times New Roman" w:cs="Times New Roman"/>
                <w:color w:val="auto"/>
                <w:sz w:val="21"/>
                <w:szCs w:val="21"/>
                <w:lang w:val="en-US" w:eastAsia="zh-CN"/>
              </w:rPr>
              <w:t>≤</w:t>
            </w:r>
            <w:r>
              <w:rPr>
                <w:rFonts w:hint="default" w:ascii="Times New Roman" w:hAnsi="Times New Roman" w:cs="Times New Roman"/>
                <w:color w:val="auto"/>
                <w:kern w:val="0"/>
                <w:szCs w:val="21"/>
              </w:rPr>
              <w:t>260</w:t>
            </w:r>
          </w:p>
        </w:tc>
        <w:tc>
          <w:tcPr>
            <w:tcW w:w="911" w:type="dxa"/>
            <w:tcBorders>
              <w:top w:val="single" w:color="000000" w:sz="4" w:space="0"/>
              <w:left w:val="single" w:color="000000" w:sz="4" w:space="0"/>
              <w:bottom w:val="single" w:color="000000" w:sz="4" w:space="0"/>
              <w:right w:val="single" w:color="000000" w:sz="4" w:space="0"/>
            </w:tcBorders>
            <w:vAlign w:val="center"/>
          </w:tcPr>
          <w:p w14:paraId="1961F9D3">
            <w:pPr>
              <w:spacing w:line="240" w:lineRule="auto"/>
              <w:ind w:firstLine="0" w:firstLineChars="0"/>
              <w:jc w:val="center"/>
              <w:rPr>
                <w:rFonts w:hint="default" w:eastAsia="宋体"/>
                <w:color w:val="auto"/>
                <w:lang w:val="en-US" w:eastAsia="zh-CN"/>
              </w:rPr>
            </w:pPr>
            <w:r>
              <w:rPr>
                <w:rFonts w:hint="default" w:ascii="Times New Roman" w:hAnsi="Times New Roman" w:cs="Times New Roman"/>
                <w:color w:val="auto"/>
                <w:sz w:val="21"/>
                <w:szCs w:val="21"/>
                <w:lang w:val="en-US" w:eastAsia="zh-CN"/>
              </w:rPr>
              <w:t>≤</w:t>
            </w:r>
            <w:r>
              <w:rPr>
                <w:rFonts w:hint="default" w:ascii="Times New Roman" w:hAnsi="Times New Roman" w:cs="Times New Roman"/>
                <w:color w:val="auto"/>
                <w:kern w:val="0"/>
                <w:szCs w:val="21"/>
              </w:rPr>
              <w:t>150</w:t>
            </w:r>
          </w:p>
        </w:tc>
        <w:tc>
          <w:tcPr>
            <w:tcW w:w="911" w:type="dxa"/>
            <w:tcBorders>
              <w:top w:val="single" w:color="000000" w:sz="4" w:space="0"/>
              <w:left w:val="single" w:color="000000" w:sz="4" w:space="0"/>
              <w:bottom w:val="single" w:color="000000" w:sz="4" w:space="0"/>
              <w:right w:val="single" w:color="000000" w:sz="4" w:space="0"/>
            </w:tcBorders>
            <w:vAlign w:val="center"/>
          </w:tcPr>
          <w:p w14:paraId="7273A6AF">
            <w:pPr>
              <w:spacing w:line="240" w:lineRule="auto"/>
              <w:ind w:firstLine="0" w:firstLineChars="0"/>
              <w:jc w:val="center"/>
              <w:rPr>
                <w:rFonts w:hint="default" w:eastAsia="宋体"/>
                <w:color w:val="auto"/>
                <w:lang w:val="en-US" w:eastAsia="zh-CN"/>
              </w:rPr>
            </w:pPr>
            <w:r>
              <w:rPr>
                <w:rFonts w:hint="default" w:ascii="Times New Roman" w:hAnsi="Times New Roman" w:cs="Times New Roman"/>
                <w:color w:val="auto"/>
                <w:sz w:val="21"/>
                <w:szCs w:val="21"/>
                <w:lang w:val="en-US" w:eastAsia="zh-CN"/>
              </w:rPr>
              <w:t>≤150</w:t>
            </w:r>
          </w:p>
        </w:tc>
        <w:tc>
          <w:tcPr>
            <w:tcW w:w="1009" w:type="dxa"/>
            <w:tcBorders>
              <w:top w:val="single" w:color="000000" w:sz="4" w:space="0"/>
              <w:left w:val="single" w:color="000000" w:sz="4" w:space="0"/>
              <w:bottom w:val="single" w:color="000000" w:sz="4" w:space="0"/>
              <w:right w:val="single" w:color="000000" w:sz="4" w:space="0"/>
            </w:tcBorders>
            <w:vAlign w:val="center"/>
          </w:tcPr>
          <w:p w14:paraId="004C195C">
            <w:pPr>
              <w:spacing w:line="240" w:lineRule="auto"/>
              <w:ind w:firstLine="0" w:firstLineChars="0"/>
              <w:jc w:val="center"/>
              <w:rPr>
                <w:rFonts w:hint="default" w:eastAsia="宋体"/>
                <w:color w:val="auto"/>
                <w:lang w:val="en-US" w:eastAsia="zh-CN"/>
              </w:rPr>
            </w:pPr>
            <w:r>
              <w:rPr>
                <w:rFonts w:hint="default" w:ascii="Times New Roman" w:hAnsi="Times New Roman" w:cs="Times New Roman"/>
                <w:color w:val="auto"/>
                <w:sz w:val="21"/>
                <w:szCs w:val="21"/>
                <w:lang w:val="en-US" w:eastAsia="zh-CN"/>
              </w:rPr>
              <w:t>≤25</w:t>
            </w:r>
          </w:p>
        </w:tc>
        <w:tc>
          <w:tcPr>
            <w:tcW w:w="783" w:type="dxa"/>
            <w:tcBorders>
              <w:top w:val="single" w:color="000000" w:sz="4" w:space="0"/>
              <w:left w:val="single" w:color="000000" w:sz="4" w:space="0"/>
              <w:bottom w:val="single" w:color="000000" w:sz="4" w:space="0"/>
              <w:right w:val="single" w:color="000000" w:sz="4" w:space="0"/>
            </w:tcBorders>
            <w:vAlign w:val="center"/>
          </w:tcPr>
          <w:p w14:paraId="57036A62">
            <w:pPr>
              <w:spacing w:line="240" w:lineRule="auto"/>
              <w:ind w:firstLine="0" w:firstLineChars="0"/>
              <w:jc w:val="center"/>
              <w:rPr>
                <w:rFonts w:hint="default" w:eastAsia="宋体"/>
                <w:color w:val="auto"/>
                <w:lang w:val="en-US" w:eastAsia="zh-CN"/>
              </w:rPr>
            </w:pPr>
            <w:r>
              <w:rPr>
                <w:rFonts w:hint="default" w:ascii="Times New Roman" w:hAnsi="Times New Roman" w:cs="Times New Roman"/>
                <w:color w:val="auto"/>
                <w:sz w:val="21"/>
                <w:szCs w:val="21"/>
                <w:lang w:val="en-US" w:eastAsia="zh-CN"/>
              </w:rPr>
              <w:t>≤30</w:t>
            </w:r>
          </w:p>
        </w:tc>
        <w:tc>
          <w:tcPr>
            <w:tcW w:w="847" w:type="dxa"/>
            <w:tcBorders>
              <w:top w:val="single" w:color="000000" w:sz="4" w:space="0"/>
              <w:left w:val="single" w:color="000000" w:sz="4" w:space="0"/>
              <w:bottom w:val="single" w:color="000000" w:sz="4" w:space="0"/>
              <w:right w:val="single" w:color="000000" w:sz="4" w:space="0"/>
            </w:tcBorders>
            <w:vAlign w:val="center"/>
          </w:tcPr>
          <w:p w14:paraId="61F4D398">
            <w:pPr>
              <w:spacing w:line="240" w:lineRule="auto"/>
              <w:ind w:firstLine="0" w:firstLineChars="0"/>
              <w:jc w:val="center"/>
              <w:rPr>
                <w:rFonts w:hint="default" w:eastAsia="宋体"/>
                <w:color w:val="auto"/>
                <w:lang w:val="en-US" w:eastAsia="zh-CN"/>
              </w:rPr>
            </w:pPr>
            <w:r>
              <w:rPr>
                <w:rFonts w:hint="default" w:ascii="Times New Roman" w:hAnsi="Times New Roman" w:cs="Times New Roman"/>
                <w:color w:val="auto"/>
                <w:sz w:val="21"/>
                <w:szCs w:val="21"/>
                <w:lang w:val="en-US" w:eastAsia="zh-CN"/>
              </w:rPr>
              <w:t>≤3.0</w:t>
            </w:r>
          </w:p>
        </w:tc>
      </w:tr>
    </w:tbl>
    <w:p w14:paraId="15CAE9E9">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污水处理站出水水质浓度</w:t>
      </w:r>
    </w:p>
    <w:p w14:paraId="57B526CF">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污水处理厂尾水排入污水厂东北面的排水渠，</w:t>
      </w:r>
      <w:r>
        <w:rPr>
          <w:rFonts w:hint="eastAsia"/>
          <w:color w:val="auto"/>
          <w:sz w:val="24"/>
        </w:rPr>
        <w:t>经</w:t>
      </w:r>
      <w:r>
        <w:rPr>
          <w:rFonts w:hint="eastAsia"/>
          <w:color w:val="auto"/>
          <w:sz w:val="24"/>
          <w:lang w:eastAsia="zh-CN"/>
        </w:rPr>
        <w:t>排水渠</w:t>
      </w:r>
      <w:r>
        <w:rPr>
          <w:rFonts w:hint="eastAsia"/>
          <w:color w:val="auto"/>
          <w:sz w:val="24"/>
        </w:rPr>
        <w:t>流入大八河</w:t>
      </w:r>
      <w:r>
        <w:rPr>
          <w:rFonts w:hint="eastAsia"/>
          <w:color w:val="auto"/>
          <w:sz w:val="24"/>
          <w:highlight w:val="none"/>
          <w:lang w:val="en-US" w:eastAsia="zh-CN"/>
        </w:rPr>
        <w:t xml:space="preserve">；但尾水的排放口，需经相关环保部门批准后，方可进行排放。 </w:t>
      </w:r>
    </w:p>
    <w:p w14:paraId="3C5F45A4">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根据相关政策，污水处理厂出水水质要求达到《城镇污水处理厂污染物排放标准》（GB18918-2002）一级A标准以及《广东省水污染物排放限值》（DB44/26-2001）二时段一级标准中较严格的要求。主要出水水质指标见下表所示。</w:t>
      </w:r>
    </w:p>
    <w:p w14:paraId="11E1FD5C">
      <w:pPr>
        <w:spacing w:line="240" w:lineRule="auto"/>
        <w:ind w:firstLine="422" w:firstLineChars="200"/>
        <w:jc w:val="center"/>
        <w:rPr>
          <w:rFonts w:hint="eastAsia"/>
          <w:b/>
          <w:bCs/>
          <w:color w:val="auto"/>
          <w:sz w:val="21"/>
          <w:szCs w:val="21"/>
          <w:lang w:val="en-US" w:eastAsia="zh-CN"/>
        </w:rPr>
      </w:pPr>
      <w:r>
        <w:rPr>
          <w:rFonts w:hint="eastAsia" w:ascii="Times New Roman" w:hAnsi="Times New Roman" w:eastAsia="宋体" w:cs="Times New Roman"/>
          <w:b/>
          <w:bCs/>
          <w:color w:val="auto"/>
          <w:sz w:val="21"/>
          <w:szCs w:val="21"/>
          <w:highlight w:val="none"/>
          <w:lang w:val="en-US" w:eastAsia="zh-CN"/>
        </w:rPr>
        <w:t>表</w:t>
      </w:r>
      <w:r>
        <w:rPr>
          <w:rFonts w:hint="eastAsia" w:cs="Times New Roman"/>
          <w:b/>
          <w:bCs/>
          <w:color w:val="auto"/>
          <w:sz w:val="21"/>
          <w:szCs w:val="21"/>
          <w:highlight w:val="none"/>
          <w:lang w:val="en-US" w:eastAsia="zh-CN"/>
        </w:rPr>
        <w:t>6.2</w:t>
      </w:r>
      <w:r>
        <w:rPr>
          <w:rFonts w:hint="eastAsia" w:ascii="Times New Roman" w:hAnsi="Times New Roman" w:eastAsia="宋体" w:cs="Times New Roman"/>
          <w:b/>
          <w:bCs/>
          <w:color w:val="auto"/>
          <w:sz w:val="21"/>
          <w:szCs w:val="21"/>
          <w:highlight w:val="none"/>
          <w:lang w:val="en-US" w:eastAsia="zh-CN"/>
        </w:rPr>
        <w:t>-</w:t>
      </w:r>
      <w:r>
        <w:rPr>
          <w:rFonts w:hint="eastAsia" w:cs="Times New Roman"/>
          <w:b/>
          <w:bCs/>
          <w:color w:val="auto"/>
          <w:sz w:val="21"/>
          <w:szCs w:val="21"/>
          <w:highlight w:val="none"/>
          <w:lang w:val="en-US" w:eastAsia="zh-CN"/>
        </w:rPr>
        <w:t>2</w:t>
      </w:r>
      <w:r>
        <w:rPr>
          <w:rFonts w:hint="eastAsia"/>
          <w:b/>
          <w:bCs/>
          <w:color w:val="auto"/>
          <w:sz w:val="21"/>
          <w:szCs w:val="21"/>
          <w:highlight w:val="none"/>
          <w:lang w:val="en-US" w:eastAsia="zh-CN"/>
        </w:rPr>
        <w:t>阳东区大八镇污水处理厂设计出水水质指标表</w:t>
      </w:r>
    </w:p>
    <w:tbl>
      <w:tblPr>
        <w:tblStyle w:val="31"/>
        <w:tblW w:w="4940" w:type="pct"/>
        <w:tblInd w:w="0" w:type="dxa"/>
        <w:tblLayout w:type="autofit"/>
        <w:tblCellMar>
          <w:top w:w="0" w:type="dxa"/>
          <w:left w:w="0" w:type="dxa"/>
          <w:bottom w:w="0" w:type="dxa"/>
          <w:right w:w="0" w:type="dxa"/>
        </w:tblCellMar>
      </w:tblPr>
      <w:tblGrid>
        <w:gridCol w:w="1455"/>
        <w:gridCol w:w="731"/>
        <w:gridCol w:w="898"/>
        <w:gridCol w:w="948"/>
        <w:gridCol w:w="749"/>
        <w:gridCol w:w="898"/>
        <w:gridCol w:w="749"/>
        <w:gridCol w:w="749"/>
        <w:gridCol w:w="1751"/>
      </w:tblGrid>
      <w:tr w14:paraId="221BBE1B">
        <w:tblPrEx>
          <w:tblCellMar>
            <w:top w:w="0" w:type="dxa"/>
            <w:left w:w="0" w:type="dxa"/>
            <w:bottom w:w="0" w:type="dxa"/>
            <w:right w:w="0" w:type="dxa"/>
          </w:tblCellMar>
        </w:tblPrEx>
        <w:trPr>
          <w:trHeight w:val="418" w:hRule="exact"/>
        </w:trPr>
        <w:tc>
          <w:tcPr>
            <w:tcW w:w="814" w:type="pct"/>
            <w:tcBorders>
              <w:top w:val="single" w:color="000000" w:sz="4" w:space="0"/>
              <w:left w:val="single" w:color="000000" w:sz="4" w:space="0"/>
              <w:bottom w:val="single" w:color="000000" w:sz="4" w:space="0"/>
              <w:right w:val="single" w:color="000000" w:sz="4" w:space="0"/>
            </w:tcBorders>
            <w:vAlign w:val="center"/>
          </w:tcPr>
          <w:p w14:paraId="53F8D59F">
            <w:pPr>
              <w:pStyle w:val="56"/>
              <w:bidi w:val="0"/>
              <w:jc w:val="center"/>
              <w:rPr>
                <w:b/>
                <w:bCs/>
                <w:color w:val="auto"/>
              </w:rPr>
            </w:pPr>
            <w:r>
              <w:rPr>
                <w:b/>
                <w:bCs/>
                <w:color w:val="auto"/>
              </w:rPr>
              <w:t>污染物</w:t>
            </w:r>
          </w:p>
        </w:tc>
        <w:tc>
          <w:tcPr>
            <w:tcW w:w="409" w:type="pct"/>
            <w:tcBorders>
              <w:top w:val="single" w:color="000000" w:sz="4" w:space="0"/>
              <w:left w:val="single" w:color="000000" w:sz="4" w:space="0"/>
              <w:bottom w:val="single" w:color="000000" w:sz="4" w:space="0"/>
              <w:right w:val="single" w:color="000000" w:sz="4" w:space="0"/>
            </w:tcBorders>
            <w:vAlign w:val="center"/>
          </w:tcPr>
          <w:p w14:paraId="5FD61973">
            <w:pPr>
              <w:pStyle w:val="56"/>
              <w:bidi w:val="0"/>
              <w:jc w:val="center"/>
              <w:rPr>
                <w:b/>
                <w:bCs/>
                <w:color w:val="auto"/>
              </w:rPr>
            </w:pPr>
            <w:r>
              <w:rPr>
                <w:b/>
                <w:bCs/>
                <w:color w:val="auto"/>
              </w:rPr>
              <w:t>pH</w:t>
            </w:r>
          </w:p>
        </w:tc>
        <w:tc>
          <w:tcPr>
            <w:tcW w:w="502" w:type="pct"/>
            <w:tcBorders>
              <w:top w:val="single" w:color="000000" w:sz="4" w:space="0"/>
              <w:left w:val="single" w:color="000000" w:sz="4" w:space="0"/>
              <w:bottom w:val="single" w:color="000000" w:sz="4" w:space="0"/>
              <w:right w:val="single" w:color="000000" w:sz="4" w:space="0"/>
            </w:tcBorders>
            <w:vAlign w:val="center"/>
          </w:tcPr>
          <w:p w14:paraId="60642B4B">
            <w:pPr>
              <w:pStyle w:val="56"/>
              <w:bidi w:val="0"/>
              <w:jc w:val="center"/>
              <w:rPr>
                <w:b/>
                <w:bCs/>
                <w:color w:val="auto"/>
              </w:rPr>
            </w:pPr>
            <w:r>
              <w:rPr>
                <w:b/>
                <w:bCs/>
                <w:color w:val="auto"/>
              </w:rPr>
              <w:t>COD</w:t>
            </w:r>
            <w:r>
              <w:rPr>
                <w:b/>
                <w:bCs/>
                <w:color w:val="auto"/>
                <w:vertAlign w:val="subscript"/>
              </w:rPr>
              <w:t>Cr</w:t>
            </w:r>
          </w:p>
        </w:tc>
        <w:tc>
          <w:tcPr>
            <w:tcW w:w="530" w:type="pct"/>
            <w:tcBorders>
              <w:top w:val="single" w:color="000000" w:sz="4" w:space="0"/>
              <w:left w:val="single" w:color="000000" w:sz="4" w:space="0"/>
              <w:bottom w:val="single" w:color="000000" w:sz="4" w:space="0"/>
              <w:right w:val="single" w:color="000000" w:sz="4" w:space="0"/>
            </w:tcBorders>
            <w:vAlign w:val="center"/>
          </w:tcPr>
          <w:p w14:paraId="73B9B8B3">
            <w:pPr>
              <w:pStyle w:val="56"/>
              <w:bidi w:val="0"/>
              <w:jc w:val="center"/>
              <w:rPr>
                <w:b/>
                <w:bCs/>
                <w:color w:val="auto"/>
              </w:rPr>
            </w:pPr>
            <w:r>
              <w:rPr>
                <w:b/>
                <w:bCs/>
                <w:color w:val="auto"/>
              </w:rPr>
              <w:t>BOD</w:t>
            </w:r>
            <w:r>
              <w:rPr>
                <w:b/>
                <w:bCs/>
                <w:color w:val="auto"/>
                <w:vertAlign w:val="subscript"/>
              </w:rPr>
              <w:t>5</w:t>
            </w:r>
          </w:p>
        </w:tc>
        <w:tc>
          <w:tcPr>
            <w:tcW w:w="419" w:type="pct"/>
            <w:tcBorders>
              <w:top w:val="single" w:color="000000" w:sz="4" w:space="0"/>
              <w:left w:val="single" w:color="000000" w:sz="4" w:space="0"/>
              <w:bottom w:val="single" w:color="000000" w:sz="4" w:space="0"/>
              <w:right w:val="single" w:color="000000" w:sz="4" w:space="0"/>
            </w:tcBorders>
            <w:vAlign w:val="center"/>
          </w:tcPr>
          <w:p w14:paraId="2F36A93F">
            <w:pPr>
              <w:pStyle w:val="56"/>
              <w:bidi w:val="0"/>
              <w:jc w:val="center"/>
              <w:rPr>
                <w:b/>
                <w:bCs/>
                <w:color w:val="auto"/>
              </w:rPr>
            </w:pPr>
            <w:r>
              <w:rPr>
                <w:b/>
                <w:bCs/>
                <w:color w:val="auto"/>
              </w:rPr>
              <w:t>SS</w:t>
            </w:r>
          </w:p>
        </w:tc>
        <w:tc>
          <w:tcPr>
            <w:tcW w:w="502" w:type="pct"/>
            <w:tcBorders>
              <w:top w:val="single" w:color="000000" w:sz="4" w:space="0"/>
              <w:left w:val="single" w:color="000000" w:sz="4" w:space="0"/>
              <w:bottom w:val="single" w:color="000000" w:sz="4" w:space="0"/>
              <w:right w:val="single" w:color="000000" w:sz="4" w:space="0"/>
            </w:tcBorders>
            <w:vAlign w:val="center"/>
          </w:tcPr>
          <w:p w14:paraId="303EEF37">
            <w:pPr>
              <w:pStyle w:val="56"/>
              <w:bidi w:val="0"/>
              <w:jc w:val="center"/>
              <w:rPr>
                <w:b/>
                <w:bCs/>
                <w:color w:val="auto"/>
              </w:rPr>
            </w:pPr>
            <w:r>
              <w:rPr>
                <w:b/>
                <w:bCs/>
                <w:color w:val="auto"/>
              </w:rPr>
              <w:t>NH</w:t>
            </w:r>
            <w:r>
              <w:rPr>
                <w:b/>
                <w:bCs/>
                <w:color w:val="auto"/>
                <w:vertAlign w:val="subscript"/>
              </w:rPr>
              <w:t>3</w:t>
            </w:r>
            <w:r>
              <w:rPr>
                <w:b/>
                <w:bCs/>
                <w:color w:val="auto"/>
              </w:rPr>
              <w:t>-N</w:t>
            </w:r>
          </w:p>
        </w:tc>
        <w:tc>
          <w:tcPr>
            <w:tcW w:w="419" w:type="pct"/>
            <w:tcBorders>
              <w:top w:val="single" w:color="000000" w:sz="4" w:space="0"/>
              <w:left w:val="single" w:color="000000" w:sz="4" w:space="0"/>
              <w:bottom w:val="single" w:color="000000" w:sz="4" w:space="0"/>
              <w:right w:val="single" w:color="000000" w:sz="4" w:space="0"/>
            </w:tcBorders>
            <w:vAlign w:val="center"/>
          </w:tcPr>
          <w:p w14:paraId="172D904D">
            <w:pPr>
              <w:pStyle w:val="56"/>
              <w:bidi w:val="0"/>
              <w:jc w:val="center"/>
              <w:rPr>
                <w:b/>
                <w:bCs/>
                <w:color w:val="auto"/>
              </w:rPr>
            </w:pPr>
            <w:r>
              <w:rPr>
                <w:b/>
                <w:bCs/>
                <w:color w:val="auto"/>
              </w:rPr>
              <w:t>TN</w:t>
            </w:r>
          </w:p>
        </w:tc>
        <w:tc>
          <w:tcPr>
            <w:tcW w:w="419" w:type="pct"/>
            <w:tcBorders>
              <w:top w:val="single" w:color="000000" w:sz="4" w:space="0"/>
              <w:left w:val="single" w:color="000000" w:sz="4" w:space="0"/>
              <w:bottom w:val="single" w:color="000000" w:sz="4" w:space="0"/>
              <w:right w:val="single" w:color="000000" w:sz="4" w:space="0"/>
            </w:tcBorders>
            <w:vAlign w:val="center"/>
          </w:tcPr>
          <w:p w14:paraId="31D5F673">
            <w:pPr>
              <w:pStyle w:val="56"/>
              <w:bidi w:val="0"/>
              <w:jc w:val="center"/>
              <w:rPr>
                <w:b/>
                <w:bCs/>
                <w:color w:val="auto"/>
              </w:rPr>
            </w:pPr>
            <w:r>
              <w:rPr>
                <w:b/>
                <w:bCs/>
                <w:color w:val="auto"/>
              </w:rPr>
              <w:t>TP</w:t>
            </w:r>
          </w:p>
        </w:tc>
        <w:tc>
          <w:tcPr>
            <w:tcW w:w="979" w:type="pct"/>
            <w:tcBorders>
              <w:top w:val="single" w:color="000000" w:sz="4" w:space="0"/>
              <w:left w:val="single" w:color="000000" w:sz="4" w:space="0"/>
              <w:bottom w:val="single" w:color="000000" w:sz="4" w:space="0"/>
              <w:right w:val="single" w:color="000000" w:sz="4" w:space="0"/>
            </w:tcBorders>
            <w:vAlign w:val="center"/>
          </w:tcPr>
          <w:p w14:paraId="321EB1AD">
            <w:pPr>
              <w:pStyle w:val="56"/>
              <w:bidi w:val="0"/>
              <w:jc w:val="center"/>
              <w:rPr>
                <w:b/>
                <w:bCs/>
                <w:color w:val="auto"/>
              </w:rPr>
            </w:pPr>
            <w:r>
              <w:rPr>
                <w:b/>
                <w:bCs/>
                <w:color w:val="auto"/>
              </w:rPr>
              <w:t>粪大肠杆菌群数</w:t>
            </w:r>
          </w:p>
        </w:tc>
      </w:tr>
      <w:tr w14:paraId="02CF7B77">
        <w:tblPrEx>
          <w:tblCellMar>
            <w:top w:w="0" w:type="dxa"/>
            <w:left w:w="0" w:type="dxa"/>
            <w:bottom w:w="0" w:type="dxa"/>
            <w:right w:w="0" w:type="dxa"/>
          </w:tblCellMar>
        </w:tblPrEx>
        <w:trPr>
          <w:trHeight w:val="686" w:hRule="exact"/>
        </w:trPr>
        <w:tc>
          <w:tcPr>
            <w:tcW w:w="814" w:type="pct"/>
            <w:tcBorders>
              <w:top w:val="single" w:color="000000" w:sz="4" w:space="0"/>
              <w:left w:val="single" w:color="000000" w:sz="4" w:space="0"/>
              <w:bottom w:val="single" w:color="000000" w:sz="4" w:space="0"/>
              <w:right w:val="single" w:color="000000" w:sz="4" w:space="0"/>
            </w:tcBorders>
            <w:vAlign w:val="center"/>
          </w:tcPr>
          <w:p w14:paraId="29D76291">
            <w:pPr>
              <w:pStyle w:val="56"/>
              <w:bidi w:val="0"/>
              <w:jc w:val="center"/>
              <w:rPr>
                <w:color w:val="auto"/>
              </w:rPr>
            </w:pPr>
            <w:r>
              <w:rPr>
                <w:color w:val="auto"/>
              </w:rPr>
              <w:t>设计出水水</w:t>
            </w:r>
          </w:p>
          <w:p w14:paraId="4A7567EF">
            <w:pPr>
              <w:pStyle w:val="56"/>
              <w:bidi w:val="0"/>
              <w:jc w:val="center"/>
              <w:rPr>
                <w:color w:val="auto"/>
              </w:rPr>
            </w:pPr>
            <w:r>
              <w:rPr>
                <w:color w:val="auto"/>
              </w:rPr>
              <w:t>质（mg/L）</w:t>
            </w:r>
          </w:p>
        </w:tc>
        <w:tc>
          <w:tcPr>
            <w:tcW w:w="409" w:type="pct"/>
            <w:tcBorders>
              <w:top w:val="single" w:color="000000" w:sz="4" w:space="0"/>
              <w:left w:val="single" w:color="000000" w:sz="4" w:space="0"/>
              <w:bottom w:val="single" w:color="000000" w:sz="4" w:space="0"/>
              <w:right w:val="single" w:color="000000" w:sz="4" w:space="0"/>
            </w:tcBorders>
            <w:vAlign w:val="center"/>
          </w:tcPr>
          <w:p w14:paraId="76699346">
            <w:pPr>
              <w:pStyle w:val="56"/>
              <w:bidi w:val="0"/>
              <w:jc w:val="center"/>
              <w:rPr>
                <w:color w:val="auto"/>
              </w:rPr>
            </w:pPr>
            <w:r>
              <w:rPr>
                <w:color w:val="auto"/>
              </w:rPr>
              <w:t>6~9</w:t>
            </w:r>
          </w:p>
        </w:tc>
        <w:tc>
          <w:tcPr>
            <w:tcW w:w="502" w:type="pct"/>
            <w:tcBorders>
              <w:top w:val="single" w:color="000000" w:sz="4" w:space="0"/>
              <w:left w:val="single" w:color="000000" w:sz="4" w:space="0"/>
              <w:bottom w:val="single" w:color="000000" w:sz="4" w:space="0"/>
              <w:right w:val="single" w:color="000000" w:sz="4" w:space="0"/>
            </w:tcBorders>
            <w:vAlign w:val="center"/>
          </w:tcPr>
          <w:p w14:paraId="7394CA28">
            <w:pPr>
              <w:pStyle w:val="56"/>
              <w:bidi w:val="0"/>
              <w:ind w:firstLine="0" w:firstLineChars="0"/>
              <w:jc w:val="center"/>
              <w:rPr>
                <w:rFonts w:hint="default" w:eastAsia="宋体"/>
                <w:color w:val="auto"/>
                <w:lang w:val="en-US" w:eastAsia="zh-CN"/>
              </w:rPr>
            </w:pPr>
            <w:r>
              <w:rPr>
                <w:rFonts w:hint="default" w:ascii="Times New Roman" w:hAnsi="Times New Roman" w:cs="Times New Roman"/>
                <w:color w:val="auto"/>
                <w:sz w:val="21"/>
                <w:szCs w:val="21"/>
                <w:lang w:val="en-US" w:eastAsia="zh-CN"/>
              </w:rPr>
              <w:t>≤</w:t>
            </w:r>
            <w:r>
              <w:rPr>
                <w:rFonts w:hint="eastAsia"/>
                <w:color w:val="auto"/>
                <w:lang w:val="en-US" w:eastAsia="zh-CN"/>
              </w:rPr>
              <w:t>40</w:t>
            </w:r>
          </w:p>
        </w:tc>
        <w:tc>
          <w:tcPr>
            <w:tcW w:w="530" w:type="pct"/>
            <w:tcBorders>
              <w:top w:val="single" w:color="000000" w:sz="4" w:space="0"/>
              <w:left w:val="single" w:color="000000" w:sz="4" w:space="0"/>
              <w:bottom w:val="single" w:color="000000" w:sz="4" w:space="0"/>
              <w:right w:val="single" w:color="000000" w:sz="4" w:space="0"/>
            </w:tcBorders>
            <w:vAlign w:val="center"/>
          </w:tcPr>
          <w:p w14:paraId="362A7216">
            <w:pPr>
              <w:pStyle w:val="56"/>
              <w:bidi w:val="0"/>
              <w:ind w:firstLine="0" w:firstLineChars="0"/>
              <w:jc w:val="center"/>
              <w:rPr>
                <w:rFonts w:hint="default" w:eastAsia="宋体"/>
                <w:color w:val="auto"/>
                <w:lang w:val="en-US" w:eastAsia="zh-CN"/>
              </w:rPr>
            </w:pPr>
            <w:r>
              <w:rPr>
                <w:rFonts w:hint="default" w:ascii="Times New Roman" w:hAnsi="Times New Roman" w:cs="Times New Roman"/>
                <w:color w:val="auto"/>
                <w:sz w:val="21"/>
                <w:szCs w:val="21"/>
                <w:lang w:val="en-US" w:eastAsia="zh-CN"/>
              </w:rPr>
              <w:t>≤</w:t>
            </w:r>
            <w:r>
              <w:rPr>
                <w:rFonts w:hint="eastAsia"/>
                <w:color w:val="auto"/>
                <w:lang w:val="en-US" w:eastAsia="zh-CN"/>
              </w:rPr>
              <w:t>10</w:t>
            </w:r>
          </w:p>
        </w:tc>
        <w:tc>
          <w:tcPr>
            <w:tcW w:w="419" w:type="pct"/>
            <w:tcBorders>
              <w:top w:val="single" w:color="000000" w:sz="4" w:space="0"/>
              <w:left w:val="single" w:color="000000" w:sz="4" w:space="0"/>
              <w:bottom w:val="single" w:color="000000" w:sz="4" w:space="0"/>
              <w:right w:val="single" w:color="000000" w:sz="4" w:space="0"/>
            </w:tcBorders>
            <w:vAlign w:val="center"/>
          </w:tcPr>
          <w:p w14:paraId="75094F7E">
            <w:pPr>
              <w:pStyle w:val="56"/>
              <w:bidi w:val="0"/>
              <w:ind w:firstLine="0" w:firstLineChars="0"/>
              <w:jc w:val="center"/>
              <w:rPr>
                <w:rFonts w:hint="default" w:eastAsia="宋体"/>
                <w:color w:val="auto"/>
                <w:lang w:val="en-US" w:eastAsia="zh-CN"/>
              </w:rPr>
            </w:pPr>
            <w:r>
              <w:rPr>
                <w:rFonts w:hint="default" w:ascii="Times New Roman" w:hAnsi="Times New Roman" w:cs="Times New Roman"/>
                <w:color w:val="auto"/>
                <w:sz w:val="21"/>
                <w:szCs w:val="21"/>
                <w:lang w:val="en-US" w:eastAsia="zh-CN"/>
              </w:rPr>
              <w:t>≤</w:t>
            </w:r>
            <w:r>
              <w:rPr>
                <w:rFonts w:hint="eastAsia"/>
                <w:color w:val="auto"/>
                <w:lang w:val="en-US" w:eastAsia="zh-CN"/>
              </w:rPr>
              <w:t>10</w:t>
            </w:r>
          </w:p>
        </w:tc>
        <w:tc>
          <w:tcPr>
            <w:tcW w:w="502" w:type="pct"/>
            <w:tcBorders>
              <w:top w:val="single" w:color="000000" w:sz="4" w:space="0"/>
              <w:left w:val="single" w:color="000000" w:sz="4" w:space="0"/>
              <w:bottom w:val="single" w:color="000000" w:sz="4" w:space="0"/>
              <w:right w:val="single" w:color="000000" w:sz="4" w:space="0"/>
            </w:tcBorders>
            <w:vAlign w:val="center"/>
          </w:tcPr>
          <w:p w14:paraId="52ED9530">
            <w:pPr>
              <w:pStyle w:val="56"/>
              <w:bidi w:val="0"/>
              <w:ind w:firstLine="0" w:firstLineChars="0"/>
              <w:jc w:val="center"/>
              <w:rPr>
                <w:rFonts w:hint="default" w:eastAsia="宋体"/>
                <w:color w:val="auto"/>
                <w:lang w:val="en-US" w:eastAsia="zh-CN"/>
              </w:rPr>
            </w:pPr>
            <w:r>
              <w:rPr>
                <w:rFonts w:hint="default" w:ascii="Times New Roman" w:hAnsi="Times New Roman" w:cs="Times New Roman"/>
                <w:color w:val="auto"/>
                <w:sz w:val="21"/>
                <w:szCs w:val="21"/>
                <w:lang w:val="en-US" w:eastAsia="zh-CN"/>
              </w:rPr>
              <w:t>≤</w:t>
            </w:r>
            <w:r>
              <w:rPr>
                <w:rFonts w:hint="eastAsia"/>
                <w:color w:val="auto"/>
                <w:lang w:val="en-US" w:eastAsia="zh-CN"/>
              </w:rPr>
              <w:t>5（8）</w:t>
            </w:r>
          </w:p>
        </w:tc>
        <w:tc>
          <w:tcPr>
            <w:tcW w:w="419" w:type="pct"/>
            <w:tcBorders>
              <w:top w:val="single" w:color="000000" w:sz="4" w:space="0"/>
              <w:left w:val="single" w:color="000000" w:sz="4" w:space="0"/>
              <w:bottom w:val="single" w:color="000000" w:sz="4" w:space="0"/>
              <w:right w:val="single" w:color="000000" w:sz="4" w:space="0"/>
            </w:tcBorders>
            <w:vAlign w:val="center"/>
          </w:tcPr>
          <w:p w14:paraId="148C4878">
            <w:pPr>
              <w:pStyle w:val="56"/>
              <w:bidi w:val="0"/>
              <w:ind w:firstLine="0" w:firstLineChars="0"/>
              <w:jc w:val="center"/>
              <w:rPr>
                <w:rFonts w:hint="default" w:eastAsia="宋体"/>
                <w:color w:val="auto"/>
                <w:lang w:val="en-US" w:eastAsia="zh-CN"/>
              </w:rPr>
            </w:pPr>
            <w:r>
              <w:rPr>
                <w:rFonts w:hint="default" w:ascii="Times New Roman" w:hAnsi="Times New Roman" w:cs="Times New Roman"/>
                <w:color w:val="auto"/>
                <w:sz w:val="21"/>
                <w:szCs w:val="21"/>
                <w:lang w:val="en-US" w:eastAsia="zh-CN"/>
              </w:rPr>
              <w:t>≤</w:t>
            </w:r>
            <w:r>
              <w:rPr>
                <w:rFonts w:hint="eastAsia"/>
                <w:color w:val="auto"/>
                <w:lang w:val="en-US" w:eastAsia="zh-CN"/>
              </w:rPr>
              <w:t>15</w:t>
            </w:r>
          </w:p>
        </w:tc>
        <w:tc>
          <w:tcPr>
            <w:tcW w:w="419" w:type="pct"/>
            <w:tcBorders>
              <w:top w:val="single" w:color="000000" w:sz="4" w:space="0"/>
              <w:left w:val="single" w:color="000000" w:sz="4" w:space="0"/>
              <w:bottom w:val="single" w:color="000000" w:sz="4" w:space="0"/>
              <w:right w:val="single" w:color="000000" w:sz="4" w:space="0"/>
            </w:tcBorders>
            <w:vAlign w:val="center"/>
          </w:tcPr>
          <w:p w14:paraId="2BDD4F0B">
            <w:pPr>
              <w:pStyle w:val="56"/>
              <w:bidi w:val="0"/>
              <w:ind w:firstLine="0" w:firstLineChars="0"/>
              <w:jc w:val="center"/>
              <w:rPr>
                <w:rFonts w:hint="eastAsia" w:eastAsia="宋体"/>
                <w:color w:val="auto"/>
                <w:lang w:eastAsia="zh-CN"/>
              </w:rPr>
            </w:pPr>
            <w:r>
              <w:rPr>
                <w:rFonts w:hint="default" w:ascii="Times New Roman" w:hAnsi="Times New Roman" w:cs="Times New Roman"/>
                <w:color w:val="auto"/>
                <w:sz w:val="21"/>
                <w:szCs w:val="21"/>
                <w:lang w:val="en-US" w:eastAsia="zh-CN"/>
              </w:rPr>
              <w:t>≤</w:t>
            </w:r>
            <w:r>
              <w:rPr>
                <w:rFonts w:hint="eastAsia"/>
                <w:color w:val="auto"/>
                <w:lang w:val="en-US" w:eastAsia="zh-CN"/>
              </w:rPr>
              <w:t>0.5</w:t>
            </w:r>
          </w:p>
        </w:tc>
        <w:tc>
          <w:tcPr>
            <w:tcW w:w="979" w:type="pct"/>
            <w:tcBorders>
              <w:top w:val="single" w:color="000000" w:sz="4" w:space="0"/>
              <w:left w:val="single" w:color="000000" w:sz="4" w:space="0"/>
              <w:bottom w:val="single" w:color="000000" w:sz="4" w:space="0"/>
              <w:right w:val="single" w:color="000000" w:sz="4" w:space="0"/>
            </w:tcBorders>
            <w:vAlign w:val="center"/>
          </w:tcPr>
          <w:p w14:paraId="3BF06E21">
            <w:pPr>
              <w:pStyle w:val="56"/>
              <w:bidi w:val="0"/>
              <w:ind w:firstLine="0" w:firstLineChars="0"/>
              <w:jc w:val="center"/>
              <w:rPr>
                <w:rFonts w:hint="default" w:eastAsia="宋体"/>
                <w:color w:val="auto"/>
                <w:lang w:val="en-US" w:eastAsia="zh-CN"/>
              </w:rPr>
            </w:pPr>
            <w:r>
              <w:rPr>
                <w:rFonts w:hint="default" w:ascii="Times New Roman" w:hAnsi="Times New Roman" w:cs="Times New Roman"/>
                <w:color w:val="auto"/>
                <w:sz w:val="21"/>
                <w:szCs w:val="21"/>
                <w:lang w:val="en-US" w:eastAsia="zh-CN"/>
              </w:rPr>
              <w:t>≤</w:t>
            </w:r>
            <w:r>
              <w:rPr>
                <w:color w:val="auto"/>
              </w:rPr>
              <w:t>1000 个/L</w:t>
            </w:r>
          </w:p>
        </w:tc>
      </w:tr>
    </w:tbl>
    <w:p w14:paraId="52D60BAA">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 xml:space="preserve">污染物去除要率及排放总量 </w:t>
      </w:r>
    </w:p>
    <w:p w14:paraId="52936D93">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根据污水处理厂进水水质和出水水质，可计算各项污染物的去除率，大八镇污水处理厂的去除率见表6.2-3所示。项目的建设大幅度的消减了进入大八河的污染物量。</w:t>
      </w:r>
    </w:p>
    <w:p w14:paraId="74359CB3">
      <w:pPr>
        <w:spacing w:line="240" w:lineRule="auto"/>
        <w:ind w:firstLine="422" w:firstLineChars="200"/>
        <w:jc w:val="center"/>
        <w:rPr>
          <w:rFonts w:hint="eastAsia" w:ascii="Times New Roman" w:hAnsi="Times New Roman" w:eastAsia="宋体" w:cs="Times New Roman"/>
          <w:b/>
          <w:bCs/>
          <w:color w:val="auto"/>
          <w:kern w:val="2"/>
          <w:sz w:val="21"/>
          <w:szCs w:val="18"/>
          <w:highlight w:val="none"/>
          <w:lang w:val="en-US" w:eastAsia="zh-CN" w:bidi="ar-SA"/>
        </w:rPr>
      </w:pPr>
      <w:r>
        <w:rPr>
          <w:rFonts w:hint="eastAsia" w:ascii="Times New Roman" w:hAnsi="Times New Roman" w:eastAsia="宋体" w:cs="Times New Roman"/>
          <w:b/>
          <w:bCs/>
          <w:color w:val="auto"/>
          <w:sz w:val="21"/>
          <w:szCs w:val="18"/>
          <w:highlight w:val="none"/>
          <w:lang w:val="en-US" w:eastAsia="zh-CN"/>
        </w:rPr>
        <w:t>表</w:t>
      </w:r>
      <w:r>
        <w:rPr>
          <w:rFonts w:hint="eastAsia" w:cs="Times New Roman"/>
          <w:b/>
          <w:bCs/>
          <w:color w:val="auto"/>
          <w:sz w:val="21"/>
          <w:szCs w:val="18"/>
          <w:highlight w:val="none"/>
          <w:lang w:val="en-US" w:eastAsia="zh-CN"/>
        </w:rPr>
        <w:t>6.2</w:t>
      </w:r>
      <w:r>
        <w:rPr>
          <w:rFonts w:hint="eastAsia" w:ascii="Times New Roman" w:hAnsi="Times New Roman" w:eastAsia="宋体" w:cs="Times New Roman"/>
          <w:b/>
          <w:bCs/>
          <w:color w:val="auto"/>
          <w:sz w:val="21"/>
          <w:szCs w:val="18"/>
          <w:highlight w:val="none"/>
          <w:lang w:val="en-US" w:eastAsia="zh-CN"/>
        </w:rPr>
        <w:t>-</w:t>
      </w:r>
      <w:r>
        <w:rPr>
          <w:rFonts w:hint="eastAsia" w:cs="Times New Roman"/>
          <w:b/>
          <w:bCs/>
          <w:color w:val="auto"/>
          <w:sz w:val="21"/>
          <w:szCs w:val="18"/>
          <w:highlight w:val="none"/>
          <w:lang w:val="en-US" w:eastAsia="zh-CN"/>
        </w:rPr>
        <w:t>3</w:t>
      </w:r>
      <w:r>
        <w:rPr>
          <w:rFonts w:hint="eastAsia" w:ascii="Times New Roman" w:hAnsi="Times New Roman" w:eastAsia="宋体" w:cs="Times New Roman"/>
          <w:b/>
          <w:bCs/>
          <w:color w:val="auto"/>
          <w:kern w:val="2"/>
          <w:sz w:val="21"/>
          <w:szCs w:val="18"/>
          <w:highlight w:val="none"/>
          <w:lang w:val="en-US" w:eastAsia="zh-CN" w:bidi="ar-SA"/>
        </w:rPr>
        <w:t>污水处理厂需要效率与规范效率比较表</w:t>
      </w:r>
    </w:p>
    <w:tbl>
      <w:tblPr>
        <w:tblStyle w:val="32"/>
        <w:tblW w:w="0" w:type="auto"/>
        <w:tblInd w:w="4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3"/>
        <w:gridCol w:w="2838"/>
        <w:gridCol w:w="2472"/>
        <w:gridCol w:w="1746"/>
      </w:tblGrid>
      <w:tr w14:paraId="36C28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533" w:type="dxa"/>
            <w:vAlign w:val="center"/>
          </w:tcPr>
          <w:p w14:paraId="33A51FD4">
            <w:pPr>
              <w:keepNext w:val="0"/>
              <w:keepLines w:val="0"/>
              <w:widowControl/>
              <w:suppressLineNumbers w:val="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2"/>
                <w:sz w:val="21"/>
                <w:szCs w:val="21"/>
                <w:lang w:val="en-US" w:eastAsia="zh-CN" w:bidi="ar-SA"/>
              </w:rPr>
              <w:t>参数</w:t>
            </w:r>
          </w:p>
        </w:tc>
        <w:tc>
          <w:tcPr>
            <w:tcW w:w="2838" w:type="dxa"/>
            <w:vAlign w:val="center"/>
          </w:tcPr>
          <w:p w14:paraId="6003D415">
            <w:pPr>
              <w:pStyle w:val="56"/>
              <w:bidi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设计进水水质指标</w:t>
            </w:r>
          </w:p>
        </w:tc>
        <w:tc>
          <w:tcPr>
            <w:tcW w:w="2472" w:type="dxa"/>
            <w:vAlign w:val="center"/>
          </w:tcPr>
          <w:p w14:paraId="1AE0313F">
            <w:pPr>
              <w:pStyle w:val="56"/>
              <w:bidi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设计出水水质指标</w:t>
            </w:r>
          </w:p>
        </w:tc>
        <w:tc>
          <w:tcPr>
            <w:tcW w:w="1746" w:type="dxa"/>
            <w:vAlign w:val="center"/>
          </w:tcPr>
          <w:p w14:paraId="3A51734F">
            <w:pPr>
              <w:pStyle w:val="56"/>
              <w:bidi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去除率(%)</w:t>
            </w:r>
          </w:p>
        </w:tc>
      </w:tr>
      <w:tr w14:paraId="3623B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533" w:type="dxa"/>
            <w:vAlign w:val="center"/>
          </w:tcPr>
          <w:p w14:paraId="404F091E">
            <w:pPr>
              <w:pStyle w:val="2"/>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COD</w:t>
            </w:r>
            <w:r>
              <w:rPr>
                <w:rFonts w:hint="default" w:ascii="Times New Roman" w:hAnsi="Times New Roman" w:eastAsia="宋体" w:cs="Times New Roman"/>
                <w:b w:val="0"/>
                <w:bCs w:val="0"/>
                <w:color w:val="auto"/>
                <w:sz w:val="21"/>
                <w:szCs w:val="21"/>
                <w:vertAlign w:val="subscript"/>
              </w:rPr>
              <w:t>Cr</w:t>
            </w:r>
          </w:p>
        </w:tc>
        <w:tc>
          <w:tcPr>
            <w:tcW w:w="2838" w:type="dxa"/>
            <w:vAlign w:val="center"/>
          </w:tcPr>
          <w:p w14:paraId="374BA7BE">
            <w:pPr>
              <w:pStyle w:val="56"/>
              <w:bidi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260mg/L</w:t>
            </w:r>
          </w:p>
        </w:tc>
        <w:tc>
          <w:tcPr>
            <w:tcW w:w="2472" w:type="dxa"/>
            <w:vAlign w:val="center"/>
          </w:tcPr>
          <w:p w14:paraId="3AD860AD">
            <w:pPr>
              <w:pStyle w:val="56"/>
              <w:bidi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≤40mg/L</w:t>
            </w:r>
          </w:p>
        </w:tc>
        <w:tc>
          <w:tcPr>
            <w:tcW w:w="1746" w:type="dxa"/>
            <w:vAlign w:val="center"/>
          </w:tcPr>
          <w:p w14:paraId="3E24130E">
            <w:pPr>
              <w:pStyle w:val="56"/>
              <w:bidi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≥84.6</w:t>
            </w:r>
          </w:p>
        </w:tc>
      </w:tr>
      <w:tr w14:paraId="63EB0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533" w:type="dxa"/>
            <w:vAlign w:val="center"/>
          </w:tcPr>
          <w:p w14:paraId="7E369DC3">
            <w:pPr>
              <w:pStyle w:val="2"/>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BOD</w:t>
            </w:r>
            <w:r>
              <w:rPr>
                <w:rFonts w:hint="default" w:ascii="Times New Roman" w:hAnsi="Times New Roman" w:eastAsia="宋体" w:cs="Times New Roman"/>
                <w:b w:val="0"/>
                <w:bCs w:val="0"/>
                <w:color w:val="auto"/>
                <w:sz w:val="21"/>
                <w:szCs w:val="21"/>
                <w:vertAlign w:val="subscript"/>
              </w:rPr>
              <w:t>5</w:t>
            </w:r>
          </w:p>
        </w:tc>
        <w:tc>
          <w:tcPr>
            <w:tcW w:w="2838" w:type="dxa"/>
            <w:vAlign w:val="center"/>
          </w:tcPr>
          <w:p w14:paraId="08399613">
            <w:pPr>
              <w:pStyle w:val="56"/>
              <w:bidi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150mg/L</w:t>
            </w:r>
          </w:p>
        </w:tc>
        <w:tc>
          <w:tcPr>
            <w:tcW w:w="2472" w:type="dxa"/>
            <w:vAlign w:val="center"/>
          </w:tcPr>
          <w:p w14:paraId="73F1E327">
            <w:pPr>
              <w:pStyle w:val="56"/>
              <w:bidi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≤10mg/L</w:t>
            </w:r>
          </w:p>
        </w:tc>
        <w:tc>
          <w:tcPr>
            <w:tcW w:w="1746" w:type="dxa"/>
            <w:vAlign w:val="center"/>
          </w:tcPr>
          <w:p w14:paraId="500E922F">
            <w:pPr>
              <w:pStyle w:val="56"/>
              <w:bidi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≥93.33</w:t>
            </w:r>
          </w:p>
        </w:tc>
      </w:tr>
      <w:tr w14:paraId="23868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533" w:type="dxa"/>
            <w:vAlign w:val="center"/>
          </w:tcPr>
          <w:p w14:paraId="35851D2A">
            <w:pPr>
              <w:pStyle w:val="2"/>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SS</w:t>
            </w:r>
          </w:p>
        </w:tc>
        <w:tc>
          <w:tcPr>
            <w:tcW w:w="2838" w:type="dxa"/>
            <w:vAlign w:val="center"/>
          </w:tcPr>
          <w:p w14:paraId="14427C5A">
            <w:pPr>
              <w:pStyle w:val="56"/>
              <w:bidi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150mg/L</w:t>
            </w:r>
          </w:p>
        </w:tc>
        <w:tc>
          <w:tcPr>
            <w:tcW w:w="2472" w:type="dxa"/>
            <w:vAlign w:val="center"/>
          </w:tcPr>
          <w:p w14:paraId="4C7BDF16">
            <w:pPr>
              <w:pStyle w:val="56"/>
              <w:bidi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≤10mg/L</w:t>
            </w:r>
          </w:p>
        </w:tc>
        <w:tc>
          <w:tcPr>
            <w:tcW w:w="1746" w:type="dxa"/>
            <w:vAlign w:val="center"/>
          </w:tcPr>
          <w:p w14:paraId="7E4B4CE6">
            <w:pPr>
              <w:pStyle w:val="56"/>
              <w:bidi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≥93.33</w:t>
            </w:r>
          </w:p>
        </w:tc>
      </w:tr>
      <w:tr w14:paraId="3D20C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533" w:type="dxa"/>
            <w:vAlign w:val="center"/>
          </w:tcPr>
          <w:p w14:paraId="02E4CCF1">
            <w:pPr>
              <w:pStyle w:val="2"/>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TN</w:t>
            </w:r>
          </w:p>
        </w:tc>
        <w:tc>
          <w:tcPr>
            <w:tcW w:w="2838" w:type="dxa"/>
            <w:vAlign w:val="center"/>
          </w:tcPr>
          <w:p w14:paraId="6E1370D1">
            <w:pPr>
              <w:pStyle w:val="56"/>
              <w:bidi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30mg/L</w:t>
            </w:r>
          </w:p>
        </w:tc>
        <w:tc>
          <w:tcPr>
            <w:tcW w:w="2472" w:type="dxa"/>
            <w:vAlign w:val="center"/>
          </w:tcPr>
          <w:p w14:paraId="0944D83C">
            <w:pPr>
              <w:pStyle w:val="56"/>
              <w:bidi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≤15mg/L</w:t>
            </w:r>
          </w:p>
        </w:tc>
        <w:tc>
          <w:tcPr>
            <w:tcW w:w="1746" w:type="dxa"/>
            <w:vAlign w:val="center"/>
          </w:tcPr>
          <w:p w14:paraId="7A088686">
            <w:pPr>
              <w:pStyle w:val="56"/>
              <w:bidi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≥50.0</w:t>
            </w:r>
          </w:p>
        </w:tc>
      </w:tr>
      <w:tr w14:paraId="1858D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533" w:type="dxa"/>
            <w:vAlign w:val="center"/>
          </w:tcPr>
          <w:p w14:paraId="17F8D4D3">
            <w:pPr>
              <w:pStyle w:val="2"/>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NH</w:t>
            </w:r>
            <w:r>
              <w:rPr>
                <w:rFonts w:hint="default" w:ascii="Times New Roman" w:hAnsi="Times New Roman" w:eastAsia="宋体" w:cs="Times New Roman"/>
                <w:b w:val="0"/>
                <w:bCs w:val="0"/>
                <w:color w:val="auto"/>
                <w:sz w:val="21"/>
                <w:szCs w:val="21"/>
                <w:vertAlign w:val="subscript"/>
              </w:rPr>
              <w:t>3</w:t>
            </w:r>
            <w:r>
              <w:rPr>
                <w:rFonts w:hint="default" w:ascii="Times New Roman" w:hAnsi="Times New Roman" w:eastAsia="宋体" w:cs="Times New Roman"/>
                <w:b w:val="0"/>
                <w:bCs w:val="0"/>
                <w:color w:val="auto"/>
                <w:sz w:val="21"/>
                <w:szCs w:val="21"/>
              </w:rPr>
              <w:t>-N</w:t>
            </w:r>
          </w:p>
        </w:tc>
        <w:tc>
          <w:tcPr>
            <w:tcW w:w="2838" w:type="dxa"/>
            <w:vAlign w:val="center"/>
          </w:tcPr>
          <w:p w14:paraId="4892F6A0">
            <w:pPr>
              <w:pStyle w:val="56"/>
              <w:bidi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25mg/L</w:t>
            </w:r>
          </w:p>
        </w:tc>
        <w:tc>
          <w:tcPr>
            <w:tcW w:w="2472" w:type="dxa"/>
            <w:vAlign w:val="center"/>
          </w:tcPr>
          <w:p w14:paraId="32575AC5">
            <w:pPr>
              <w:pStyle w:val="56"/>
              <w:bidi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≤5mg/L</w:t>
            </w:r>
          </w:p>
        </w:tc>
        <w:tc>
          <w:tcPr>
            <w:tcW w:w="1746" w:type="dxa"/>
            <w:vAlign w:val="center"/>
          </w:tcPr>
          <w:p w14:paraId="74039499">
            <w:pPr>
              <w:pStyle w:val="56"/>
              <w:bidi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≥80.0</w:t>
            </w:r>
          </w:p>
        </w:tc>
      </w:tr>
      <w:tr w14:paraId="61B86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533" w:type="dxa"/>
            <w:vAlign w:val="center"/>
          </w:tcPr>
          <w:p w14:paraId="286A768B">
            <w:pPr>
              <w:pStyle w:val="2"/>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TP</w:t>
            </w:r>
          </w:p>
        </w:tc>
        <w:tc>
          <w:tcPr>
            <w:tcW w:w="2838" w:type="dxa"/>
            <w:vAlign w:val="center"/>
          </w:tcPr>
          <w:p w14:paraId="6B1680F9">
            <w:pPr>
              <w:pStyle w:val="56"/>
              <w:bidi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3mg/L</w:t>
            </w:r>
          </w:p>
        </w:tc>
        <w:tc>
          <w:tcPr>
            <w:tcW w:w="2472" w:type="dxa"/>
            <w:vAlign w:val="center"/>
          </w:tcPr>
          <w:p w14:paraId="0CACB376">
            <w:pPr>
              <w:pStyle w:val="56"/>
              <w:bidi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≤0.5mg/L</w:t>
            </w:r>
          </w:p>
        </w:tc>
        <w:tc>
          <w:tcPr>
            <w:tcW w:w="1746" w:type="dxa"/>
            <w:vAlign w:val="center"/>
          </w:tcPr>
          <w:p w14:paraId="0474265E">
            <w:pPr>
              <w:pStyle w:val="56"/>
              <w:bidi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≥83.33</w:t>
            </w:r>
          </w:p>
        </w:tc>
      </w:tr>
    </w:tbl>
    <w:p w14:paraId="3FF9FA74">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bookmarkStart w:id="63" w:name="_Toc16735"/>
      <w:bookmarkStart w:id="64" w:name="_Toc24304"/>
      <w:r>
        <w:rPr>
          <w:rFonts w:hint="eastAsia"/>
          <w:color w:val="auto"/>
          <w:lang w:val="en-US" w:eastAsia="zh-CN"/>
        </w:rPr>
        <w:t>入河排污口设置可行性分析论证</w:t>
      </w:r>
      <w:bookmarkEnd w:id="63"/>
      <w:bookmarkEnd w:id="64"/>
    </w:p>
    <w:p w14:paraId="215F64F5">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产业政策的符合性</w:t>
      </w:r>
    </w:p>
    <w:p w14:paraId="67EC3BCA">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根据中华人民共和国国家发展和改革委第6次委务会，</w:t>
      </w:r>
      <w:r>
        <w:rPr>
          <w:rFonts w:hint="default"/>
          <w:color w:val="auto"/>
          <w:sz w:val="24"/>
          <w:highlight w:val="none"/>
          <w:lang w:val="en-US" w:eastAsia="zh-CN"/>
        </w:rPr>
        <w:t>20</w:t>
      </w:r>
      <w:r>
        <w:rPr>
          <w:rFonts w:hint="eastAsia"/>
          <w:color w:val="auto"/>
          <w:sz w:val="24"/>
          <w:highlight w:val="none"/>
          <w:lang w:val="en-US" w:eastAsia="zh-CN"/>
        </w:rPr>
        <w:t>23年12月27日修订发布《产业结构调整指导目录（2024年本）》，本项目属于第一类鼓励类—第四十三项“环境保护与资源节约综合利用”第15小项“三废”综合利用与治理技术、装备和工程”类项目。</w:t>
      </w:r>
    </w:p>
    <w:p w14:paraId="087820F0">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因此，</w:t>
      </w:r>
      <w:r>
        <w:rPr>
          <w:rFonts w:hint="eastAsia"/>
          <w:color w:val="auto"/>
          <w:sz w:val="24"/>
        </w:rPr>
        <w:t>本项目符合国家产业政策的有关要求</w:t>
      </w:r>
      <w:r>
        <w:rPr>
          <w:rFonts w:hint="eastAsia"/>
          <w:color w:val="auto"/>
          <w:sz w:val="24"/>
          <w:highlight w:val="none"/>
          <w:lang w:val="en-US" w:eastAsia="zh-CN"/>
        </w:rPr>
        <w:t>。</w:t>
      </w:r>
    </w:p>
    <w:p w14:paraId="70AC546A">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地方环保政策的符合性</w:t>
      </w:r>
    </w:p>
    <w:p w14:paraId="05E5C3FA">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1、</w:t>
      </w:r>
      <w:r>
        <w:rPr>
          <w:rFonts w:hint="eastAsia" w:ascii="Times New Roman" w:hAnsi="Times New Roman" w:eastAsia="宋体" w:cs="Times New Roman"/>
          <w:color w:val="auto"/>
          <w:sz w:val="24"/>
          <w:highlight w:val="none"/>
          <w:lang w:val="en-US" w:eastAsia="zh-CN"/>
        </w:rPr>
        <w:t>《阳江市</w:t>
      </w:r>
      <w:r>
        <w:rPr>
          <w:rFonts w:hint="eastAsia" w:cs="Times New Roman"/>
          <w:color w:val="auto"/>
          <w:sz w:val="24"/>
          <w:highlight w:val="none"/>
          <w:lang w:val="en-US" w:eastAsia="zh-CN"/>
        </w:rPr>
        <w:t>生态</w:t>
      </w:r>
      <w:r>
        <w:rPr>
          <w:rFonts w:hint="eastAsia" w:ascii="Times New Roman" w:hAnsi="Times New Roman" w:eastAsia="宋体" w:cs="Times New Roman"/>
          <w:color w:val="auto"/>
          <w:sz w:val="24"/>
          <w:highlight w:val="none"/>
          <w:lang w:val="en-US" w:eastAsia="zh-CN"/>
        </w:rPr>
        <w:t>环境保护“十</w:t>
      </w:r>
      <w:r>
        <w:rPr>
          <w:rFonts w:hint="eastAsia" w:cs="Times New Roman"/>
          <w:color w:val="auto"/>
          <w:sz w:val="24"/>
          <w:highlight w:val="none"/>
          <w:lang w:val="en-US" w:eastAsia="zh-CN"/>
        </w:rPr>
        <w:t>四</w:t>
      </w:r>
      <w:r>
        <w:rPr>
          <w:rFonts w:hint="eastAsia" w:ascii="Times New Roman" w:hAnsi="Times New Roman" w:eastAsia="宋体" w:cs="Times New Roman"/>
          <w:color w:val="auto"/>
          <w:sz w:val="24"/>
          <w:highlight w:val="none"/>
          <w:lang w:val="en-US" w:eastAsia="zh-CN"/>
        </w:rPr>
        <w:t>五”规划》</w:t>
      </w:r>
      <w:r>
        <w:rPr>
          <w:rFonts w:hint="eastAsia"/>
          <w:color w:val="auto"/>
          <w:sz w:val="24"/>
          <w:highlight w:val="none"/>
          <w:lang w:val="en-US" w:eastAsia="zh-CN"/>
        </w:rPr>
        <w:t>中提出“完善城镇污水处理系统建设。加快区县和建制镇污水处理设施建设步伐”，本项目为污水处理厂建设工程和污水处理配套管网全覆盖工程，有助于完善大八镇污水处理系统建设，本项目建设与该规划相符。</w:t>
      </w:r>
    </w:p>
    <w:p w14:paraId="0747C4A8">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2、《阳江市水污染防治工作方案》中提出：“强化城镇生活污染治理。优先完善污水处理厂配套管网。加快推进现有污水处理设施配套管网建设，切实提高运行负荷。强化城中村、老旧城区和城乡结合部污水截流 收集。现有合流制排水系统加快实施雨污分流改造，难以改造的，采取沿河截污、调蓄和治理等措施。新、扩建污水处理设施和配套管网须同步设计、同步建设、同时投运。 城镇新区建设均实行雨污分流，水质超标地区要推进初期雨水收集、处理和资源化利用。各区县城市建成区于2020年底前基本实现污水全收集、全处理。</w:t>
      </w:r>
    </w:p>
    <w:p w14:paraId="0B7E6CB3">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加快城镇污水处理设施建设与改造。现有城镇污水处理设施要因地制宜进行改造，敏感区域（供水通道沿岸、重要水库汇水区、近岸海域直接汇水区等）、建成区水体水质达不到地表水Ⅳ类标准的城镇污水处理设施出水于2017年底前达到一级A标准及广东省地方标准《水污染物排放限值》（DB44/26－2001）</w:t>
      </w:r>
      <w:r>
        <w:rPr>
          <w:rFonts w:hint="eastAsia" w:ascii="宋体" w:hAnsi="宋体" w:cs="宋体"/>
          <w:color w:val="auto"/>
          <w:kern w:val="0"/>
          <w:sz w:val="24"/>
          <w:szCs w:val="24"/>
          <w:lang w:val="en-US" w:eastAsia="zh-CN" w:bidi="ar"/>
        </w:rPr>
        <w:t>二时段一级标准</w:t>
      </w:r>
      <w:r>
        <w:rPr>
          <w:rFonts w:hint="eastAsia" w:ascii="宋体" w:hAnsi="宋体" w:eastAsia="宋体" w:cs="宋体"/>
          <w:color w:val="auto"/>
          <w:kern w:val="0"/>
          <w:sz w:val="24"/>
          <w:szCs w:val="24"/>
          <w:lang w:val="en-US" w:eastAsia="zh-CN" w:bidi="ar"/>
        </w:rPr>
        <w:t>中的较严</w:t>
      </w:r>
      <w:r>
        <w:rPr>
          <w:rFonts w:hint="eastAsia" w:ascii="宋体" w:hAnsi="宋体" w:cs="宋体"/>
          <w:color w:val="auto"/>
          <w:kern w:val="0"/>
          <w:sz w:val="24"/>
          <w:szCs w:val="24"/>
          <w:lang w:val="en-US" w:eastAsia="zh-CN" w:bidi="ar"/>
        </w:rPr>
        <w:t>格的要求</w:t>
      </w:r>
      <w:r>
        <w:rPr>
          <w:rFonts w:hint="eastAsia"/>
          <w:color w:val="auto"/>
          <w:sz w:val="24"/>
          <w:highlight w:val="none"/>
          <w:lang w:val="en-US" w:eastAsia="zh-CN"/>
        </w:rPr>
        <w:t>。新、扩和改建城镇污水处埋设施出水全面执行一级A 标准及广东省地方标准《水污染物排放限值》（DB44/26－2001）</w:t>
      </w:r>
      <w:r>
        <w:rPr>
          <w:rFonts w:hint="eastAsia" w:ascii="宋体" w:hAnsi="宋体" w:cs="宋体"/>
          <w:color w:val="auto"/>
          <w:kern w:val="0"/>
          <w:sz w:val="24"/>
          <w:szCs w:val="24"/>
          <w:lang w:val="en-US" w:eastAsia="zh-CN" w:bidi="ar"/>
        </w:rPr>
        <w:t>二时段一级标准</w:t>
      </w:r>
      <w:r>
        <w:rPr>
          <w:rFonts w:hint="eastAsia" w:ascii="宋体" w:hAnsi="宋体" w:eastAsia="宋体" w:cs="宋体"/>
          <w:color w:val="auto"/>
          <w:kern w:val="0"/>
          <w:sz w:val="24"/>
          <w:szCs w:val="24"/>
          <w:lang w:val="en-US" w:eastAsia="zh-CN" w:bidi="ar"/>
        </w:rPr>
        <w:t>中的较严</w:t>
      </w:r>
      <w:r>
        <w:rPr>
          <w:rFonts w:hint="eastAsia" w:ascii="宋体" w:hAnsi="宋体" w:cs="宋体"/>
          <w:color w:val="auto"/>
          <w:kern w:val="0"/>
          <w:sz w:val="24"/>
          <w:szCs w:val="24"/>
          <w:lang w:val="en-US" w:eastAsia="zh-CN" w:bidi="ar"/>
        </w:rPr>
        <w:t>格的要求</w:t>
      </w:r>
      <w:r>
        <w:rPr>
          <w:rFonts w:hint="eastAsia"/>
          <w:color w:val="auto"/>
          <w:sz w:val="24"/>
          <w:highlight w:val="none"/>
          <w:lang w:val="en-US" w:eastAsia="zh-CN"/>
        </w:rPr>
        <w:t>。</w:t>
      </w:r>
    </w:p>
    <w:p w14:paraId="17AAE68E">
      <w:pPr>
        <w:spacing w:line="360" w:lineRule="auto"/>
        <w:ind w:firstLine="480" w:firstLineChars="200"/>
        <w:rPr>
          <w:rFonts w:hint="eastAsia"/>
          <w:color w:val="auto"/>
          <w:lang w:val="en-US" w:eastAsia="zh-CN"/>
        </w:rPr>
      </w:pPr>
      <w:r>
        <w:rPr>
          <w:rFonts w:hint="eastAsia"/>
          <w:color w:val="auto"/>
          <w:sz w:val="24"/>
          <w:highlight w:val="none"/>
          <w:lang w:val="en-US" w:eastAsia="zh-CN"/>
        </w:rPr>
        <w:t>本项目建设配套管网1.0km，对于现状合流制排水体制难以改造的，本项目采取截流式半分流制排水系统的方式进行处理； 项目污水处理设施出水执行广东省地方标准《水污染物排放限值》（DB44/26-2001） 第二时段一级标准和国家标准《城镇污水处理厂污染物排放标准》（GB18918-2002） 一级A 标准中的较严值， 可见本项目建设与《阳江市水污染防治工作方案》相符。</w:t>
      </w:r>
    </w:p>
    <w:p w14:paraId="00924EE3">
      <w:pPr>
        <w:spacing w:line="360" w:lineRule="auto"/>
        <w:ind w:firstLine="480" w:firstLineChars="200"/>
        <w:rPr>
          <w:rFonts w:hint="eastAsia"/>
          <w:color w:val="auto"/>
          <w:sz w:val="24"/>
          <w:highlight w:val="none"/>
          <w:lang w:val="en-US" w:eastAsia="zh-CN"/>
        </w:rPr>
      </w:pPr>
      <w:r>
        <w:rPr>
          <w:rFonts w:hint="eastAsia"/>
          <w:color w:val="auto"/>
          <w:sz w:val="24"/>
          <w:lang w:val="en-US" w:eastAsia="zh-CN"/>
        </w:rPr>
        <w:t>3、</w:t>
      </w:r>
      <w:r>
        <w:rPr>
          <w:rFonts w:hint="eastAsia"/>
          <w:color w:val="auto"/>
          <w:sz w:val="24"/>
          <w:highlight w:val="none"/>
        </w:rPr>
        <w:t>根据阳江市自然资源局文件《关于对阳江市阳东区大八镇土地利用总体规划（</w:t>
      </w:r>
      <w:r>
        <w:rPr>
          <w:color w:val="auto"/>
          <w:sz w:val="24"/>
          <w:highlight w:val="none"/>
        </w:rPr>
        <w:t>2010-2020</w:t>
      </w:r>
      <w:r>
        <w:rPr>
          <w:rFonts w:hint="eastAsia"/>
          <w:color w:val="auto"/>
          <w:sz w:val="24"/>
          <w:highlight w:val="none"/>
        </w:rPr>
        <w:t>）有条件建设区使用方案（大八镇污水处理厂）的批复》（阳自然资函字【</w:t>
      </w:r>
      <w:r>
        <w:rPr>
          <w:color w:val="auto"/>
          <w:sz w:val="24"/>
          <w:highlight w:val="none"/>
        </w:rPr>
        <w:t>2020</w:t>
      </w:r>
      <w:r>
        <w:rPr>
          <w:rFonts w:hint="eastAsia"/>
          <w:color w:val="auto"/>
          <w:sz w:val="24"/>
          <w:highlight w:val="none"/>
        </w:rPr>
        <w:t>】</w:t>
      </w:r>
      <w:r>
        <w:rPr>
          <w:color w:val="auto"/>
          <w:sz w:val="24"/>
          <w:highlight w:val="none"/>
        </w:rPr>
        <w:t>214</w:t>
      </w:r>
      <w:r>
        <w:rPr>
          <w:rFonts w:hint="eastAsia"/>
          <w:color w:val="auto"/>
          <w:sz w:val="24"/>
          <w:highlight w:val="none"/>
        </w:rPr>
        <w:t>号），本项目污水处理厂用地，符合阳江市阳东区大八镇土地利用总体规划（</w:t>
      </w:r>
      <w:r>
        <w:rPr>
          <w:color w:val="auto"/>
          <w:sz w:val="24"/>
          <w:highlight w:val="none"/>
        </w:rPr>
        <w:t>2010-2020</w:t>
      </w:r>
      <w:r>
        <w:rPr>
          <w:rFonts w:hint="eastAsia"/>
          <w:color w:val="auto"/>
          <w:sz w:val="24"/>
          <w:highlight w:val="none"/>
        </w:rPr>
        <w:t>）</w:t>
      </w:r>
      <w:r>
        <w:rPr>
          <w:rFonts w:hint="eastAsia"/>
          <w:color w:val="auto"/>
          <w:sz w:val="24"/>
          <w:highlight w:val="none"/>
          <w:lang w:eastAsia="zh-CN"/>
        </w:rPr>
        <w:t>。</w:t>
      </w:r>
    </w:p>
    <w:p w14:paraId="7A653C30">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4、为将水体达标任务落到实处，要积极实施产业集聚工程、城镇污水处理及管网建设工程、城镇生活垃圾收运及处置工程、农业农村环境综合整治工程、水环境综合整治与生态修复工程、饮用水水源保护区规范化建设工程、环境监测与监管能力建设工程等七大类工程项目。</w:t>
      </w:r>
    </w:p>
    <w:p w14:paraId="231AE81B">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本项目属于城镇污水处理工程，项目建成后对排入水体的污染物CODcr、NH</w:t>
      </w:r>
      <w:r>
        <w:rPr>
          <w:rFonts w:hint="eastAsia"/>
          <w:color w:val="auto"/>
          <w:sz w:val="24"/>
          <w:highlight w:val="none"/>
          <w:vertAlign w:val="subscript"/>
          <w:lang w:val="en-US" w:eastAsia="zh-CN"/>
        </w:rPr>
        <w:t>3</w:t>
      </w:r>
      <w:r>
        <w:rPr>
          <w:rFonts w:hint="eastAsia"/>
          <w:color w:val="auto"/>
          <w:sz w:val="24"/>
          <w:highlight w:val="none"/>
          <w:lang w:val="en-US" w:eastAsia="zh-CN"/>
        </w:rPr>
        <w:t xml:space="preserve"> -N和总磷削减效果明显。</w:t>
      </w:r>
    </w:p>
    <w:p w14:paraId="3DE918B3">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由此可见，本项目实施符合地方环保政策。</w:t>
      </w:r>
    </w:p>
    <w:p w14:paraId="296688A8">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污水排放方式设置合理性</w:t>
      </w:r>
    </w:p>
    <w:p w14:paraId="247DC5F0">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污水排放方式为：采用管道将污水向排水渠连续排放。通过对正常排放预测分析，采用此种排放方式排放的废水只是对排污口上下游的排水渠、吉水河和大八河的较小范围内有轻度影响，总体上对论证范围内的地表水影响较小，故排放方式是比较合理的。对于事故排放的水质，需要做好应急措施预案。</w:t>
      </w:r>
    </w:p>
    <w:p w14:paraId="23A0489E">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排污口设置符合水功能区管理要求</w:t>
      </w:r>
    </w:p>
    <w:p w14:paraId="17F550BE">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1、</w:t>
      </w:r>
      <w:r>
        <w:rPr>
          <w:rFonts w:hint="eastAsia"/>
          <w:color w:val="auto"/>
          <w:sz w:val="24"/>
        </w:rPr>
        <w:t>与水功能区区划的相符性</w:t>
      </w:r>
    </w:p>
    <w:p w14:paraId="59DBEC88">
      <w:pPr>
        <w:spacing w:line="360" w:lineRule="auto"/>
        <w:ind w:firstLine="480" w:firstLineChars="200"/>
        <w:rPr>
          <w:rFonts w:hint="default" w:ascii="Times New Roman" w:hAnsi="Times New Roman" w:cs="Times New Roman"/>
          <w:color w:val="auto"/>
          <w:sz w:val="24"/>
          <w:highlight w:val="none"/>
          <w:lang w:val="en-US" w:eastAsia="zh-CN"/>
        </w:rPr>
      </w:pPr>
      <w:r>
        <w:rPr>
          <w:rFonts w:hint="eastAsia"/>
          <w:color w:val="auto"/>
          <w:sz w:val="24"/>
          <w:highlight w:val="none"/>
          <w:lang w:val="en-US" w:eastAsia="zh-CN"/>
        </w:rPr>
        <w:t>本项目入河排污口设置在厂区东北面排水渠右岸，排污口所在的排水渠河段水质执行《地表水环境质量标准》（GB3838-2002）III类标准。本项目正常排放情况下，尾水出水要达到《城镇污水处理厂污染物排放标准》（GB18918-2002）一级A标准和广东省地方标准《水污染物排放限值》（DB44/26-2001）第二时段一级标准。本排污口为大八镇生活污水处理厂污水专一排放口，污水厂的建立可以改变镇区污水未经处理直接或间接排放至排水渠或大八河的现状，正向改善水环境质量，有利于改善排污口所处水功能环境，减轻排水渠、吉水河和大八河的水质污染压力，亦有利于</w:t>
      </w:r>
      <w:r>
        <w:rPr>
          <w:rFonts w:hint="default" w:ascii="Times New Roman" w:hAnsi="Times New Roman" w:cs="Times New Roman"/>
          <w:color w:val="auto"/>
          <w:sz w:val="24"/>
          <w:highlight w:val="none"/>
          <w:lang w:val="en-US" w:eastAsia="zh-CN"/>
        </w:rPr>
        <w:t>全面有效的从源头解决</w:t>
      </w:r>
      <w:r>
        <w:rPr>
          <w:rFonts w:hint="eastAsia" w:cs="Times New Roman"/>
          <w:color w:val="auto"/>
          <w:sz w:val="24"/>
          <w:highlight w:val="none"/>
          <w:lang w:val="en-US" w:eastAsia="zh-CN"/>
        </w:rPr>
        <w:t>排水渠、吉水河和大八河</w:t>
      </w:r>
      <w:r>
        <w:rPr>
          <w:rFonts w:hint="default" w:ascii="Times New Roman" w:hAnsi="Times New Roman" w:cs="Times New Roman"/>
          <w:color w:val="auto"/>
          <w:sz w:val="24"/>
          <w:highlight w:val="none"/>
          <w:lang w:val="en-US" w:eastAsia="zh-CN"/>
        </w:rPr>
        <w:t>水体污染问题，并为保障当地人民身体健康，促进大八镇区域环境、经济和社会持续、协调发展做出积极的贡献。</w:t>
      </w:r>
    </w:p>
    <w:p w14:paraId="7E9593F6">
      <w:pPr>
        <w:spacing w:line="360" w:lineRule="auto"/>
        <w:ind w:firstLine="480" w:firstLineChars="20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2、</w:t>
      </w:r>
      <w:r>
        <w:rPr>
          <w:rFonts w:hint="default" w:ascii="Times New Roman" w:hAnsi="Times New Roman" w:cs="Times New Roman"/>
          <w:color w:val="auto"/>
          <w:sz w:val="24"/>
        </w:rPr>
        <w:t>与饮用水水源地保护区划的相符性</w:t>
      </w:r>
    </w:p>
    <w:p w14:paraId="0E008C33">
      <w:pPr>
        <w:spacing w:line="360" w:lineRule="auto"/>
        <w:ind w:firstLine="480" w:firstLineChars="200"/>
        <w:rPr>
          <w:rFonts w:hint="eastAsia"/>
          <w:color w:val="auto"/>
          <w:sz w:val="24"/>
          <w:highlight w:val="none"/>
          <w:lang w:val="en-US" w:eastAsia="zh-CN"/>
        </w:rPr>
      </w:pPr>
      <w:r>
        <w:rPr>
          <w:rFonts w:hint="default" w:ascii="Times New Roman" w:hAnsi="Times New Roman" w:cs="Times New Roman"/>
          <w:color w:val="auto"/>
          <w:sz w:val="24"/>
          <w:highlight w:val="none"/>
          <w:lang w:val="en-US" w:eastAsia="zh-CN"/>
        </w:rPr>
        <w:t>根据相关法规，在饮用水源地保护区、水功能一级区划中的保护区等禁止排污口设置。根据《广东省水功能区划》与《阳江市水功能区划》，本项目入河排污口所在水域为</w:t>
      </w:r>
      <w:r>
        <w:rPr>
          <w:rFonts w:hint="eastAsia" w:cs="Times New Roman"/>
          <w:color w:val="auto"/>
          <w:sz w:val="24"/>
          <w:highlight w:val="none"/>
          <w:lang w:val="en-US" w:eastAsia="zh-CN"/>
        </w:rPr>
        <w:t>排水渠</w:t>
      </w:r>
      <w:r>
        <w:rPr>
          <w:rFonts w:hint="default" w:ascii="Times New Roman" w:hAnsi="Times New Roman" w:cs="Times New Roman"/>
          <w:color w:val="auto"/>
          <w:sz w:val="24"/>
          <w:highlight w:val="none"/>
          <w:lang w:val="en-US" w:eastAsia="zh-CN"/>
        </w:rPr>
        <w:t>，属</w:t>
      </w:r>
      <w:r>
        <w:rPr>
          <w:rFonts w:hint="eastAsia" w:cs="Times New Roman"/>
          <w:color w:val="auto"/>
          <w:sz w:val="24"/>
          <w:highlight w:val="none"/>
          <w:lang w:val="en-US" w:eastAsia="zh-CN"/>
        </w:rPr>
        <w:t>排水渠</w:t>
      </w:r>
      <w:r>
        <w:rPr>
          <w:rFonts w:hint="default" w:ascii="Times New Roman" w:hAnsi="Times New Roman" w:cs="Times New Roman"/>
          <w:color w:val="auto"/>
          <w:sz w:val="24"/>
          <w:highlight w:val="none"/>
          <w:lang w:val="en-US" w:eastAsia="zh-CN"/>
        </w:rPr>
        <w:t>农业</w:t>
      </w:r>
      <w:r>
        <w:rPr>
          <w:rFonts w:hint="eastAsia"/>
          <w:color w:val="auto"/>
          <w:sz w:val="24"/>
          <w:highlight w:val="none"/>
          <w:lang w:val="en-US" w:eastAsia="zh-CN"/>
        </w:rPr>
        <w:t>用水区，不属于饮用水源保护区、渔业用水区、水功能一级区划中的保护区等禁止排污口设置水域。项目排污口设置符合水功能区管理要求。</w:t>
      </w:r>
    </w:p>
    <w:p w14:paraId="2939692A">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cs="Times New Roman"/>
          <w:color w:val="auto"/>
          <w:lang w:val="en-US" w:eastAsia="zh-CN"/>
        </w:rPr>
        <w:t>论证结论</w:t>
      </w:r>
    </w:p>
    <w:p w14:paraId="61318AA7">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综上所述，本项目属改设项目，符合国家产业政策，为第一类鼓励类项目。排污口设置符合符合国家和地方环保政策、符合水功能区管理要求。因此，本项目入河排污口设置是可行的。</w:t>
      </w:r>
    </w:p>
    <w:p w14:paraId="62798DA5">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bookmarkStart w:id="65" w:name="_Toc11555"/>
      <w:bookmarkStart w:id="66" w:name="_Toc14587"/>
      <w:r>
        <w:rPr>
          <w:rFonts w:hint="eastAsia"/>
          <w:color w:val="auto"/>
          <w:lang w:val="en-US" w:eastAsia="zh-CN"/>
        </w:rPr>
        <w:t>入河排污口设置方案</w:t>
      </w:r>
      <w:bookmarkEnd w:id="65"/>
      <w:bookmarkEnd w:id="66"/>
    </w:p>
    <w:p w14:paraId="26680391">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（1）项目尾水输送管线：项目尾水输送管道经污水处理厂区南角的废水排放口接出，直接在地下敷设至南面的管道，尾水输送管线长度约30</w:t>
      </w:r>
      <w:r>
        <w:rPr>
          <w:rFonts w:hint="default"/>
          <w:color w:val="auto"/>
          <w:sz w:val="24"/>
          <w:highlight w:val="none"/>
          <w:lang w:val="en-US" w:eastAsia="zh-CN"/>
        </w:rPr>
        <w:t>0m</w:t>
      </w:r>
      <w:r>
        <w:rPr>
          <w:rFonts w:hint="eastAsia"/>
          <w:color w:val="auto"/>
          <w:sz w:val="24"/>
          <w:highlight w:val="none"/>
          <w:lang w:val="en-US" w:eastAsia="zh-CN"/>
        </w:rPr>
        <w:t xml:space="preserve">，管径为DN600。 </w:t>
      </w:r>
    </w:p>
    <w:p w14:paraId="3E4B7E66">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w:t>
      </w:r>
      <w:r>
        <w:rPr>
          <w:rFonts w:hint="default"/>
          <w:color w:val="auto"/>
          <w:sz w:val="24"/>
          <w:highlight w:val="none"/>
          <w:lang w:val="en-US" w:eastAsia="zh-CN"/>
        </w:rPr>
        <w:t>2</w:t>
      </w:r>
      <w:r>
        <w:rPr>
          <w:rFonts w:hint="eastAsia"/>
          <w:color w:val="auto"/>
          <w:sz w:val="24"/>
          <w:highlight w:val="none"/>
          <w:lang w:val="en-US" w:eastAsia="zh-CN"/>
        </w:rPr>
        <w:t>）入河排污口位置：项目生活污水入河排污口拟设置于厂区东北面侧的排水渠右岸，入河方式为通过管道入河，经纬度坐标为：</w:t>
      </w:r>
      <w:r>
        <w:rPr>
          <w:rFonts w:hint="eastAsia"/>
          <w:color w:val="auto"/>
          <w:sz w:val="24"/>
          <w:highlight w:val="none"/>
          <w:lang w:eastAsia="zh-CN"/>
        </w:rPr>
        <w:t>东经111</w:t>
      </w:r>
      <w:r>
        <w:rPr>
          <w:rFonts w:hint="default" w:ascii="Times New Roman" w:hAnsi="Times New Roman" w:cs="Times New Roman"/>
          <w:color w:val="auto"/>
          <w:sz w:val="21"/>
          <w:szCs w:val="21"/>
          <w:u w:val="none"/>
          <w:lang w:val="en-US" w:eastAsia="zh-CN"/>
        </w:rPr>
        <w:t>°</w:t>
      </w:r>
      <w:r>
        <w:rPr>
          <w:rFonts w:hint="eastAsia"/>
          <w:color w:val="auto"/>
          <w:sz w:val="24"/>
          <w:highlight w:val="none"/>
          <w:lang w:eastAsia="zh-CN"/>
        </w:rPr>
        <w:t>57' 42.</w:t>
      </w:r>
      <w:r>
        <w:rPr>
          <w:rFonts w:hint="eastAsia"/>
          <w:color w:val="auto"/>
          <w:sz w:val="24"/>
          <w:highlight w:val="none"/>
          <w:lang w:val="en-US" w:eastAsia="zh-CN"/>
        </w:rPr>
        <w:t>083</w:t>
      </w:r>
      <w:r>
        <w:rPr>
          <w:rFonts w:hint="eastAsia"/>
          <w:color w:val="auto"/>
          <w:sz w:val="24"/>
          <w:highlight w:val="none"/>
          <w:lang w:eastAsia="zh-CN"/>
        </w:rPr>
        <w:t>"，北纬22</w:t>
      </w:r>
      <w:r>
        <w:rPr>
          <w:rFonts w:hint="default" w:ascii="Times New Roman" w:hAnsi="Times New Roman" w:cs="Times New Roman"/>
          <w:color w:val="auto"/>
          <w:sz w:val="21"/>
          <w:szCs w:val="21"/>
          <w:u w:val="none"/>
          <w:lang w:val="en-US" w:eastAsia="zh-CN"/>
        </w:rPr>
        <w:t>°</w:t>
      </w:r>
      <w:r>
        <w:rPr>
          <w:rFonts w:hint="eastAsia"/>
          <w:color w:val="auto"/>
          <w:sz w:val="24"/>
          <w:highlight w:val="none"/>
          <w:lang w:eastAsia="zh-CN"/>
        </w:rPr>
        <w:t>3' 41.3</w:t>
      </w:r>
      <w:r>
        <w:rPr>
          <w:rFonts w:hint="eastAsia"/>
          <w:color w:val="auto"/>
          <w:sz w:val="24"/>
          <w:highlight w:val="none"/>
          <w:lang w:val="en-US" w:eastAsia="zh-CN"/>
        </w:rPr>
        <w:t>02</w:t>
      </w:r>
      <w:r>
        <w:rPr>
          <w:rFonts w:hint="eastAsia"/>
          <w:color w:val="auto"/>
          <w:sz w:val="24"/>
          <w:highlight w:val="none"/>
          <w:lang w:eastAsia="zh-CN"/>
        </w:rPr>
        <w:t>"</w:t>
      </w:r>
      <w:r>
        <w:rPr>
          <w:rFonts w:hint="eastAsia"/>
          <w:color w:val="auto"/>
          <w:sz w:val="24"/>
          <w:highlight w:val="none"/>
          <w:lang w:val="en-US" w:eastAsia="zh-CN"/>
        </w:rPr>
        <w:t>。入河口管道高于河道常规水面以上。</w:t>
      </w:r>
    </w:p>
    <w:p w14:paraId="3E25F4E9">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w:t>
      </w:r>
      <w:r>
        <w:rPr>
          <w:rFonts w:hint="default"/>
          <w:color w:val="auto"/>
          <w:sz w:val="24"/>
          <w:highlight w:val="none"/>
          <w:lang w:val="en-US" w:eastAsia="zh-CN"/>
        </w:rPr>
        <w:t>3</w:t>
      </w:r>
      <w:r>
        <w:rPr>
          <w:rFonts w:hint="eastAsia"/>
          <w:color w:val="auto"/>
          <w:sz w:val="24"/>
          <w:highlight w:val="none"/>
          <w:lang w:val="en-US" w:eastAsia="zh-CN"/>
        </w:rPr>
        <w:t xml:space="preserve">）入河排污口类型：改设生活污水入河排污口。 </w:t>
      </w:r>
    </w:p>
    <w:p w14:paraId="4A926978">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w:t>
      </w:r>
      <w:r>
        <w:rPr>
          <w:rFonts w:hint="default"/>
          <w:color w:val="auto"/>
          <w:sz w:val="24"/>
          <w:highlight w:val="none"/>
          <w:lang w:val="en-US" w:eastAsia="zh-CN"/>
        </w:rPr>
        <w:t>4</w:t>
      </w:r>
      <w:r>
        <w:rPr>
          <w:rFonts w:hint="eastAsia"/>
          <w:color w:val="auto"/>
          <w:sz w:val="24"/>
          <w:highlight w:val="none"/>
          <w:lang w:val="en-US" w:eastAsia="zh-CN"/>
        </w:rPr>
        <w:t xml:space="preserve">）排放方式：连续排放，流量稳定。 </w:t>
      </w:r>
    </w:p>
    <w:p w14:paraId="1BB29EB4">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w:t>
      </w:r>
      <w:r>
        <w:rPr>
          <w:rFonts w:hint="default"/>
          <w:color w:val="auto"/>
          <w:sz w:val="24"/>
          <w:highlight w:val="none"/>
          <w:lang w:val="en-US" w:eastAsia="zh-CN"/>
        </w:rPr>
        <w:t>5</w:t>
      </w:r>
      <w:r>
        <w:rPr>
          <w:rFonts w:hint="eastAsia"/>
          <w:color w:val="auto"/>
          <w:sz w:val="24"/>
          <w:highlight w:val="none"/>
          <w:lang w:val="en-US" w:eastAsia="zh-CN"/>
        </w:rPr>
        <w:t xml:space="preserve">）入河方式：通过管道入河。 </w:t>
      </w:r>
    </w:p>
    <w:p w14:paraId="1BB3C415">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w:t>
      </w:r>
      <w:r>
        <w:rPr>
          <w:rFonts w:hint="default"/>
          <w:color w:val="auto"/>
          <w:sz w:val="24"/>
          <w:highlight w:val="none"/>
          <w:lang w:val="en-US" w:eastAsia="zh-CN"/>
        </w:rPr>
        <w:t>6</w:t>
      </w:r>
      <w:r>
        <w:rPr>
          <w:rFonts w:hint="eastAsia"/>
          <w:color w:val="auto"/>
          <w:sz w:val="24"/>
          <w:highlight w:val="none"/>
          <w:lang w:val="en-US" w:eastAsia="zh-CN"/>
        </w:rPr>
        <w:t>）废水排放量：3000m</w:t>
      </w:r>
      <w:r>
        <w:rPr>
          <w:rFonts w:hint="default"/>
          <w:color w:val="auto"/>
          <w:sz w:val="24"/>
          <w:highlight w:val="none"/>
          <w:vertAlign w:val="superscript"/>
          <w:lang w:val="en-US" w:eastAsia="zh-CN"/>
        </w:rPr>
        <w:t>3</w:t>
      </w:r>
      <w:r>
        <w:rPr>
          <w:rFonts w:hint="default"/>
          <w:color w:val="auto"/>
          <w:sz w:val="24"/>
          <w:highlight w:val="none"/>
          <w:lang w:val="en-US" w:eastAsia="zh-CN"/>
        </w:rPr>
        <w:t>/d</w:t>
      </w:r>
      <w:r>
        <w:rPr>
          <w:rFonts w:hint="eastAsia"/>
          <w:color w:val="auto"/>
          <w:sz w:val="24"/>
          <w:highlight w:val="none"/>
          <w:lang w:val="en-US" w:eastAsia="zh-CN"/>
        </w:rPr>
        <w:t xml:space="preserve">。 </w:t>
      </w:r>
    </w:p>
    <w:p w14:paraId="283D836D">
      <w:pPr>
        <w:spacing w:line="360" w:lineRule="auto"/>
        <w:ind w:firstLine="480" w:firstLineChars="200"/>
        <w:rPr>
          <w:rFonts w:hint="eastAsia"/>
          <w:color w:val="auto"/>
          <w:lang w:val="en-US" w:eastAsia="zh-CN"/>
        </w:rPr>
      </w:pPr>
      <w:r>
        <w:rPr>
          <w:rFonts w:hint="eastAsia"/>
          <w:color w:val="auto"/>
          <w:sz w:val="24"/>
          <w:highlight w:val="none"/>
          <w:lang w:val="en-US" w:eastAsia="zh-CN"/>
        </w:rPr>
        <w:t>（</w:t>
      </w:r>
      <w:r>
        <w:rPr>
          <w:rFonts w:hint="default"/>
          <w:color w:val="auto"/>
          <w:sz w:val="24"/>
          <w:highlight w:val="none"/>
          <w:lang w:val="en-US" w:eastAsia="zh-CN"/>
        </w:rPr>
        <w:t>7</w:t>
      </w:r>
      <w:r>
        <w:rPr>
          <w:rFonts w:hint="eastAsia"/>
          <w:color w:val="auto"/>
          <w:sz w:val="24"/>
          <w:highlight w:val="none"/>
          <w:lang w:val="en-US" w:eastAsia="zh-CN"/>
        </w:rPr>
        <w:t>）设计排放浓度：《城镇污水处理厂污染物排放标准》（GB18918-2002及其2006年修改单）一级A 标准及广东省地方标准《水污染物排放限值》（DB44/26-2001）第二时段一级标准中的较严者。</w:t>
      </w:r>
      <w:r>
        <w:rPr>
          <w:rFonts w:hint="eastAsia"/>
          <w:color w:val="auto"/>
          <w:lang w:val="en-US" w:eastAsia="zh-CN"/>
        </w:rPr>
        <w:br w:type="page"/>
      </w:r>
    </w:p>
    <w:p w14:paraId="381F9B45">
      <w:pPr>
        <w:pStyle w:val="3"/>
        <w:bidi w:val="0"/>
        <w:rPr>
          <w:rFonts w:hint="eastAsia"/>
          <w:color w:val="auto"/>
          <w:lang w:val="en-US" w:eastAsia="zh-CN"/>
        </w:rPr>
      </w:pPr>
      <w:bookmarkStart w:id="67" w:name="_Toc27956"/>
      <w:bookmarkStart w:id="68" w:name="_Toc28138"/>
      <w:r>
        <w:rPr>
          <w:rFonts w:hint="eastAsia"/>
          <w:color w:val="auto"/>
          <w:lang w:val="en-US" w:eastAsia="zh-CN"/>
        </w:rPr>
        <w:t>入河排污口设置对水功能区水质和水生态影响分析</w:t>
      </w:r>
      <w:bookmarkEnd w:id="67"/>
      <w:bookmarkEnd w:id="68"/>
    </w:p>
    <w:p w14:paraId="763838DD">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bookmarkStart w:id="69" w:name="_Toc17241"/>
      <w:bookmarkStart w:id="70" w:name="_Toc10203"/>
      <w:r>
        <w:rPr>
          <w:rFonts w:hint="eastAsia"/>
          <w:color w:val="auto"/>
          <w:lang w:val="en-US" w:eastAsia="zh-CN"/>
        </w:rPr>
        <w:t>影响范围</w:t>
      </w:r>
      <w:bookmarkEnd w:id="69"/>
      <w:bookmarkEnd w:id="70"/>
      <w:r>
        <w:rPr>
          <w:rFonts w:hint="eastAsia"/>
          <w:color w:val="auto"/>
          <w:lang w:val="en-US" w:eastAsia="zh-CN"/>
        </w:rPr>
        <w:t xml:space="preserve"> </w:t>
      </w:r>
    </w:p>
    <w:p w14:paraId="6BA00EC0">
      <w:pPr>
        <w:spacing w:line="360" w:lineRule="auto"/>
        <w:ind w:firstLine="480" w:firstLineChars="200"/>
        <w:rPr>
          <w:rFonts w:hint="eastAsia"/>
          <w:color w:val="auto"/>
          <w:lang w:val="en-US" w:eastAsia="zh-CN"/>
        </w:rPr>
      </w:pPr>
      <w:r>
        <w:rPr>
          <w:rFonts w:hint="eastAsia"/>
          <w:color w:val="auto"/>
          <w:sz w:val="24"/>
          <w:highlight w:val="none"/>
          <w:lang w:val="en-US" w:eastAsia="zh-CN"/>
        </w:rPr>
        <w:t>本项目入河排污口设置在厂址东北面的排水渠右岸处，生活污水</w:t>
      </w:r>
      <w:r>
        <w:rPr>
          <w:rFonts w:hint="default" w:ascii="Times New Roman" w:hAnsi="Times New Roman" w:cs="Times New Roman"/>
          <w:color w:val="auto"/>
          <w:sz w:val="24"/>
          <w:szCs w:val="24"/>
          <w:lang w:val="en-US" w:eastAsia="zh-CN"/>
        </w:rPr>
        <w:t>进入污水处理厂进行处理后排放至</w:t>
      </w:r>
      <w:r>
        <w:rPr>
          <w:rFonts w:hint="eastAsia" w:cs="Times New Roman"/>
          <w:color w:val="auto"/>
          <w:sz w:val="24"/>
          <w:szCs w:val="24"/>
          <w:lang w:val="en-US" w:eastAsia="zh-CN"/>
        </w:rPr>
        <w:t>排水渠</w:t>
      </w:r>
      <w:r>
        <w:rPr>
          <w:rFonts w:hint="eastAsia" w:ascii="Times New Roman" w:hAnsi="Times New Roman" w:cs="Times New Roman"/>
          <w:color w:val="auto"/>
          <w:sz w:val="24"/>
          <w:szCs w:val="24"/>
          <w:lang w:val="en-US" w:eastAsia="zh-CN"/>
        </w:rPr>
        <w:t>，最终汇入</w:t>
      </w:r>
      <w:r>
        <w:rPr>
          <w:rFonts w:hint="eastAsia" w:cs="Times New Roman"/>
          <w:color w:val="auto"/>
          <w:sz w:val="24"/>
          <w:szCs w:val="24"/>
          <w:lang w:val="en-US" w:eastAsia="zh-CN"/>
        </w:rPr>
        <w:t>大八河</w:t>
      </w:r>
      <w:r>
        <w:rPr>
          <w:rFonts w:hint="eastAsia"/>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拟定本项目论证范围为：</w:t>
      </w:r>
      <w:r>
        <w:rPr>
          <w:rFonts w:hint="eastAsia" w:cs="Times New Roman"/>
          <w:color w:val="auto"/>
          <w:sz w:val="24"/>
          <w:highlight w:val="none"/>
          <w:lang w:val="en-US" w:eastAsia="zh-CN"/>
        </w:rPr>
        <w:t>排水渠入河</w:t>
      </w:r>
      <w:r>
        <w:rPr>
          <w:rFonts w:hint="eastAsia"/>
          <w:color w:val="auto"/>
          <w:sz w:val="24"/>
          <w:highlight w:val="none"/>
          <w:lang w:val="en-US" w:eastAsia="zh-CN"/>
        </w:rPr>
        <w:t>排污口入河排污口上游500m至与吉水河交汇处的河段，长约1050m；吉水河与排水渠交汇处至大八河的河段，长650m；吉水河与大八河交汇处至下游1000m的河段，长1000m，共计长约2700m</w:t>
      </w:r>
      <w:r>
        <w:rPr>
          <w:rFonts w:hint="eastAsia" w:ascii="Times New Roman" w:hAnsi="Times New Roman" w:eastAsia="宋体" w:cs="Times New Roman"/>
          <w:color w:val="auto"/>
          <w:sz w:val="24"/>
          <w:highlight w:val="none"/>
          <w:lang w:val="en-US" w:eastAsia="zh-CN"/>
        </w:rPr>
        <w:t>。本项目</w:t>
      </w:r>
      <w:r>
        <w:rPr>
          <w:rFonts w:hint="eastAsia"/>
          <w:color w:val="auto"/>
          <w:sz w:val="24"/>
          <w:highlight w:val="none"/>
          <w:lang w:val="en-US" w:eastAsia="zh-CN"/>
        </w:rPr>
        <w:t>入河排污口距离</w:t>
      </w:r>
      <w:r>
        <w:rPr>
          <w:rFonts w:hint="eastAsia" w:ascii="Times New Roman" w:hAnsi="Times New Roman" w:cs="Times New Roman"/>
          <w:color w:val="auto"/>
          <w:sz w:val="24"/>
          <w:highlight w:val="none"/>
          <w:lang w:val="en-US" w:eastAsia="zh-CN"/>
        </w:rPr>
        <w:t>塘坪镇自来水水厂取水口有</w:t>
      </w:r>
      <w:r>
        <w:rPr>
          <w:rFonts w:hint="eastAsia" w:cs="Times New Roman"/>
          <w:color w:val="auto"/>
          <w:sz w:val="24"/>
          <w:highlight w:val="none"/>
          <w:lang w:val="en-US" w:eastAsia="zh-CN"/>
        </w:rPr>
        <w:t>5.6</w:t>
      </w:r>
      <w:r>
        <w:rPr>
          <w:rFonts w:hint="eastAsia" w:ascii="Times New Roman" w:hAnsi="Times New Roman" w:cs="Times New Roman"/>
          <w:color w:val="auto"/>
          <w:sz w:val="24"/>
          <w:highlight w:val="none"/>
          <w:lang w:val="en-US" w:eastAsia="zh-CN"/>
        </w:rPr>
        <w:t>km。</w:t>
      </w:r>
    </w:p>
    <w:p w14:paraId="4D3F3195">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bookmarkStart w:id="71" w:name="_Toc28162"/>
      <w:bookmarkStart w:id="72" w:name="_Toc14469"/>
      <w:r>
        <w:rPr>
          <w:rFonts w:hint="eastAsia"/>
          <w:color w:val="auto"/>
          <w:lang w:val="en-US" w:eastAsia="zh-CN"/>
        </w:rPr>
        <w:t>地表水影响预测</w:t>
      </w:r>
      <w:bookmarkEnd w:id="71"/>
      <w:bookmarkEnd w:id="72"/>
    </w:p>
    <w:p w14:paraId="5693A192">
      <w:pPr>
        <w:numPr>
          <w:ilvl w:val="0"/>
          <w:numId w:val="8"/>
        </w:numPr>
        <w:spacing w:line="360" w:lineRule="auto"/>
        <w:ind w:firstLine="482" w:firstLineChars="200"/>
        <w:rPr>
          <w:rFonts w:hint="eastAsia" w:ascii="Times New Roman" w:hAnsi="Times New Roman" w:cs="Times New Roman"/>
          <w:b/>
          <w:bCs/>
          <w:color w:val="auto"/>
          <w:sz w:val="24"/>
          <w:highlight w:val="none"/>
          <w:lang w:val="en-US" w:eastAsia="zh-CN"/>
        </w:rPr>
      </w:pPr>
      <w:r>
        <w:rPr>
          <w:rFonts w:hint="eastAsia" w:ascii="Times New Roman" w:hAnsi="Times New Roman" w:cs="Times New Roman"/>
          <w:b/>
          <w:bCs/>
          <w:color w:val="auto"/>
          <w:sz w:val="24"/>
          <w:highlight w:val="none"/>
          <w:lang w:val="en-US" w:eastAsia="zh-CN"/>
        </w:rPr>
        <w:t>预测因子与预测范围</w:t>
      </w:r>
    </w:p>
    <w:p w14:paraId="48F4F7BD">
      <w:pPr>
        <w:spacing w:line="360" w:lineRule="auto"/>
        <w:ind w:firstLine="480" w:firstLineChars="200"/>
        <w:rPr>
          <w:rFonts w:hint="default"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本评价根据《环境影响评价技术导则 地表水环境》（HJ/T2.3-2018）的规定以及本项目外排废水特点和受纳水体的水质特征，选择本项目特征污染物CODcr、氨氮</w:t>
      </w:r>
      <w:r>
        <w:rPr>
          <w:rFonts w:hint="eastAsia" w:cs="Times New Roman"/>
          <w:color w:val="auto"/>
          <w:sz w:val="24"/>
          <w:highlight w:val="none"/>
          <w:lang w:val="en-US" w:eastAsia="zh-CN"/>
        </w:rPr>
        <w:t>、总磷</w:t>
      </w:r>
      <w:r>
        <w:rPr>
          <w:rFonts w:hint="eastAsia" w:ascii="Times New Roman" w:hAnsi="Times New Roman" w:cs="Times New Roman"/>
          <w:color w:val="auto"/>
          <w:sz w:val="24"/>
          <w:highlight w:val="none"/>
          <w:lang w:val="en-US" w:eastAsia="zh-CN"/>
        </w:rPr>
        <w:t>作为预测评价因子。预测范围为</w:t>
      </w:r>
      <w:r>
        <w:rPr>
          <w:rFonts w:hint="eastAsia" w:ascii="Times New Roman" w:hAnsi="Times New Roman" w:eastAsia="宋体" w:cs="Times New Roman"/>
          <w:color w:val="auto"/>
          <w:sz w:val="24"/>
          <w:highlight w:val="none"/>
          <w:lang w:val="en-US" w:eastAsia="zh-CN"/>
        </w:rPr>
        <w:t>：</w:t>
      </w:r>
      <w:r>
        <w:rPr>
          <w:rFonts w:hint="eastAsia"/>
          <w:color w:val="auto"/>
          <w:sz w:val="24"/>
          <w:highlight w:val="none"/>
          <w:lang w:val="en-US" w:eastAsia="zh-CN"/>
        </w:rPr>
        <w:t>排污口下游550m为排水渠与吉水河交汇处，吉水河与排水渠交汇处至大八河的河段，共计长约1600</w:t>
      </w:r>
      <w:r>
        <w:rPr>
          <w:rFonts w:hint="eastAsia" w:cs="Times New Roman"/>
          <w:color w:val="auto"/>
          <w:sz w:val="24"/>
          <w:highlight w:val="none"/>
          <w:lang w:val="en-US" w:eastAsia="zh-CN"/>
        </w:rPr>
        <w:t>m</w:t>
      </w:r>
      <w:r>
        <w:rPr>
          <w:rFonts w:hint="eastAsia" w:ascii="Times New Roman" w:hAnsi="Times New Roman" w:eastAsia="宋体" w:cs="Times New Roman"/>
          <w:color w:val="auto"/>
          <w:sz w:val="24"/>
          <w:highlight w:val="none"/>
          <w:lang w:val="en-US" w:eastAsia="zh-CN"/>
        </w:rPr>
        <w:t>。</w:t>
      </w:r>
    </w:p>
    <w:p w14:paraId="3F198E8C">
      <w:pPr>
        <w:numPr>
          <w:ilvl w:val="0"/>
          <w:numId w:val="8"/>
        </w:numPr>
        <w:spacing w:line="360" w:lineRule="auto"/>
        <w:ind w:firstLine="482" w:firstLineChars="200"/>
        <w:rPr>
          <w:rFonts w:hint="eastAsia" w:ascii="Times New Roman" w:hAnsi="Times New Roman" w:cs="Times New Roman"/>
          <w:b/>
          <w:bCs/>
          <w:color w:val="auto"/>
          <w:sz w:val="24"/>
          <w:highlight w:val="none"/>
          <w:lang w:val="en-US" w:eastAsia="zh-CN"/>
        </w:rPr>
      </w:pPr>
      <w:r>
        <w:rPr>
          <w:rFonts w:hint="eastAsia" w:ascii="Times New Roman" w:hAnsi="Times New Roman" w:cs="Times New Roman"/>
          <w:b/>
          <w:bCs/>
          <w:color w:val="auto"/>
          <w:sz w:val="24"/>
          <w:highlight w:val="none"/>
          <w:lang w:val="en-US" w:eastAsia="zh-CN"/>
        </w:rPr>
        <w:t>预测情景：</w:t>
      </w:r>
    </w:p>
    <w:p w14:paraId="2D76BF38">
      <w:pPr>
        <w:spacing w:line="360" w:lineRule="auto"/>
        <w:ind w:firstLine="480" w:firstLineChars="200"/>
        <w:rPr>
          <w:rFonts w:hint="default"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根据正常排放时污染物的排放情况，计算两种工况下污染物在预测河段</w:t>
      </w:r>
      <w:r>
        <w:rPr>
          <w:rFonts w:hint="eastAsia" w:cs="Times New Roman"/>
          <w:color w:val="auto"/>
          <w:sz w:val="24"/>
          <w:highlight w:val="none"/>
          <w:lang w:val="en-US" w:eastAsia="zh-CN"/>
        </w:rPr>
        <w:t>的</w:t>
      </w:r>
      <w:r>
        <w:rPr>
          <w:rFonts w:hint="eastAsia" w:ascii="Times New Roman" w:hAnsi="Times New Roman" w:cs="Times New Roman"/>
          <w:color w:val="auto"/>
          <w:sz w:val="24"/>
          <w:highlight w:val="none"/>
          <w:lang w:val="en-US" w:eastAsia="zh-CN"/>
        </w:rPr>
        <w:t>各断面不同位置的浓度，预测污染物排放对项目</w:t>
      </w:r>
      <w:r>
        <w:rPr>
          <w:rFonts w:hint="eastAsia" w:cs="Times New Roman"/>
          <w:color w:val="auto"/>
          <w:sz w:val="24"/>
          <w:highlight w:val="none"/>
          <w:lang w:val="en-US" w:eastAsia="zh-CN"/>
        </w:rPr>
        <w:t>东面的排水渠</w:t>
      </w:r>
      <w:r>
        <w:rPr>
          <w:rFonts w:hint="eastAsia" w:ascii="Times New Roman" w:hAnsi="Times New Roman" w:cs="Times New Roman"/>
          <w:color w:val="auto"/>
          <w:sz w:val="24"/>
          <w:highlight w:val="none"/>
          <w:lang w:val="en-US" w:eastAsia="zh-CN"/>
        </w:rPr>
        <w:t>和</w:t>
      </w:r>
      <w:r>
        <w:rPr>
          <w:rFonts w:hint="eastAsia" w:cs="Times New Roman"/>
          <w:color w:val="auto"/>
          <w:sz w:val="24"/>
          <w:highlight w:val="none"/>
          <w:lang w:val="en-US" w:eastAsia="zh-CN"/>
        </w:rPr>
        <w:t>大八河</w:t>
      </w:r>
      <w:r>
        <w:rPr>
          <w:rFonts w:hint="eastAsia" w:ascii="Times New Roman" w:hAnsi="Times New Roman" w:cs="Times New Roman"/>
          <w:color w:val="auto"/>
          <w:sz w:val="24"/>
          <w:highlight w:val="none"/>
          <w:lang w:val="en-US" w:eastAsia="zh-CN"/>
        </w:rPr>
        <w:t>水质的影响程度，确定影响范围</w:t>
      </w:r>
      <w:r>
        <w:rPr>
          <w:rFonts w:hint="eastAsia" w:cs="Times New Roman"/>
          <w:color w:val="auto"/>
          <w:sz w:val="24"/>
          <w:highlight w:val="none"/>
          <w:lang w:val="en-US" w:eastAsia="zh-CN"/>
        </w:rPr>
        <w:t>。</w:t>
      </w:r>
    </w:p>
    <w:p w14:paraId="0E8D1CFA">
      <w:pPr>
        <w:spacing w:line="360" w:lineRule="auto"/>
        <w:ind w:firstLine="482" w:firstLineChars="200"/>
        <w:rPr>
          <w:rFonts w:hint="eastAsia" w:ascii="Times New Roman" w:hAnsi="Times New Roman" w:cs="Times New Roman"/>
          <w:b/>
          <w:bCs/>
          <w:color w:val="auto"/>
          <w:sz w:val="24"/>
          <w:highlight w:val="none"/>
          <w:lang w:val="en-US" w:eastAsia="zh-CN"/>
        </w:rPr>
      </w:pPr>
      <w:r>
        <w:rPr>
          <w:rFonts w:hint="eastAsia" w:cs="Times New Roman"/>
          <w:b/>
          <w:bCs/>
          <w:color w:val="auto"/>
          <w:sz w:val="24"/>
          <w:highlight w:val="none"/>
          <w:lang w:val="en-US" w:eastAsia="zh-CN"/>
        </w:rPr>
        <w:t>3、</w:t>
      </w:r>
      <w:r>
        <w:rPr>
          <w:rFonts w:hint="eastAsia" w:ascii="Times New Roman" w:hAnsi="Times New Roman" w:cs="Times New Roman"/>
          <w:b/>
          <w:bCs/>
          <w:color w:val="auto"/>
          <w:sz w:val="24"/>
          <w:highlight w:val="none"/>
          <w:lang w:val="en-US" w:eastAsia="zh-CN"/>
        </w:rPr>
        <w:t>预测模型</w:t>
      </w:r>
    </w:p>
    <w:p w14:paraId="498BBB88">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ascii="Times New Roman" w:hAnsi="Times New Roman" w:eastAsia="宋体" w:cs="Times New Roman"/>
          <w:color w:val="auto"/>
          <w:kern w:val="0"/>
          <w:sz w:val="24"/>
        </w:rPr>
        <w:t>先计算在</w:t>
      </w:r>
      <w:r>
        <w:rPr>
          <w:rFonts w:hint="eastAsia" w:cs="Times New Roman"/>
          <w:color w:val="auto"/>
          <w:kern w:val="0"/>
          <w:sz w:val="24"/>
          <w:lang w:eastAsia="zh-CN"/>
        </w:rPr>
        <w:t>排水渠</w:t>
      </w:r>
      <w:r>
        <w:rPr>
          <w:rFonts w:ascii="Times New Roman" w:hAnsi="Times New Roman" w:eastAsia="宋体" w:cs="Times New Roman"/>
          <w:color w:val="auto"/>
          <w:kern w:val="0"/>
          <w:sz w:val="24"/>
        </w:rPr>
        <w:t>混合过程段的长度，然后再确定预测模式</w:t>
      </w:r>
      <w:r>
        <w:rPr>
          <w:rFonts w:hint="eastAsia" w:cs="Times New Roman"/>
          <w:color w:val="auto"/>
          <w:kern w:val="0"/>
          <w:sz w:val="24"/>
          <w:lang w:eastAsia="zh-CN"/>
        </w:rPr>
        <w:t>。</w:t>
      </w:r>
    </w:p>
    <w:p w14:paraId="3D466233">
      <w:pPr>
        <w:numPr>
          <w:ilvl w:val="0"/>
          <w:numId w:val="9"/>
        </w:numPr>
        <w:spacing w:line="360" w:lineRule="auto"/>
        <w:ind w:firstLine="482" w:firstLineChars="200"/>
        <w:rPr>
          <w:rFonts w:hint="eastAsia" w:ascii="Times New Roman" w:hAnsi="Times New Roman" w:cs="Times New Roman"/>
          <w:b/>
          <w:bCs/>
          <w:color w:val="auto"/>
          <w:sz w:val="24"/>
          <w:highlight w:val="none"/>
          <w:lang w:val="en-US" w:eastAsia="zh-CN"/>
        </w:rPr>
      </w:pPr>
      <w:r>
        <w:rPr>
          <w:rFonts w:hint="eastAsia" w:ascii="Times New Roman" w:hAnsi="Times New Roman" w:cs="Times New Roman"/>
          <w:b/>
          <w:bCs/>
          <w:color w:val="auto"/>
          <w:sz w:val="24"/>
          <w:highlight w:val="none"/>
          <w:lang w:val="en-US" w:eastAsia="zh-CN"/>
        </w:rPr>
        <w:t>混合过程段长度的计算</w:t>
      </w:r>
    </w:p>
    <w:p w14:paraId="63B3DACF">
      <w:pPr>
        <w:numPr>
          <w:ilvl w:val="0"/>
          <w:numId w:val="0"/>
        </w:numPr>
        <w:spacing w:line="360" w:lineRule="auto"/>
        <w:ind w:firstLine="480" w:firstLineChars="200"/>
        <w:rPr>
          <w:rFonts w:ascii="Times New Roman" w:hAnsi="Times New Roman" w:eastAsia="宋体" w:cs="Times New Roman"/>
          <w:color w:val="auto"/>
          <w:kern w:val="0"/>
          <w:sz w:val="24"/>
        </w:rPr>
      </w:pPr>
      <w:r>
        <w:rPr>
          <w:rFonts w:ascii="Times New Roman" w:hAnsi="Times New Roman" w:eastAsia="宋体" w:cs="Times New Roman"/>
          <w:color w:val="auto"/>
          <w:kern w:val="0"/>
          <w:sz w:val="24"/>
        </w:rPr>
        <w:t>根据《环境影响评价技术导则地表水环境》（HJ2.3—2018）中的公式E1计算混合过程段长度。</w:t>
      </w:r>
    </w:p>
    <w:p w14:paraId="5B7B6F60">
      <w:pPr>
        <w:widowControl/>
        <w:spacing w:line="360" w:lineRule="auto"/>
        <w:ind w:firstLine="480" w:firstLineChars="200"/>
        <w:jc w:val="center"/>
        <w:rPr>
          <w:color w:val="auto"/>
          <w:sz w:val="24"/>
        </w:rPr>
      </w:pPr>
      <w:r>
        <w:rPr>
          <w:rFonts w:hint="eastAsia" w:ascii="Cambria Math" w:hAnsi="Cambria Math" w:eastAsia="宋体" w:cs="Times New Roman"/>
          <w:i w:val="0"/>
          <w:color w:val="auto"/>
          <w:position w:val="-42"/>
          <w:sz w:val="24"/>
          <w:lang w:eastAsia="zh-CN"/>
        </w:rPr>
        <w:object>
          <v:shape id="_x0000_i1027" o:spt="75" type="#_x0000_t75" style="height:48pt;width:242pt;" o:ole="t" filled="f" o:preferrelative="t" stroked="f" coordsize="21600,21600">
            <v:path/>
            <v:fill on="f" focussize="0,0"/>
            <v:stroke on="f"/>
            <v:imagedata r:id="rId36" o:title=""/>
            <o:lock v:ext="edit" aspectratio="t"/>
            <w10:wrap type="none"/>
            <w10:anchorlock/>
          </v:shape>
          <o:OLEObject Type="Embed" ProgID="Equation.KSEE3" ShapeID="_x0000_i1027" DrawAspect="Content" ObjectID="_1468075727" r:id="rId35">
            <o:LockedField>false</o:LockedField>
          </o:OLEObject>
        </w:object>
      </w:r>
    </w:p>
    <w:p w14:paraId="27E8EF9F">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jc w:val="left"/>
        <w:textAlignment w:val="auto"/>
        <w:rPr>
          <w:color w:val="auto"/>
          <w:sz w:val="24"/>
        </w:rPr>
      </w:pPr>
      <w:r>
        <w:rPr>
          <w:rFonts w:hint="eastAsia" w:cs="宋体"/>
          <w:color w:val="auto"/>
          <w:sz w:val="24"/>
        </w:rPr>
        <w:t>式中：</w:t>
      </w:r>
      <w:r>
        <w:rPr>
          <w:i/>
          <w:color w:val="auto"/>
          <w:sz w:val="24"/>
        </w:rPr>
        <w:t>L</w:t>
      </w:r>
      <w:r>
        <w:rPr>
          <w:i/>
          <w:color w:val="auto"/>
          <w:sz w:val="24"/>
          <w:vertAlign w:val="subscript"/>
        </w:rPr>
        <w:t>m</w:t>
      </w:r>
      <w:r>
        <w:rPr>
          <w:color w:val="auto"/>
          <w:sz w:val="24"/>
        </w:rPr>
        <w:t>—</w:t>
      </w:r>
      <w:r>
        <w:rPr>
          <w:rFonts w:hint="eastAsia" w:cs="宋体"/>
          <w:color w:val="auto"/>
          <w:sz w:val="24"/>
        </w:rPr>
        <w:t>混合段长度，</w:t>
      </w:r>
      <w:r>
        <w:rPr>
          <w:color w:val="auto"/>
          <w:sz w:val="24"/>
        </w:rPr>
        <w:t>m</w:t>
      </w:r>
      <w:r>
        <w:rPr>
          <w:rFonts w:hint="eastAsia" w:cs="宋体"/>
          <w:color w:val="auto"/>
          <w:sz w:val="24"/>
        </w:rPr>
        <w:t>；</w:t>
      </w:r>
    </w:p>
    <w:p w14:paraId="23622E5C">
      <w:pPr>
        <w:pStyle w:val="2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1200" w:firstLineChars="500"/>
        <w:textAlignment w:val="auto"/>
        <w:rPr>
          <w:color w:val="auto"/>
        </w:rPr>
      </w:pPr>
      <w:r>
        <w:rPr>
          <w:color w:val="auto"/>
        </w:rPr>
        <w:t>B—</w:t>
      </w:r>
      <w:r>
        <w:rPr>
          <w:rFonts w:hint="eastAsia"/>
          <w:color w:val="auto"/>
        </w:rPr>
        <w:t>水面宽度，</w:t>
      </w:r>
      <w:r>
        <w:rPr>
          <w:color w:val="auto"/>
        </w:rPr>
        <w:t>m</w:t>
      </w:r>
      <w:r>
        <w:rPr>
          <w:rFonts w:hint="eastAsia"/>
          <w:color w:val="auto"/>
        </w:rPr>
        <w:t>；</w:t>
      </w:r>
    </w:p>
    <w:p w14:paraId="287AD943">
      <w:pPr>
        <w:pStyle w:val="2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1200" w:firstLineChars="500"/>
        <w:textAlignment w:val="auto"/>
        <w:rPr>
          <w:color w:val="auto"/>
        </w:rPr>
      </w:pPr>
      <w:r>
        <w:rPr>
          <w:i/>
          <w:color w:val="auto"/>
        </w:rPr>
        <w:t>a</w:t>
      </w:r>
      <w:r>
        <w:rPr>
          <w:color w:val="auto"/>
        </w:rPr>
        <w:t>—</w:t>
      </w:r>
      <w:r>
        <w:rPr>
          <w:rFonts w:hint="eastAsia"/>
          <w:color w:val="auto"/>
        </w:rPr>
        <w:t>排放口到岸边的距离，</w:t>
      </w:r>
      <w:r>
        <w:rPr>
          <w:color w:val="auto"/>
        </w:rPr>
        <w:t>m</w:t>
      </w:r>
      <w:r>
        <w:rPr>
          <w:rFonts w:hint="eastAsia"/>
          <w:color w:val="auto"/>
        </w:rPr>
        <w:t>；</w:t>
      </w:r>
    </w:p>
    <w:p w14:paraId="0D1603F1">
      <w:pPr>
        <w:pStyle w:val="2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1200" w:firstLineChars="500"/>
        <w:textAlignment w:val="auto"/>
        <w:rPr>
          <w:color w:val="auto"/>
        </w:rPr>
      </w:pPr>
      <w:r>
        <w:rPr>
          <w:i/>
          <w:color w:val="auto"/>
        </w:rPr>
        <w:t>u</w:t>
      </w:r>
      <w:r>
        <w:rPr>
          <w:color w:val="auto"/>
        </w:rPr>
        <w:t>—</w:t>
      </w:r>
      <w:r>
        <w:rPr>
          <w:rFonts w:hint="eastAsia"/>
          <w:color w:val="auto"/>
        </w:rPr>
        <w:t>断面流速，</w:t>
      </w:r>
      <w:r>
        <w:rPr>
          <w:color w:val="auto"/>
        </w:rPr>
        <w:t>m/s</w:t>
      </w:r>
      <w:r>
        <w:rPr>
          <w:rFonts w:hint="eastAsia"/>
          <w:color w:val="auto"/>
        </w:rPr>
        <w:t>；</w:t>
      </w:r>
    </w:p>
    <w:p w14:paraId="36EB1BCA">
      <w:pPr>
        <w:pStyle w:val="2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1200" w:firstLineChars="500"/>
        <w:textAlignment w:val="auto"/>
        <w:rPr>
          <w:color w:val="auto"/>
        </w:rPr>
      </w:pPr>
      <w:r>
        <w:rPr>
          <w:rFonts w:hint="default" w:ascii="Times New Roman" w:hAnsi="Times New Roman" w:cs="Times New Roman"/>
          <w:i/>
          <w:color w:val="auto"/>
        </w:rPr>
        <w:t>E</w:t>
      </w:r>
      <w:r>
        <w:rPr>
          <w:rFonts w:hint="default" w:ascii="Times New Roman" w:hAnsi="Times New Roman" w:cs="Times New Roman"/>
          <w:i/>
          <w:color w:val="auto"/>
          <w:vertAlign w:val="subscript"/>
        </w:rPr>
        <w:t>y</w:t>
      </w:r>
      <w:r>
        <w:rPr>
          <w:rFonts w:hint="default" w:ascii="Times New Roman" w:hAnsi="Times New Roman" w:cs="Times New Roman"/>
          <w:color w:val="auto"/>
        </w:rPr>
        <w:t>—污染物横向扩散系数，m</w:t>
      </w:r>
      <w:r>
        <w:rPr>
          <w:rFonts w:hint="default" w:ascii="Times New Roman" w:hAnsi="Times New Roman" w:cs="Times New Roman"/>
          <w:color w:val="auto"/>
          <w:vertAlign w:val="superscript"/>
        </w:rPr>
        <w:t>2</w:t>
      </w:r>
      <w:r>
        <w:rPr>
          <w:rFonts w:hint="default" w:ascii="Times New Roman" w:hAnsi="Times New Roman" w:cs="Times New Roman"/>
          <w:color w:val="auto"/>
        </w:rPr>
        <w:t>/s</w:t>
      </w:r>
      <w:r>
        <w:rPr>
          <w:rFonts w:hint="eastAsia"/>
          <w:color w:val="auto"/>
        </w:rPr>
        <w:t>；</w:t>
      </w:r>
    </w:p>
    <w:p w14:paraId="43B174CE">
      <w:pPr>
        <w:adjustRightInd w:val="0"/>
        <w:snapToGrid w:val="0"/>
        <w:spacing w:line="360" w:lineRule="auto"/>
        <w:ind w:firstLine="480" w:firstLineChars="200"/>
        <w:rPr>
          <w:rFonts w:ascii="Times New Roman" w:hAnsi="Times New Roman" w:eastAsia="宋体" w:cs="Times New Roman"/>
          <w:color w:val="auto"/>
          <w:kern w:val="0"/>
          <w:sz w:val="24"/>
        </w:rPr>
      </w:pPr>
      <w:r>
        <w:rPr>
          <w:rFonts w:ascii="Times New Roman" w:hAnsi="Times New Roman" w:eastAsia="宋体" w:cs="Times New Roman"/>
          <w:bCs/>
          <w:color w:val="auto"/>
          <w:sz w:val="24"/>
        </w:rPr>
        <w:t>公式中相关参数的确定：</w:t>
      </w:r>
      <w:r>
        <w:rPr>
          <w:rFonts w:ascii="Times New Roman" w:hAnsi="Times New Roman" w:eastAsia="宋体" w:cs="Times New Roman"/>
          <w:color w:val="auto"/>
          <w:kern w:val="0"/>
          <w:sz w:val="24"/>
        </w:rPr>
        <w:t>本项目排污口设在岸边，a取0。水面宽度B、断面流速u取值见表</w:t>
      </w:r>
      <w:r>
        <w:rPr>
          <w:rFonts w:hint="eastAsia" w:cs="Times New Roman"/>
          <w:color w:val="auto"/>
          <w:kern w:val="0"/>
          <w:sz w:val="24"/>
          <w:lang w:val="en-US" w:eastAsia="zh-CN"/>
        </w:rPr>
        <w:t>7.2-1</w:t>
      </w:r>
      <w:r>
        <w:rPr>
          <w:rFonts w:ascii="Times New Roman" w:hAnsi="Times New Roman" w:eastAsia="宋体" w:cs="Times New Roman"/>
          <w:color w:val="auto"/>
          <w:kern w:val="0"/>
          <w:sz w:val="24"/>
        </w:rPr>
        <w:t>。E</w:t>
      </w:r>
      <w:r>
        <w:rPr>
          <w:rFonts w:ascii="Times New Roman" w:hAnsi="Times New Roman" w:eastAsia="宋体" w:cs="Times New Roman"/>
          <w:color w:val="auto"/>
          <w:kern w:val="0"/>
          <w:sz w:val="24"/>
          <w:vertAlign w:val="subscript"/>
        </w:rPr>
        <w:t>y</w:t>
      </w:r>
      <w:r>
        <w:rPr>
          <w:rFonts w:ascii="Times New Roman" w:hAnsi="Times New Roman" w:eastAsia="宋体" w:cs="Times New Roman"/>
          <w:color w:val="auto"/>
          <w:kern w:val="0"/>
          <w:sz w:val="24"/>
        </w:rPr>
        <w:t>的确定有多种方法，分别是现场视踪实验估值法、泰勒公式法和费修公式法。本报告采用泰勒公式法确定污染物横向扩散系数E</w:t>
      </w:r>
      <w:r>
        <w:rPr>
          <w:rFonts w:ascii="Times New Roman" w:hAnsi="Times New Roman" w:eastAsia="宋体" w:cs="Times New Roman"/>
          <w:color w:val="auto"/>
          <w:kern w:val="0"/>
          <w:sz w:val="24"/>
          <w:vertAlign w:val="subscript"/>
        </w:rPr>
        <w:t>y</w:t>
      </w:r>
      <w:r>
        <w:rPr>
          <w:rFonts w:ascii="Times New Roman" w:hAnsi="Times New Roman" w:eastAsia="宋体" w:cs="Times New Roman"/>
          <w:color w:val="auto"/>
          <w:kern w:val="0"/>
          <w:sz w:val="24"/>
        </w:rPr>
        <w:t>。泰勒公式：</w:t>
      </w:r>
    </w:p>
    <w:p w14:paraId="52AD9806">
      <w:pPr>
        <w:adjustRightInd w:val="0"/>
        <w:snapToGrid w:val="0"/>
        <w:spacing w:line="360" w:lineRule="auto"/>
        <w:ind w:firstLine="480" w:firstLineChars="200"/>
        <w:jc w:val="center"/>
        <w:rPr>
          <w:rFonts w:ascii="Times New Roman" w:hAnsi="Times New Roman" w:eastAsia="宋体" w:cs="Times New Roman"/>
          <w:color w:val="auto"/>
          <w:kern w:val="0"/>
          <w:sz w:val="24"/>
        </w:rPr>
      </w:pPr>
      <w:r>
        <w:rPr>
          <w:rFonts w:ascii="Times New Roman" w:hAnsi="Times New Roman" w:eastAsia="宋体" w:cs="Times New Roman"/>
          <w:color w:val="auto"/>
          <w:kern w:val="0"/>
          <w:sz w:val="24"/>
        </w:rPr>
        <w:t>E</w:t>
      </w:r>
      <w:r>
        <w:rPr>
          <w:rFonts w:ascii="Times New Roman" w:hAnsi="Times New Roman" w:eastAsia="宋体" w:cs="Times New Roman"/>
          <w:color w:val="auto"/>
          <w:kern w:val="0"/>
          <w:sz w:val="24"/>
          <w:vertAlign w:val="subscript"/>
        </w:rPr>
        <w:t>y</w:t>
      </w:r>
      <w:r>
        <w:rPr>
          <w:rFonts w:ascii="Times New Roman" w:hAnsi="Times New Roman" w:eastAsia="宋体" w:cs="Times New Roman"/>
          <w:color w:val="auto"/>
          <w:kern w:val="0"/>
          <w:sz w:val="24"/>
        </w:rPr>
        <w:t>=（0.058H+0.0</w:t>
      </w:r>
      <w:r>
        <w:rPr>
          <w:rFonts w:hint="eastAsia" w:cs="Times New Roman"/>
          <w:color w:val="auto"/>
          <w:kern w:val="0"/>
          <w:sz w:val="24"/>
          <w:lang w:val="en-US" w:eastAsia="zh-CN"/>
        </w:rPr>
        <w:t>0</w:t>
      </w:r>
      <w:r>
        <w:rPr>
          <w:rFonts w:ascii="Times New Roman" w:hAnsi="Times New Roman" w:eastAsia="宋体" w:cs="Times New Roman"/>
          <w:color w:val="auto"/>
          <w:kern w:val="0"/>
          <w:sz w:val="24"/>
        </w:rPr>
        <w:t>65B）*（gHJ）</w:t>
      </w:r>
      <w:r>
        <w:rPr>
          <w:rFonts w:ascii="Times New Roman" w:hAnsi="Times New Roman" w:eastAsia="宋体" w:cs="Times New Roman"/>
          <w:color w:val="auto"/>
          <w:kern w:val="0"/>
          <w:sz w:val="24"/>
          <w:vertAlign w:val="superscript"/>
        </w:rPr>
        <w:t>1/2</w:t>
      </w:r>
    </w:p>
    <w:p w14:paraId="16CAA92A">
      <w:pPr>
        <w:adjustRightInd w:val="0"/>
        <w:snapToGrid w:val="0"/>
        <w:spacing w:line="360" w:lineRule="auto"/>
        <w:ind w:firstLine="480" w:firstLineChars="200"/>
        <w:rPr>
          <w:rFonts w:ascii="Times New Roman" w:hAnsi="Times New Roman" w:eastAsia="宋体" w:cs="Times New Roman"/>
          <w:color w:val="auto"/>
          <w:kern w:val="0"/>
          <w:sz w:val="24"/>
        </w:rPr>
      </w:pPr>
      <w:r>
        <w:rPr>
          <w:rFonts w:ascii="Times New Roman" w:hAnsi="Times New Roman" w:eastAsia="宋体" w:cs="Times New Roman"/>
          <w:color w:val="auto"/>
          <w:kern w:val="0"/>
          <w:sz w:val="24"/>
        </w:rPr>
        <w:t>式中：B</w:t>
      </w:r>
      <w:r>
        <w:rPr>
          <w:rFonts w:ascii="Times New Roman" w:hAnsi="Times New Roman" w:eastAsia="宋体" w:cs="Times New Roman"/>
          <w:bCs/>
          <w:color w:val="auto"/>
          <w:sz w:val="24"/>
        </w:rPr>
        <w:t>——</w:t>
      </w:r>
      <w:r>
        <w:rPr>
          <w:rFonts w:ascii="Times New Roman" w:hAnsi="Times New Roman" w:eastAsia="宋体" w:cs="Times New Roman"/>
          <w:color w:val="auto"/>
          <w:kern w:val="0"/>
          <w:sz w:val="24"/>
        </w:rPr>
        <w:t>河流平均宽度，m；</w:t>
      </w:r>
    </w:p>
    <w:p w14:paraId="432C579F">
      <w:pPr>
        <w:adjustRightInd w:val="0"/>
        <w:snapToGrid w:val="0"/>
        <w:spacing w:line="360" w:lineRule="auto"/>
        <w:ind w:firstLine="480" w:firstLineChars="200"/>
        <w:rPr>
          <w:rFonts w:ascii="Times New Roman" w:hAnsi="Times New Roman" w:eastAsia="宋体" w:cs="Times New Roman"/>
          <w:color w:val="auto"/>
          <w:kern w:val="0"/>
          <w:sz w:val="24"/>
        </w:rPr>
      </w:pPr>
      <w:r>
        <w:rPr>
          <w:rFonts w:ascii="Times New Roman" w:hAnsi="Times New Roman" w:eastAsia="宋体" w:cs="Times New Roman"/>
          <w:color w:val="auto"/>
          <w:kern w:val="0"/>
          <w:sz w:val="24"/>
        </w:rPr>
        <w:t>H</w:t>
      </w:r>
      <w:r>
        <w:rPr>
          <w:rFonts w:ascii="Times New Roman" w:hAnsi="Times New Roman" w:eastAsia="宋体" w:cs="Times New Roman"/>
          <w:bCs/>
          <w:color w:val="auto"/>
          <w:sz w:val="24"/>
        </w:rPr>
        <w:t>——</w:t>
      </w:r>
      <w:r>
        <w:rPr>
          <w:rFonts w:ascii="Times New Roman" w:hAnsi="Times New Roman" w:eastAsia="宋体" w:cs="Times New Roman"/>
          <w:color w:val="auto"/>
          <w:kern w:val="0"/>
          <w:sz w:val="24"/>
        </w:rPr>
        <w:t>河道断面平均水深，m；</w:t>
      </w:r>
    </w:p>
    <w:p w14:paraId="6FD354C1">
      <w:pPr>
        <w:adjustRightInd w:val="0"/>
        <w:snapToGrid w:val="0"/>
        <w:spacing w:line="360" w:lineRule="auto"/>
        <w:ind w:firstLine="480" w:firstLineChars="200"/>
        <w:rPr>
          <w:rFonts w:ascii="Times New Roman" w:hAnsi="Times New Roman" w:eastAsia="宋体" w:cs="Times New Roman"/>
          <w:color w:val="auto"/>
          <w:kern w:val="0"/>
          <w:sz w:val="24"/>
          <w:highlight w:val="none"/>
        </w:rPr>
      </w:pPr>
      <w:r>
        <w:rPr>
          <w:rFonts w:ascii="Times New Roman" w:hAnsi="Times New Roman" w:eastAsia="宋体" w:cs="Times New Roman"/>
          <w:color w:val="auto"/>
          <w:kern w:val="0"/>
          <w:sz w:val="24"/>
        </w:rPr>
        <w:t>g</w:t>
      </w:r>
      <w:r>
        <w:rPr>
          <w:rFonts w:ascii="Times New Roman" w:hAnsi="Times New Roman" w:eastAsia="宋体" w:cs="Times New Roman"/>
          <w:bCs/>
          <w:color w:val="auto"/>
          <w:sz w:val="24"/>
        </w:rPr>
        <w:t>——</w:t>
      </w:r>
      <w:r>
        <w:rPr>
          <w:rFonts w:ascii="Times New Roman" w:hAnsi="Times New Roman" w:eastAsia="宋体" w:cs="Times New Roman"/>
          <w:color w:val="auto"/>
          <w:kern w:val="0"/>
          <w:sz w:val="24"/>
        </w:rPr>
        <w:t>重力加速度，m/s</w:t>
      </w:r>
      <w:r>
        <w:rPr>
          <w:rFonts w:ascii="Times New Roman" w:hAnsi="Times New Roman" w:eastAsia="宋体" w:cs="Times New Roman"/>
          <w:color w:val="auto"/>
          <w:kern w:val="0"/>
          <w:sz w:val="24"/>
          <w:vertAlign w:val="superscript"/>
        </w:rPr>
        <w:t>2</w:t>
      </w:r>
      <w:r>
        <w:rPr>
          <w:rFonts w:ascii="Times New Roman" w:hAnsi="Times New Roman" w:eastAsia="宋体" w:cs="Times New Roman"/>
          <w:color w:val="auto"/>
          <w:kern w:val="0"/>
          <w:sz w:val="24"/>
        </w:rPr>
        <w:t>；取9.8；</w:t>
      </w:r>
    </w:p>
    <w:p w14:paraId="3C29E4C7">
      <w:pPr>
        <w:adjustRightInd w:val="0"/>
        <w:snapToGrid w:val="0"/>
        <w:spacing w:line="360" w:lineRule="auto"/>
        <w:ind w:firstLine="480" w:firstLineChars="200"/>
        <w:rPr>
          <w:rFonts w:hint="eastAsia" w:ascii="Times New Roman" w:hAnsi="Times New Roman" w:eastAsia="宋体" w:cs="Times New Roman"/>
          <w:color w:val="auto"/>
          <w:kern w:val="0"/>
          <w:sz w:val="24"/>
          <w:highlight w:val="none"/>
          <w:lang w:eastAsia="zh-CN"/>
        </w:rPr>
      </w:pPr>
      <w:r>
        <w:rPr>
          <w:rFonts w:ascii="Times New Roman" w:hAnsi="Times New Roman" w:eastAsia="宋体" w:cs="Times New Roman"/>
          <w:color w:val="auto"/>
          <w:kern w:val="0"/>
          <w:sz w:val="24"/>
          <w:highlight w:val="none"/>
        </w:rPr>
        <w:t>J</w:t>
      </w:r>
      <w:r>
        <w:rPr>
          <w:rFonts w:ascii="Times New Roman" w:hAnsi="Times New Roman" w:eastAsia="宋体" w:cs="Times New Roman"/>
          <w:bCs/>
          <w:color w:val="auto"/>
          <w:sz w:val="24"/>
          <w:highlight w:val="none"/>
        </w:rPr>
        <w:t>——</w:t>
      </w:r>
      <w:r>
        <w:rPr>
          <w:rFonts w:ascii="Times New Roman" w:hAnsi="Times New Roman" w:eastAsia="宋体" w:cs="Times New Roman"/>
          <w:color w:val="auto"/>
          <w:kern w:val="0"/>
          <w:sz w:val="24"/>
          <w:highlight w:val="none"/>
        </w:rPr>
        <w:t>河流水力比降</w:t>
      </w:r>
      <w:r>
        <w:rPr>
          <w:rFonts w:hint="eastAsia" w:cs="Times New Roman"/>
          <w:color w:val="auto"/>
          <w:kern w:val="0"/>
          <w:sz w:val="24"/>
          <w:highlight w:val="none"/>
          <w:lang w:eastAsia="zh-CN"/>
        </w:rPr>
        <w:t>。</w:t>
      </w:r>
    </w:p>
    <w:p w14:paraId="7971F389">
      <w:pPr>
        <w:spacing w:line="360" w:lineRule="auto"/>
        <w:ind w:firstLine="480" w:firstLineChars="200"/>
        <w:rPr>
          <w:rFonts w:hint="default" w:ascii="Times New Roman" w:hAnsi="Times New Roman" w:cs="Times New Roman"/>
          <w:color w:val="auto"/>
          <w:sz w:val="24"/>
          <w:highlight w:val="none"/>
          <w:lang w:val="en-US" w:eastAsia="zh-CN"/>
        </w:rPr>
      </w:pPr>
      <w:r>
        <w:rPr>
          <w:rFonts w:hint="eastAsia" w:cs="Times New Roman"/>
          <w:color w:val="auto"/>
          <w:sz w:val="24"/>
          <w:highlight w:val="none"/>
          <w:lang w:val="en-US" w:eastAsia="zh-CN"/>
        </w:rPr>
        <w:t>河流</w:t>
      </w:r>
      <w:r>
        <w:rPr>
          <w:rFonts w:hint="eastAsia" w:ascii="Times New Roman" w:hAnsi="Times New Roman" w:cs="Times New Roman"/>
          <w:color w:val="auto"/>
          <w:sz w:val="24"/>
          <w:highlight w:val="none"/>
          <w:lang w:val="en-US" w:eastAsia="zh-CN"/>
        </w:rPr>
        <w:t>的水文参数详见下表</w:t>
      </w:r>
      <w:r>
        <w:rPr>
          <w:rFonts w:hint="eastAsia" w:cs="Times New Roman"/>
          <w:color w:val="auto"/>
          <w:sz w:val="24"/>
          <w:highlight w:val="none"/>
          <w:lang w:val="en-US" w:eastAsia="zh-CN"/>
        </w:rPr>
        <w:t>，其中排水渠和大八河水文数据由现场测量和查阅相关资料得到</w:t>
      </w:r>
      <w:r>
        <w:rPr>
          <w:rFonts w:hint="eastAsia" w:ascii="Times New Roman" w:hAnsi="Times New Roman" w:cs="Times New Roman"/>
          <w:color w:val="auto"/>
          <w:sz w:val="24"/>
          <w:highlight w:val="none"/>
          <w:lang w:val="en-US" w:eastAsia="zh-CN"/>
        </w:rPr>
        <w:t>。</w:t>
      </w:r>
    </w:p>
    <w:p w14:paraId="581799CA">
      <w:pPr>
        <w:adjustRightInd w:val="0"/>
        <w:snapToGrid w:val="0"/>
        <w:spacing w:line="240" w:lineRule="auto"/>
        <w:ind w:firstLine="422" w:firstLineChars="200"/>
        <w:jc w:val="center"/>
        <w:rPr>
          <w:rFonts w:ascii="Times New Roman" w:hAnsi="Times New Roman" w:eastAsia="宋体" w:cs="Times New Roman"/>
          <w:b/>
          <w:bCs w:val="0"/>
          <w:color w:val="auto"/>
          <w:sz w:val="21"/>
          <w:szCs w:val="18"/>
          <w:highlight w:val="none"/>
        </w:rPr>
      </w:pPr>
      <w:r>
        <w:rPr>
          <w:rFonts w:hint="eastAsia" w:cs="Times New Roman"/>
          <w:b/>
          <w:bCs w:val="0"/>
          <w:color w:val="auto"/>
          <w:sz w:val="21"/>
          <w:szCs w:val="18"/>
          <w:highlight w:val="none"/>
          <w:lang w:val="en-US" w:eastAsia="zh-CN"/>
        </w:rPr>
        <w:t xml:space="preserve">表7.2-1 </w:t>
      </w:r>
      <w:r>
        <w:rPr>
          <w:rFonts w:ascii="Times New Roman" w:hAnsi="Times New Roman" w:eastAsia="宋体" w:cs="Times New Roman"/>
          <w:b/>
          <w:bCs w:val="0"/>
          <w:color w:val="auto"/>
          <w:sz w:val="21"/>
          <w:szCs w:val="18"/>
          <w:highlight w:val="none"/>
        </w:rPr>
        <w:t>预测河段水文参数</w:t>
      </w:r>
    </w:p>
    <w:tbl>
      <w:tblPr>
        <w:tblStyle w:val="81"/>
        <w:tblW w:w="839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97"/>
        <w:gridCol w:w="1449"/>
        <w:gridCol w:w="1009"/>
        <w:gridCol w:w="1248"/>
        <w:gridCol w:w="1447"/>
        <w:gridCol w:w="1446"/>
      </w:tblGrid>
      <w:tr w14:paraId="5E3F0A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3" w:hRule="atLeast"/>
          <w:jc w:val="center"/>
        </w:trPr>
        <w:tc>
          <w:tcPr>
            <w:tcW w:w="1797" w:type="dxa"/>
            <w:vAlign w:val="center"/>
          </w:tcPr>
          <w:p w14:paraId="06AAB4E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ascii="Times New Roman" w:hAnsi="Times New Roman" w:eastAsia="宋体" w:cs="Times New Roman"/>
                <w:b/>
                <w:bCs/>
                <w:color w:val="auto"/>
                <w:sz w:val="21"/>
                <w:szCs w:val="21"/>
                <w:highlight w:val="none"/>
                <w:lang w:eastAsia="en-US"/>
              </w:rPr>
            </w:pPr>
            <w:r>
              <w:rPr>
                <w:rFonts w:ascii="Times New Roman" w:hAnsi="Times New Roman" w:eastAsia="宋体" w:cs="Times New Roman"/>
                <w:b/>
                <w:bCs/>
                <w:color w:val="auto"/>
                <w:sz w:val="21"/>
                <w:szCs w:val="21"/>
                <w:highlight w:val="none"/>
                <w:lang w:eastAsia="en-US"/>
              </w:rPr>
              <w:t>河流</w:t>
            </w:r>
          </w:p>
        </w:tc>
        <w:tc>
          <w:tcPr>
            <w:tcW w:w="1449" w:type="dxa"/>
            <w:vAlign w:val="center"/>
          </w:tcPr>
          <w:p w14:paraId="17B4ADC0">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eastAsia" w:ascii="Times New Roman" w:hAnsi="Times New Roman" w:eastAsia="宋体" w:cs="Times New Roman"/>
                <w:b/>
                <w:bCs/>
                <w:color w:val="auto"/>
                <w:sz w:val="21"/>
                <w:szCs w:val="21"/>
                <w:highlight w:val="none"/>
                <w:lang w:val="en-US" w:eastAsia="zh-CN"/>
              </w:rPr>
            </w:pPr>
            <w:r>
              <w:rPr>
                <w:rFonts w:ascii="Times New Roman" w:hAnsi="Times New Roman" w:eastAsia="宋体" w:cs="Times New Roman"/>
                <w:b/>
                <w:bCs/>
                <w:color w:val="auto"/>
                <w:sz w:val="21"/>
                <w:szCs w:val="21"/>
                <w:highlight w:val="none"/>
                <w:lang w:eastAsia="en-US"/>
              </w:rPr>
              <w:t>平均河宽</w:t>
            </w:r>
          </w:p>
          <w:p w14:paraId="6135CF1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ascii="Times New Roman" w:hAnsi="Times New Roman" w:eastAsia="宋体" w:cs="Times New Roman"/>
                <w:b/>
                <w:bCs/>
                <w:color w:val="auto"/>
                <w:sz w:val="21"/>
                <w:szCs w:val="21"/>
                <w:highlight w:val="none"/>
                <w:lang w:eastAsia="en-US"/>
              </w:rPr>
            </w:pPr>
            <w:r>
              <w:rPr>
                <w:rFonts w:ascii="Times New Roman" w:hAnsi="Times New Roman" w:eastAsia="宋体" w:cs="Times New Roman"/>
                <w:b/>
                <w:bCs/>
                <w:color w:val="auto"/>
                <w:sz w:val="21"/>
                <w:szCs w:val="21"/>
                <w:highlight w:val="none"/>
                <w:lang w:eastAsia="en-US"/>
              </w:rPr>
              <w:t>（m）</w:t>
            </w:r>
          </w:p>
        </w:tc>
        <w:tc>
          <w:tcPr>
            <w:tcW w:w="1009" w:type="dxa"/>
            <w:vAlign w:val="center"/>
          </w:tcPr>
          <w:p w14:paraId="5B2AEEB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ascii="Times New Roman" w:hAnsi="Times New Roman" w:eastAsia="宋体" w:cs="Times New Roman"/>
                <w:b/>
                <w:bCs/>
                <w:color w:val="auto"/>
                <w:sz w:val="21"/>
                <w:szCs w:val="21"/>
                <w:highlight w:val="none"/>
                <w:lang w:eastAsia="en-US"/>
              </w:rPr>
            </w:pPr>
            <w:r>
              <w:rPr>
                <w:rFonts w:hint="eastAsia" w:cs="Times New Roman"/>
                <w:b/>
                <w:bCs/>
                <w:color w:val="auto"/>
                <w:sz w:val="21"/>
                <w:szCs w:val="21"/>
                <w:highlight w:val="none"/>
                <w:lang w:val="en-US" w:eastAsia="zh-CN"/>
              </w:rPr>
              <w:t>平均</w:t>
            </w:r>
            <w:r>
              <w:rPr>
                <w:rFonts w:ascii="Times New Roman" w:hAnsi="Times New Roman" w:eastAsia="宋体" w:cs="Times New Roman"/>
                <w:b/>
                <w:bCs/>
                <w:color w:val="auto"/>
                <w:sz w:val="21"/>
                <w:szCs w:val="21"/>
                <w:highlight w:val="none"/>
                <w:lang w:eastAsia="en-US"/>
              </w:rPr>
              <w:t>水深</w:t>
            </w:r>
          </w:p>
          <w:p w14:paraId="58BD71FC">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ascii="Times New Roman" w:hAnsi="Times New Roman" w:eastAsia="宋体" w:cs="Times New Roman"/>
                <w:b/>
                <w:bCs/>
                <w:color w:val="auto"/>
                <w:sz w:val="21"/>
                <w:szCs w:val="21"/>
                <w:highlight w:val="none"/>
                <w:lang w:eastAsia="en-US"/>
              </w:rPr>
            </w:pPr>
            <w:r>
              <w:rPr>
                <w:rFonts w:ascii="Times New Roman" w:hAnsi="Times New Roman" w:eastAsia="宋体" w:cs="Times New Roman"/>
                <w:b/>
                <w:bCs/>
                <w:color w:val="auto"/>
                <w:sz w:val="21"/>
                <w:szCs w:val="21"/>
                <w:highlight w:val="none"/>
                <w:lang w:eastAsia="en-US"/>
              </w:rPr>
              <w:t>（m）</w:t>
            </w:r>
          </w:p>
        </w:tc>
        <w:tc>
          <w:tcPr>
            <w:tcW w:w="1248" w:type="dxa"/>
            <w:vAlign w:val="center"/>
          </w:tcPr>
          <w:p w14:paraId="3D8E86CD">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ascii="Times New Roman" w:hAnsi="Times New Roman" w:eastAsia="宋体" w:cs="Times New Roman"/>
                <w:b/>
                <w:bCs/>
                <w:color w:val="auto"/>
                <w:sz w:val="21"/>
                <w:szCs w:val="21"/>
                <w:highlight w:val="none"/>
                <w:lang w:eastAsia="en-US"/>
              </w:rPr>
            </w:pPr>
            <w:r>
              <w:rPr>
                <w:rFonts w:hint="eastAsia" w:cs="Times New Roman"/>
                <w:b/>
                <w:bCs/>
                <w:color w:val="auto"/>
                <w:sz w:val="21"/>
                <w:szCs w:val="21"/>
                <w:highlight w:val="none"/>
                <w:lang w:val="en-US" w:eastAsia="zh-CN"/>
              </w:rPr>
              <w:t>平均</w:t>
            </w:r>
            <w:r>
              <w:rPr>
                <w:rFonts w:ascii="Times New Roman" w:hAnsi="Times New Roman" w:eastAsia="宋体" w:cs="Times New Roman"/>
                <w:b/>
                <w:bCs/>
                <w:color w:val="auto"/>
                <w:sz w:val="21"/>
                <w:szCs w:val="21"/>
                <w:highlight w:val="none"/>
                <w:lang w:eastAsia="en-US"/>
              </w:rPr>
              <w:t>流速</w:t>
            </w:r>
          </w:p>
          <w:p w14:paraId="44A5363E">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ascii="Times New Roman" w:hAnsi="Times New Roman" w:eastAsia="宋体" w:cs="Times New Roman"/>
                <w:b/>
                <w:bCs/>
                <w:color w:val="auto"/>
                <w:sz w:val="21"/>
                <w:szCs w:val="21"/>
                <w:highlight w:val="none"/>
                <w:lang w:eastAsia="en-US"/>
              </w:rPr>
            </w:pPr>
            <w:r>
              <w:rPr>
                <w:rFonts w:ascii="Times New Roman" w:hAnsi="Times New Roman" w:eastAsia="宋体" w:cs="Times New Roman"/>
                <w:b/>
                <w:bCs/>
                <w:color w:val="auto"/>
                <w:sz w:val="21"/>
                <w:szCs w:val="21"/>
                <w:highlight w:val="none"/>
                <w:lang w:eastAsia="en-US"/>
              </w:rPr>
              <w:t>（m/s）</w:t>
            </w:r>
          </w:p>
        </w:tc>
        <w:tc>
          <w:tcPr>
            <w:tcW w:w="1447" w:type="dxa"/>
            <w:vAlign w:val="center"/>
          </w:tcPr>
          <w:p w14:paraId="08A2A067">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ascii="Times New Roman" w:hAnsi="Times New Roman" w:eastAsia="宋体" w:cs="Times New Roman"/>
                <w:b/>
                <w:bCs/>
                <w:color w:val="auto"/>
                <w:sz w:val="21"/>
                <w:szCs w:val="21"/>
                <w:highlight w:val="none"/>
                <w:lang w:eastAsia="en-US"/>
              </w:rPr>
            </w:pPr>
            <w:r>
              <w:rPr>
                <w:rFonts w:ascii="Times New Roman" w:hAnsi="Times New Roman" w:eastAsia="宋体" w:cs="Times New Roman"/>
                <w:b/>
                <w:bCs/>
                <w:color w:val="auto"/>
                <w:sz w:val="21"/>
                <w:szCs w:val="21"/>
                <w:highlight w:val="none"/>
                <w:lang w:eastAsia="en-US"/>
              </w:rPr>
              <w:t>河流流量</w:t>
            </w:r>
          </w:p>
          <w:p w14:paraId="76AD9E52">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ascii="Times New Roman" w:hAnsi="Times New Roman" w:eastAsia="宋体" w:cs="Times New Roman"/>
                <w:b/>
                <w:bCs/>
                <w:color w:val="auto"/>
                <w:sz w:val="21"/>
                <w:szCs w:val="21"/>
                <w:highlight w:val="none"/>
                <w:lang w:eastAsia="en-US"/>
              </w:rPr>
            </w:pPr>
            <w:r>
              <w:rPr>
                <w:rFonts w:ascii="Times New Roman" w:hAnsi="Times New Roman" w:eastAsia="宋体" w:cs="Times New Roman"/>
                <w:b/>
                <w:bCs/>
                <w:color w:val="auto"/>
                <w:sz w:val="21"/>
                <w:szCs w:val="21"/>
                <w:highlight w:val="none"/>
                <w:lang w:eastAsia="en-US"/>
              </w:rPr>
              <w:t>（m</w:t>
            </w:r>
            <w:r>
              <w:rPr>
                <w:rFonts w:ascii="Times New Roman" w:hAnsi="Times New Roman" w:eastAsia="宋体" w:cs="Times New Roman"/>
                <w:b/>
                <w:bCs/>
                <w:color w:val="auto"/>
                <w:sz w:val="21"/>
                <w:szCs w:val="21"/>
                <w:highlight w:val="none"/>
                <w:vertAlign w:val="superscript"/>
                <w:lang w:eastAsia="en-US"/>
              </w:rPr>
              <w:t>3</w:t>
            </w:r>
            <w:r>
              <w:rPr>
                <w:rFonts w:ascii="Times New Roman" w:hAnsi="Times New Roman" w:eastAsia="宋体" w:cs="Times New Roman"/>
                <w:b/>
                <w:bCs/>
                <w:color w:val="auto"/>
                <w:sz w:val="21"/>
                <w:szCs w:val="21"/>
                <w:highlight w:val="none"/>
                <w:lang w:eastAsia="en-US"/>
              </w:rPr>
              <w:t>/s）</w:t>
            </w:r>
          </w:p>
        </w:tc>
        <w:tc>
          <w:tcPr>
            <w:tcW w:w="1446" w:type="dxa"/>
            <w:vAlign w:val="center"/>
          </w:tcPr>
          <w:p w14:paraId="6EBE5DC5">
            <w:pPr>
              <w:kinsoku w:val="0"/>
              <w:overflowPunct w:val="0"/>
              <w:autoSpaceDE w:val="0"/>
              <w:autoSpaceDN w:val="0"/>
              <w:adjustRightInd w:val="0"/>
              <w:jc w:val="center"/>
              <w:rPr>
                <w:rFonts w:ascii="Times New Roman" w:hAnsi="Times New Roman" w:eastAsia="宋体" w:cs="Times New Roman"/>
                <w:b/>
                <w:color w:val="auto"/>
                <w:kern w:val="0"/>
                <w:highlight w:val="none"/>
              </w:rPr>
            </w:pPr>
            <w:r>
              <w:rPr>
                <w:rFonts w:ascii="Times New Roman" w:hAnsi="Times New Roman" w:eastAsia="宋体" w:cs="Times New Roman"/>
                <w:b/>
                <w:color w:val="auto"/>
                <w:kern w:val="0"/>
                <w:highlight w:val="none"/>
              </w:rPr>
              <w:t>水力坡降</w:t>
            </w:r>
          </w:p>
          <w:p w14:paraId="3D5D145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eastAsia" w:ascii="Times New Roman" w:hAnsi="Times New Roman" w:eastAsia="宋体" w:cs="Times New Roman"/>
                <w:b/>
                <w:bCs/>
                <w:color w:val="auto"/>
                <w:sz w:val="21"/>
                <w:szCs w:val="21"/>
                <w:highlight w:val="none"/>
                <w:lang w:eastAsia="zh-CN"/>
              </w:rPr>
            </w:pPr>
            <w:r>
              <w:rPr>
                <w:rFonts w:ascii="Times New Roman" w:hAnsi="Times New Roman" w:eastAsia="宋体" w:cs="Times New Roman"/>
                <w:b/>
                <w:bCs/>
                <w:color w:val="auto"/>
                <w:sz w:val="21"/>
                <w:szCs w:val="21"/>
                <w:highlight w:val="none"/>
                <w:lang w:eastAsia="en-US"/>
              </w:rPr>
              <w:t>（</w:t>
            </w:r>
            <w:r>
              <w:rPr>
                <w:rFonts w:hint="eastAsia" w:ascii="Times New Roman" w:hAnsi="Times New Roman" w:eastAsia="宋体" w:cs="Times New Roman"/>
                <w:b/>
                <w:bCs/>
                <w:color w:val="auto"/>
                <w:sz w:val="21"/>
                <w:szCs w:val="21"/>
                <w:highlight w:val="none"/>
                <w:lang w:eastAsia="en-US"/>
              </w:rPr>
              <w:t>‰</w:t>
            </w:r>
            <w:r>
              <w:rPr>
                <w:rFonts w:ascii="Times New Roman" w:hAnsi="Times New Roman" w:eastAsia="宋体" w:cs="Times New Roman"/>
                <w:b/>
                <w:bCs/>
                <w:color w:val="auto"/>
                <w:sz w:val="21"/>
                <w:szCs w:val="21"/>
                <w:highlight w:val="none"/>
                <w:lang w:eastAsia="en-US"/>
              </w:rPr>
              <w:t>）</w:t>
            </w:r>
          </w:p>
        </w:tc>
      </w:tr>
      <w:tr w14:paraId="3882C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jc w:val="center"/>
        </w:trPr>
        <w:tc>
          <w:tcPr>
            <w:tcW w:w="1797" w:type="dxa"/>
            <w:vAlign w:val="center"/>
          </w:tcPr>
          <w:p w14:paraId="1D8C06C5">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ascii="Times New Roman" w:hAnsi="Times New Roman" w:eastAsia="宋体" w:cs="Times New Roman"/>
                <w:color w:val="auto"/>
                <w:sz w:val="21"/>
                <w:szCs w:val="21"/>
                <w:highlight w:val="none"/>
                <w:lang w:eastAsia="en-US"/>
              </w:rPr>
            </w:pPr>
            <w:r>
              <w:rPr>
                <w:rFonts w:hint="eastAsia" w:cs="Times New Roman"/>
                <w:color w:val="auto"/>
                <w:sz w:val="21"/>
                <w:szCs w:val="21"/>
                <w:highlight w:val="none"/>
                <w:lang w:val="en-US" w:eastAsia="zh-CN"/>
              </w:rPr>
              <w:t>排水渠</w:t>
            </w:r>
          </w:p>
        </w:tc>
        <w:tc>
          <w:tcPr>
            <w:tcW w:w="1449" w:type="dxa"/>
            <w:vAlign w:val="center"/>
          </w:tcPr>
          <w:p w14:paraId="582875E1">
            <w:pPr>
              <w:kinsoku w:val="0"/>
              <w:overflowPunct w:val="0"/>
              <w:autoSpaceDE w:val="0"/>
              <w:autoSpaceDN w:val="0"/>
              <w:adjustRightInd w:val="0"/>
              <w:jc w:val="center"/>
              <w:rPr>
                <w:rFonts w:hint="default" w:ascii="Times New Roman" w:hAnsi="Times New Roman" w:eastAsia="宋体" w:cs="Times New Roman"/>
                <w:color w:val="auto"/>
                <w:sz w:val="21"/>
                <w:szCs w:val="21"/>
                <w:highlight w:val="none"/>
                <w:lang w:val="en-US" w:eastAsia="zh-CN"/>
              </w:rPr>
            </w:pPr>
            <w:r>
              <w:rPr>
                <w:rFonts w:hint="eastAsia"/>
                <w:color w:val="auto"/>
                <w:kern w:val="0"/>
                <w:szCs w:val="21"/>
                <w:highlight w:val="none"/>
                <w:lang w:val="en-US" w:eastAsia="zh-CN"/>
              </w:rPr>
              <w:t>5</w:t>
            </w:r>
          </w:p>
        </w:tc>
        <w:tc>
          <w:tcPr>
            <w:tcW w:w="1009" w:type="dxa"/>
            <w:vAlign w:val="center"/>
          </w:tcPr>
          <w:p w14:paraId="54F03977">
            <w:pPr>
              <w:kinsoku w:val="0"/>
              <w:overflowPunct w:val="0"/>
              <w:autoSpaceDE w:val="0"/>
              <w:autoSpaceDN w:val="0"/>
              <w:adjustRightInd w:val="0"/>
              <w:jc w:val="center"/>
              <w:rPr>
                <w:rFonts w:hint="default" w:ascii="Times New Roman" w:hAnsi="Times New Roman" w:eastAsia="宋体" w:cs="Times New Roman"/>
                <w:color w:val="auto"/>
                <w:sz w:val="21"/>
                <w:szCs w:val="21"/>
                <w:highlight w:val="none"/>
                <w:lang w:val="en-US" w:eastAsia="zh-CN"/>
              </w:rPr>
            </w:pPr>
            <w:r>
              <w:rPr>
                <w:rFonts w:hint="eastAsia"/>
                <w:color w:val="auto"/>
                <w:kern w:val="0"/>
                <w:szCs w:val="21"/>
                <w:highlight w:val="none"/>
                <w:lang w:val="en-US" w:eastAsia="zh-CN"/>
              </w:rPr>
              <w:t>0.5</w:t>
            </w:r>
          </w:p>
        </w:tc>
        <w:tc>
          <w:tcPr>
            <w:tcW w:w="1248" w:type="dxa"/>
            <w:vAlign w:val="center"/>
          </w:tcPr>
          <w:p w14:paraId="30664D27">
            <w:pPr>
              <w:kinsoku w:val="0"/>
              <w:overflowPunct w:val="0"/>
              <w:autoSpaceDE w:val="0"/>
              <w:autoSpaceDN w:val="0"/>
              <w:adjustRightInd w:val="0"/>
              <w:jc w:val="center"/>
              <w:rPr>
                <w:rFonts w:hint="default"/>
                <w:color w:val="auto"/>
                <w:kern w:val="0"/>
                <w:szCs w:val="21"/>
                <w:highlight w:val="none"/>
                <w:lang w:val="en-US" w:eastAsia="zh-CN"/>
              </w:rPr>
            </w:pPr>
            <w:r>
              <w:rPr>
                <w:rFonts w:hint="eastAsia"/>
                <w:color w:val="auto"/>
                <w:kern w:val="0"/>
                <w:szCs w:val="21"/>
                <w:highlight w:val="none"/>
                <w:lang w:val="en-US" w:eastAsia="zh-CN"/>
              </w:rPr>
              <w:t>0.29</w:t>
            </w:r>
          </w:p>
        </w:tc>
        <w:tc>
          <w:tcPr>
            <w:tcW w:w="1447" w:type="dxa"/>
            <w:vAlign w:val="center"/>
          </w:tcPr>
          <w:p w14:paraId="1AC8AD02">
            <w:pPr>
              <w:kinsoku w:val="0"/>
              <w:overflowPunct w:val="0"/>
              <w:autoSpaceDE w:val="0"/>
              <w:autoSpaceDN w:val="0"/>
              <w:adjustRightInd w:val="0"/>
              <w:jc w:val="center"/>
              <w:rPr>
                <w:rFonts w:hint="default"/>
                <w:color w:val="auto"/>
                <w:kern w:val="0"/>
                <w:szCs w:val="21"/>
                <w:highlight w:val="none"/>
                <w:lang w:val="en-US" w:eastAsia="zh-CN"/>
              </w:rPr>
            </w:pPr>
            <w:r>
              <w:rPr>
                <w:rFonts w:hint="eastAsia"/>
                <w:color w:val="auto"/>
                <w:kern w:val="0"/>
                <w:szCs w:val="21"/>
                <w:highlight w:val="none"/>
                <w:lang w:val="en-US" w:eastAsia="zh-CN"/>
              </w:rPr>
              <w:t>0.725</w:t>
            </w:r>
          </w:p>
        </w:tc>
        <w:tc>
          <w:tcPr>
            <w:tcW w:w="1446" w:type="dxa"/>
            <w:vAlign w:val="center"/>
          </w:tcPr>
          <w:p w14:paraId="6480CD71">
            <w:pPr>
              <w:kinsoku w:val="0"/>
              <w:overflowPunct w:val="0"/>
              <w:autoSpaceDE w:val="0"/>
              <w:autoSpaceDN w:val="0"/>
              <w:adjustRightInd w:val="0"/>
              <w:jc w:val="center"/>
              <w:rPr>
                <w:rFonts w:hint="default"/>
                <w:color w:val="auto"/>
                <w:kern w:val="0"/>
                <w:szCs w:val="21"/>
                <w:highlight w:val="none"/>
                <w:lang w:val="en-US" w:eastAsia="zh-CN"/>
              </w:rPr>
            </w:pPr>
            <w:r>
              <w:rPr>
                <w:rFonts w:hint="eastAsia"/>
                <w:color w:val="auto"/>
                <w:kern w:val="0"/>
                <w:szCs w:val="21"/>
                <w:highlight w:val="none"/>
                <w:lang w:val="en-US" w:eastAsia="zh-CN"/>
              </w:rPr>
              <w:t>0.1</w:t>
            </w:r>
          </w:p>
        </w:tc>
      </w:tr>
      <w:tr w14:paraId="1C172B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jc w:val="center"/>
        </w:trPr>
        <w:tc>
          <w:tcPr>
            <w:tcW w:w="1797" w:type="dxa"/>
            <w:vAlign w:val="center"/>
          </w:tcPr>
          <w:p w14:paraId="19FEE73A">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吉水河</w:t>
            </w:r>
          </w:p>
        </w:tc>
        <w:tc>
          <w:tcPr>
            <w:tcW w:w="1449" w:type="dxa"/>
            <w:vAlign w:val="center"/>
          </w:tcPr>
          <w:p w14:paraId="78ED860A">
            <w:pPr>
              <w:kinsoku w:val="0"/>
              <w:overflowPunct w:val="0"/>
              <w:autoSpaceDE w:val="0"/>
              <w:autoSpaceDN w:val="0"/>
              <w:adjustRightInd w:val="0"/>
              <w:jc w:val="center"/>
              <w:rPr>
                <w:rFonts w:hint="default"/>
                <w:color w:val="auto"/>
                <w:kern w:val="0"/>
                <w:szCs w:val="21"/>
                <w:highlight w:val="none"/>
                <w:lang w:val="en-US" w:eastAsia="zh-CN"/>
              </w:rPr>
            </w:pPr>
            <w:r>
              <w:rPr>
                <w:rFonts w:hint="eastAsia"/>
                <w:color w:val="auto"/>
                <w:kern w:val="0"/>
                <w:szCs w:val="21"/>
                <w:highlight w:val="none"/>
                <w:lang w:val="en-US" w:eastAsia="zh-CN"/>
              </w:rPr>
              <w:t>7.4</w:t>
            </w:r>
          </w:p>
        </w:tc>
        <w:tc>
          <w:tcPr>
            <w:tcW w:w="1009" w:type="dxa"/>
            <w:vAlign w:val="center"/>
          </w:tcPr>
          <w:p w14:paraId="77E8F3C3">
            <w:pPr>
              <w:kinsoku w:val="0"/>
              <w:overflowPunct w:val="0"/>
              <w:autoSpaceDE w:val="0"/>
              <w:autoSpaceDN w:val="0"/>
              <w:adjustRightInd w:val="0"/>
              <w:jc w:val="center"/>
              <w:rPr>
                <w:rFonts w:hint="default"/>
                <w:color w:val="auto"/>
                <w:kern w:val="0"/>
                <w:szCs w:val="21"/>
                <w:highlight w:val="none"/>
                <w:lang w:val="en-US" w:eastAsia="zh-CN"/>
              </w:rPr>
            </w:pPr>
            <w:r>
              <w:rPr>
                <w:rFonts w:hint="eastAsia"/>
                <w:color w:val="auto"/>
                <w:kern w:val="0"/>
                <w:szCs w:val="21"/>
                <w:highlight w:val="none"/>
                <w:lang w:val="en-US" w:eastAsia="zh-CN"/>
              </w:rPr>
              <w:t>0.5</w:t>
            </w:r>
          </w:p>
        </w:tc>
        <w:tc>
          <w:tcPr>
            <w:tcW w:w="1248" w:type="dxa"/>
            <w:vAlign w:val="center"/>
          </w:tcPr>
          <w:p w14:paraId="02195026">
            <w:pPr>
              <w:kinsoku w:val="0"/>
              <w:overflowPunct w:val="0"/>
              <w:autoSpaceDE w:val="0"/>
              <w:autoSpaceDN w:val="0"/>
              <w:adjustRightInd w:val="0"/>
              <w:jc w:val="center"/>
              <w:rPr>
                <w:rFonts w:hint="default"/>
                <w:color w:val="auto"/>
                <w:kern w:val="0"/>
                <w:szCs w:val="21"/>
                <w:highlight w:val="none"/>
                <w:lang w:val="en-US" w:eastAsia="zh-CN"/>
              </w:rPr>
            </w:pPr>
            <w:r>
              <w:rPr>
                <w:rFonts w:hint="eastAsia"/>
                <w:color w:val="auto"/>
                <w:kern w:val="0"/>
                <w:szCs w:val="21"/>
                <w:highlight w:val="none"/>
                <w:lang w:val="en-US" w:eastAsia="zh-CN"/>
              </w:rPr>
              <w:t>0.22</w:t>
            </w:r>
          </w:p>
        </w:tc>
        <w:tc>
          <w:tcPr>
            <w:tcW w:w="1447" w:type="dxa"/>
            <w:vAlign w:val="center"/>
          </w:tcPr>
          <w:p w14:paraId="29D2876E">
            <w:pPr>
              <w:kinsoku w:val="0"/>
              <w:overflowPunct w:val="0"/>
              <w:autoSpaceDE w:val="0"/>
              <w:autoSpaceDN w:val="0"/>
              <w:adjustRightInd w:val="0"/>
              <w:jc w:val="center"/>
              <w:rPr>
                <w:rFonts w:hint="default"/>
                <w:color w:val="auto"/>
                <w:kern w:val="0"/>
                <w:szCs w:val="21"/>
                <w:highlight w:val="none"/>
                <w:lang w:val="en-US" w:eastAsia="zh-CN"/>
              </w:rPr>
            </w:pPr>
            <w:r>
              <w:rPr>
                <w:rFonts w:hint="eastAsia"/>
                <w:color w:val="auto"/>
                <w:kern w:val="0"/>
                <w:szCs w:val="21"/>
                <w:highlight w:val="none"/>
                <w:lang w:val="en-US" w:eastAsia="zh-CN"/>
              </w:rPr>
              <w:t>0.814</w:t>
            </w:r>
          </w:p>
        </w:tc>
        <w:tc>
          <w:tcPr>
            <w:tcW w:w="1446" w:type="dxa"/>
            <w:vAlign w:val="center"/>
          </w:tcPr>
          <w:p w14:paraId="40186054">
            <w:pPr>
              <w:kinsoku w:val="0"/>
              <w:overflowPunct w:val="0"/>
              <w:autoSpaceDE w:val="0"/>
              <w:autoSpaceDN w:val="0"/>
              <w:adjustRightInd w:val="0"/>
              <w:jc w:val="center"/>
              <w:rPr>
                <w:rFonts w:hint="default"/>
                <w:color w:val="auto"/>
                <w:kern w:val="0"/>
                <w:szCs w:val="21"/>
                <w:highlight w:val="none"/>
                <w:lang w:val="en-US" w:eastAsia="zh-CN"/>
              </w:rPr>
            </w:pPr>
            <w:r>
              <w:rPr>
                <w:rFonts w:hint="eastAsia"/>
                <w:color w:val="auto"/>
                <w:kern w:val="0"/>
                <w:szCs w:val="21"/>
                <w:highlight w:val="none"/>
                <w:lang w:val="en-US" w:eastAsia="zh-CN"/>
              </w:rPr>
              <w:t>0.17</w:t>
            </w:r>
          </w:p>
        </w:tc>
      </w:tr>
      <w:tr w14:paraId="41CA05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jc w:val="center"/>
        </w:trPr>
        <w:tc>
          <w:tcPr>
            <w:tcW w:w="1797" w:type="dxa"/>
            <w:vAlign w:val="center"/>
          </w:tcPr>
          <w:p w14:paraId="671B348C">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大八</w:t>
            </w:r>
            <w:r>
              <w:rPr>
                <w:rFonts w:hint="eastAsia" w:cs="Times New Roman"/>
                <w:color w:val="auto"/>
                <w:sz w:val="21"/>
                <w:szCs w:val="21"/>
                <w:highlight w:val="none"/>
                <w:lang w:eastAsia="zh-CN"/>
              </w:rPr>
              <w:t>河</w:t>
            </w:r>
          </w:p>
        </w:tc>
        <w:tc>
          <w:tcPr>
            <w:tcW w:w="1449" w:type="dxa"/>
            <w:vAlign w:val="center"/>
          </w:tcPr>
          <w:p w14:paraId="1A67E896">
            <w:pPr>
              <w:kinsoku w:val="0"/>
              <w:overflowPunct w:val="0"/>
              <w:autoSpaceDE w:val="0"/>
              <w:autoSpaceDN w:val="0"/>
              <w:adjustRightInd w:val="0"/>
              <w:jc w:val="center"/>
              <w:rPr>
                <w:rFonts w:hint="default" w:cs="Times New Roman"/>
                <w:color w:val="auto"/>
                <w:sz w:val="21"/>
                <w:szCs w:val="21"/>
                <w:highlight w:val="none"/>
                <w:lang w:val="en-US" w:eastAsia="zh-CN"/>
              </w:rPr>
            </w:pPr>
            <w:r>
              <w:rPr>
                <w:rFonts w:hint="eastAsia"/>
                <w:color w:val="auto"/>
                <w:kern w:val="0"/>
                <w:szCs w:val="21"/>
                <w:highlight w:val="none"/>
                <w:lang w:val="en-US" w:eastAsia="zh-CN"/>
              </w:rPr>
              <w:t>8</w:t>
            </w:r>
          </w:p>
        </w:tc>
        <w:tc>
          <w:tcPr>
            <w:tcW w:w="1009" w:type="dxa"/>
            <w:vAlign w:val="center"/>
          </w:tcPr>
          <w:p w14:paraId="75137EE0">
            <w:pPr>
              <w:kinsoku w:val="0"/>
              <w:overflowPunct w:val="0"/>
              <w:autoSpaceDE w:val="0"/>
              <w:autoSpaceDN w:val="0"/>
              <w:adjustRightInd w:val="0"/>
              <w:jc w:val="center"/>
              <w:rPr>
                <w:rFonts w:hint="default" w:eastAsia="宋体" w:cs="Times New Roman"/>
                <w:color w:val="auto"/>
                <w:sz w:val="21"/>
                <w:szCs w:val="21"/>
                <w:highlight w:val="none"/>
                <w:lang w:val="en-US" w:eastAsia="zh-CN"/>
              </w:rPr>
            </w:pPr>
            <w:r>
              <w:rPr>
                <w:rFonts w:hint="eastAsia"/>
                <w:color w:val="auto"/>
                <w:kern w:val="0"/>
                <w:szCs w:val="21"/>
                <w:highlight w:val="none"/>
                <w:lang w:val="en-US" w:eastAsia="zh-CN"/>
              </w:rPr>
              <w:t>1.0</w:t>
            </w:r>
          </w:p>
        </w:tc>
        <w:tc>
          <w:tcPr>
            <w:tcW w:w="1248" w:type="dxa"/>
            <w:vAlign w:val="center"/>
          </w:tcPr>
          <w:p w14:paraId="7ED4737C">
            <w:pPr>
              <w:kinsoku w:val="0"/>
              <w:overflowPunct w:val="0"/>
              <w:autoSpaceDE w:val="0"/>
              <w:autoSpaceDN w:val="0"/>
              <w:adjustRightInd w:val="0"/>
              <w:jc w:val="center"/>
              <w:rPr>
                <w:rFonts w:hint="default"/>
                <w:color w:val="auto"/>
                <w:kern w:val="0"/>
                <w:szCs w:val="21"/>
                <w:highlight w:val="none"/>
                <w:lang w:val="en-US" w:eastAsia="zh-CN"/>
              </w:rPr>
            </w:pPr>
            <w:r>
              <w:rPr>
                <w:rFonts w:hint="eastAsia"/>
                <w:color w:val="auto"/>
                <w:kern w:val="0"/>
                <w:szCs w:val="21"/>
                <w:highlight w:val="none"/>
                <w:lang w:val="en-US" w:eastAsia="zh-CN"/>
              </w:rPr>
              <w:t>0.22</w:t>
            </w:r>
          </w:p>
        </w:tc>
        <w:tc>
          <w:tcPr>
            <w:tcW w:w="1447" w:type="dxa"/>
            <w:vAlign w:val="bottom"/>
          </w:tcPr>
          <w:p w14:paraId="4CDE2534">
            <w:pPr>
              <w:kinsoku w:val="0"/>
              <w:overflowPunct w:val="0"/>
              <w:autoSpaceDE w:val="0"/>
              <w:autoSpaceDN w:val="0"/>
              <w:adjustRightInd w:val="0"/>
              <w:jc w:val="center"/>
              <w:rPr>
                <w:rFonts w:hint="default"/>
                <w:color w:val="auto"/>
                <w:kern w:val="0"/>
                <w:szCs w:val="21"/>
                <w:highlight w:val="none"/>
                <w:lang w:val="en-US" w:eastAsia="zh-CN"/>
              </w:rPr>
            </w:pPr>
            <w:r>
              <w:rPr>
                <w:rFonts w:hint="eastAsia"/>
                <w:color w:val="auto"/>
                <w:kern w:val="0"/>
                <w:szCs w:val="21"/>
                <w:highlight w:val="none"/>
                <w:lang w:val="en-US" w:eastAsia="zh-CN"/>
              </w:rPr>
              <w:t>1.76</w:t>
            </w:r>
          </w:p>
        </w:tc>
        <w:tc>
          <w:tcPr>
            <w:tcW w:w="1446" w:type="dxa"/>
            <w:vAlign w:val="bottom"/>
          </w:tcPr>
          <w:p w14:paraId="3579F52F">
            <w:pPr>
              <w:kinsoku w:val="0"/>
              <w:overflowPunct w:val="0"/>
              <w:autoSpaceDE w:val="0"/>
              <w:autoSpaceDN w:val="0"/>
              <w:adjustRightInd w:val="0"/>
              <w:jc w:val="center"/>
              <w:rPr>
                <w:rFonts w:hint="default"/>
                <w:color w:val="auto"/>
                <w:kern w:val="0"/>
                <w:szCs w:val="21"/>
                <w:highlight w:val="none"/>
                <w:lang w:val="en-US" w:eastAsia="zh-CN"/>
              </w:rPr>
            </w:pPr>
            <w:r>
              <w:rPr>
                <w:rFonts w:hint="eastAsia"/>
                <w:color w:val="auto"/>
                <w:kern w:val="0"/>
                <w:szCs w:val="21"/>
                <w:highlight w:val="none"/>
                <w:lang w:val="en-US" w:eastAsia="zh-CN"/>
              </w:rPr>
              <w:t>0.13</w:t>
            </w:r>
          </w:p>
        </w:tc>
      </w:tr>
    </w:tbl>
    <w:p w14:paraId="4F4E7317">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污染物横向扩散系数Ey计算结果见下表；</w:t>
      </w:r>
    </w:p>
    <w:p w14:paraId="7B508A94">
      <w:pPr>
        <w:adjustRightInd w:val="0"/>
        <w:snapToGrid w:val="0"/>
        <w:spacing w:line="360" w:lineRule="auto"/>
        <w:ind w:firstLine="480" w:firstLineChars="200"/>
        <w:jc w:val="center"/>
        <w:rPr>
          <w:rFonts w:hint="eastAsia" w:cs="Times New Roman"/>
          <w:bCs/>
          <w:color w:val="auto"/>
          <w:sz w:val="24"/>
          <w:highlight w:val="none"/>
          <w:lang w:val="en-US" w:eastAsia="zh-CN"/>
        </w:rPr>
      </w:pPr>
      <w:r>
        <w:rPr>
          <w:rFonts w:hint="eastAsia" w:cs="Times New Roman"/>
          <w:bCs/>
          <w:color w:val="auto"/>
          <w:sz w:val="24"/>
          <w:highlight w:val="none"/>
          <w:lang w:val="en-US" w:eastAsia="zh-CN"/>
        </w:rPr>
        <w:t>表7.2-2污染物横向扩散系数Ey计算结果汇总表</w:t>
      </w:r>
    </w:p>
    <w:tbl>
      <w:tblPr>
        <w:tblStyle w:val="8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92"/>
        <w:gridCol w:w="4367"/>
      </w:tblGrid>
      <w:tr w14:paraId="24D92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jc w:val="center"/>
        </w:trPr>
        <w:tc>
          <w:tcPr>
            <w:tcW w:w="3992" w:type="dxa"/>
            <w:vAlign w:val="center"/>
          </w:tcPr>
          <w:p w14:paraId="15DA809C">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ascii="Times New Roman" w:hAnsi="Times New Roman" w:eastAsia="宋体" w:cs="Times New Roman"/>
                <w:b/>
                <w:bCs/>
                <w:color w:val="auto"/>
                <w:sz w:val="21"/>
                <w:szCs w:val="21"/>
                <w:highlight w:val="none"/>
                <w:lang w:eastAsia="en-US"/>
              </w:rPr>
            </w:pPr>
            <w:r>
              <w:rPr>
                <w:rFonts w:ascii="Times New Roman" w:hAnsi="Times New Roman" w:eastAsia="宋体" w:cs="Times New Roman"/>
                <w:b/>
                <w:bCs/>
                <w:color w:val="auto"/>
                <w:sz w:val="21"/>
                <w:szCs w:val="21"/>
                <w:highlight w:val="none"/>
                <w:lang w:eastAsia="en-US"/>
              </w:rPr>
              <w:t>河流</w:t>
            </w:r>
          </w:p>
        </w:tc>
        <w:tc>
          <w:tcPr>
            <w:tcW w:w="4367" w:type="dxa"/>
            <w:vAlign w:val="center"/>
          </w:tcPr>
          <w:p w14:paraId="1F82579D">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ascii="Times New Roman" w:hAnsi="Times New Roman" w:eastAsia="宋体" w:cs="Times New Roman"/>
                <w:b/>
                <w:bCs/>
                <w:color w:val="auto"/>
                <w:sz w:val="21"/>
                <w:szCs w:val="21"/>
                <w:highlight w:val="none"/>
                <w:lang w:eastAsia="en-US"/>
              </w:rPr>
            </w:pPr>
            <w:r>
              <w:rPr>
                <w:rFonts w:ascii="Times New Roman" w:hAnsi="Times New Roman" w:eastAsia="宋体" w:cs="Times New Roman"/>
                <w:b/>
                <w:bCs/>
                <w:color w:val="auto"/>
                <w:sz w:val="21"/>
                <w:szCs w:val="21"/>
                <w:highlight w:val="none"/>
                <w:lang w:eastAsia="en-US"/>
              </w:rPr>
              <w:t>Ey（m</w:t>
            </w:r>
            <w:r>
              <w:rPr>
                <w:rFonts w:ascii="Times New Roman" w:hAnsi="Times New Roman" w:eastAsia="宋体" w:cs="Times New Roman"/>
                <w:b/>
                <w:bCs/>
                <w:color w:val="auto"/>
                <w:sz w:val="21"/>
                <w:szCs w:val="21"/>
                <w:highlight w:val="none"/>
                <w:vertAlign w:val="superscript"/>
                <w:lang w:eastAsia="en-US"/>
              </w:rPr>
              <w:t>2</w:t>
            </w:r>
            <w:r>
              <w:rPr>
                <w:rFonts w:ascii="Times New Roman" w:hAnsi="Times New Roman" w:eastAsia="宋体" w:cs="Times New Roman"/>
                <w:b/>
                <w:bCs/>
                <w:color w:val="auto"/>
                <w:sz w:val="21"/>
                <w:szCs w:val="21"/>
                <w:highlight w:val="none"/>
                <w:lang w:eastAsia="en-US"/>
              </w:rPr>
              <w:t>/s）</w:t>
            </w:r>
          </w:p>
        </w:tc>
      </w:tr>
      <w:tr w14:paraId="6D2CC3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jc w:val="center"/>
        </w:trPr>
        <w:tc>
          <w:tcPr>
            <w:tcW w:w="3992" w:type="dxa"/>
            <w:vAlign w:val="center"/>
          </w:tcPr>
          <w:p w14:paraId="7DDEFBF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ascii="Times New Roman" w:hAnsi="Times New Roman" w:eastAsia="宋体" w:cs="Times New Roman"/>
                <w:color w:val="auto"/>
                <w:sz w:val="21"/>
                <w:szCs w:val="21"/>
                <w:highlight w:val="none"/>
                <w:lang w:eastAsia="en-US"/>
              </w:rPr>
            </w:pPr>
            <w:r>
              <w:rPr>
                <w:rFonts w:hint="eastAsia" w:cs="Times New Roman"/>
                <w:color w:val="auto"/>
                <w:sz w:val="21"/>
                <w:szCs w:val="21"/>
                <w:highlight w:val="none"/>
                <w:lang w:val="en-US" w:eastAsia="zh-CN"/>
              </w:rPr>
              <w:t>排水渠</w:t>
            </w:r>
          </w:p>
        </w:tc>
        <w:tc>
          <w:tcPr>
            <w:tcW w:w="4367" w:type="dxa"/>
            <w:vAlign w:val="center"/>
          </w:tcPr>
          <w:p w14:paraId="31BA065C">
            <w:pPr>
              <w:widowControl/>
              <w:autoSpaceDE w:val="0"/>
              <w:autoSpaceDN w:val="0"/>
              <w:jc w:val="center"/>
              <w:rPr>
                <w:rFonts w:hint="default" w:ascii="Times New Roman" w:hAnsi="Times New Roman" w:eastAsia="宋体" w:cs="Times New Roman"/>
                <w:color w:val="auto"/>
                <w:sz w:val="21"/>
                <w:szCs w:val="21"/>
                <w:highlight w:val="none"/>
                <w:lang w:val="en-US" w:eastAsia="zh-CN"/>
              </w:rPr>
            </w:pPr>
            <w:r>
              <w:rPr>
                <w:rFonts w:hint="eastAsia"/>
                <w:color w:val="auto"/>
                <w:szCs w:val="21"/>
                <w:highlight w:val="none"/>
                <w:lang w:val="en-US" w:eastAsia="zh-CN"/>
              </w:rPr>
              <w:t>0.004305</w:t>
            </w:r>
          </w:p>
        </w:tc>
      </w:tr>
      <w:tr w14:paraId="7BB55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jc w:val="center"/>
        </w:trPr>
        <w:tc>
          <w:tcPr>
            <w:tcW w:w="3992" w:type="dxa"/>
            <w:vAlign w:val="center"/>
          </w:tcPr>
          <w:p w14:paraId="7B7FA770">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吉水河</w:t>
            </w:r>
          </w:p>
        </w:tc>
        <w:tc>
          <w:tcPr>
            <w:tcW w:w="4367" w:type="dxa"/>
            <w:vAlign w:val="center"/>
          </w:tcPr>
          <w:p w14:paraId="6E0F4970">
            <w:pPr>
              <w:widowControl/>
              <w:autoSpaceDE w:val="0"/>
              <w:autoSpaceDN w:val="0"/>
              <w:jc w:val="center"/>
              <w:rPr>
                <w:rFonts w:hint="eastAsia"/>
                <w:color w:val="auto"/>
                <w:szCs w:val="21"/>
                <w:highlight w:val="none"/>
                <w:lang w:val="en-US" w:eastAsia="zh-CN"/>
              </w:rPr>
            </w:pPr>
            <w:r>
              <w:rPr>
                <w:rFonts w:hint="eastAsia"/>
                <w:color w:val="auto"/>
                <w:szCs w:val="21"/>
                <w:highlight w:val="none"/>
                <w:lang w:val="en-US" w:eastAsia="zh-CN"/>
              </w:rPr>
              <w:t>0.010103</w:t>
            </w:r>
          </w:p>
        </w:tc>
      </w:tr>
      <w:tr w14:paraId="7CF863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3992" w:type="dxa"/>
            <w:vAlign w:val="center"/>
          </w:tcPr>
          <w:p w14:paraId="03DCA022">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eastAsia"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大八河</w:t>
            </w:r>
          </w:p>
        </w:tc>
        <w:tc>
          <w:tcPr>
            <w:tcW w:w="4367" w:type="dxa"/>
            <w:vAlign w:val="center"/>
          </w:tcPr>
          <w:p w14:paraId="19F2A367">
            <w:pPr>
              <w:widowControl/>
              <w:autoSpaceDE w:val="0"/>
              <w:autoSpaceDN w:val="0"/>
              <w:jc w:val="center"/>
              <w:rPr>
                <w:rFonts w:hint="default" w:eastAsia="宋体" w:cs="Times New Roman"/>
                <w:color w:val="auto"/>
                <w:sz w:val="21"/>
                <w:szCs w:val="21"/>
                <w:highlight w:val="none"/>
                <w:lang w:val="en-US" w:eastAsia="zh-CN"/>
              </w:rPr>
            </w:pPr>
            <w:r>
              <w:rPr>
                <w:rFonts w:hint="eastAsia"/>
                <w:color w:val="auto"/>
                <w:szCs w:val="21"/>
                <w:highlight w:val="none"/>
                <w:lang w:val="en-US" w:eastAsia="zh-CN"/>
              </w:rPr>
              <w:t>0.012416</w:t>
            </w:r>
          </w:p>
        </w:tc>
      </w:tr>
    </w:tbl>
    <w:p w14:paraId="03CC305D">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混合过程段长度Lm计算结果如下表：</w:t>
      </w:r>
    </w:p>
    <w:p w14:paraId="53C455C9">
      <w:pPr>
        <w:adjustRightInd w:val="0"/>
        <w:snapToGrid w:val="0"/>
        <w:spacing w:line="240" w:lineRule="auto"/>
        <w:ind w:firstLine="422" w:firstLineChars="200"/>
        <w:jc w:val="center"/>
        <w:rPr>
          <w:rFonts w:hint="eastAsia" w:cs="Times New Roman"/>
          <w:b/>
          <w:bCs w:val="0"/>
          <w:color w:val="auto"/>
          <w:sz w:val="21"/>
          <w:szCs w:val="18"/>
          <w:highlight w:val="none"/>
          <w:lang w:val="en-US" w:eastAsia="zh-CN"/>
        </w:rPr>
      </w:pPr>
      <w:r>
        <w:rPr>
          <w:rFonts w:hint="eastAsia" w:cs="Times New Roman"/>
          <w:b/>
          <w:bCs w:val="0"/>
          <w:color w:val="auto"/>
          <w:sz w:val="21"/>
          <w:szCs w:val="18"/>
          <w:highlight w:val="none"/>
          <w:lang w:val="en-US" w:eastAsia="zh-CN"/>
        </w:rPr>
        <w:t>表7.2-2 混合段长度Lm计算结果汇总表</w:t>
      </w:r>
    </w:p>
    <w:tbl>
      <w:tblPr>
        <w:tblStyle w:val="8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002"/>
        <w:gridCol w:w="4317"/>
      </w:tblGrid>
      <w:tr w14:paraId="7C947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jc w:val="center"/>
        </w:trPr>
        <w:tc>
          <w:tcPr>
            <w:tcW w:w="4002" w:type="dxa"/>
            <w:vAlign w:val="center"/>
          </w:tcPr>
          <w:p w14:paraId="0AD3E4C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ascii="Times New Roman" w:hAnsi="Times New Roman" w:eastAsia="宋体" w:cs="Times New Roman"/>
                <w:b/>
                <w:bCs/>
                <w:color w:val="auto"/>
                <w:sz w:val="21"/>
                <w:szCs w:val="21"/>
                <w:highlight w:val="none"/>
                <w:lang w:eastAsia="en-US"/>
              </w:rPr>
            </w:pPr>
            <w:bookmarkStart w:id="73" w:name="_Hlk59410418"/>
            <w:r>
              <w:rPr>
                <w:rFonts w:ascii="Times New Roman" w:hAnsi="Times New Roman" w:eastAsia="宋体" w:cs="Times New Roman"/>
                <w:b/>
                <w:bCs/>
                <w:color w:val="auto"/>
                <w:sz w:val="21"/>
                <w:szCs w:val="21"/>
                <w:highlight w:val="none"/>
                <w:lang w:eastAsia="en-US"/>
              </w:rPr>
              <w:t>河流</w:t>
            </w:r>
          </w:p>
        </w:tc>
        <w:tc>
          <w:tcPr>
            <w:tcW w:w="4317" w:type="dxa"/>
            <w:vAlign w:val="center"/>
          </w:tcPr>
          <w:p w14:paraId="60885E6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ascii="Times New Roman" w:hAnsi="Times New Roman" w:eastAsia="宋体" w:cs="Times New Roman"/>
                <w:b/>
                <w:bCs/>
                <w:color w:val="auto"/>
                <w:sz w:val="21"/>
                <w:szCs w:val="21"/>
                <w:highlight w:val="none"/>
                <w:lang w:eastAsia="en-US"/>
              </w:rPr>
            </w:pPr>
            <w:r>
              <w:rPr>
                <w:rFonts w:ascii="Times New Roman" w:hAnsi="Times New Roman" w:eastAsia="宋体" w:cs="Times New Roman"/>
                <w:b/>
                <w:bCs/>
                <w:color w:val="auto"/>
                <w:sz w:val="21"/>
                <w:szCs w:val="21"/>
                <w:highlight w:val="none"/>
                <w:lang w:eastAsia="en-US"/>
              </w:rPr>
              <w:t>混合段长度（m）</w:t>
            </w:r>
          </w:p>
        </w:tc>
      </w:tr>
      <w:tr w14:paraId="15677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4002" w:type="dxa"/>
            <w:vAlign w:val="center"/>
          </w:tcPr>
          <w:p w14:paraId="2FBC6A07">
            <w:pPr>
              <w:kinsoku w:val="0"/>
              <w:overflowPunct w:val="0"/>
              <w:autoSpaceDE w:val="0"/>
              <w:autoSpaceDN w:val="0"/>
              <w:adjustRightInd w:val="0"/>
              <w:jc w:val="center"/>
              <w:rPr>
                <w:rFonts w:hint="eastAsia" w:eastAsia="宋体" w:cs="Times New Roman"/>
                <w:color w:val="auto"/>
                <w:sz w:val="21"/>
                <w:szCs w:val="21"/>
                <w:highlight w:val="none"/>
                <w:lang w:val="en-US" w:eastAsia="zh-CN"/>
              </w:rPr>
            </w:pPr>
            <w:r>
              <w:rPr>
                <w:rFonts w:hint="eastAsia"/>
                <w:color w:val="auto"/>
                <w:kern w:val="0"/>
                <w:szCs w:val="21"/>
                <w:highlight w:val="none"/>
                <w:lang w:eastAsia="zh-CN"/>
              </w:rPr>
              <w:t>排水渠</w:t>
            </w:r>
          </w:p>
        </w:tc>
        <w:tc>
          <w:tcPr>
            <w:tcW w:w="4317" w:type="dxa"/>
            <w:vAlign w:val="center"/>
          </w:tcPr>
          <w:p w14:paraId="53691B3D">
            <w:pPr>
              <w:widowControl/>
              <w:autoSpaceDE w:val="0"/>
              <w:autoSpaceDN w:val="0"/>
              <w:jc w:val="center"/>
              <w:rPr>
                <w:rFonts w:hint="default" w:eastAsia="宋体" w:cs="Times New Roman"/>
                <w:color w:val="auto"/>
                <w:sz w:val="21"/>
                <w:szCs w:val="21"/>
                <w:highlight w:val="none"/>
                <w:lang w:val="en-US" w:eastAsia="zh-CN"/>
              </w:rPr>
            </w:pPr>
            <w:r>
              <w:rPr>
                <w:rFonts w:hint="eastAsia"/>
                <w:color w:val="auto"/>
                <w:szCs w:val="21"/>
                <w:highlight w:val="none"/>
                <w:lang w:val="en-US" w:eastAsia="zh-CN"/>
              </w:rPr>
              <w:t>480</w:t>
            </w:r>
          </w:p>
        </w:tc>
      </w:tr>
      <w:bookmarkEnd w:id="73"/>
    </w:tbl>
    <w:p w14:paraId="29295513">
      <w:pPr>
        <w:spacing w:line="360" w:lineRule="auto"/>
        <w:ind w:firstLine="482" w:firstLineChars="200"/>
        <w:rPr>
          <w:rFonts w:hint="eastAsia" w:cs="Times New Roman"/>
          <w:b/>
          <w:bCs/>
          <w:color w:val="auto"/>
          <w:sz w:val="24"/>
          <w:highlight w:val="none"/>
          <w:lang w:val="en-US" w:eastAsia="zh-CN"/>
        </w:rPr>
      </w:pPr>
      <w:r>
        <w:rPr>
          <w:rFonts w:hint="eastAsia" w:cs="Times New Roman"/>
          <w:b/>
          <w:bCs/>
          <w:color w:val="auto"/>
          <w:sz w:val="24"/>
          <w:highlight w:val="none"/>
          <w:lang w:val="en-US" w:eastAsia="zh-CN"/>
        </w:rPr>
        <w:t>（2）混合过程段预测模式</w:t>
      </w:r>
    </w:p>
    <w:p w14:paraId="31DDC796">
      <w:pPr>
        <w:widowControl/>
        <w:spacing w:line="360" w:lineRule="auto"/>
        <w:ind w:firstLine="480" w:firstLineChars="200"/>
        <w:jc w:val="left"/>
        <w:rPr>
          <w:color w:val="auto"/>
          <w:kern w:val="0"/>
          <w:sz w:val="24"/>
          <w:highlight w:val="none"/>
        </w:rPr>
      </w:pPr>
      <w:r>
        <w:rPr>
          <w:rFonts w:hint="eastAsia" w:cs="宋体"/>
          <w:color w:val="auto"/>
          <w:sz w:val="24"/>
          <w:highlight w:val="none"/>
        </w:rPr>
        <w:t>由于</w:t>
      </w:r>
      <w:r>
        <w:rPr>
          <w:rFonts w:hint="eastAsia" w:cs="宋体"/>
          <w:color w:val="auto"/>
          <w:sz w:val="24"/>
          <w:highlight w:val="none"/>
          <w:lang w:eastAsia="zh-CN"/>
        </w:rPr>
        <w:t>排水渠</w:t>
      </w:r>
      <w:r>
        <w:rPr>
          <w:rFonts w:hint="eastAsia" w:cs="宋体"/>
          <w:color w:val="auto"/>
          <w:sz w:val="24"/>
          <w:highlight w:val="none"/>
        </w:rPr>
        <w:t>的混合段长度为</w:t>
      </w:r>
      <w:r>
        <w:rPr>
          <w:rFonts w:hint="eastAsia" w:cs="宋体"/>
          <w:color w:val="auto"/>
          <w:sz w:val="24"/>
          <w:highlight w:val="none"/>
          <w:lang w:val="en-US" w:eastAsia="zh-CN"/>
        </w:rPr>
        <w:t>480</w:t>
      </w:r>
      <w:r>
        <w:rPr>
          <w:rFonts w:cs="宋体"/>
          <w:color w:val="auto"/>
          <w:sz w:val="24"/>
          <w:highlight w:val="none"/>
        </w:rPr>
        <w:t>m</w:t>
      </w:r>
      <w:r>
        <w:rPr>
          <w:rFonts w:hint="eastAsia" w:cs="宋体"/>
          <w:color w:val="auto"/>
          <w:sz w:val="24"/>
          <w:highlight w:val="none"/>
        </w:rPr>
        <w:t>，而项目排污口至</w:t>
      </w:r>
      <w:r>
        <w:rPr>
          <w:rFonts w:hint="eastAsia"/>
          <w:color w:val="auto"/>
          <w:kern w:val="0"/>
          <w:sz w:val="24"/>
          <w:highlight w:val="none"/>
          <w:lang w:eastAsia="zh-CN"/>
        </w:rPr>
        <w:t>排水渠</w:t>
      </w:r>
      <w:r>
        <w:rPr>
          <w:rFonts w:hint="eastAsia"/>
          <w:color w:val="auto"/>
          <w:kern w:val="0"/>
          <w:sz w:val="24"/>
          <w:highlight w:val="none"/>
        </w:rPr>
        <w:t>与</w:t>
      </w:r>
      <w:r>
        <w:rPr>
          <w:rFonts w:hint="eastAsia"/>
          <w:color w:val="auto"/>
          <w:kern w:val="0"/>
          <w:sz w:val="24"/>
          <w:highlight w:val="none"/>
          <w:lang w:val="en-US" w:eastAsia="zh-CN"/>
        </w:rPr>
        <w:t>吉水河</w:t>
      </w:r>
      <w:r>
        <w:rPr>
          <w:rFonts w:hint="eastAsia"/>
          <w:color w:val="auto"/>
          <w:kern w:val="0"/>
          <w:sz w:val="24"/>
          <w:highlight w:val="none"/>
        </w:rPr>
        <w:t>交汇处长度约为</w:t>
      </w:r>
      <w:r>
        <w:rPr>
          <w:rFonts w:hint="eastAsia"/>
          <w:color w:val="auto"/>
          <w:kern w:val="0"/>
          <w:sz w:val="24"/>
          <w:highlight w:val="none"/>
          <w:lang w:val="en-US" w:eastAsia="zh-CN"/>
        </w:rPr>
        <w:t>550</w:t>
      </w:r>
      <w:r>
        <w:rPr>
          <w:color w:val="auto"/>
          <w:kern w:val="0"/>
          <w:sz w:val="24"/>
          <w:highlight w:val="none"/>
        </w:rPr>
        <w:t>m</w:t>
      </w:r>
      <w:r>
        <w:rPr>
          <w:rFonts w:hint="eastAsia"/>
          <w:color w:val="auto"/>
          <w:kern w:val="0"/>
          <w:sz w:val="24"/>
          <w:highlight w:val="none"/>
        </w:rPr>
        <w:t>，因此项目尾水在</w:t>
      </w:r>
      <w:r>
        <w:rPr>
          <w:rFonts w:hint="eastAsia"/>
          <w:color w:val="auto"/>
          <w:kern w:val="0"/>
          <w:sz w:val="24"/>
          <w:highlight w:val="none"/>
          <w:lang w:eastAsia="zh-CN"/>
        </w:rPr>
        <w:t>排水渠</w:t>
      </w:r>
      <w:r>
        <w:rPr>
          <w:rFonts w:hint="eastAsia"/>
          <w:color w:val="auto"/>
          <w:kern w:val="0"/>
          <w:sz w:val="24"/>
          <w:highlight w:val="none"/>
          <w:lang w:val="en-US" w:eastAsia="zh-CN"/>
        </w:rPr>
        <w:t>已经和</w:t>
      </w:r>
      <w:r>
        <w:rPr>
          <w:rFonts w:hint="eastAsia"/>
          <w:color w:val="auto"/>
          <w:kern w:val="0"/>
          <w:sz w:val="24"/>
          <w:highlight w:val="none"/>
        </w:rPr>
        <w:t>河水完全混合，因此本项目预测尾水在</w:t>
      </w:r>
      <w:r>
        <w:rPr>
          <w:rFonts w:hint="eastAsia"/>
          <w:color w:val="auto"/>
          <w:kern w:val="0"/>
          <w:sz w:val="24"/>
          <w:highlight w:val="none"/>
          <w:lang w:eastAsia="zh-CN"/>
        </w:rPr>
        <w:t>排水渠</w:t>
      </w:r>
      <w:r>
        <w:rPr>
          <w:rFonts w:hint="eastAsia"/>
          <w:color w:val="auto"/>
          <w:kern w:val="0"/>
          <w:sz w:val="24"/>
          <w:highlight w:val="none"/>
        </w:rPr>
        <w:t>完全混合后对项目尾水水污染物对</w:t>
      </w:r>
      <w:r>
        <w:rPr>
          <w:rFonts w:hint="eastAsia"/>
          <w:color w:val="auto"/>
          <w:kern w:val="0"/>
          <w:sz w:val="24"/>
          <w:highlight w:val="none"/>
          <w:lang w:eastAsia="zh-CN"/>
        </w:rPr>
        <w:t>排水渠</w:t>
      </w:r>
      <w:r>
        <w:rPr>
          <w:rFonts w:hint="eastAsia"/>
          <w:color w:val="auto"/>
          <w:kern w:val="0"/>
          <w:sz w:val="24"/>
          <w:highlight w:val="none"/>
        </w:rPr>
        <w:t>的影响程度。</w:t>
      </w:r>
    </w:p>
    <w:p w14:paraId="157DFC89">
      <w:pPr>
        <w:adjustRightInd w:val="0"/>
        <w:spacing w:line="360" w:lineRule="auto"/>
        <w:ind w:firstLine="480" w:firstLineChars="200"/>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highlight w:val="none"/>
          <w:lang w:eastAsia="zh-CN"/>
        </w:rPr>
        <w:t>本项目污水处理厂的入河排污口所在河段顺直，流态平稳，可以认为污染物在横断面上均匀混合，同时预测方案中入河排污口尾水为连续排放，根据《环</w:t>
      </w:r>
      <w:r>
        <w:rPr>
          <w:rFonts w:hint="eastAsia" w:ascii="Times New Roman" w:hAnsi="Times New Roman" w:eastAsia="宋体" w:cs="Times New Roman"/>
          <w:color w:val="auto"/>
          <w:sz w:val="24"/>
          <w:lang w:eastAsia="zh-CN"/>
        </w:rPr>
        <w:t>境影响评价技术导则地表水环境》（HJ2.3—2018）附录E中推荐的估算模式，混合段使用平面二维数学模型进行解析预测，不考虑岸边反射影响，根据导则中公式E35进行计算。</w:t>
      </w:r>
    </w:p>
    <w:p w14:paraId="0BEF00FE">
      <w:pPr>
        <w:adjustRightInd w:val="0"/>
        <w:spacing w:line="360" w:lineRule="auto"/>
        <w:ind w:firstLine="480" w:firstLineChars="200"/>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lang w:val="en-US" w:eastAsia="zh-CN"/>
        </w:rPr>
        <w:t>公式</w:t>
      </w:r>
      <w:r>
        <w:rPr>
          <w:rFonts w:hint="eastAsia" w:ascii="Times New Roman" w:hAnsi="Times New Roman" w:eastAsia="宋体" w:cs="Times New Roman"/>
          <w:color w:val="auto"/>
          <w:sz w:val="24"/>
          <w:lang w:eastAsia="zh-CN"/>
        </w:rPr>
        <w:t>如下：</w:t>
      </w:r>
    </w:p>
    <w:p w14:paraId="4F94F87F">
      <w:pPr>
        <w:adjustRightInd w:val="0"/>
        <w:spacing w:line="360" w:lineRule="auto"/>
        <w:jc w:val="center"/>
        <w:rPr>
          <w:rFonts w:hint="eastAsia" w:ascii="Times New Roman" w:hAnsi="Times New Roman" w:eastAsia="宋体" w:cs="Times New Roman"/>
          <w:color w:val="auto"/>
          <w:sz w:val="24"/>
          <w:lang w:eastAsia="zh-CN"/>
        </w:rPr>
      </w:pPr>
      <m:oMathPara>
        <m:oMath>
          <m:r>
            <m:rPr/>
            <w:rPr>
              <w:rFonts w:ascii="Cambria Math" w:hAnsi="Cambria Math"/>
              <w:color w:val="auto"/>
              <w:sz w:val="24"/>
            </w:rPr>
            <m:t>C</m:t>
          </m:r>
          <m:d>
            <m:dPr>
              <m:ctrlPr>
                <w:rPr>
                  <w:rFonts w:ascii="Cambria Math" w:hAnsi="Cambria Math"/>
                  <w:color w:val="auto"/>
                  <w:sz w:val="24"/>
                </w:rPr>
              </m:ctrlPr>
            </m:dPr>
            <m:e>
              <m:r>
                <m:rPr/>
                <w:rPr>
                  <w:rFonts w:ascii="Cambria Math" w:hAnsi="Cambria Math"/>
                  <w:color w:val="auto"/>
                  <w:sz w:val="24"/>
                </w:rPr>
                <m:t>x,y</m:t>
              </m:r>
              <m:ctrlPr>
                <w:rPr>
                  <w:rFonts w:ascii="Cambria Math" w:hAnsi="Cambria Math"/>
                  <w:color w:val="auto"/>
                  <w:sz w:val="24"/>
                </w:rPr>
              </m:ctrlPr>
            </m:e>
          </m:d>
          <m:r>
            <m:rPr>
              <m:sty m:val="p"/>
            </m:rPr>
            <w:rPr>
              <w:rFonts w:ascii="Cambria Math" w:hAnsi="Cambria Math"/>
              <w:color w:val="auto"/>
              <w:sz w:val="24"/>
            </w:rPr>
            <m:t xml:space="preserve">= </m:t>
          </m:r>
          <m:sSub>
            <m:sSubPr>
              <m:ctrlPr>
                <w:rPr>
                  <w:rFonts w:ascii="Cambria Math" w:hAnsi="Cambria Math"/>
                  <w:color w:val="auto"/>
                  <w:sz w:val="24"/>
                </w:rPr>
              </m:ctrlPr>
            </m:sSubPr>
            <m:e>
              <m:r>
                <m:rPr/>
                <w:rPr>
                  <w:rFonts w:ascii="Cambria Math" w:hAnsi="Cambria Math"/>
                  <w:color w:val="auto"/>
                  <w:sz w:val="24"/>
                </w:rPr>
                <m:t>C</m:t>
              </m:r>
              <m:ctrlPr>
                <w:rPr>
                  <w:rFonts w:ascii="Cambria Math" w:hAnsi="Cambria Math"/>
                  <w:color w:val="auto"/>
                  <w:sz w:val="24"/>
                </w:rPr>
              </m:ctrlPr>
            </m:e>
            <m:sub>
              <m:r>
                <m:rPr/>
                <w:rPr>
                  <w:rFonts w:hint="eastAsia" w:ascii="MS Gothic" w:hAnsi="MS Gothic" w:eastAsia="MS Gothic" w:cs="MS Gothic"/>
                  <w:color w:val="auto"/>
                  <w:sz w:val="24"/>
                </w:rPr>
                <m:t>h</m:t>
              </m:r>
              <m:ctrlPr>
                <w:rPr>
                  <w:rFonts w:ascii="Cambria Math" w:hAnsi="Cambria Math"/>
                  <w:color w:val="auto"/>
                  <w:sz w:val="24"/>
                </w:rPr>
              </m:ctrlPr>
            </m:sub>
          </m:sSub>
          <m:r>
            <m:rPr/>
            <w:rPr>
              <w:rFonts w:ascii="Cambria Math" w:hAnsi="Cambria Math"/>
              <w:color w:val="auto"/>
              <w:sz w:val="24"/>
            </w:rPr>
            <m:t xml:space="preserve">+ </m:t>
          </m:r>
          <m:f>
            <m:fPr>
              <m:ctrlPr>
                <w:rPr>
                  <w:rFonts w:ascii="Cambria Math" w:hAnsi="Cambria Math"/>
                  <w:i/>
                  <w:color w:val="auto"/>
                  <w:sz w:val="24"/>
                </w:rPr>
              </m:ctrlPr>
            </m:fPr>
            <m:num>
              <m:r>
                <m:rPr/>
                <w:rPr>
                  <w:rFonts w:ascii="Cambria Math" w:hAnsi="Cambria Math"/>
                  <w:color w:val="auto"/>
                  <w:sz w:val="24"/>
                </w:rPr>
                <m:t>m</m:t>
              </m:r>
              <m:ctrlPr>
                <w:rPr>
                  <w:rFonts w:ascii="Cambria Math" w:hAnsi="Cambria Math"/>
                  <w:i/>
                  <w:color w:val="auto"/>
                  <w:sz w:val="24"/>
                </w:rPr>
              </m:ctrlPr>
            </m:num>
            <m:den>
              <m:r>
                <m:rPr/>
                <w:rPr>
                  <w:rFonts w:ascii="Cambria Math" w:hAnsi="Cambria Math"/>
                  <w:color w:val="auto"/>
                  <w:sz w:val="24"/>
                </w:rPr>
                <m:t>H</m:t>
              </m:r>
              <m:rad>
                <m:radPr>
                  <m:degHide m:val="1"/>
                  <m:ctrlPr>
                    <w:rPr>
                      <w:rFonts w:ascii="Cambria Math" w:hAnsi="Cambria Math"/>
                      <w:i/>
                      <w:color w:val="auto"/>
                      <w:sz w:val="24"/>
                    </w:rPr>
                  </m:ctrlPr>
                </m:radPr>
                <m:deg>
                  <m:ctrlPr>
                    <w:rPr>
                      <w:rFonts w:ascii="Cambria Math" w:hAnsi="Cambria Math"/>
                      <w:i/>
                      <w:color w:val="auto"/>
                      <w:sz w:val="24"/>
                    </w:rPr>
                  </m:ctrlPr>
                </m:deg>
                <m:e>
                  <m:r>
                    <m:rPr/>
                    <w:rPr>
                      <w:rFonts w:ascii="Cambria Math" w:hAnsi="Cambria Math"/>
                      <w:color w:val="auto"/>
                      <w:sz w:val="24"/>
                    </w:rPr>
                    <m:t>π</m:t>
                  </m:r>
                  <m:sSub>
                    <m:sSubPr>
                      <m:ctrlPr>
                        <w:rPr>
                          <w:rFonts w:ascii="Cambria Math" w:hAnsi="Cambria Math"/>
                          <w:i/>
                          <w:color w:val="auto"/>
                          <w:sz w:val="24"/>
                        </w:rPr>
                      </m:ctrlPr>
                    </m:sSubPr>
                    <m:e>
                      <m:r>
                        <m:rPr/>
                        <w:rPr>
                          <w:rFonts w:ascii="Cambria Math" w:hAnsi="Cambria Math"/>
                          <w:color w:val="auto"/>
                          <w:sz w:val="24"/>
                        </w:rPr>
                        <m:t>E</m:t>
                      </m:r>
                      <m:ctrlPr>
                        <w:rPr>
                          <w:rFonts w:ascii="Cambria Math" w:hAnsi="Cambria Math"/>
                          <w:i/>
                          <w:color w:val="auto"/>
                          <w:sz w:val="24"/>
                        </w:rPr>
                      </m:ctrlPr>
                    </m:e>
                    <m:sub>
                      <m:r>
                        <m:rPr/>
                        <w:rPr>
                          <w:rFonts w:ascii="Cambria Math" w:hAnsi="Cambria Math"/>
                          <w:color w:val="auto"/>
                          <w:sz w:val="24"/>
                        </w:rPr>
                        <m:t>y</m:t>
                      </m:r>
                      <m:ctrlPr>
                        <w:rPr>
                          <w:rFonts w:ascii="Cambria Math" w:hAnsi="Cambria Math"/>
                          <w:i/>
                          <w:color w:val="auto"/>
                          <w:sz w:val="24"/>
                        </w:rPr>
                      </m:ctrlPr>
                    </m:sub>
                  </m:sSub>
                  <m:r>
                    <m:rPr/>
                    <w:rPr>
                      <w:rFonts w:ascii="Cambria Math" w:hAnsi="Cambria Math"/>
                      <w:color w:val="auto"/>
                      <w:sz w:val="24"/>
                    </w:rPr>
                    <m:t>ux</m:t>
                  </m:r>
                  <m:ctrlPr>
                    <w:rPr>
                      <w:rFonts w:ascii="Cambria Math" w:hAnsi="Cambria Math"/>
                      <w:i/>
                      <w:color w:val="auto"/>
                      <w:sz w:val="24"/>
                    </w:rPr>
                  </m:ctrlPr>
                </m:e>
              </m:rad>
              <m:ctrlPr>
                <w:rPr>
                  <w:rFonts w:ascii="Cambria Math" w:hAnsi="Cambria Math"/>
                  <w:i/>
                  <w:color w:val="auto"/>
                  <w:sz w:val="24"/>
                </w:rPr>
              </m:ctrlPr>
            </m:den>
          </m:f>
          <m:r>
            <m:rPr/>
            <w:rPr>
              <w:rFonts w:ascii="Cambria Math" w:hAnsi="Cambria Math"/>
              <w:color w:val="auto"/>
              <w:sz w:val="24"/>
            </w:rPr>
            <m:t>exp</m:t>
          </m:r>
          <m:d>
            <m:dPr>
              <m:ctrlPr>
                <w:rPr>
                  <w:rFonts w:ascii="Cambria Math" w:hAnsi="Cambria Math"/>
                  <w:i/>
                  <w:color w:val="auto"/>
                  <w:sz w:val="24"/>
                </w:rPr>
              </m:ctrlPr>
            </m:dPr>
            <m:e>
              <m:r>
                <m:rPr/>
                <w:rPr>
                  <w:rFonts w:ascii="Cambria Math" w:hAnsi="Cambria Math"/>
                  <w:color w:val="auto"/>
                  <w:sz w:val="24"/>
                </w:rPr>
                <m:t>−</m:t>
              </m:r>
              <m:f>
                <m:fPr>
                  <m:ctrlPr>
                    <w:rPr>
                      <w:rFonts w:ascii="Cambria Math" w:hAnsi="Cambria Math"/>
                      <w:i/>
                      <w:color w:val="auto"/>
                      <w:sz w:val="24"/>
                    </w:rPr>
                  </m:ctrlPr>
                </m:fPr>
                <m:num>
                  <m:r>
                    <m:rPr/>
                    <w:rPr>
                      <w:rFonts w:ascii="Cambria Math" w:hAnsi="Cambria Math"/>
                      <w:color w:val="auto"/>
                      <w:sz w:val="24"/>
                    </w:rPr>
                    <m:t>u</m:t>
                  </m:r>
                  <m:sSup>
                    <m:sSupPr>
                      <m:ctrlPr>
                        <w:rPr>
                          <w:rFonts w:ascii="Cambria Math" w:hAnsi="Cambria Math"/>
                          <w:i/>
                          <w:color w:val="auto"/>
                          <w:sz w:val="24"/>
                        </w:rPr>
                      </m:ctrlPr>
                    </m:sSupPr>
                    <m:e>
                      <m:r>
                        <m:rPr/>
                        <w:rPr>
                          <w:rFonts w:ascii="Cambria Math" w:hAnsi="Cambria Math"/>
                          <w:color w:val="auto"/>
                          <w:sz w:val="24"/>
                        </w:rPr>
                        <m:t>y</m:t>
                      </m:r>
                      <m:ctrlPr>
                        <w:rPr>
                          <w:rFonts w:ascii="Cambria Math" w:hAnsi="Cambria Math"/>
                          <w:i/>
                          <w:color w:val="auto"/>
                          <w:sz w:val="24"/>
                        </w:rPr>
                      </m:ctrlPr>
                    </m:e>
                    <m:sup>
                      <m:r>
                        <m:rPr/>
                        <w:rPr>
                          <w:rFonts w:ascii="Cambria Math" w:hAnsi="Cambria Math"/>
                          <w:color w:val="auto"/>
                          <w:sz w:val="24"/>
                        </w:rPr>
                        <m:t>2</m:t>
                      </m:r>
                      <m:ctrlPr>
                        <w:rPr>
                          <w:rFonts w:ascii="Cambria Math" w:hAnsi="Cambria Math"/>
                          <w:i/>
                          <w:color w:val="auto"/>
                          <w:sz w:val="24"/>
                        </w:rPr>
                      </m:ctrlPr>
                    </m:sup>
                  </m:sSup>
                  <m:ctrlPr>
                    <w:rPr>
                      <w:rFonts w:ascii="Cambria Math" w:hAnsi="Cambria Math"/>
                      <w:i/>
                      <w:color w:val="auto"/>
                      <w:sz w:val="24"/>
                    </w:rPr>
                  </m:ctrlPr>
                </m:num>
                <m:den>
                  <m:r>
                    <m:rPr/>
                    <w:rPr>
                      <w:rFonts w:ascii="Cambria Math" w:hAnsi="Cambria Math"/>
                      <w:color w:val="auto"/>
                      <w:sz w:val="24"/>
                    </w:rPr>
                    <m:t>4</m:t>
                  </m:r>
                  <m:sSub>
                    <m:sSubPr>
                      <m:ctrlPr>
                        <w:rPr>
                          <w:rFonts w:ascii="Cambria Math" w:hAnsi="Cambria Math"/>
                          <w:i/>
                          <w:color w:val="auto"/>
                          <w:sz w:val="24"/>
                        </w:rPr>
                      </m:ctrlPr>
                    </m:sSubPr>
                    <m:e>
                      <m:r>
                        <m:rPr/>
                        <w:rPr>
                          <w:rFonts w:ascii="Cambria Math" w:hAnsi="Cambria Math"/>
                          <w:color w:val="auto"/>
                          <w:sz w:val="24"/>
                        </w:rPr>
                        <m:t>E</m:t>
                      </m:r>
                      <m:ctrlPr>
                        <w:rPr>
                          <w:rFonts w:ascii="Cambria Math" w:hAnsi="Cambria Math"/>
                          <w:i/>
                          <w:color w:val="auto"/>
                          <w:sz w:val="24"/>
                        </w:rPr>
                      </m:ctrlPr>
                    </m:e>
                    <m:sub>
                      <m:r>
                        <m:rPr/>
                        <w:rPr>
                          <w:rFonts w:ascii="Cambria Math" w:hAnsi="Cambria Math"/>
                          <w:color w:val="auto"/>
                          <w:sz w:val="24"/>
                        </w:rPr>
                        <m:t>y</m:t>
                      </m:r>
                      <m:ctrlPr>
                        <w:rPr>
                          <w:rFonts w:ascii="Cambria Math" w:hAnsi="Cambria Math"/>
                          <w:i/>
                          <w:color w:val="auto"/>
                          <w:sz w:val="24"/>
                        </w:rPr>
                      </m:ctrlPr>
                    </m:sub>
                  </m:sSub>
                  <m:r>
                    <m:rPr/>
                    <w:rPr>
                      <w:rFonts w:ascii="Cambria Math" w:hAnsi="Cambria Math"/>
                      <w:color w:val="auto"/>
                      <w:sz w:val="24"/>
                    </w:rPr>
                    <m:t>x</m:t>
                  </m:r>
                  <m:ctrlPr>
                    <w:rPr>
                      <w:rFonts w:ascii="Cambria Math" w:hAnsi="Cambria Math"/>
                      <w:i/>
                      <w:color w:val="auto"/>
                      <w:sz w:val="24"/>
                    </w:rPr>
                  </m:ctrlPr>
                </m:den>
              </m:f>
              <m:ctrlPr>
                <w:rPr>
                  <w:rFonts w:ascii="Cambria Math" w:hAnsi="Cambria Math"/>
                  <w:i/>
                  <w:color w:val="auto"/>
                  <w:sz w:val="24"/>
                </w:rPr>
              </m:ctrlPr>
            </m:e>
          </m:d>
          <m:r>
            <m:rPr/>
            <w:rPr>
              <w:rFonts w:ascii="Cambria Math" w:hAnsi="Cambria Math"/>
              <w:color w:val="auto"/>
              <w:sz w:val="24"/>
            </w:rPr>
            <m:t>exp</m:t>
          </m:r>
          <m:d>
            <m:dPr>
              <m:ctrlPr>
                <w:rPr>
                  <w:rFonts w:ascii="Cambria Math" w:hAnsi="Cambria Math"/>
                  <w:i/>
                  <w:color w:val="auto"/>
                  <w:sz w:val="24"/>
                </w:rPr>
              </m:ctrlPr>
            </m:dPr>
            <m:e>
              <m:r>
                <m:rPr/>
                <w:rPr>
                  <w:rFonts w:ascii="Cambria Math" w:hAnsi="Cambria Math"/>
                  <w:color w:val="auto"/>
                  <w:sz w:val="24"/>
                </w:rPr>
                <m:t>−k</m:t>
              </m:r>
              <m:f>
                <m:fPr>
                  <m:ctrlPr>
                    <w:rPr>
                      <w:rFonts w:ascii="Cambria Math" w:hAnsi="Cambria Math"/>
                      <w:i/>
                      <w:color w:val="auto"/>
                      <w:sz w:val="24"/>
                    </w:rPr>
                  </m:ctrlPr>
                </m:fPr>
                <m:num>
                  <m:r>
                    <m:rPr/>
                    <w:rPr>
                      <w:rFonts w:ascii="Cambria Math" w:hAnsi="Cambria Math"/>
                      <w:color w:val="auto"/>
                      <w:sz w:val="24"/>
                    </w:rPr>
                    <m:t>x</m:t>
                  </m:r>
                  <m:ctrlPr>
                    <w:rPr>
                      <w:rFonts w:ascii="Cambria Math" w:hAnsi="Cambria Math"/>
                      <w:i/>
                      <w:color w:val="auto"/>
                      <w:sz w:val="24"/>
                    </w:rPr>
                  </m:ctrlPr>
                </m:num>
                <m:den>
                  <m:r>
                    <m:rPr/>
                    <w:rPr>
                      <w:rFonts w:ascii="Cambria Math" w:hAnsi="Cambria Math"/>
                      <w:color w:val="auto"/>
                      <w:sz w:val="24"/>
                    </w:rPr>
                    <m:t>u</m:t>
                  </m:r>
                  <m:ctrlPr>
                    <w:rPr>
                      <w:rFonts w:ascii="Cambria Math" w:hAnsi="Cambria Math"/>
                      <w:i/>
                      <w:color w:val="auto"/>
                      <w:sz w:val="24"/>
                    </w:rPr>
                  </m:ctrlPr>
                </m:den>
              </m:f>
              <m:ctrlPr>
                <w:rPr>
                  <w:rFonts w:ascii="Cambria Math" w:hAnsi="Cambria Math"/>
                  <w:i/>
                  <w:color w:val="auto"/>
                  <w:sz w:val="24"/>
                </w:rPr>
              </m:ctrlPr>
            </m:e>
          </m:d>
        </m:oMath>
      </m:oMathPara>
    </w:p>
    <w:p w14:paraId="3967BA41">
      <w:pPr>
        <w:adjustRightInd w:val="0"/>
        <w:spacing w:line="360" w:lineRule="auto"/>
        <w:ind w:firstLine="480" w:firstLineChars="200"/>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lang w:eastAsia="zh-CN"/>
        </w:rPr>
        <w:t>式中：</w:t>
      </w:r>
    </w:p>
    <w:p w14:paraId="15CB1F65">
      <w:pPr>
        <w:adjustRightInd w:val="0"/>
        <w:spacing w:line="360" w:lineRule="auto"/>
        <w:ind w:firstLine="480" w:firstLineChars="200"/>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lang w:eastAsia="zh-CN"/>
        </w:rPr>
        <w:t>C（x，y）——纵向距离x、横向距离y点的污染物浓度，mg/L；</w:t>
      </w:r>
    </w:p>
    <w:p w14:paraId="364DFC1D">
      <w:pPr>
        <w:adjustRightInd w:val="0"/>
        <w:spacing w:line="360" w:lineRule="auto"/>
        <w:ind w:firstLine="480" w:firstLineChars="200"/>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lang w:eastAsia="zh-CN"/>
        </w:rPr>
        <w:t>C</w:t>
      </w:r>
      <w:r>
        <w:rPr>
          <w:rFonts w:hint="eastAsia" w:ascii="Times New Roman" w:hAnsi="Times New Roman" w:eastAsia="宋体" w:cs="Times New Roman"/>
          <w:color w:val="auto"/>
          <w:sz w:val="24"/>
          <w:vertAlign w:val="subscript"/>
          <w:lang w:eastAsia="zh-CN"/>
        </w:rPr>
        <w:t>h</w:t>
      </w:r>
      <w:r>
        <w:rPr>
          <w:rFonts w:hint="eastAsia" w:ascii="Times New Roman" w:hAnsi="Times New Roman" w:eastAsia="宋体" w:cs="Times New Roman"/>
          <w:color w:val="auto"/>
          <w:sz w:val="24"/>
          <w:lang w:eastAsia="zh-CN"/>
        </w:rPr>
        <w:t>——河流上游污染物浓度，mg/L；</w:t>
      </w:r>
    </w:p>
    <w:p w14:paraId="1EDC3365">
      <w:pPr>
        <w:adjustRightInd w:val="0"/>
        <w:spacing w:line="360" w:lineRule="auto"/>
        <w:ind w:firstLine="480" w:firstLineChars="200"/>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lang w:eastAsia="zh-CN"/>
        </w:rPr>
        <w:t>m——污染物排放速率，g/s；</w:t>
      </w:r>
    </w:p>
    <w:p w14:paraId="2E4F5437">
      <w:pPr>
        <w:adjustRightInd w:val="0"/>
        <w:spacing w:line="360" w:lineRule="auto"/>
        <w:ind w:firstLine="480" w:firstLineChars="200"/>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lang w:eastAsia="zh-CN"/>
        </w:rPr>
        <w:t>k——污染物综合衰减系数，1/s；</w:t>
      </w:r>
    </w:p>
    <w:p w14:paraId="57180F0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lang w:eastAsia="zh-CN"/>
        </w:rPr>
        <w:t>其他符号说明同上。</w:t>
      </w:r>
    </w:p>
    <w:p w14:paraId="297B6854">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其中k数值的确定</w:t>
      </w:r>
    </w:p>
    <w:p w14:paraId="3F091AB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通常污染物综合衰减系数的确定方法有三种，分别是分析借用法、实测法和经验公式法。本报告采用经验公式法进行确定。根据怀特经验公式：</w:t>
      </w:r>
    </w:p>
    <w:p w14:paraId="19B18B2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k=10.3Q</w:t>
      </w:r>
      <w:r>
        <w:rPr>
          <w:rFonts w:hint="eastAsia" w:ascii="Times New Roman" w:hAnsi="Times New Roman" w:eastAsia="宋体" w:cs="Times New Roman"/>
          <w:color w:val="auto"/>
          <w:sz w:val="24"/>
          <w:szCs w:val="24"/>
          <w:vertAlign w:val="superscript"/>
          <w:lang w:val="en-US" w:eastAsia="zh-CN"/>
        </w:rPr>
        <w:t>-0.49</w:t>
      </w:r>
    </w:p>
    <w:p w14:paraId="4B01A234">
      <w:pPr>
        <w:keepNext w:val="0"/>
        <w:keepLines w:val="0"/>
        <w:pageBreakBefore w:val="0"/>
        <w:widowControl w:val="0"/>
        <w:kinsoku/>
        <w:wordWrap/>
        <w:overflowPunct/>
        <w:topLinePunct w:val="0"/>
        <w:autoSpaceDE/>
        <w:autoSpaceDN/>
        <w:bidi w:val="0"/>
        <w:adjustRightInd/>
        <w:snapToGrid/>
        <w:spacing w:line="360" w:lineRule="auto"/>
        <w:ind w:firstLine="720" w:firstLineChars="300"/>
        <w:jc w:val="both"/>
        <w:textAlignment w:val="auto"/>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eastAsia="zh-CN"/>
        </w:rPr>
        <w:t>式中：</w:t>
      </w:r>
    </w:p>
    <w:p w14:paraId="28911DD4">
      <w:pPr>
        <w:keepNext w:val="0"/>
        <w:keepLines w:val="0"/>
        <w:pageBreakBefore w:val="0"/>
        <w:widowControl w:val="0"/>
        <w:kinsoku/>
        <w:wordWrap/>
        <w:overflowPunct/>
        <w:topLinePunct w:val="0"/>
        <w:autoSpaceDE/>
        <w:autoSpaceDN/>
        <w:bidi w:val="0"/>
        <w:adjustRightInd/>
        <w:snapToGrid/>
        <w:spacing w:line="360" w:lineRule="auto"/>
        <w:ind w:firstLine="960" w:firstLineChars="400"/>
        <w:jc w:val="both"/>
        <w:textAlignment w:val="auto"/>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val="en-US" w:eastAsia="zh-CN"/>
        </w:rPr>
        <w:t>k</w:t>
      </w:r>
      <w:r>
        <w:rPr>
          <w:rFonts w:hint="eastAsia" w:ascii="Times New Roman" w:hAnsi="Times New Roman" w:eastAsia="宋体" w:cs="Times New Roman"/>
          <w:color w:val="auto"/>
          <w:sz w:val="24"/>
          <w:szCs w:val="24"/>
          <w:highlight w:val="none"/>
          <w:lang w:eastAsia="zh-CN"/>
        </w:rPr>
        <w:t>——污染物综合衰减系数，d</w:t>
      </w:r>
      <w:r>
        <w:rPr>
          <w:rFonts w:hint="eastAsia" w:ascii="Times New Roman" w:hAnsi="Times New Roman" w:eastAsia="宋体" w:cs="Times New Roman"/>
          <w:color w:val="auto"/>
          <w:sz w:val="24"/>
          <w:szCs w:val="24"/>
          <w:highlight w:val="none"/>
          <w:vertAlign w:val="superscript"/>
          <w:lang w:eastAsia="zh-CN"/>
        </w:rPr>
        <w:t>-1</w:t>
      </w:r>
      <w:r>
        <w:rPr>
          <w:rFonts w:hint="eastAsia" w:ascii="Times New Roman" w:hAnsi="Times New Roman" w:eastAsia="宋体" w:cs="Times New Roman"/>
          <w:color w:val="auto"/>
          <w:sz w:val="24"/>
          <w:szCs w:val="24"/>
          <w:highlight w:val="none"/>
          <w:lang w:eastAsia="zh-CN"/>
        </w:rPr>
        <w:t>；</w:t>
      </w:r>
    </w:p>
    <w:p w14:paraId="73237BC2">
      <w:pPr>
        <w:keepNext w:val="0"/>
        <w:keepLines w:val="0"/>
        <w:pageBreakBefore w:val="0"/>
        <w:widowControl w:val="0"/>
        <w:kinsoku/>
        <w:wordWrap/>
        <w:overflowPunct/>
        <w:topLinePunct w:val="0"/>
        <w:autoSpaceDE/>
        <w:autoSpaceDN/>
        <w:bidi w:val="0"/>
        <w:adjustRightInd/>
        <w:snapToGrid/>
        <w:spacing w:line="360" w:lineRule="auto"/>
        <w:ind w:firstLine="960" w:firstLineChars="400"/>
        <w:jc w:val="both"/>
        <w:textAlignment w:val="auto"/>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val="en-US" w:eastAsia="zh-CN"/>
        </w:rPr>
        <w:t>Q</w:t>
      </w:r>
      <w:r>
        <w:rPr>
          <w:rFonts w:hint="eastAsia" w:ascii="Times New Roman" w:hAnsi="Times New Roman" w:eastAsia="宋体" w:cs="Times New Roman"/>
          <w:color w:val="auto"/>
          <w:sz w:val="24"/>
          <w:szCs w:val="24"/>
          <w:highlight w:val="none"/>
          <w:lang w:eastAsia="zh-CN"/>
        </w:rPr>
        <w:t>——河流流量，m</w:t>
      </w:r>
      <w:r>
        <w:rPr>
          <w:rFonts w:hint="eastAsia" w:ascii="Times New Roman" w:hAnsi="Times New Roman" w:eastAsia="宋体" w:cs="Times New Roman"/>
          <w:color w:val="auto"/>
          <w:sz w:val="24"/>
          <w:szCs w:val="24"/>
          <w:highlight w:val="none"/>
          <w:vertAlign w:val="superscript"/>
          <w:lang w:eastAsia="zh-CN"/>
        </w:rPr>
        <w:t>3</w:t>
      </w:r>
      <w:r>
        <w:rPr>
          <w:rFonts w:hint="eastAsia" w:ascii="Times New Roman" w:hAnsi="Times New Roman" w:eastAsia="宋体" w:cs="Times New Roman"/>
          <w:color w:val="auto"/>
          <w:sz w:val="24"/>
          <w:szCs w:val="24"/>
          <w:highlight w:val="none"/>
          <w:lang w:eastAsia="zh-CN"/>
        </w:rPr>
        <w:t>/s。</w:t>
      </w:r>
    </w:p>
    <w:p w14:paraId="646F728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污染物综合衰减系数计算结果见下表。</w:t>
      </w:r>
    </w:p>
    <w:p w14:paraId="449D488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表7.2-3  k取值汇总表</w:t>
      </w:r>
    </w:p>
    <w:tbl>
      <w:tblPr>
        <w:tblStyle w:val="32"/>
        <w:tblW w:w="8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5"/>
        <w:gridCol w:w="2145"/>
        <w:gridCol w:w="2145"/>
        <w:gridCol w:w="2145"/>
      </w:tblGrid>
      <w:tr w14:paraId="423DE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2145" w:type="dxa"/>
            <w:vAlign w:val="center"/>
          </w:tcPr>
          <w:p w14:paraId="0D2E4C1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河流名称</w:t>
            </w:r>
          </w:p>
        </w:tc>
        <w:tc>
          <w:tcPr>
            <w:tcW w:w="2145" w:type="dxa"/>
            <w:vAlign w:val="center"/>
          </w:tcPr>
          <w:p w14:paraId="1152487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Q（m</w:t>
            </w:r>
            <w:r>
              <w:rPr>
                <w:rFonts w:hint="eastAsia" w:ascii="Times New Roman" w:hAnsi="Times New Roman" w:eastAsia="宋体" w:cs="Times New Roman"/>
                <w:b/>
                <w:bCs/>
                <w:color w:val="auto"/>
                <w:sz w:val="21"/>
                <w:szCs w:val="21"/>
                <w:vertAlign w:val="superscript"/>
                <w:lang w:val="en-US" w:eastAsia="zh-CN"/>
              </w:rPr>
              <w:t>3</w:t>
            </w:r>
            <w:r>
              <w:rPr>
                <w:rFonts w:hint="eastAsia" w:ascii="Times New Roman" w:hAnsi="Times New Roman" w:eastAsia="宋体" w:cs="Times New Roman"/>
                <w:b/>
                <w:bCs/>
                <w:color w:val="auto"/>
                <w:sz w:val="21"/>
                <w:szCs w:val="21"/>
                <w:vertAlign w:val="baseline"/>
                <w:lang w:val="en-US" w:eastAsia="zh-CN"/>
              </w:rPr>
              <w:t>/s）</w:t>
            </w:r>
          </w:p>
        </w:tc>
        <w:tc>
          <w:tcPr>
            <w:tcW w:w="2145" w:type="dxa"/>
            <w:vAlign w:val="center"/>
          </w:tcPr>
          <w:p w14:paraId="3B88BB9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k（d</w:t>
            </w:r>
            <w:r>
              <w:rPr>
                <w:rFonts w:hint="eastAsia" w:ascii="Times New Roman" w:hAnsi="Times New Roman" w:eastAsia="宋体" w:cs="Times New Roman"/>
                <w:b/>
                <w:bCs/>
                <w:color w:val="auto"/>
                <w:sz w:val="21"/>
                <w:szCs w:val="21"/>
                <w:vertAlign w:val="superscript"/>
                <w:lang w:val="en-US" w:eastAsia="zh-CN"/>
              </w:rPr>
              <w:t>-1</w:t>
            </w:r>
            <w:r>
              <w:rPr>
                <w:rFonts w:hint="eastAsia" w:ascii="Times New Roman" w:hAnsi="Times New Roman" w:eastAsia="宋体" w:cs="Times New Roman"/>
                <w:b/>
                <w:bCs/>
                <w:color w:val="auto"/>
                <w:sz w:val="21"/>
                <w:szCs w:val="21"/>
                <w:vertAlign w:val="baseline"/>
                <w:lang w:val="en-US" w:eastAsia="zh-CN"/>
              </w:rPr>
              <w:t>）</w:t>
            </w:r>
          </w:p>
        </w:tc>
        <w:tc>
          <w:tcPr>
            <w:tcW w:w="2145" w:type="dxa"/>
            <w:vAlign w:val="center"/>
          </w:tcPr>
          <w:p w14:paraId="27BE0A9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color w:val="auto"/>
                <w:sz w:val="21"/>
                <w:szCs w:val="21"/>
                <w:vertAlign w:val="baseline"/>
                <w:lang w:eastAsia="zh-CN"/>
              </w:rPr>
            </w:pPr>
            <w:r>
              <w:rPr>
                <w:rFonts w:hint="eastAsia" w:ascii="Times New Roman" w:hAnsi="Times New Roman" w:eastAsia="宋体" w:cs="Times New Roman"/>
                <w:b/>
                <w:bCs/>
                <w:color w:val="auto"/>
                <w:sz w:val="21"/>
                <w:szCs w:val="21"/>
                <w:vertAlign w:val="baseline"/>
                <w:lang w:val="en-US" w:eastAsia="zh-CN"/>
              </w:rPr>
              <w:t>k（s</w:t>
            </w:r>
            <w:r>
              <w:rPr>
                <w:rFonts w:hint="eastAsia" w:ascii="Times New Roman" w:hAnsi="Times New Roman" w:eastAsia="宋体" w:cs="Times New Roman"/>
                <w:b/>
                <w:bCs/>
                <w:color w:val="auto"/>
                <w:sz w:val="21"/>
                <w:szCs w:val="21"/>
                <w:vertAlign w:val="superscript"/>
                <w:lang w:val="en-US" w:eastAsia="zh-CN"/>
              </w:rPr>
              <w:t>-1</w:t>
            </w:r>
            <w:r>
              <w:rPr>
                <w:rFonts w:hint="eastAsia" w:ascii="Times New Roman" w:hAnsi="Times New Roman" w:eastAsia="宋体" w:cs="Times New Roman"/>
                <w:b/>
                <w:bCs/>
                <w:color w:val="auto"/>
                <w:sz w:val="21"/>
                <w:szCs w:val="21"/>
                <w:vertAlign w:val="baseline"/>
                <w:lang w:val="en-US" w:eastAsia="zh-CN"/>
              </w:rPr>
              <w:t>）</w:t>
            </w:r>
          </w:p>
        </w:tc>
      </w:tr>
      <w:tr w14:paraId="15853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2145" w:type="dxa"/>
            <w:vAlign w:val="center"/>
          </w:tcPr>
          <w:p w14:paraId="02334E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排水渠</w:t>
            </w:r>
          </w:p>
        </w:tc>
        <w:tc>
          <w:tcPr>
            <w:tcW w:w="2145" w:type="dxa"/>
            <w:vAlign w:val="center"/>
          </w:tcPr>
          <w:p w14:paraId="5837304F">
            <w:pPr>
              <w:keepNext w:val="0"/>
              <w:keepLines w:val="0"/>
              <w:widowControl/>
              <w:suppressLineNumbers w:val="0"/>
              <w:jc w:val="center"/>
              <w:textAlignment w:val="center"/>
              <w:rPr>
                <w:rFonts w:hint="default" w:ascii="Times New Roman" w:hAnsi="Times New Roman" w:eastAsia="宋体" w:cs="宋体"/>
                <w:color w:val="auto"/>
                <w:kern w:val="0"/>
                <w:sz w:val="21"/>
                <w:szCs w:val="21"/>
                <w:lang w:val="en-US" w:eastAsia="zh-CN" w:bidi="ar-SA"/>
              </w:rPr>
            </w:pPr>
            <w:r>
              <w:rPr>
                <w:rFonts w:hint="eastAsia" w:ascii="Times New Roman" w:hAnsi="Times New Roman" w:eastAsia="宋体" w:cs="宋体"/>
                <w:color w:val="auto"/>
                <w:kern w:val="0"/>
                <w:sz w:val="21"/>
                <w:szCs w:val="21"/>
                <w:lang w:val="en-US" w:eastAsia="zh-CN" w:bidi="ar-SA"/>
              </w:rPr>
              <w:t>0.725</w:t>
            </w:r>
          </w:p>
        </w:tc>
        <w:tc>
          <w:tcPr>
            <w:tcW w:w="2145" w:type="dxa"/>
            <w:shd w:val="clear" w:color="auto" w:fill="auto"/>
            <w:vAlign w:val="center"/>
          </w:tcPr>
          <w:p w14:paraId="684C23F4">
            <w:pPr>
              <w:keepNext w:val="0"/>
              <w:keepLines w:val="0"/>
              <w:widowControl/>
              <w:suppressLineNumbers w:val="0"/>
              <w:jc w:val="center"/>
              <w:textAlignment w:val="center"/>
              <w:rPr>
                <w:rFonts w:hint="default" w:ascii="Times New Roman" w:hAnsi="Times New Roman" w:eastAsia="宋体" w:cs="宋体"/>
                <w:color w:val="auto"/>
                <w:kern w:val="0"/>
                <w:sz w:val="21"/>
                <w:szCs w:val="21"/>
                <w:lang w:val="en-US" w:eastAsia="zh-CN" w:bidi="ar-SA"/>
              </w:rPr>
            </w:pPr>
            <w:r>
              <w:rPr>
                <w:rFonts w:hint="eastAsia" w:ascii="Times New Roman" w:hAnsi="Times New Roman" w:eastAsia="宋体" w:cs="宋体"/>
                <w:color w:val="auto"/>
                <w:kern w:val="0"/>
                <w:sz w:val="21"/>
                <w:szCs w:val="21"/>
                <w:lang w:val="en-US" w:eastAsia="zh-CN" w:bidi="ar-SA"/>
              </w:rPr>
              <w:t>12.05821</w:t>
            </w:r>
          </w:p>
        </w:tc>
        <w:tc>
          <w:tcPr>
            <w:tcW w:w="2145" w:type="dxa"/>
            <w:vAlign w:val="center"/>
          </w:tcPr>
          <w:p w14:paraId="76147DFF">
            <w:pPr>
              <w:keepNext w:val="0"/>
              <w:keepLines w:val="0"/>
              <w:widowControl/>
              <w:suppressLineNumbers w:val="0"/>
              <w:jc w:val="center"/>
              <w:textAlignment w:val="center"/>
              <w:rPr>
                <w:rFonts w:hint="default" w:ascii="Times New Roman" w:hAnsi="Times New Roman" w:eastAsia="宋体" w:cs="宋体"/>
                <w:color w:val="auto"/>
                <w:kern w:val="0"/>
                <w:sz w:val="21"/>
                <w:szCs w:val="21"/>
                <w:lang w:val="en-US" w:eastAsia="zh-CN" w:bidi="ar-SA"/>
              </w:rPr>
            </w:pPr>
            <w:r>
              <w:rPr>
                <w:rFonts w:hint="eastAsia" w:ascii="Times New Roman" w:hAnsi="Times New Roman" w:eastAsia="宋体" w:cs="宋体"/>
                <w:color w:val="auto"/>
                <w:kern w:val="0"/>
                <w:sz w:val="21"/>
                <w:szCs w:val="21"/>
                <w:lang w:val="en-US" w:eastAsia="zh-CN" w:bidi="ar-SA"/>
              </w:rPr>
              <w:t>0.00014</w:t>
            </w:r>
          </w:p>
        </w:tc>
      </w:tr>
    </w:tbl>
    <w:p w14:paraId="6A579478">
      <w:pPr>
        <w:spacing w:line="360" w:lineRule="auto"/>
        <w:ind w:firstLine="482" w:firstLineChars="200"/>
        <w:rPr>
          <w:rFonts w:hint="eastAsia" w:cs="Times New Roman"/>
          <w:b/>
          <w:bCs/>
          <w:color w:val="auto"/>
          <w:sz w:val="24"/>
          <w:highlight w:val="none"/>
          <w:lang w:val="en-US" w:eastAsia="zh-CN"/>
        </w:rPr>
      </w:pPr>
      <w:r>
        <w:rPr>
          <w:rFonts w:hint="eastAsia" w:cs="Times New Roman"/>
          <w:b/>
          <w:bCs/>
          <w:color w:val="auto"/>
          <w:sz w:val="24"/>
          <w:highlight w:val="none"/>
          <w:lang w:val="en-US" w:eastAsia="zh-CN"/>
        </w:rPr>
        <w:t>（3）预测参数</w:t>
      </w:r>
    </w:p>
    <w:p w14:paraId="06E66C3E">
      <w:pPr>
        <w:pStyle w:val="28"/>
        <w:keepNext w:val="0"/>
        <w:keepLines w:val="0"/>
        <w:pageBreakBefore w:val="0"/>
        <w:widowControl/>
        <w:kinsoku/>
        <w:wordWrap/>
        <w:overflowPunct/>
        <w:topLinePunct w:val="0"/>
        <w:autoSpaceDE w:val="0"/>
        <w:autoSpaceDN w:val="0"/>
        <w:bidi w:val="0"/>
        <w:adjustRightInd w:val="0"/>
        <w:snapToGrid/>
        <w:spacing w:before="0" w:beforeAutospacing="0" w:after="0" w:afterAutospacing="0" w:line="360" w:lineRule="auto"/>
        <w:ind w:firstLine="480" w:firstLineChars="200"/>
        <w:textAlignment w:val="auto"/>
        <w:rPr>
          <w:rFonts w:hint="default" w:ascii="Times New Roman" w:hAnsi="Times New Roman" w:cs="Times New Roman"/>
          <w:color w:val="auto"/>
        </w:rPr>
      </w:pPr>
      <w:r>
        <w:rPr>
          <w:rFonts w:hint="default" w:ascii="Times New Roman" w:hAnsi="Times New Roman" w:cs="Times New Roman"/>
          <w:color w:val="auto"/>
        </w:rPr>
        <w:t>本项目污染预测参数取值具体见表。</w:t>
      </w:r>
    </w:p>
    <w:p w14:paraId="3DC0DE49">
      <w:pPr>
        <w:pStyle w:val="51"/>
        <w:spacing w:line="240" w:lineRule="auto"/>
        <w:ind w:firstLine="0"/>
        <w:jc w:val="center"/>
        <w:rPr>
          <w:rFonts w:hint="eastAsia" w:ascii="Times New Roman" w:hAnsi="Times New Roman" w:eastAsia="宋体" w:cs="Times New Roman"/>
          <w:b/>
          <w:bCs w:val="0"/>
          <w:color w:val="auto"/>
          <w:kern w:val="2"/>
          <w:sz w:val="21"/>
          <w:szCs w:val="18"/>
          <w:lang w:val="en-US" w:eastAsia="zh-CN" w:bidi="ar-SA"/>
        </w:rPr>
      </w:pPr>
      <w:r>
        <w:rPr>
          <w:rFonts w:hint="eastAsia" w:ascii="Times New Roman" w:hAnsi="Times New Roman" w:eastAsia="宋体" w:cs="Times New Roman"/>
          <w:b/>
          <w:bCs w:val="0"/>
          <w:color w:val="auto"/>
          <w:kern w:val="2"/>
          <w:sz w:val="21"/>
          <w:szCs w:val="18"/>
          <w:lang w:val="en-US" w:eastAsia="zh-CN" w:bidi="ar-SA"/>
        </w:rPr>
        <w:t>表7.2-</w:t>
      </w:r>
      <w:r>
        <w:rPr>
          <w:rFonts w:hint="eastAsia" w:ascii="Times New Roman" w:hAnsi="Times New Roman" w:cs="Times New Roman"/>
          <w:b/>
          <w:bCs w:val="0"/>
          <w:color w:val="auto"/>
          <w:kern w:val="2"/>
          <w:sz w:val="21"/>
          <w:szCs w:val="18"/>
          <w:lang w:val="en-US" w:eastAsia="zh-CN" w:bidi="ar-SA"/>
        </w:rPr>
        <w:t>4 排水渠</w:t>
      </w:r>
      <w:r>
        <w:rPr>
          <w:rFonts w:hint="eastAsia" w:ascii="Times New Roman" w:hAnsi="Times New Roman" w:eastAsia="宋体" w:cs="Times New Roman"/>
          <w:b/>
          <w:bCs w:val="0"/>
          <w:color w:val="auto"/>
          <w:kern w:val="2"/>
          <w:sz w:val="21"/>
          <w:szCs w:val="18"/>
          <w:lang w:val="en-US" w:eastAsia="zh-CN" w:bidi="ar-SA"/>
        </w:rPr>
        <w:t>污染预测参数取值</w:t>
      </w:r>
    </w:p>
    <w:tbl>
      <w:tblPr>
        <w:tblStyle w:val="31"/>
        <w:tblW w:w="49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7"/>
        <w:gridCol w:w="2577"/>
        <w:gridCol w:w="2799"/>
      </w:tblGrid>
      <w:tr w14:paraId="25F29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3787" w:type="dxa"/>
            <w:tcBorders>
              <w:top w:val="single" w:color="auto" w:sz="4" w:space="0"/>
              <w:left w:val="single" w:color="auto" w:sz="4" w:space="0"/>
              <w:bottom w:val="single" w:color="auto" w:sz="4" w:space="0"/>
              <w:right w:val="single" w:color="auto" w:sz="4" w:space="0"/>
            </w:tcBorders>
            <w:noWrap w:val="0"/>
            <w:vAlign w:val="center"/>
          </w:tcPr>
          <w:p w14:paraId="5FFB437B">
            <w:pPr>
              <w:pStyle w:val="28"/>
              <w:autoSpaceDE w:val="0"/>
              <w:autoSpaceDN w:val="0"/>
              <w:adjustRightInd w:val="0"/>
              <w:jc w:val="center"/>
              <w:rPr>
                <w:rFonts w:ascii="Times New Roman" w:hAnsi="Times New Roman"/>
                <w:color w:val="auto"/>
                <w:kern w:val="2"/>
                <w:sz w:val="21"/>
                <w:szCs w:val="21"/>
                <w:lang w:val="en-US" w:eastAsia="zh-CN"/>
              </w:rPr>
            </w:pPr>
            <w:r>
              <w:rPr>
                <w:rFonts w:ascii="Times New Roman"/>
                <w:color w:val="auto"/>
                <w:sz w:val="21"/>
                <w:szCs w:val="21"/>
                <w:lang w:val="en-US" w:eastAsia="zh-CN"/>
              </w:rPr>
              <w:t>参数类型</w:t>
            </w:r>
          </w:p>
        </w:tc>
        <w:tc>
          <w:tcPr>
            <w:tcW w:w="2577" w:type="dxa"/>
            <w:tcBorders>
              <w:top w:val="single" w:color="auto" w:sz="4" w:space="0"/>
              <w:left w:val="single" w:color="auto" w:sz="4" w:space="0"/>
              <w:bottom w:val="single" w:color="auto" w:sz="4" w:space="0"/>
              <w:right w:val="single" w:color="auto" w:sz="4" w:space="0"/>
            </w:tcBorders>
            <w:noWrap w:val="0"/>
            <w:vAlign w:val="center"/>
          </w:tcPr>
          <w:p w14:paraId="276DF614">
            <w:pPr>
              <w:pStyle w:val="28"/>
              <w:autoSpaceDE w:val="0"/>
              <w:autoSpaceDN w:val="0"/>
              <w:adjustRightInd w:val="0"/>
              <w:jc w:val="center"/>
              <w:rPr>
                <w:rFonts w:ascii="Times New Roman" w:hAnsi="Times New Roman"/>
                <w:color w:val="auto"/>
                <w:kern w:val="2"/>
                <w:sz w:val="21"/>
                <w:szCs w:val="21"/>
                <w:lang w:val="en-US" w:eastAsia="zh-CN"/>
              </w:rPr>
            </w:pPr>
            <w:r>
              <w:rPr>
                <w:rFonts w:ascii="Times New Roman"/>
                <w:color w:val="auto"/>
                <w:sz w:val="21"/>
                <w:szCs w:val="21"/>
                <w:lang w:val="en-US" w:eastAsia="zh-CN"/>
              </w:rPr>
              <w:t>取值</w:t>
            </w:r>
          </w:p>
        </w:tc>
        <w:tc>
          <w:tcPr>
            <w:tcW w:w="2799" w:type="dxa"/>
            <w:tcBorders>
              <w:top w:val="single" w:color="auto" w:sz="4" w:space="0"/>
              <w:left w:val="single" w:color="auto" w:sz="4" w:space="0"/>
              <w:bottom w:val="single" w:color="auto" w:sz="4" w:space="0"/>
              <w:right w:val="single" w:color="auto" w:sz="4" w:space="0"/>
            </w:tcBorders>
            <w:noWrap w:val="0"/>
            <w:vAlign w:val="center"/>
          </w:tcPr>
          <w:p w14:paraId="03B25407">
            <w:pPr>
              <w:pStyle w:val="28"/>
              <w:autoSpaceDE w:val="0"/>
              <w:autoSpaceDN w:val="0"/>
              <w:adjustRightInd w:val="0"/>
              <w:jc w:val="center"/>
              <w:rPr>
                <w:rFonts w:ascii="Times New Roman" w:hAnsi="Times New Roman"/>
                <w:color w:val="auto"/>
                <w:kern w:val="2"/>
                <w:sz w:val="21"/>
                <w:szCs w:val="21"/>
                <w:lang w:val="en-US" w:eastAsia="zh-CN"/>
              </w:rPr>
            </w:pPr>
            <w:r>
              <w:rPr>
                <w:rFonts w:ascii="Times New Roman"/>
                <w:color w:val="auto"/>
                <w:sz w:val="21"/>
                <w:szCs w:val="21"/>
                <w:lang w:val="en-US" w:eastAsia="zh-CN"/>
              </w:rPr>
              <w:t>说明</w:t>
            </w:r>
          </w:p>
        </w:tc>
      </w:tr>
      <w:tr w14:paraId="5A5C1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3787" w:type="dxa"/>
            <w:tcBorders>
              <w:top w:val="single" w:color="auto" w:sz="4" w:space="0"/>
              <w:left w:val="single" w:color="auto" w:sz="4" w:space="0"/>
              <w:bottom w:val="single" w:color="auto" w:sz="4" w:space="0"/>
              <w:right w:val="single" w:color="auto" w:sz="4" w:space="0"/>
            </w:tcBorders>
            <w:noWrap w:val="0"/>
            <w:vAlign w:val="center"/>
          </w:tcPr>
          <w:p w14:paraId="4B881C41">
            <w:pPr>
              <w:pStyle w:val="28"/>
              <w:autoSpaceDE w:val="0"/>
              <w:autoSpaceDN w:val="0"/>
              <w:adjustRightInd w:val="0"/>
              <w:jc w:val="center"/>
              <w:rPr>
                <w:rFonts w:ascii="Times New Roman" w:hAnsi="Times New Roman"/>
                <w:color w:val="auto"/>
                <w:kern w:val="2"/>
                <w:sz w:val="21"/>
                <w:szCs w:val="21"/>
                <w:lang w:val="en-US" w:eastAsia="zh-CN"/>
              </w:rPr>
            </w:pPr>
            <w:r>
              <w:rPr>
                <w:rFonts w:ascii="Times New Roman"/>
                <w:color w:val="auto"/>
                <w:sz w:val="21"/>
                <w:szCs w:val="21"/>
                <w:lang w:val="en-US" w:eastAsia="zh-CN"/>
              </w:rPr>
              <w:t>河流流量（</w:t>
            </w:r>
            <w:r>
              <w:rPr>
                <w:rFonts w:ascii="Times New Roman" w:hAnsi="Times New Roman"/>
                <w:color w:val="auto"/>
                <w:sz w:val="21"/>
                <w:szCs w:val="21"/>
                <w:lang w:val="en-US" w:eastAsia="zh-CN"/>
              </w:rPr>
              <w:t>m</w:t>
            </w:r>
            <w:r>
              <w:rPr>
                <w:rFonts w:ascii="Times New Roman" w:hAnsi="Times New Roman"/>
                <w:color w:val="auto"/>
                <w:sz w:val="21"/>
                <w:szCs w:val="21"/>
                <w:vertAlign w:val="superscript"/>
                <w:lang w:val="en-US" w:eastAsia="zh-CN"/>
              </w:rPr>
              <w:t>3</w:t>
            </w:r>
            <w:r>
              <w:rPr>
                <w:rFonts w:ascii="Times New Roman" w:hAnsi="Times New Roman"/>
                <w:color w:val="auto"/>
                <w:sz w:val="21"/>
                <w:szCs w:val="21"/>
                <w:lang w:val="en-US" w:eastAsia="zh-CN"/>
              </w:rPr>
              <w:t>/s</w:t>
            </w:r>
            <w:r>
              <w:rPr>
                <w:rFonts w:ascii="Times New Roman"/>
                <w:color w:val="auto"/>
                <w:sz w:val="21"/>
                <w:szCs w:val="21"/>
                <w:lang w:val="en-US" w:eastAsia="zh-CN"/>
              </w:rPr>
              <w:t>）</w:t>
            </w:r>
          </w:p>
        </w:tc>
        <w:tc>
          <w:tcPr>
            <w:tcW w:w="2577" w:type="dxa"/>
            <w:tcBorders>
              <w:top w:val="single" w:color="auto" w:sz="4" w:space="0"/>
              <w:left w:val="single" w:color="auto" w:sz="4" w:space="0"/>
              <w:bottom w:val="single" w:color="auto" w:sz="4" w:space="0"/>
              <w:right w:val="single" w:color="auto" w:sz="4" w:space="0"/>
            </w:tcBorders>
            <w:noWrap w:val="0"/>
            <w:vAlign w:val="center"/>
          </w:tcPr>
          <w:p w14:paraId="39A4C935">
            <w:pPr>
              <w:pStyle w:val="28"/>
              <w:autoSpaceDE w:val="0"/>
              <w:autoSpaceDN w:val="0"/>
              <w:adjustRightInd w:val="0"/>
              <w:jc w:val="center"/>
              <w:rPr>
                <w:rFonts w:hint="default" w:ascii="Times New Roman" w:hAnsi="Times New Roman"/>
                <w:color w:val="auto"/>
                <w:sz w:val="21"/>
                <w:szCs w:val="21"/>
                <w:lang w:val="en-US" w:eastAsia="zh-CN"/>
              </w:rPr>
            </w:pPr>
            <w:r>
              <w:rPr>
                <w:rFonts w:hint="eastAsia" w:ascii="Times New Roman" w:hAnsi="Times New Roman"/>
                <w:color w:val="auto"/>
                <w:sz w:val="21"/>
                <w:szCs w:val="21"/>
                <w:lang w:val="en-US" w:eastAsia="zh-CN"/>
              </w:rPr>
              <w:t>0.725</w:t>
            </w:r>
          </w:p>
        </w:tc>
        <w:tc>
          <w:tcPr>
            <w:tcW w:w="2799" w:type="dxa"/>
            <w:tcBorders>
              <w:top w:val="single" w:color="auto" w:sz="4" w:space="0"/>
              <w:left w:val="single" w:color="auto" w:sz="4" w:space="0"/>
              <w:bottom w:val="single" w:color="auto" w:sz="4" w:space="0"/>
              <w:right w:val="single" w:color="auto" w:sz="4" w:space="0"/>
            </w:tcBorders>
            <w:noWrap w:val="0"/>
            <w:vAlign w:val="center"/>
          </w:tcPr>
          <w:p w14:paraId="1241AD2A">
            <w:pPr>
              <w:pStyle w:val="28"/>
              <w:autoSpaceDE w:val="0"/>
              <w:autoSpaceDN w:val="0"/>
              <w:adjustRightInd w:val="0"/>
              <w:jc w:val="center"/>
              <w:rPr>
                <w:rFonts w:ascii="Times New Roman" w:hAnsi="Times New Roman"/>
                <w:color w:val="auto"/>
                <w:kern w:val="2"/>
                <w:sz w:val="21"/>
                <w:szCs w:val="21"/>
                <w:lang w:val="en-US" w:eastAsia="zh-CN"/>
              </w:rPr>
            </w:pPr>
          </w:p>
        </w:tc>
      </w:tr>
      <w:tr w14:paraId="20664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3787" w:type="dxa"/>
            <w:tcBorders>
              <w:top w:val="single" w:color="auto" w:sz="4" w:space="0"/>
              <w:left w:val="single" w:color="auto" w:sz="4" w:space="0"/>
              <w:bottom w:val="single" w:color="auto" w:sz="4" w:space="0"/>
              <w:right w:val="single" w:color="auto" w:sz="4" w:space="0"/>
            </w:tcBorders>
            <w:noWrap w:val="0"/>
            <w:vAlign w:val="center"/>
          </w:tcPr>
          <w:p w14:paraId="1D679238">
            <w:pPr>
              <w:pStyle w:val="28"/>
              <w:autoSpaceDE w:val="0"/>
              <w:autoSpaceDN w:val="0"/>
              <w:adjustRightInd w:val="0"/>
              <w:jc w:val="center"/>
              <w:rPr>
                <w:rFonts w:ascii="Times New Roman" w:hAnsi="Times New Roman"/>
                <w:color w:val="auto"/>
                <w:kern w:val="2"/>
                <w:sz w:val="21"/>
                <w:szCs w:val="21"/>
                <w:lang w:val="en-US" w:eastAsia="zh-CN"/>
              </w:rPr>
            </w:pPr>
            <w:r>
              <w:rPr>
                <w:rFonts w:ascii="Times New Roman"/>
                <w:color w:val="auto"/>
                <w:sz w:val="21"/>
                <w:szCs w:val="21"/>
                <w:lang w:val="en-US" w:eastAsia="zh-CN"/>
              </w:rPr>
              <w:t>废水排放量（</w:t>
            </w:r>
            <w:r>
              <w:rPr>
                <w:rFonts w:ascii="Times New Roman" w:hAnsi="Times New Roman"/>
                <w:color w:val="auto"/>
                <w:sz w:val="21"/>
                <w:szCs w:val="21"/>
                <w:lang w:val="en-US" w:eastAsia="zh-CN"/>
              </w:rPr>
              <w:t>m</w:t>
            </w:r>
            <w:r>
              <w:rPr>
                <w:rFonts w:ascii="Times New Roman" w:hAnsi="Times New Roman"/>
                <w:color w:val="auto"/>
                <w:sz w:val="21"/>
                <w:szCs w:val="21"/>
                <w:vertAlign w:val="superscript"/>
                <w:lang w:val="en-US" w:eastAsia="zh-CN"/>
              </w:rPr>
              <w:t>3</w:t>
            </w:r>
            <w:r>
              <w:rPr>
                <w:rFonts w:ascii="Times New Roman" w:hAnsi="Times New Roman"/>
                <w:color w:val="auto"/>
                <w:sz w:val="21"/>
                <w:szCs w:val="21"/>
                <w:lang w:val="en-US" w:eastAsia="zh-CN"/>
              </w:rPr>
              <w:t>/s</w:t>
            </w:r>
            <w:r>
              <w:rPr>
                <w:rFonts w:ascii="Times New Roman"/>
                <w:color w:val="auto"/>
                <w:sz w:val="21"/>
                <w:szCs w:val="21"/>
                <w:lang w:val="en-US" w:eastAsia="zh-CN"/>
              </w:rPr>
              <w:t>）</w:t>
            </w:r>
          </w:p>
        </w:tc>
        <w:tc>
          <w:tcPr>
            <w:tcW w:w="2577" w:type="dxa"/>
            <w:tcBorders>
              <w:top w:val="single" w:color="auto" w:sz="4" w:space="0"/>
              <w:left w:val="single" w:color="auto" w:sz="4" w:space="0"/>
              <w:bottom w:val="single" w:color="auto" w:sz="4" w:space="0"/>
              <w:right w:val="single" w:color="auto" w:sz="4" w:space="0"/>
            </w:tcBorders>
            <w:noWrap w:val="0"/>
            <w:vAlign w:val="center"/>
          </w:tcPr>
          <w:p w14:paraId="718F4A89">
            <w:pPr>
              <w:pStyle w:val="28"/>
              <w:autoSpaceDE w:val="0"/>
              <w:autoSpaceDN w:val="0"/>
              <w:adjustRightInd w:val="0"/>
              <w:jc w:val="center"/>
              <w:rPr>
                <w:rFonts w:ascii="Times New Roman" w:hAnsi="Times New Roman"/>
                <w:color w:val="auto"/>
                <w:kern w:val="2"/>
                <w:sz w:val="21"/>
                <w:szCs w:val="21"/>
                <w:lang w:val="en-US" w:eastAsia="zh-CN"/>
              </w:rPr>
            </w:pPr>
            <w:r>
              <w:rPr>
                <w:rFonts w:ascii="Times New Roman" w:hAnsi="Times New Roman"/>
                <w:color w:val="auto"/>
                <w:sz w:val="21"/>
                <w:szCs w:val="21"/>
                <w:lang w:val="en-US" w:eastAsia="zh-CN"/>
              </w:rPr>
              <w:t>0.034</w:t>
            </w:r>
            <w:r>
              <w:rPr>
                <w:rFonts w:hint="eastAsia" w:ascii="Times New Roman" w:hAnsi="Times New Roman"/>
                <w:color w:val="auto"/>
                <w:sz w:val="21"/>
                <w:szCs w:val="21"/>
                <w:lang w:val="en-US" w:eastAsia="zh-CN"/>
              </w:rPr>
              <w:t>7</w:t>
            </w:r>
          </w:p>
        </w:tc>
        <w:tc>
          <w:tcPr>
            <w:tcW w:w="2799" w:type="dxa"/>
            <w:tcBorders>
              <w:top w:val="single" w:color="auto" w:sz="4" w:space="0"/>
              <w:left w:val="single" w:color="auto" w:sz="4" w:space="0"/>
              <w:bottom w:val="single" w:color="auto" w:sz="4" w:space="0"/>
              <w:right w:val="single" w:color="auto" w:sz="4" w:space="0"/>
            </w:tcBorders>
            <w:noWrap w:val="0"/>
            <w:vAlign w:val="center"/>
          </w:tcPr>
          <w:p w14:paraId="279F9F58">
            <w:pPr>
              <w:pStyle w:val="28"/>
              <w:autoSpaceDE w:val="0"/>
              <w:autoSpaceDN w:val="0"/>
              <w:adjustRightInd w:val="0"/>
              <w:jc w:val="center"/>
              <w:rPr>
                <w:rFonts w:ascii="Times New Roman" w:hAnsi="Times New Roman"/>
                <w:color w:val="auto"/>
                <w:kern w:val="2"/>
                <w:sz w:val="21"/>
                <w:szCs w:val="21"/>
                <w:lang w:val="en-US" w:eastAsia="zh-CN"/>
              </w:rPr>
            </w:pPr>
          </w:p>
        </w:tc>
      </w:tr>
      <w:tr w14:paraId="265F4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3787" w:type="dxa"/>
            <w:tcBorders>
              <w:top w:val="single" w:color="auto" w:sz="4" w:space="0"/>
              <w:left w:val="single" w:color="auto" w:sz="4" w:space="0"/>
              <w:bottom w:val="single" w:color="auto" w:sz="4" w:space="0"/>
              <w:right w:val="single" w:color="auto" w:sz="4" w:space="0"/>
            </w:tcBorders>
            <w:noWrap w:val="0"/>
            <w:vAlign w:val="center"/>
          </w:tcPr>
          <w:p w14:paraId="70455915">
            <w:pPr>
              <w:pStyle w:val="28"/>
              <w:autoSpaceDE w:val="0"/>
              <w:autoSpaceDN w:val="0"/>
              <w:adjustRightInd w:val="0"/>
              <w:jc w:val="center"/>
              <w:rPr>
                <w:rFonts w:ascii="Times New Roman" w:hAnsi="Times New Roman"/>
                <w:color w:val="auto"/>
                <w:kern w:val="2"/>
                <w:sz w:val="21"/>
                <w:szCs w:val="21"/>
                <w:lang w:val="en-US" w:eastAsia="zh-CN"/>
              </w:rPr>
            </w:pPr>
            <w:r>
              <w:rPr>
                <w:rFonts w:ascii="Times New Roman"/>
                <w:color w:val="auto"/>
                <w:sz w:val="21"/>
                <w:szCs w:val="21"/>
                <w:lang w:val="en-US" w:eastAsia="zh-CN"/>
              </w:rPr>
              <w:t>河流平均流速（</w:t>
            </w:r>
            <w:r>
              <w:rPr>
                <w:rFonts w:ascii="Times New Roman" w:hAnsi="Times New Roman"/>
                <w:color w:val="auto"/>
                <w:sz w:val="21"/>
                <w:szCs w:val="21"/>
                <w:lang w:val="en-US" w:eastAsia="zh-CN"/>
              </w:rPr>
              <w:t>m/s</w:t>
            </w:r>
            <w:r>
              <w:rPr>
                <w:rFonts w:ascii="Times New Roman"/>
                <w:color w:val="auto"/>
                <w:sz w:val="21"/>
                <w:szCs w:val="21"/>
                <w:lang w:val="en-US" w:eastAsia="zh-CN"/>
              </w:rPr>
              <w:t>）</w:t>
            </w:r>
          </w:p>
        </w:tc>
        <w:tc>
          <w:tcPr>
            <w:tcW w:w="2577" w:type="dxa"/>
            <w:tcBorders>
              <w:top w:val="single" w:color="auto" w:sz="4" w:space="0"/>
              <w:left w:val="single" w:color="auto" w:sz="4" w:space="0"/>
              <w:bottom w:val="single" w:color="auto" w:sz="4" w:space="0"/>
              <w:right w:val="single" w:color="auto" w:sz="4" w:space="0"/>
            </w:tcBorders>
            <w:noWrap w:val="0"/>
            <w:vAlign w:val="center"/>
          </w:tcPr>
          <w:p w14:paraId="15179252">
            <w:pPr>
              <w:pStyle w:val="28"/>
              <w:autoSpaceDE w:val="0"/>
              <w:autoSpaceDN w:val="0"/>
              <w:adjustRightInd w:val="0"/>
              <w:jc w:val="center"/>
              <w:rPr>
                <w:rFonts w:hint="default" w:ascii="Times New Roman" w:hAnsi="Times New Roman"/>
                <w:color w:val="auto"/>
                <w:sz w:val="21"/>
                <w:szCs w:val="21"/>
                <w:lang w:val="en-US" w:eastAsia="zh-CN"/>
              </w:rPr>
            </w:pPr>
            <w:r>
              <w:rPr>
                <w:rFonts w:hint="eastAsia" w:ascii="Times New Roman" w:hAnsi="Times New Roman"/>
                <w:color w:val="auto"/>
                <w:sz w:val="21"/>
                <w:szCs w:val="21"/>
                <w:lang w:val="en-US" w:eastAsia="zh-CN"/>
              </w:rPr>
              <w:t>0.29</w:t>
            </w:r>
          </w:p>
        </w:tc>
        <w:tc>
          <w:tcPr>
            <w:tcW w:w="2799" w:type="dxa"/>
            <w:tcBorders>
              <w:top w:val="single" w:color="auto" w:sz="4" w:space="0"/>
              <w:left w:val="single" w:color="auto" w:sz="4" w:space="0"/>
              <w:bottom w:val="single" w:color="auto" w:sz="4" w:space="0"/>
              <w:right w:val="single" w:color="auto" w:sz="4" w:space="0"/>
            </w:tcBorders>
            <w:noWrap w:val="0"/>
            <w:vAlign w:val="center"/>
          </w:tcPr>
          <w:p w14:paraId="0EB4BAFE">
            <w:pPr>
              <w:pStyle w:val="28"/>
              <w:autoSpaceDE w:val="0"/>
              <w:autoSpaceDN w:val="0"/>
              <w:adjustRightInd w:val="0"/>
              <w:jc w:val="center"/>
              <w:rPr>
                <w:rFonts w:ascii="Times New Roman" w:hAnsi="Times New Roman"/>
                <w:color w:val="auto"/>
                <w:kern w:val="2"/>
                <w:sz w:val="21"/>
                <w:szCs w:val="21"/>
                <w:lang w:val="en-US" w:eastAsia="zh-CN"/>
              </w:rPr>
            </w:pPr>
          </w:p>
        </w:tc>
      </w:tr>
      <w:tr w14:paraId="62372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787" w:type="dxa"/>
            <w:tcBorders>
              <w:top w:val="single" w:color="auto" w:sz="4" w:space="0"/>
              <w:left w:val="single" w:color="auto" w:sz="4" w:space="0"/>
              <w:bottom w:val="single" w:color="auto" w:sz="4" w:space="0"/>
              <w:right w:val="single" w:color="auto" w:sz="4" w:space="0"/>
            </w:tcBorders>
            <w:noWrap w:val="0"/>
            <w:vAlign w:val="center"/>
          </w:tcPr>
          <w:p w14:paraId="40344EC1">
            <w:pPr>
              <w:pStyle w:val="28"/>
              <w:autoSpaceDE w:val="0"/>
              <w:autoSpaceDN w:val="0"/>
              <w:adjustRightInd w:val="0"/>
              <w:jc w:val="center"/>
              <w:rPr>
                <w:rFonts w:ascii="Times New Roman" w:hAnsi="Times New Roman"/>
                <w:b/>
                <w:color w:val="auto"/>
                <w:kern w:val="2"/>
                <w:sz w:val="21"/>
                <w:szCs w:val="21"/>
                <w:lang w:val="en-US" w:eastAsia="zh-CN"/>
              </w:rPr>
            </w:pPr>
            <w:r>
              <w:rPr>
                <w:rFonts w:ascii="Times New Roman"/>
                <w:color w:val="auto"/>
                <w:sz w:val="21"/>
                <w:szCs w:val="21"/>
                <w:lang w:val="en-US" w:eastAsia="zh-CN"/>
              </w:rPr>
              <w:t>河流宽度</w:t>
            </w:r>
            <w:r>
              <w:rPr>
                <w:rFonts w:ascii="Times New Roman" w:hAnsi="Times New Roman"/>
                <w:color w:val="auto"/>
                <w:sz w:val="21"/>
                <w:szCs w:val="21"/>
                <w:lang w:val="en-US" w:eastAsia="zh-CN"/>
              </w:rPr>
              <w:t>B</w:t>
            </w:r>
            <w:r>
              <w:rPr>
                <w:rFonts w:ascii="Times New Roman"/>
                <w:color w:val="auto"/>
                <w:sz w:val="21"/>
                <w:szCs w:val="21"/>
                <w:lang w:val="en-US" w:eastAsia="zh-CN"/>
              </w:rPr>
              <w:t>（</w:t>
            </w:r>
            <w:r>
              <w:rPr>
                <w:rFonts w:ascii="Times New Roman" w:hAnsi="Times New Roman"/>
                <w:color w:val="auto"/>
                <w:sz w:val="21"/>
                <w:szCs w:val="21"/>
                <w:lang w:val="en-US" w:eastAsia="zh-CN"/>
              </w:rPr>
              <w:t>m</w:t>
            </w:r>
            <w:r>
              <w:rPr>
                <w:rFonts w:ascii="Times New Roman"/>
                <w:color w:val="auto"/>
                <w:sz w:val="21"/>
                <w:szCs w:val="21"/>
                <w:lang w:val="en-US" w:eastAsia="zh-CN"/>
              </w:rPr>
              <w:t>）</w:t>
            </w:r>
          </w:p>
        </w:tc>
        <w:tc>
          <w:tcPr>
            <w:tcW w:w="2577" w:type="dxa"/>
            <w:tcBorders>
              <w:top w:val="single" w:color="auto" w:sz="4" w:space="0"/>
              <w:left w:val="single" w:color="auto" w:sz="4" w:space="0"/>
              <w:bottom w:val="single" w:color="auto" w:sz="4" w:space="0"/>
              <w:right w:val="single" w:color="auto" w:sz="4" w:space="0"/>
            </w:tcBorders>
            <w:noWrap w:val="0"/>
            <w:vAlign w:val="center"/>
          </w:tcPr>
          <w:p w14:paraId="3CF57570">
            <w:pPr>
              <w:pStyle w:val="28"/>
              <w:autoSpaceDE w:val="0"/>
              <w:autoSpaceDN w:val="0"/>
              <w:adjustRightInd w:val="0"/>
              <w:jc w:val="center"/>
              <w:rPr>
                <w:rFonts w:hint="default" w:ascii="Times New Roman" w:hAnsi="Times New Roman"/>
                <w:color w:val="auto"/>
                <w:sz w:val="21"/>
                <w:szCs w:val="21"/>
                <w:lang w:val="en-US" w:eastAsia="zh-CN"/>
              </w:rPr>
            </w:pPr>
            <w:r>
              <w:rPr>
                <w:rFonts w:hint="eastAsia" w:ascii="Times New Roman" w:hAnsi="Times New Roman"/>
                <w:color w:val="auto"/>
                <w:sz w:val="21"/>
                <w:szCs w:val="21"/>
                <w:lang w:val="en-US" w:eastAsia="zh-CN"/>
              </w:rPr>
              <w:t>5</w:t>
            </w:r>
          </w:p>
        </w:tc>
        <w:tc>
          <w:tcPr>
            <w:tcW w:w="2799" w:type="dxa"/>
            <w:tcBorders>
              <w:top w:val="single" w:color="auto" w:sz="4" w:space="0"/>
              <w:left w:val="single" w:color="auto" w:sz="4" w:space="0"/>
              <w:bottom w:val="single" w:color="auto" w:sz="4" w:space="0"/>
              <w:right w:val="single" w:color="auto" w:sz="4" w:space="0"/>
            </w:tcBorders>
            <w:noWrap w:val="0"/>
            <w:vAlign w:val="center"/>
          </w:tcPr>
          <w:p w14:paraId="08C1F78A">
            <w:pPr>
              <w:pStyle w:val="28"/>
              <w:autoSpaceDE w:val="0"/>
              <w:autoSpaceDN w:val="0"/>
              <w:adjustRightInd w:val="0"/>
              <w:jc w:val="center"/>
              <w:rPr>
                <w:rFonts w:ascii="Times New Roman" w:hAnsi="Times New Roman"/>
                <w:color w:val="auto"/>
                <w:kern w:val="2"/>
                <w:sz w:val="21"/>
                <w:szCs w:val="21"/>
                <w:lang w:val="en-US" w:eastAsia="zh-CN"/>
              </w:rPr>
            </w:pPr>
          </w:p>
        </w:tc>
      </w:tr>
      <w:tr w14:paraId="1DAAF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3787" w:type="dxa"/>
            <w:tcBorders>
              <w:top w:val="single" w:color="auto" w:sz="4" w:space="0"/>
              <w:left w:val="single" w:color="auto" w:sz="4" w:space="0"/>
              <w:bottom w:val="single" w:color="auto" w:sz="4" w:space="0"/>
              <w:right w:val="single" w:color="auto" w:sz="4" w:space="0"/>
            </w:tcBorders>
            <w:noWrap w:val="0"/>
            <w:vAlign w:val="center"/>
          </w:tcPr>
          <w:p w14:paraId="46242F7C">
            <w:pPr>
              <w:pStyle w:val="28"/>
              <w:autoSpaceDE w:val="0"/>
              <w:autoSpaceDN w:val="0"/>
              <w:adjustRightInd w:val="0"/>
              <w:jc w:val="center"/>
              <w:rPr>
                <w:rFonts w:ascii="Times New Roman" w:hAnsi="Times New Roman"/>
                <w:color w:val="auto"/>
                <w:kern w:val="2"/>
                <w:sz w:val="21"/>
                <w:szCs w:val="21"/>
                <w:lang w:val="en-US" w:eastAsia="zh-CN"/>
              </w:rPr>
            </w:pPr>
            <w:r>
              <w:rPr>
                <w:rFonts w:ascii="Times New Roman"/>
                <w:color w:val="auto"/>
                <w:sz w:val="21"/>
                <w:szCs w:val="21"/>
                <w:lang w:val="en-US" w:eastAsia="zh-CN"/>
              </w:rPr>
              <w:t>河流降比</w:t>
            </w:r>
            <w:r>
              <w:rPr>
                <w:rFonts w:ascii="Times New Roman" w:hAnsi="Times New Roman"/>
                <w:color w:val="auto"/>
                <w:sz w:val="21"/>
                <w:szCs w:val="21"/>
                <w:lang w:val="en-US" w:eastAsia="zh-CN"/>
              </w:rPr>
              <w:t>I</w:t>
            </w:r>
            <w:r>
              <w:rPr>
                <w:rFonts w:ascii="Times New Roman"/>
                <w:color w:val="auto"/>
                <w:sz w:val="21"/>
                <w:szCs w:val="21"/>
                <w:lang w:val="en-US" w:eastAsia="zh-CN"/>
              </w:rPr>
              <w:t>（</w:t>
            </w:r>
            <w:r>
              <w:rPr>
                <w:rFonts w:ascii="Times New Roman" w:hAnsi="Times New Roman"/>
                <w:color w:val="auto"/>
                <w:sz w:val="21"/>
                <w:szCs w:val="21"/>
                <w:lang w:val="en-US" w:eastAsia="zh-CN"/>
              </w:rPr>
              <w:t>m/m</w:t>
            </w:r>
            <w:r>
              <w:rPr>
                <w:rFonts w:ascii="Times New Roman"/>
                <w:color w:val="auto"/>
                <w:sz w:val="21"/>
                <w:szCs w:val="21"/>
                <w:lang w:val="en-US" w:eastAsia="zh-CN"/>
              </w:rPr>
              <w:t>）</w:t>
            </w:r>
          </w:p>
        </w:tc>
        <w:tc>
          <w:tcPr>
            <w:tcW w:w="2577" w:type="dxa"/>
            <w:tcBorders>
              <w:top w:val="single" w:color="auto" w:sz="4" w:space="0"/>
              <w:left w:val="single" w:color="auto" w:sz="4" w:space="0"/>
              <w:bottom w:val="single" w:color="auto" w:sz="4" w:space="0"/>
              <w:right w:val="single" w:color="auto" w:sz="4" w:space="0"/>
            </w:tcBorders>
            <w:noWrap w:val="0"/>
            <w:vAlign w:val="center"/>
          </w:tcPr>
          <w:p w14:paraId="2AD66C87">
            <w:pPr>
              <w:pStyle w:val="28"/>
              <w:autoSpaceDE w:val="0"/>
              <w:autoSpaceDN w:val="0"/>
              <w:adjustRightInd w:val="0"/>
              <w:jc w:val="center"/>
              <w:rPr>
                <w:rFonts w:hint="default" w:ascii="Times New Roman" w:hAnsi="Times New Roman"/>
                <w:color w:val="auto"/>
                <w:kern w:val="2"/>
                <w:sz w:val="21"/>
                <w:szCs w:val="21"/>
                <w:lang w:val="en-US" w:eastAsia="zh-CN"/>
              </w:rPr>
            </w:pPr>
            <w:r>
              <w:rPr>
                <w:rFonts w:hint="eastAsia" w:ascii="Times New Roman" w:hAnsi="Times New Roman"/>
                <w:color w:val="auto"/>
                <w:sz w:val="21"/>
                <w:szCs w:val="21"/>
                <w:lang w:val="en-US" w:eastAsia="zh-CN"/>
              </w:rPr>
              <w:t>0.0001</w:t>
            </w:r>
          </w:p>
        </w:tc>
        <w:tc>
          <w:tcPr>
            <w:tcW w:w="2799" w:type="dxa"/>
            <w:tcBorders>
              <w:top w:val="single" w:color="auto" w:sz="4" w:space="0"/>
              <w:left w:val="single" w:color="auto" w:sz="4" w:space="0"/>
              <w:bottom w:val="single" w:color="auto" w:sz="4" w:space="0"/>
              <w:right w:val="single" w:color="auto" w:sz="4" w:space="0"/>
            </w:tcBorders>
            <w:noWrap w:val="0"/>
            <w:vAlign w:val="center"/>
          </w:tcPr>
          <w:p w14:paraId="6C52FD5D">
            <w:pPr>
              <w:pStyle w:val="28"/>
              <w:autoSpaceDE w:val="0"/>
              <w:autoSpaceDN w:val="0"/>
              <w:adjustRightInd w:val="0"/>
              <w:jc w:val="center"/>
              <w:rPr>
                <w:rFonts w:ascii="Times New Roman" w:hAnsi="Times New Roman"/>
                <w:color w:val="auto"/>
                <w:kern w:val="2"/>
                <w:sz w:val="21"/>
                <w:szCs w:val="21"/>
                <w:lang w:val="en-US" w:eastAsia="zh-CN"/>
              </w:rPr>
            </w:pPr>
          </w:p>
        </w:tc>
      </w:tr>
      <w:tr w14:paraId="2BD25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3787" w:type="dxa"/>
            <w:tcBorders>
              <w:top w:val="single" w:color="auto" w:sz="4" w:space="0"/>
              <w:left w:val="single" w:color="auto" w:sz="4" w:space="0"/>
              <w:bottom w:val="single" w:color="auto" w:sz="4" w:space="0"/>
              <w:right w:val="single" w:color="auto" w:sz="4" w:space="0"/>
            </w:tcBorders>
            <w:noWrap w:val="0"/>
            <w:vAlign w:val="center"/>
          </w:tcPr>
          <w:p w14:paraId="70232772">
            <w:pPr>
              <w:pStyle w:val="28"/>
              <w:autoSpaceDE w:val="0"/>
              <w:autoSpaceDN w:val="0"/>
              <w:adjustRightInd w:val="0"/>
              <w:jc w:val="center"/>
              <w:rPr>
                <w:rFonts w:ascii="Times New Roman" w:hAnsi="Times New Roman"/>
                <w:color w:val="auto"/>
                <w:kern w:val="2"/>
                <w:sz w:val="21"/>
                <w:szCs w:val="21"/>
                <w:lang w:val="en-US" w:eastAsia="zh-CN"/>
              </w:rPr>
            </w:pPr>
            <w:r>
              <w:rPr>
                <w:rFonts w:ascii="Times New Roman"/>
                <w:color w:val="auto"/>
                <w:sz w:val="21"/>
                <w:szCs w:val="21"/>
                <w:lang w:val="en-US" w:eastAsia="zh-CN"/>
              </w:rPr>
              <w:t>正常情况下，</w:t>
            </w:r>
            <w:r>
              <w:rPr>
                <w:rFonts w:ascii="Times New Roman" w:hAnsi="Times New Roman"/>
                <w:color w:val="auto"/>
                <w:sz w:val="21"/>
                <w:szCs w:val="21"/>
                <w:lang w:val="en-US" w:eastAsia="zh-CN"/>
              </w:rPr>
              <w:t>COD</w:t>
            </w:r>
            <w:r>
              <w:rPr>
                <w:rFonts w:ascii="Times New Roman" w:hAnsi="Times New Roman"/>
                <w:color w:val="auto"/>
                <w:sz w:val="21"/>
                <w:szCs w:val="21"/>
                <w:vertAlign w:val="subscript"/>
                <w:lang w:val="en-US" w:eastAsia="zh-CN"/>
              </w:rPr>
              <w:t>Cr</w:t>
            </w:r>
            <w:r>
              <w:rPr>
                <w:rFonts w:ascii="Times New Roman"/>
                <w:color w:val="auto"/>
                <w:sz w:val="21"/>
                <w:szCs w:val="21"/>
                <w:lang w:val="en-US" w:eastAsia="zh-CN"/>
              </w:rPr>
              <w:t>排放浓度</w:t>
            </w:r>
            <w:r>
              <w:rPr>
                <w:rFonts w:ascii="Times New Roman" w:hAnsi="Times New Roman"/>
                <w:color w:val="auto"/>
                <w:sz w:val="21"/>
                <w:szCs w:val="21"/>
                <w:lang w:val="en-US" w:eastAsia="zh-CN"/>
              </w:rPr>
              <w:t>mg/L</w:t>
            </w:r>
          </w:p>
        </w:tc>
        <w:tc>
          <w:tcPr>
            <w:tcW w:w="2577" w:type="dxa"/>
            <w:tcBorders>
              <w:top w:val="single" w:color="auto" w:sz="4" w:space="0"/>
              <w:left w:val="single" w:color="auto" w:sz="4" w:space="0"/>
              <w:bottom w:val="single" w:color="auto" w:sz="4" w:space="0"/>
              <w:right w:val="single" w:color="auto" w:sz="4" w:space="0"/>
            </w:tcBorders>
            <w:noWrap w:val="0"/>
            <w:vAlign w:val="center"/>
          </w:tcPr>
          <w:p w14:paraId="20FADDCB">
            <w:pPr>
              <w:widowControl/>
              <w:jc w:val="center"/>
              <w:textAlignment w:val="top"/>
              <w:rPr>
                <w:color w:val="auto"/>
                <w:szCs w:val="21"/>
              </w:rPr>
            </w:pPr>
            <w:r>
              <w:rPr>
                <w:color w:val="auto"/>
                <w:szCs w:val="21"/>
              </w:rPr>
              <w:t>40</w:t>
            </w:r>
          </w:p>
        </w:tc>
        <w:tc>
          <w:tcPr>
            <w:tcW w:w="2799" w:type="dxa"/>
            <w:vMerge w:val="restart"/>
            <w:tcBorders>
              <w:top w:val="single" w:color="auto" w:sz="4" w:space="0"/>
              <w:left w:val="single" w:color="auto" w:sz="4" w:space="0"/>
              <w:right w:val="single" w:color="auto" w:sz="4" w:space="0"/>
            </w:tcBorders>
            <w:noWrap w:val="0"/>
            <w:vAlign w:val="center"/>
          </w:tcPr>
          <w:p w14:paraId="628AC631">
            <w:pPr>
              <w:pStyle w:val="28"/>
              <w:autoSpaceDE w:val="0"/>
              <w:autoSpaceDN w:val="0"/>
              <w:adjustRightInd w:val="0"/>
              <w:jc w:val="center"/>
              <w:rPr>
                <w:rFonts w:ascii="Times New Roman" w:hAnsi="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bidi="ar-SA"/>
              </w:rPr>
              <w:t>阳东区大八镇污水处理厂设计出水水质</w:t>
            </w:r>
          </w:p>
        </w:tc>
      </w:tr>
      <w:tr w14:paraId="2ABF4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3787" w:type="dxa"/>
            <w:tcBorders>
              <w:top w:val="single" w:color="auto" w:sz="4" w:space="0"/>
              <w:left w:val="single" w:color="auto" w:sz="4" w:space="0"/>
              <w:bottom w:val="single" w:color="auto" w:sz="4" w:space="0"/>
              <w:right w:val="single" w:color="auto" w:sz="4" w:space="0"/>
            </w:tcBorders>
            <w:noWrap w:val="0"/>
            <w:vAlign w:val="center"/>
          </w:tcPr>
          <w:p w14:paraId="089742A5">
            <w:pPr>
              <w:pStyle w:val="28"/>
              <w:autoSpaceDE w:val="0"/>
              <w:autoSpaceDN w:val="0"/>
              <w:adjustRightInd w:val="0"/>
              <w:jc w:val="center"/>
              <w:rPr>
                <w:rFonts w:ascii="Times New Roman" w:hAnsi="Times New Roman"/>
                <w:color w:val="auto"/>
                <w:kern w:val="2"/>
                <w:sz w:val="21"/>
                <w:szCs w:val="21"/>
                <w:lang w:val="en-US" w:eastAsia="zh-CN"/>
              </w:rPr>
            </w:pPr>
            <w:r>
              <w:rPr>
                <w:rFonts w:ascii="Times New Roman"/>
                <w:color w:val="auto"/>
                <w:sz w:val="21"/>
                <w:szCs w:val="21"/>
                <w:lang w:val="en-US" w:eastAsia="zh-CN"/>
              </w:rPr>
              <w:t>正常情况下，氨氮排放浓度</w:t>
            </w:r>
            <w:r>
              <w:rPr>
                <w:rFonts w:ascii="Times New Roman" w:hAnsi="Times New Roman"/>
                <w:color w:val="auto"/>
                <w:sz w:val="21"/>
                <w:szCs w:val="21"/>
                <w:lang w:val="en-US" w:eastAsia="zh-CN"/>
              </w:rPr>
              <w:t>mg/L</w:t>
            </w:r>
          </w:p>
        </w:tc>
        <w:tc>
          <w:tcPr>
            <w:tcW w:w="2577" w:type="dxa"/>
            <w:tcBorders>
              <w:top w:val="single" w:color="auto" w:sz="4" w:space="0"/>
              <w:left w:val="single" w:color="auto" w:sz="4" w:space="0"/>
              <w:bottom w:val="single" w:color="auto" w:sz="4" w:space="0"/>
              <w:right w:val="single" w:color="auto" w:sz="4" w:space="0"/>
            </w:tcBorders>
            <w:noWrap w:val="0"/>
            <w:vAlign w:val="center"/>
          </w:tcPr>
          <w:p w14:paraId="1C21A78D">
            <w:pPr>
              <w:widowControl/>
              <w:jc w:val="center"/>
              <w:textAlignment w:val="top"/>
              <w:rPr>
                <w:color w:val="auto"/>
                <w:szCs w:val="21"/>
              </w:rPr>
            </w:pPr>
            <w:r>
              <w:rPr>
                <w:color w:val="auto"/>
                <w:szCs w:val="21"/>
              </w:rPr>
              <w:t>5</w:t>
            </w:r>
          </w:p>
        </w:tc>
        <w:tc>
          <w:tcPr>
            <w:tcW w:w="2799" w:type="dxa"/>
            <w:vMerge w:val="continue"/>
            <w:tcBorders>
              <w:left w:val="single" w:color="auto" w:sz="4" w:space="0"/>
              <w:right w:val="single" w:color="auto" w:sz="4" w:space="0"/>
            </w:tcBorders>
            <w:noWrap w:val="0"/>
            <w:vAlign w:val="center"/>
          </w:tcPr>
          <w:p w14:paraId="11809B85">
            <w:pPr>
              <w:pStyle w:val="28"/>
              <w:autoSpaceDE w:val="0"/>
              <w:autoSpaceDN w:val="0"/>
              <w:adjustRightInd w:val="0"/>
              <w:jc w:val="center"/>
              <w:rPr>
                <w:rFonts w:ascii="Times New Roman" w:hAnsi="Times New Roman"/>
                <w:color w:val="auto"/>
                <w:kern w:val="2"/>
                <w:sz w:val="21"/>
                <w:szCs w:val="21"/>
                <w:lang w:val="en-US" w:eastAsia="zh-CN"/>
              </w:rPr>
            </w:pPr>
          </w:p>
        </w:tc>
      </w:tr>
      <w:tr w14:paraId="6711B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3787" w:type="dxa"/>
            <w:tcBorders>
              <w:top w:val="single" w:color="auto" w:sz="4" w:space="0"/>
              <w:left w:val="single" w:color="auto" w:sz="4" w:space="0"/>
              <w:bottom w:val="single" w:color="auto" w:sz="4" w:space="0"/>
              <w:right w:val="single" w:color="auto" w:sz="4" w:space="0"/>
            </w:tcBorders>
            <w:noWrap w:val="0"/>
            <w:vAlign w:val="center"/>
          </w:tcPr>
          <w:p w14:paraId="0A9C1F64">
            <w:pPr>
              <w:pStyle w:val="28"/>
              <w:autoSpaceDE w:val="0"/>
              <w:autoSpaceDN w:val="0"/>
              <w:adjustRightInd w:val="0"/>
              <w:jc w:val="center"/>
              <w:rPr>
                <w:rFonts w:ascii="Times New Roman"/>
                <w:color w:val="auto"/>
                <w:sz w:val="21"/>
                <w:szCs w:val="21"/>
                <w:lang w:val="en-US" w:eastAsia="zh-CN"/>
              </w:rPr>
            </w:pPr>
            <w:r>
              <w:rPr>
                <w:rFonts w:ascii="Times New Roman"/>
                <w:color w:val="auto"/>
                <w:sz w:val="21"/>
                <w:szCs w:val="21"/>
                <w:highlight w:val="none"/>
                <w:lang w:val="en-US" w:eastAsia="zh-CN"/>
              </w:rPr>
              <w:t>正常情况下，</w:t>
            </w:r>
            <w:bookmarkStart w:id="74" w:name="OLE_LINK4"/>
            <w:r>
              <w:rPr>
                <w:rFonts w:hint="eastAsia" w:ascii="Times New Roman"/>
                <w:color w:val="auto"/>
                <w:sz w:val="21"/>
                <w:szCs w:val="21"/>
                <w:highlight w:val="none"/>
                <w:lang w:val="en-US" w:eastAsia="zh-CN"/>
              </w:rPr>
              <w:t>总磷</w:t>
            </w:r>
            <w:bookmarkEnd w:id="74"/>
            <w:r>
              <w:rPr>
                <w:rFonts w:ascii="Times New Roman"/>
                <w:color w:val="auto"/>
                <w:sz w:val="21"/>
                <w:szCs w:val="21"/>
                <w:highlight w:val="none"/>
                <w:lang w:val="en-US" w:eastAsia="zh-CN"/>
              </w:rPr>
              <w:t>排放浓度</w:t>
            </w:r>
            <w:r>
              <w:rPr>
                <w:rFonts w:ascii="Times New Roman" w:hAnsi="Times New Roman"/>
                <w:color w:val="auto"/>
                <w:sz w:val="21"/>
                <w:szCs w:val="21"/>
                <w:highlight w:val="none"/>
                <w:lang w:val="en-US" w:eastAsia="zh-CN"/>
              </w:rPr>
              <w:t>mg/L</w:t>
            </w:r>
          </w:p>
        </w:tc>
        <w:tc>
          <w:tcPr>
            <w:tcW w:w="2577" w:type="dxa"/>
            <w:tcBorders>
              <w:top w:val="single" w:color="auto" w:sz="4" w:space="0"/>
              <w:left w:val="single" w:color="auto" w:sz="4" w:space="0"/>
              <w:bottom w:val="single" w:color="auto" w:sz="4" w:space="0"/>
              <w:right w:val="single" w:color="auto" w:sz="4" w:space="0"/>
            </w:tcBorders>
            <w:noWrap w:val="0"/>
            <w:vAlign w:val="center"/>
          </w:tcPr>
          <w:p w14:paraId="0BADA7AC">
            <w:pPr>
              <w:widowControl/>
              <w:jc w:val="center"/>
              <w:textAlignment w:val="top"/>
              <w:rPr>
                <w:rFonts w:hint="default" w:eastAsia="宋体"/>
                <w:color w:val="auto"/>
                <w:szCs w:val="21"/>
                <w:lang w:val="en-US" w:eastAsia="zh-CN"/>
              </w:rPr>
            </w:pPr>
            <w:r>
              <w:rPr>
                <w:rFonts w:hint="eastAsia"/>
                <w:color w:val="auto"/>
                <w:szCs w:val="21"/>
                <w:lang w:val="en-US" w:eastAsia="zh-CN"/>
              </w:rPr>
              <w:t>0.5</w:t>
            </w:r>
          </w:p>
        </w:tc>
        <w:tc>
          <w:tcPr>
            <w:tcW w:w="2799" w:type="dxa"/>
            <w:vMerge w:val="continue"/>
            <w:tcBorders>
              <w:left w:val="single" w:color="auto" w:sz="4" w:space="0"/>
              <w:bottom w:val="single" w:color="auto" w:sz="4" w:space="0"/>
              <w:right w:val="single" w:color="auto" w:sz="4" w:space="0"/>
            </w:tcBorders>
            <w:noWrap w:val="0"/>
            <w:vAlign w:val="center"/>
          </w:tcPr>
          <w:p w14:paraId="521FB193">
            <w:pPr>
              <w:pStyle w:val="28"/>
              <w:autoSpaceDE w:val="0"/>
              <w:autoSpaceDN w:val="0"/>
              <w:adjustRightInd w:val="0"/>
              <w:jc w:val="center"/>
              <w:rPr>
                <w:rFonts w:ascii="Times New Roman" w:hAnsi="Times New Roman"/>
                <w:color w:val="auto"/>
                <w:kern w:val="2"/>
                <w:sz w:val="21"/>
                <w:szCs w:val="21"/>
                <w:lang w:val="en-US" w:eastAsia="zh-CN"/>
              </w:rPr>
            </w:pPr>
          </w:p>
        </w:tc>
      </w:tr>
      <w:tr w14:paraId="73BFF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3787" w:type="dxa"/>
            <w:tcBorders>
              <w:top w:val="single" w:color="auto" w:sz="4" w:space="0"/>
              <w:left w:val="single" w:color="auto" w:sz="4" w:space="0"/>
              <w:bottom w:val="single" w:color="auto" w:sz="4" w:space="0"/>
              <w:right w:val="single" w:color="auto" w:sz="4" w:space="0"/>
            </w:tcBorders>
            <w:noWrap w:val="0"/>
            <w:vAlign w:val="center"/>
          </w:tcPr>
          <w:p w14:paraId="57F29F4F">
            <w:pPr>
              <w:pStyle w:val="28"/>
              <w:autoSpaceDE w:val="0"/>
              <w:autoSpaceDN w:val="0"/>
              <w:adjustRightInd w:val="0"/>
              <w:jc w:val="center"/>
              <w:rPr>
                <w:rFonts w:ascii="Times New Roman" w:hAnsi="Times New Roman"/>
                <w:color w:val="auto"/>
                <w:kern w:val="2"/>
                <w:sz w:val="21"/>
                <w:szCs w:val="21"/>
                <w:lang w:val="en-US" w:eastAsia="zh-CN"/>
              </w:rPr>
            </w:pPr>
            <w:r>
              <w:rPr>
                <w:rFonts w:ascii="Times New Roman"/>
                <w:color w:val="auto"/>
                <w:sz w:val="21"/>
                <w:szCs w:val="21"/>
                <w:lang w:val="en-US" w:eastAsia="zh-CN"/>
              </w:rPr>
              <w:t>非正常情况下，</w:t>
            </w:r>
            <w:r>
              <w:rPr>
                <w:rFonts w:ascii="Times New Roman" w:hAnsi="Times New Roman"/>
                <w:color w:val="auto"/>
                <w:sz w:val="21"/>
                <w:szCs w:val="21"/>
                <w:lang w:val="en-US" w:eastAsia="zh-CN"/>
              </w:rPr>
              <w:t>COD</w:t>
            </w:r>
            <w:r>
              <w:rPr>
                <w:rFonts w:ascii="Times New Roman" w:hAnsi="Times New Roman"/>
                <w:color w:val="auto"/>
                <w:sz w:val="21"/>
                <w:szCs w:val="21"/>
                <w:vertAlign w:val="subscript"/>
                <w:lang w:val="en-US" w:eastAsia="zh-CN"/>
              </w:rPr>
              <w:t>Cr</w:t>
            </w:r>
            <w:r>
              <w:rPr>
                <w:rFonts w:ascii="Times New Roman"/>
                <w:color w:val="auto"/>
                <w:sz w:val="21"/>
                <w:szCs w:val="21"/>
                <w:lang w:val="en-US" w:eastAsia="zh-CN"/>
              </w:rPr>
              <w:t>排放浓度</w:t>
            </w:r>
            <w:r>
              <w:rPr>
                <w:rFonts w:ascii="Times New Roman" w:hAnsi="Times New Roman"/>
                <w:color w:val="auto"/>
                <w:sz w:val="21"/>
                <w:szCs w:val="21"/>
                <w:lang w:val="en-US" w:eastAsia="zh-CN"/>
              </w:rPr>
              <w:t>mg/L</w:t>
            </w:r>
          </w:p>
        </w:tc>
        <w:tc>
          <w:tcPr>
            <w:tcW w:w="2577" w:type="dxa"/>
            <w:tcBorders>
              <w:top w:val="single" w:color="auto" w:sz="4" w:space="0"/>
              <w:left w:val="single" w:color="auto" w:sz="4" w:space="0"/>
              <w:bottom w:val="single" w:color="auto" w:sz="4" w:space="0"/>
              <w:right w:val="single" w:color="auto" w:sz="4" w:space="0"/>
            </w:tcBorders>
            <w:noWrap w:val="0"/>
            <w:vAlign w:val="center"/>
          </w:tcPr>
          <w:p w14:paraId="150EED4C">
            <w:pPr>
              <w:widowControl/>
              <w:jc w:val="center"/>
              <w:textAlignment w:val="top"/>
              <w:rPr>
                <w:color w:val="auto"/>
                <w:szCs w:val="21"/>
              </w:rPr>
            </w:pPr>
            <w:r>
              <w:rPr>
                <w:color w:val="auto"/>
                <w:szCs w:val="21"/>
              </w:rPr>
              <w:t>260</w:t>
            </w:r>
          </w:p>
        </w:tc>
        <w:tc>
          <w:tcPr>
            <w:tcW w:w="2799" w:type="dxa"/>
            <w:vMerge w:val="restart"/>
            <w:tcBorders>
              <w:top w:val="single" w:color="auto" w:sz="4" w:space="0"/>
              <w:left w:val="single" w:color="auto" w:sz="4" w:space="0"/>
              <w:right w:val="single" w:color="auto" w:sz="4" w:space="0"/>
            </w:tcBorders>
            <w:noWrap w:val="0"/>
            <w:vAlign w:val="center"/>
          </w:tcPr>
          <w:p w14:paraId="264D323D">
            <w:pPr>
              <w:pStyle w:val="28"/>
              <w:autoSpaceDE w:val="0"/>
              <w:autoSpaceDN w:val="0"/>
              <w:adjustRightInd w:val="0"/>
              <w:jc w:val="center"/>
              <w:rPr>
                <w:rFonts w:ascii="Times New Roman" w:hAnsi="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bidi="ar-SA"/>
              </w:rPr>
              <w:t>阳东区大八镇污水处理厂设计进水水质</w:t>
            </w:r>
          </w:p>
        </w:tc>
      </w:tr>
      <w:tr w14:paraId="48080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3787" w:type="dxa"/>
            <w:tcBorders>
              <w:top w:val="single" w:color="auto" w:sz="4" w:space="0"/>
              <w:left w:val="single" w:color="auto" w:sz="4" w:space="0"/>
              <w:bottom w:val="single" w:color="auto" w:sz="4" w:space="0"/>
              <w:right w:val="single" w:color="auto" w:sz="4" w:space="0"/>
            </w:tcBorders>
            <w:noWrap w:val="0"/>
            <w:vAlign w:val="center"/>
          </w:tcPr>
          <w:p w14:paraId="1BEA82ED">
            <w:pPr>
              <w:pStyle w:val="28"/>
              <w:autoSpaceDE w:val="0"/>
              <w:autoSpaceDN w:val="0"/>
              <w:adjustRightInd w:val="0"/>
              <w:jc w:val="center"/>
              <w:rPr>
                <w:rFonts w:ascii="Times New Roman" w:hAnsi="Times New Roman"/>
                <w:color w:val="auto"/>
                <w:kern w:val="2"/>
                <w:sz w:val="21"/>
                <w:szCs w:val="21"/>
                <w:lang w:val="en-US" w:eastAsia="zh-CN"/>
              </w:rPr>
            </w:pPr>
            <w:r>
              <w:rPr>
                <w:rFonts w:ascii="Times New Roman"/>
                <w:color w:val="auto"/>
                <w:sz w:val="21"/>
                <w:szCs w:val="21"/>
                <w:lang w:val="en-US" w:eastAsia="zh-CN"/>
              </w:rPr>
              <w:t>非正常情况下，氨氮排放浓度</w:t>
            </w:r>
            <w:r>
              <w:rPr>
                <w:rFonts w:ascii="Times New Roman" w:hAnsi="Times New Roman"/>
                <w:color w:val="auto"/>
                <w:sz w:val="21"/>
                <w:szCs w:val="21"/>
                <w:lang w:val="en-US" w:eastAsia="zh-CN"/>
              </w:rPr>
              <w:t>mg/L</w:t>
            </w:r>
          </w:p>
        </w:tc>
        <w:tc>
          <w:tcPr>
            <w:tcW w:w="2577" w:type="dxa"/>
            <w:tcBorders>
              <w:top w:val="single" w:color="auto" w:sz="4" w:space="0"/>
              <w:left w:val="single" w:color="auto" w:sz="4" w:space="0"/>
              <w:bottom w:val="single" w:color="auto" w:sz="4" w:space="0"/>
              <w:right w:val="single" w:color="auto" w:sz="4" w:space="0"/>
            </w:tcBorders>
            <w:noWrap w:val="0"/>
            <w:vAlign w:val="center"/>
          </w:tcPr>
          <w:p w14:paraId="52837105">
            <w:pPr>
              <w:widowControl/>
              <w:jc w:val="center"/>
              <w:textAlignment w:val="top"/>
              <w:rPr>
                <w:color w:val="auto"/>
                <w:sz w:val="21"/>
                <w:szCs w:val="21"/>
              </w:rPr>
            </w:pPr>
            <w:r>
              <w:rPr>
                <w:color w:val="auto"/>
                <w:sz w:val="21"/>
                <w:szCs w:val="21"/>
              </w:rPr>
              <w:t>25</w:t>
            </w:r>
          </w:p>
        </w:tc>
        <w:tc>
          <w:tcPr>
            <w:tcW w:w="2799" w:type="dxa"/>
            <w:vMerge w:val="continue"/>
            <w:tcBorders>
              <w:left w:val="single" w:color="auto" w:sz="4" w:space="0"/>
              <w:right w:val="single" w:color="auto" w:sz="4" w:space="0"/>
            </w:tcBorders>
            <w:noWrap w:val="0"/>
            <w:vAlign w:val="center"/>
          </w:tcPr>
          <w:p w14:paraId="0A00BD50">
            <w:pPr>
              <w:pStyle w:val="28"/>
              <w:autoSpaceDE w:val="0"/>
              <w:autoSpaceDN w:val="0"/>
              <w:adjustRightInd w:val="0"/>
              <w:jc w:val="center"/>
              <w:rPr>
                <w:rFonts w:ascii="Times New Roman" w:hAnsi="Times New Roman"/>
                <w:color w:val="auto"/>
                <w:kern w:val="2"/>
                <w:sz w:val="21"/>
                <w:szCs w:val="21"/>
                <w:lang w:val="en-US" w:eastAsia="zh-CN"/>
              </w:rPr>
            </w:pPr>
          </w:p>
        </w:tc>
      </w:tr>
      <w:tr w14:paraId="6A93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3787" w:type="dxa"/>
            <w:tcBorders>
              <w:top w:val="single" w:color="auto" w:sz="4" w:space="0"/>
              <w:left w:val="single" w:color="auto" w:sz="4" w:space="0"/>
              <w:bottom w:val="single" w:color="auto" w:sz="4" w:space="0"/>
              <w:right w:val="single" w:color="auto" w:sz="4" w:space="0"/>
            </w:tcBorders>
            <w:noWrap w:val="0"/>
            <w:vAlign w:val="center"/>
          </w:tcPr>
          <w:p w14:paraId="79263ED4">
            <w:pPr>
              <w:pStyle w:val="28"/>
              <w:autoSpaceDE w:val="0"/>
              <w:autoSpaceDN w:val="0"/>
              <w:adjustRightInd w:val="0"/>
              <w:jc w:val="center"/>
              <w:rPr>
                <w:rFonts w:ascii="Times New Roman"/>
                <w:color w:val="auto"/>
                <w:sz w:val="21"/>
                <w:szCs w:val="21"/>
                <w:highlight w:val="none"/>
                <w:lang w:val="en-US" w:eastAsia="zh-CN"/>
              </w:rPr>
            </w:pPr>
            <w:r>
              <w:rPr>
                <w:rFonts w:ascii="Times New Roman" w:hAnsi="Times New Roman"/>
                <w:color w:val="auto"/>
                <w:sz w:val="21"/>
                <w:szCs w:val="21"/>
                <w:highlight w:val="none"/>
                <w:lang w:val="en-US" w:eastAsia="zh-CN"/>
              </w:rPr>
              <w:t>非正常情况下，</w:t>
            </w:r>
            <w:r>
              <w:rPr>
                <w:rFonts w:hint="eastAsia" w:ascii="Times New Roman" w:hAnsi="Times New Roman"/>
                <w:color w:val="auto"/>
                <w:sz w:val="21"/>
                <w:szCs w:val="21"/>
                <w:highlight w:val="none"/>
                <w:lang w:val="en-US" w:eastAsia="zh-CN"/>
              </w:rPr>
              <w:t>总磷</w:t>
            </w:r>
            <w:r>
              <w:rPr>
                <w:rFonts w:ascii="Times New Roman" w:hAnsi="Times New Roman"/>
                <w:color w:val="auto"/>
                <w:sz w:val="21"/>
                <w:szCs w:val="21"/>
                <w:highlight w:val="none"/>
                <w:lang w:val="en-US" w:eastAsia="zh-CN"/>
              </w:rPr>
              <w:t>排放浓度mg/L</w:t>
            </w:r>
          </w:p>
        </w:tc>
        <w:tc>
          <w:tcPr>
            <w:tcW w:w="2577" w:type="dxa"/>
            <w:tcBorders>
              <w:top w:val="single" w:color="auto" w:sz="4" w:space="0"/>
              <w:left w:val="single" w:color="auto" w:sz="4" w:space="0"/>
              <w:bottom w:val="single" w:color="auto" w:sz="4" w:space="0"/>
              <w:right w:val="single" w:color="auto" w:sz="4" w:space="0"/>
            </w:tcBorders>
            <w:noWrap w:val="0"/>
            <w:vAlign w:val="center"/>
          </w:tcPr>
          <w:p w14:paraId="2C3F36F2">
            <w:pPr>
              <w:widowControl/>
              <w:jc w:val="center"/>
              <w:textAlignment w:val="top"/>
              <w:rPr>
                <w:rFonts w:hint="default" w:eastAsia="宋体"/>
                <w:color w:val="auto"/>
                <w:sz w:val="21"/>
                <w:szCs w:val="21"/>
                <w:highlight w:val="none"/>
                <w:lang w:val="en-US" w:eastAsia="zh-CN"/>
              </w:rPr>
            </w:pPr>
            <w:r>
              <w:rPr>
                <w:rFonts w:hint="eastAsia"/>
                <w:color w:val="auto"/>
                <w:sz w:val="21"/>
                <w:szCs w:val="21"/>
                <w:highlight w:val="none"/>
                <w:lang w:val="en-US" w:eastAsia="zh-CN"/>
              </w:rPr>
              <w:t>3.0</w:t>
            </w:r>
          </w:p>
        </w:tc>
        <w:tc>
          <w:tcPr>
            <w:tcW w:w="2799" w:type="dxa"/>
            <w:vMerge w:val="continue"/>
            <w:tcBorders>
              <w:left w:val="single" w:color="auto" w:sz="4" w:space="0"/>
              <w:bottom w:val="single" w:color="auto" w:sz="4" w:space="0"/>
              <w:right w:val="single" w:color="auto" w:sz="4" w:space="0"/>
            </w:tcBorders>
            <w:noWrap w:val="0"/>
            <w:vAlign w:val="center"/>
          </w:tcPr>
          <w:p w14:paraId="44E1EDEE">
            <w:pPr>
              <w:pStyle w:val="28"/>
              <w:autoSpaceDE w:val="0"/>
              <w:autoSpaceDN w:val="0"/>
              <w:adjustRightInd w:val="0"/>
              <w:jc w:val="center"/>
              <w:rPr>
                <w:rFonts w:ascii="Times New Roman" w:hAnsi="Times New Roman"/>
                <w:color w:val="auto"/>
                <w:kern w:val="2"/>
                <w:sz w:val="21"/>
                <w:szCs w:val="21"/>
                <w:lang w:val="en-US" w:eastAsia="zh-CN"/>
              </w:rPr>
            </w:pPr>
          </w:p>
        </w:tc>
      </w:tr>
      <w:tr w14:paraId="652DC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3787" w:type="dxa"/>
            <w:tcBorders>
              <w:top w:val="single" w:color="auto" w:sz="4" w:space="0"/>
              <w:left w:val="single" w:color="auto" w:sz="4" w:space="0"/>
              <w:bottom w:val="single" w:color="auto" w:sz="4" w:space="0"/>
              <w:right w:val="single" w:color="auto" w:sz="4" w:space="0"/>
            </w:tcBorders>
            <w:noWrap w:val="0"/>
            <w:vAlign w:val="center"/>
          </w:tcPr>
          <w:p w14:paraId="6D52B34B">
            <w:pPr>
              <w:pStyle w:val="28"/>
              <w:autoSpaceDE w:val="0"/>
              <w:autoSpaceDN w:val="0"/>
              <w:adjustRightInd w:val="0"/>
              <w:jc w:val="center"/>
              <w:rPr>
                <w:rFonts w:ascii="Times New Roman" w:hAnsi="Times New Roman"/>
                <w:color w:val="auto"/>
                <w:kern w:val="2"/>
                <w:sz w:val="21"/>
                <w:szCs w:val="21"/>
                <w:lang w:val="en-US" w:eastAsia="zh-CN"/>
              </w:rPr>
            </w:pPr>
            <w:r>
              <w:rPr>
                <w:rFonts w:ascii="Times New Roman"/>
                <w:color w:val="auto"/>
                <w:sz w:val="21"/>
                <w:szCs w:val="21"/>
                <w:lang w:val="en-US" w:eastAsia="zh-CN"/>
              </w:rPr>
              <w:t>河流水深</w:t>
            </w:r>
            <w:r>
              <w:rPr>
                <w:rFonts w:ascii="Times New Roman" w:hAnsi="Times New Roman"/>
                <w:color w:val="auto"/>
                <w:sz w:val="21"/>
                <w:szCs w:val="21"/>
                <w:lang w:val="en-US" w:eastAsia="zh-CN"/>
              </w:rPr>
              <w:t>H</w:t>
            </w:r>
            <w:r>
              <w:rPr>
                <w:rFonts w:ascii="Times New Roman"/>
                <w:color w:val="auto"/>
                <w:sz w:val="21"/>
                <w:szCs w:val="21"/>
                <w:lang w:val="en-US" w:eastAsia="zh-CN"/>
              </w:rPr>
              <w:t>（</w:t>
            </w:r>
            <w:r>
              <w:rPr>
                <w:rFonts w:ascii="Times New Roman" w:hAnsi="Times New Roman"/>
                <w:color w:val="auto"/>
                <w:sz w:val="21"/>
                <w:szCs w:val="21"/>
                <w:lang w:val="en-US" w:eastAsia="zh-CN"/>
              </w:rPr>
              <w:t>m</w:t>
            </w:r>
            <w:r>
              <w:rPr>
                <w:rFonts w:ascii="Times New Roman"/>
                <w:color w:val="auto"/>
                <w:sz w:val="21"/>
                <w:szCs w:val="21"/>
                <w:lang w:val="en-US" w:eastAsia="zh-CN"/>
              </w:rPr>
              <w:t>）</w:t>
            </w:r>
          </w:p>
        </w:tc>
        <w:tc>
          <w:tcPr>
            <w:tcW w:w="2577" w:type="dxa"/>
            <w:tcBorders>
              <w:top w:val="single" w:color="auto" w:sz="4" w:space="0"/>
              <w:left w:val="single" w:color="auto" w:sz="4" w:space="0"/>
              <w:bottom w:val="single" w:color="auto" w:sz="4" w:space="0"/>
              <w:right w:val="single" w:color="auto" w:sz="4" w:space="0"/>
            </w:tcBorders>
            <w:noWrap w:val="0"/>
            <w:vAlign w:val="center"/>
          </w:tcPr>
          <w:p w14:paraId="5889AD93">
            <w:pPr>
              <w:widowControl/>
              <w:jc w:val="center"/>
              <w:textAlignment w:val="top"/>
              <w:rPr>
                <w:rFonts w:hint="default" w:eastAsia="宋体"/>
                <w:color w:val="auto"/>
                <w:sz w:val="21"/>
                <w:szCs w:val="21"/>
                <w:lang w:val="en-US" w:eastAsia="zh-CN"/>
              </w:rPr>
            </w:pPr>
            <w:r>
              <w:rPr>
                <w:rFonts w:hint="eastAsia"/>
                <w:color w:val="auto"/>
                <w:kern w:val="0"/>
                <w:sz w:val="21"/>
                <w:szCs w:val="21"/>
                <w:lang w:val="en-US" w:eastAsia="zh-CN"/>
              </w:rPr>
              <w:t>0.5</w:t>
            </w:r>
          </w:p>
        </w:tc>
        <w:tc>
          <w:tcPr>
            <w:tcW w:w="2799" w:type="dxa"/>
            <w:tcBorders>
              <w:top w:val="single" w:color="auto" w:sz="4" w:space="0"/>
              <w:left w:val="single" w:color="auto" w:sz="4" w:space="0"/>
              <w:bottom w:val="single" w:color="auto" w:sz="4" w:space="0"/>
              <w:right w:val="single" w:color="auto" w:sz="4" w:space="0"/>
            </w:tcBorders>
            <w:noWrap w:val="0"/>
            <w:vAlign w:val="center"/>
          </w:tcPr>
          <w:p w14:paraId="639AAE4F">
            <w:pPr>
              <w:pStyle w:val="28"/>
              <w:autoSpaceDE w:val="0"/>
              <w:autoSpaceDN w:val="0"/>
              <w:adjustRightInd w:val="0"/>
              <w:jc w:val="center"/>
              <w:rPr>
                <w:rFonts w:ascii="Times New Roman" w:hAnsi="Times New Roman"/>
                <w:color w:val="auto"/>
                <w:kern w:val="2"/>
                <w:sz w:val="21"/>
                <w:szCs w:val="21"/>
                <w:lang w:val="en-US" w:eastAsia="zh-CN"/>
              </w:rPr>
            </w:pPr>
          </w:p>
        </w:tc>
      </w:tr>
      <w:tr w14:paraId="6AE48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3787" w:type="dxa"/>
            <w:tcBorders>
              <w:top w:val="single" w:color="auto" w:sz="4" w:space="0"/>
              <w:left w:val="single" w:color="auto" w:sz="4" w:space="0"/>
              <w:bottom w:val="single" w:color="auto" w:sz="4" w:space="0"/>
              <w:right w:val="single" w:color="auto" w:sz="4" w:space="0"/>
            </w:tcBorders>
            <w:noWrap w:val="0"/>
            <w:vAlign w:val="center"/>
          </w:tcPr>
          <w:p w14:paraId="4E2486DB">
            <w:pPr>
              <w:widowControl/>
              <w:jc w:val="center"/>
              <w:textAlignment w:val="top"/>
              <w:rPr>
                <w:color w:val="auto"/>
                <w:szCs w:val="21"/>
              </w:rPr>
            </w:pPr>
            <w:r>
              <w:rPr>
                <w:color w:val="auto"/>
                <w:kern w:val="0"/>
                <w:szCs w:val="21"/>
              </w:rPr>
              <w:t>COD</w:t>
            </w:r>
            <w:r>
              <w:rPr>
                <w:rStyle w:val="92"/>
                <w:color w:val="auto"/>
                <w:vertAlign w:val="subscript"/>
              </w:rPr>
              <w:t>Cr</w:t>
            </w:r>
            <w:r>
              <w:rPr>
                <w:rStyle w:val="90"/>
                <w:rFonts w:hint="default" w:ascii="Times New Roman" w:cs="宋体"/>
                <w:color w:val="auto"/>
              </w:rPr>
              <w:t>本底浓度</w:t>
            </w:r>
            <w:r>
              <w:rPr>
                <w:rStyle w:val="90"/>
                <w:rFonts w:hint="default" w:ascii="Times New Roman" w:hAnsi="Times New Roman"/>
                <w:color w:val="auto"/>
              </w:rPr>
              <w:t>mg/L</w:t>
            </w:r>
          </w:p>
        </w:tc>
        <w:tc>
          <w:tcPr>
            <w:tcW w:w="2577" w:type="dxa"/>
            <w:tcBorders>
              <w:top w:val="single" w:color="auto" w:sz="4" w:space="0"/>
              <w:left w:val="single" w:color="auto" w:sz="4" w:space="0"/>
              <w:bottom w:val="single" w:color="auto" w:sz="4" w:space="0"/>
              <w:right w:val="single" w:color="auto" w:sz="4" w:space="0"/>
            </w:tcBorders>
            <w:noWrap w:val="0"/>
            <w:vAlign w:val="center"/>
          </w:tcPr>
          <w:p w14:paraId="68158AD1">
            <w:pPr>
              <w:widowControl/>
              <w:jc w:val="center"/>
              <w:textAlignment w:val="top"/>
              <w:rPr>
                <w:rFonts w:hint="default" w:eastAsia="宋体"/>
                <w:color w:val="auto"/>
                <w:kern w:val="0"/>
                <w:sz w:val="21"/>
                <w:szCs w:val="21"/>
                <w:lang w:val="en-US" w:eastAsia="zh-CN"/>
              </w:rPr>
            </w:pPr>
            <w:r>
              <w:rPr>
                <w:rFonts w:hint="eastAsia"/>
                <w:color w:val="auto"/>
                <w:kern w:val="0"/>
                <w:sz w:val="21"/>
                <w:szCs w:val="21"/>
                <w:lang w:val="en-US" w:eastAsia="zh-CN"/>
              </w:rPr>
              <w:t>16</w:t>
            </w:r>
          </w:p>
        </w:tc>
        <w:tc>
          <w:tcPr>
            <w:tcW w:w="2799" w:type="dxa"/>
            <w:vMerge w:val="restart"/>
            <w:tcBorders>
              <w:top w:val="single" w:color="auto" w:sz="4" w:space="0"/>
              <w:left w:val="single" w:color="auto" w:sz="4" w:space="0"/>
              <w:right w:val="single" w:color="auto" w:sz="4" w:space="0"/>
            </w:tcBorders>
            <w:noWrap w:val="0"/>
            <w:vAlign w:val="center"/>
          </w:tcPr>
          <w:p w14:paraId="4D45F7D1">
            <w:pPr>
              <w:pStyle w:val="28"/>
              <w:autoSpaceDE w:val="0"/>
              <w:autoSpaceDN w:val="0"/>
              <w:adjustRightInd w:val="0"/>
              <w:jc w:val="center"/>
              <w:rPr>
                <w:rFonts w:ascii="Times New Roman" w:hAnsi="Times New Roman"/>
                <w:color w:val="auto"/>
                <w:kern w:val="2"/>
                <w:sz w:val="21"/>
                <w:szCs w:val="21"/>
                <w:lang w:val="en-US" w:eastAsia="zh-CN"/>
              </w:rPr>
            </w:pPr>
            <w:r>
              <w:rPr>
                <w:rFonts w:ascii="Times New Roman"/>
                <w:color w:val="auto"/>
                <w:sz w:val="21"/>
                <w:szCs w:val="21"/>
                <w:lang w:val="en-US" w:eastAsia="zh-CN"/>
              </w:rPr>
              <w:t>水质现状监测结果中的</w:t>
            </w:r>
            <w:r>
              <w:rPr>
                <w:rFonts w:hint="eastAsia" w:ascii="Times New Roman"/>
                <w:color w:val="auto"/>
                <w:sz w:val="21"/>
                <w:szCs w:val="21"/>
                <w:lang w:val="en-US" w:eastAsia="zh-CN"/>
              </w:rPr>
              <w:t>平均值</w:t>
            </w:r>
            <w:r>
              <w:rPr>
                <w:rFonts w:ascii="Times New Roman"/>
                <w:color w:val="auto"/>
                <w:sz w:val="21"/>
                <w:szCs w:val="21"/>
                <w:lang w:val="en-US" w:eastAsia="zh-CN"/>
              </w:rPr>
              <w:t>作为评价河段本底浓度</w:t>
            </w:r>
          </w:p>
        </w:tc>
      </w:tr>
      <w:tr w14:paraId="66781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1" w:hRule="atLeast"/>
          <w:jc w:val="center"/>
        </w:trPr>
        <w:tc>
          <w:tcPr>
            <w:tcW w:w="3787" w:type="dxa"/>
            <w:tcBorders>
              <w:top w:val="single" w:color="auto" w:sz="4" w:space="0"/>
              <w:left w:val="single" w:color="auto" w:sz="4" w:space="0"/>
              <w:bottom w:val="single" w:color="auto" w:sz="4" w:space="0"/>
              <w:right w:val="single" w:color="auto" w:sz="4" w:space="0"/>
            </w:tcBorders>
            <w:noWrap w:val="0"/>
            <w:vAlign w:val="center"/>
          </w:tcPr>
          <w:p w14:paraId="09681C8F">
            <w:pPr>
              <w:widowControl/>
              <w:jc w:val="center"/>
              <w:textAlignment w:val="top"/>
              <w:rPr>
                <w:color w:val="auto"/>
                <w:kern w:val="0"/>
                <w:szCs w:val="21"/>
              </w:rPr>
            </w:pPr>
            <w:r>
              <w:rPr>
                <w:rFonts w:cs="宋体"/>
                <w:color w:val="auto"/>
                <w:kern w:val="0"/>
                <w:szCs w:val="21"/>
              </w:rPr>
              <w:t>氨氮本底浓度</w:t>
            </w:r>
            <w:r>
              <w:rPr>
                <w:color w:val="auto"/>
                <w:kern w:val="0"/>
                <w:szCs w:val="21"/>
              </w:rPr>
              <w:t>mg/L</w:t>
            </w:r>
          </w:p>
        </w:tc>
        <w:tc>
          <w:tcPr>
            <w:tcW w:w="2577" w:type="dxa"/>
            <w:tcBorders>
              <w:top w:val="single" w:color="auto" w:sz="4" w:space="0"/>
              <w:left w:val="single" w:color="auto" w:sz="4" w:space="0"/>
              <w:bottom w:val="single" w:color="auto" w:sz="4" w:space="0"/>
              <w:right w:val="single" w:color="auto" w:sz="4" w:space="0"/>
            </w:tcBorders>
            <w:noWrap w:val="0"/>
            <w:vAlign w:val="center"/>
          </w:tcPr>
          <w:p w14:paraId="03EDC0B6">
            <w:pPr>
              <w:widowControl/>
              <w:jc w:val="center"/>
              <w:textAlignment w:val="top"/>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0.342</w:t>
            </w:r>
          </w:p>
        </w:tc>
        <w:tc>
          <w:tcPr>
            <w:tcW w:w="2799" w:type="dxa"/>
            <w:vMerge w:val="continue"/>
            <w:tcBorders>
              <w:left w:val="single" w:color="auto" w:sz="4" w:space="0"/>
              <w:right w:val="single" w:color="auto" w:sz="4" w:space="0"/>
            </w:tcBorders>
            <w:noWrap w:val="0"/>
            <w:vAlign w:val="center"/>
          </w:tcPr>
          <w:p w14:paraId="1861DE07">
            <w:pPr>
              <w:widowControl/>
              <w:jc w:val="left"/>
              <w:rPr>
                <w:color w:val="auto"/>
                <w:szCs w:val="21"/>
              </w:rPr>
            </w:pPr>
          </w:p>
        </w:tc>
      </w:tr>
      <w:tr w14:paraId="6C152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1" w:hRule="atLeast"/>
          <w:jc w:val="center"/>
        </w:trPr>
        <w:tc>
          <w:tcPr>
            <w:tcW w:w="3787" w:type="dxa"/>
            <w:tcBorders>
              <w:top w:val="single" w:color="auto" w:sz="4" w:space="0"/>
              <w:left w:val="single" w:color="auto" w:sz="4" w:space="0"/>
              <w:bottom w:val="single" w:color="auto" w:sz="4" w:space="0"/>
              <w:right w:val="single" w:color="auto" w:sz="4" w:space="0"/>
            </w:tcBorders>
            <w:noWrap w:val="0"/>
            <w:vAlign w:val="center"/>
          </w:tcPr>
          <w:p w14:paraId="34EB4DB3">
            <w:pPr>
              <w:widowControl/>
              <w:jc w:val="center"/>
              <w:textAlignment w:val="top"/>
              <w:rPr>
                <w:rFonts w:cs="宋体"/>
                <w:color w:val="auto"/>
                <w:kern w:val="0"/>
                <w:szCs w:val="21"/>
                <w:highlight w:val="none"/>
              </w:rPr>
            </w:pPr>
            <w:r>
              <w:rPr>
                <w:rFonts w:hint="eastAsia" w:ascii="Times New Roman"/>
                <w:color w:val="auto"/>
                <w:sz w:val="21"/>
                <w:szCs w:val="21"/>
                <w:highlight w:val="none"/>
                <w:lang w:val="en-US" w:eastAsia="zh-CN"/>
              </w:rPr>
              <w:t>总磷</w:t>
            </w:r>
            <w:r>
              <w:rPr>
                <w:rFonts w:cs="宋体"/>
                <w:color w:val="auto"/>
                <w:kern w:val="0"/>
                <w:szCs w:val="21"/>
                <w:highlight w:val="none"/>
              </w:rPr>
              <w:t>本底浓度</w:t>
            </w:r>
            <w:r>
              <w:rPr>
                <w:color w:val="auto"/>
                <w:kern w:val="0"/>
                <w:szCs w:val="21"/>
                <w:highlight w:val="none"/>
              </w:rPr>
              <w:t>mg/L</w:t>
            </w:r>
          </w:p>
        </w:tc>
        <w:tc>
          <w:tcPr>
            <w:tcW w:w="2577" w:type="dxa"/>
            <w:tcBorders>
              <w:top w:val="single" w:color="auto" w:sz="4" w:space="0"/>
              <w:left w:val="single" w:color="auto" w:sz="4" w:space="0"/>
              <w:bottom w:val="single" w:color="auto" w:sz="4" w:space="0"/>
              <w:right w:val="single" w:color="auto" w:sz="4" w:space="0"/>
            </w:tcBorders>
            <w:noWrap w:val="0"/>
            <w:vAlign w:val="center"/>
          </w:tcPr>
          <w:p w14:paraId="2F38C3FB">
            <w:pPr>
              <w:widowControl/>
              <w:jc w:val="center"/>
              <w:textAlignment w:val="top"/>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0.08</w:t>
            </w:r>
          </w:p>
        </w:tc>
        <w:tc>
          <w:tcPr>
            <w:tcW w:w="2799" w:type="dxa"/>
            <w:vMerge w:val="continue"/>
            <w:tcBorders>
              <w:left w:val="single" w:color="auto" w:sz="4" w:space="0"/>
              <w:bottom w:val="single" w:color="auto" w:sz="4" w:space="0"/>
              <w:right w:val="single" w:color="auto" w:sz="4" w:space="0"/>
            </w:tcBorders>
            <w:noWrap w:val="0"/>
            <w:vAlign w:val="center"/>
          </w:tcPr>
          <w:p w14:paraId="08C997F6">
            <w:pPr>
              <w:widowControl/>
              <w:jc w:val="left"/>
              <w:rPr>
                <w:color w:val="auto"/>
                <w:szCs w:val="21"/>
              </w:rPr>
            </w:pPr>
          </w:p>
        </w:tc>
      </w:tr>
      <w:tr w14:paraId="691B7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3787" w:type="dxa"/>
            <w:tcBorders>
              <w:top w:val="single" w:color="auto" w:sz="4" w:space="0"/>
              <w:left w:val="single" w:color="auto" w:sz="4" w:space="0"/>
              <w:bottom w:val="single" w:color="auto" w:sz="4" w:space="0"/>
              <w:right w:val="single" w:color="auto" w:sz="4" w:space="0"/>
            </w:tcBorders>
            <w:noWrap w:val="0"/>
            <w:vAlign w:val="center"/>
          </w:tcPr>
          <w:p w14:paraId="443F0201">
            <w:pPr>
              <w:pStyle w:val="28"/>
              <w:autoSpaceDE w:val="0"/>
              <w:autoSpaceDN w:val="0"/>
              <w:adjustRightInd w:val="0"/>
              <w:jc w:val="center"/>
              <w:rPr>
                <w:rFonts w:ascii="Times New Roman" w:hAnsi="Times New Roman"/>
                <w:color w:val="auto"/>
                <w:kern w:val="2"/>
                <w:sz w:val="21"/>
                <w:szCs w:val="21"/>
                <w:lang w:val="en-US" w:eastAsia="zh-CN"/>
              </w:rPr>
            </w:pPr>
            <w:r>
              <w:rPr>
                <w:rFonts w:ascii="Times New Roman"/>
                <w:color w:val="auto"/>
                <w:sz w:val="21"/>
                <w:szCs w:val="21"/>
                <w:lang w:val="en-US" w:eastAsia="zh-CN"/>
              </w:rPr>
              <w:t>污染物降解系数</w:t>
            </w:r>
            <w:r>
              <w:rPr>
                <w:rFonts w:ascii="Times New Roman" w:hAnsi="Times New Roman"/>
                <w:color w:val="auto"/>
                <w:sz w:val="21"/>
                <w:szCs w:val="21"/>
                <w:lang w:val="en-US" w:eastAsia="zh-CN"/>
              </w:rPr>
              <w:t>k</w:t>
            </w:r>
            <w:r>
              <w:rPr>
                <w:rFonts w:ascii="Times New Roman"/>
                <w:color w:val="auto"/>
                <w:sz w:val="21"/>
                <w:szCs w:val="21"/>
                <w:lang w:val="en-US" w:eastAsia="zh-CN"/>
              </w:rPr>
              <w:t>（</w:t>
            </w:r>
            <w:r>
              <w:rPr>
                <w:rFonts w:ascii="Times New Roman" w:hAnsi="Times New Roman"/>
                <w:color w:val="auto"/>
                <w:sz w:val="21"/>
                <w:szCs w:val="21"/>
                <w:lang w:val="en-US" w:eastAsia="zh-CN"/>
              </w:rPr>
              <w:t>1/d</w:t>
            </w:r>
            <w:r>
              <w:rPr>
                <w:rFonts w:ascii="Times New Roman"/>
                <w:color w:val="auto"/>
                <w:sz w:val="21"/>
                <w:szCs w:val="21"/>
                <w:lang w:val="en-US" w:eastAsia="zh-CN"/>
              </w:rPr>
              <w:t>）</w:t>
            </w:r>
          </w:p>
        </w:tc>
        <w:tc>
          <w:tcPr>
            <w:tcW w:w="2577" w:type="dxa"/>
            <w:tcBorders>
              <w:top w:val="single" w:color="auto" w:sz="4" w:space="0"/>
              <w:left w:val="single" w:color="auto" w:sz="4" w:space="0"/>
              <w:bottom w:val="single" w:color="auto" w:sz="4" w:space="0"/>
              <w:right w:val="single" w:color="auto" w:sz="4" w:space="0"/>
            </w:tcBorders>
            <w:noWrap w:val="0"/>
            <w:vAlign w:val="center"/>
          </w:tcPr>
          <w:p w14:paraId="22EC4DF4">
            <w:pPr>
              <w:pStyle w:val="28"/>
              <w:autoSpaceDE w:val="0"/>
              <w:autoSpaceDN w:val="0"/>
              <w:adjustRightInd w:val="0"/>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0.00014</w:t>
            </w:r>
          </w:p>
        </w:tc>
        <w:tc>
          <w:tcPr>
            <w:tcW w:w="2799" w:type="dxa"/>
            <w:tcBorders>
              <w:top w:val="single" w:color="auto" w:sz="4" w:space="0"/>
              <w:left w:val="single" w:color="auto" w:sz="4" w:space="0"/>
              <w:bottom w:val="single" w:color="auto" w:sz="4" w:space="0"/>
              <w:right w:val="single" w:color="auto" w:sz="4" w:space="0"/>
            </w:tcBorders>
            <w:noWrap w:val="0"/>
            <w:vAlign w:val="center"/>
          </w:tcPr>
          <w:p w14:paraId="68640E29">
            <w:pPr>
              <w:pStyle w:val="28"/>
              <w:autoSpaceDE w:val="0"/>
              <w:autoSpaceDN w:val="0"/>
              <w:adjustRightInd w:val="0"/>
              <w:jc w:val="center"/>
              <w:rPr>
                <w:rFonts w:ascii="Times New Roman" w:hAnsi="Times New Roman"/>
                <w:color w:val="auto"/>
                <w:kern w:val="2"/>
                <w:sz w:val="21"/>
                <w:szCs w:val="21"/>
                <w:lang w:val="en-US" w:eastAsia="zh-CN"/>
              </w:rPr>
            </w:pPr>
          </w:p>
        </w:tc>
      </w:tr>
      <w:tr w14:paraId="220FF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jc w:val="center"/>
        </w:trPr>
        <w:tc>
          <w:tcPr>
            <w:tcW w:w="3787" w:type="dxa"/>
            <w:tcBorders>
              <w:top w:val="single" w:color="auto" w:sz="4" w:space="0"/>
              <w:left w:val="single" w:color="auto" w:sz="4" w:space="0"/>
              <w:bottom w:val="single" w:color="auto" w:sz="4" w:space="0"/>
              <w:right w:val="single" w:color="auto" w:sz="4" w:space="0"/>
            </w:tcBorders>
            <w:noWrap w:val="0"/>
            <w:vAlign w:val="center"/>
          </w:tcPr>
          <w:p w14:paraId="125DBE40">
            <w:pPr>
              <w:pStyle w:val="28"/>
              <w:autoSpaceDE w:val="0"/>
              <w:autoSpaceDN w:val="0"/>
              <w:adjustRightInd w:val="0"/>
              <w:jc w:val="center"/>
              <w:rPr>
                <w:rFonts w:ascii="Times New Roman" w:hAnsi="Times New Roman"/>
                <w:color w:val="auto"/>
                <w:kern w:val="2"/>
                <w:sz w:val="21"/>
                <w:szCs w:val="21"/>
                <w:lang w:val="en-US" w:eastAsia="zh-CN"/>
              </w:rPr>
            </w:pPr>
            <w:r>
              <w:rPr>
                <w:rFonts w:ascii="Times New Roman"/>
                <w:color w:val="auto"/>
                <w:sz w:val="21"/>
                <w:szCs w:val="21"/>
                <w:lang w:val="en-US" w:eastAsia="zh-CN"/>
              </w:rPr>
              <w:t>排放口离岸边距离</w:t>
            </w:r>
            <w:r>
              <w:rPr>
                <w:rFonts w:ascii="Times New Roman" w:hAnsi="Times New Roman"/>
                <w:color w:val="auto"/>
                <w:sz w:val="21"/>
                <w:szCs w:val="21"/>
                <w:lang w:val="en-US" w:eastAsia="zh-CN"/>
              </w:rPr>
              <w:t>a</w:t>
            </w:r>
            <w:r>
              <w:rPr>
                <w:rFonts w:ascii="Times New Roman"/>
                <w:color w:val="auto"/>
                <w:sz w:val="21"/>
                <w:szCs w:val="21"/>
                <w:lang w:val="en-US" w:eastAsia="zh-CN"/>
              </w:rPr>
              <w:t>（</w:t>
            </w:r>
            <w:r>
              <w:rPr>
                <w:rFonts w:ascii="Times New Roman" w:hAnsi="Times New Roman"/>
                <w:color w:val="auto"/>
                <w:sz w:val="21"/>
                <w:szCs w:val="21"/>
                <w:lang w:val="en-US" w:eastAsia="zh-CN"/>
              </w:rPr>
              <w:t>m</w:t>
            </w:r>
            <w:r>
              <w:rPr>
                <w:rFonts w:ascii="Times New Roman"/>
                <w:color w:val="auto"/>
                <w:sz w:val="21"/>
                <w:szCs w:val="21"/>
                <w:lang w:val="en-US" w:eastAsia="zh-CN"/>
              </w:rPr>
              <w:t>）</w:t>
            </w:r>
          </w:p>
        </w:tc>
        <w:tc>
          <w:tcPr>
            <w:tcW w:w="2577" w:type="dxa"/>
            <w:tcBorders>
              <w:top w:val="single" w:color="auto" w:sz="4" w:space="0"/>
              <w:left w:val="single" w:color="auto" w:sz="4" w:space="0"/>
              <w:bottom w:val="single" w:color="auto" w:sz="4" w:space="0"/>
              <w:right w:val="single" w:color="auto" w:sz="4" w:space="0"/>
            </w:tcBorders>
            <w:noWrap w:val="0"/>
            <w:vAlign w:val="center"/>
          </w:tcPr>
          <w:p w14:paraId="5BD8FAF9">
            <w:pPr>
              <w:pStyle w:val="28"/>
              <w:autoSpaceDE w:val="0"/>
              <w:autoSpaceDN w:val="0"/>
              <w:adjustRightInd w:val="0"/>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w:t>
            </w:r>
          </w:p>
        </w:tc>
        <w:tc>
          <w:tcPr>
            <w:tcW w:w="2799" w:type="dxa"/>
            <w:tcBorders>
              <w:top w:val="single" w:color="auto" w:sz="4" w:space="0"/>
              <w:left w:val="single" w:color="auto" w:sz="4" w:space="0"/>
              <w:bottom w:val="single" w:color="auto" w:sz="4" w:space="0"/>
              <w:right w:val="single" w:color="auto" w:sz="4" w:space="0"/>
            </w:tcBorders>
            <w:noWrap w:val="0"/>
            <w:vAlign w:val="center"/>
          </w:tcPr>
          <w:p w14:paraId="6D310CFC">
            <w:pPr>
              <w:pStyle w:val="28"/>
              <w:autoSpaceDE w:val="0"/>
              <w:autoSpaceDN w:val="0"/>
              <w:adjustRightInd w:val="0"/>
              <w:jc w:val="center"/>
              <w:rPr>
                <w:rFonts w:ascii="Times New Roman" w:hAnsi="Times New Roman"/>
                <w:color w:val="auto"/>
                <w:kern w:val="2"/>
                <w:sz w:val="21"/>
                <w:szCs w:val="21"/>
                <w:lang w:val="en-US" w:eastAsia="zh-CN"/>
              </w:rPr>
            </w:pPr>
            <w:r>
              <w:rPr>
                <w:rFonts w:ascii="Times New Roman"/>
                <w:color w:val="auto"/>
                <w:sz w:val="21"/>
                <w:szCs w:val="21"/>
                <w:lang w:val="en-US" w:eastAsia="zh-CN"/>
              </w:rPr>
              <w:t>岸边排放</w:t>
            </w:r>
          </w:p>
        </w:tc>
      </w:tr>
      <w:tr w14:paraId="0EAAA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jc w:val="center"/>
        </w:trPr>
        <w:tc>
          <w:tcPr>
            <w:tcW w:w="3787" w:type="dxa"/>
            <w:tcBorders>
              <w:top w:val="single" w:color="auto" w:sz="4" w:space="0"/>
              <w:left w:val="single" w:color="auto" w:sz="4" w:space="0"/>
              <w:bottom w:val="single" w:color="auto" w:sz="4" w:space="0"/>
              <w:right w:val="single" w:color="auto" w:sz="4" w:space="0"/>
            </w:tcBorders>
            <w:noWrap w:val="0"/>
            <w:vAlign w:val="center"/>
          </w:tcPr>
          <w:p w14:paraId="49ADD146">
            <w:pPr>
              <w:pStyle w:val="28"/>
              <w:autoSpaceDE w:val="0"/>
              <w:autoSpaceDN w:val="0"/>
              <w:adjustRightInd w:val="0"/>
              <w:jc w:val="center"/>
              <w:rPr>
                <w:rFonts w:ascii="Times New Roman"/>
                <w:color w:val="auto"/>
                <w:sz w:val="21"/>
                <w:szCs w:val="21"/>
                <w:lang w:val="en-US" w:eastAsia="zh-CN"/>
              </w:rPr>
            </w:pPr>
            <w:bookmarkStart w:id="75" w:name="_Toc28951"/>
            <w:bookmarkStart w:id="76" w:name="_Toc5655"/>
            <w:r>
              <w:rPr>
                <w:rFonts w:hint="eastAsia" w:ascii="Times New Roman" w:hAnsi="Times New Roman" w:cs="Times New Roman"/>
                <w:color w:val="auto"/>
                <w:sz w:val="21"/>
                <w:szCs w:val="21"/>
                <w:highlight w:val="none"/>
                <w:lang w:val="en-US" w:eastAsia="zh-CN"/>
              </w:rPr>
              <w:t>污染物横向扩散系数Ey</w:t>
            </w:r>
            <w:r>
              <w:rPr>
                <w:rFonts w:ascii="Times New Roman" w:hAnsi="Times New Roman" w:eastAsia="宋体" w:cs="Times New Roman"/>
                <w:b/>
                <w:bCs/>
                <w:color w:val="auto"/>
                <w:sz w:val="21"/>
                <w:szCs w:val="21"/>
                <w:lang w:eastAsia="en-US"/>
              </w:rPr>
              <w:t>（m</w:t>
            </w:r>
            <w:r>
              <w:rPr>
                <w:rFonts w:ascii="Times New Roman" w:hAnsi="Times New Roman" w:eastAsia="宋体" w:cs="Times New Roman"/>
                <w:b/>
                <w:bCs/>
                <w:color w:val="auto"/>
                <w:sz w:val="21"/>
                <w:szCs w:val="21"/>
                <w:vertAlign w:val="superscript"/>
                <w:lang w:eastAsia="en-US"/>
              </w:rPr>
              <w:t>2</w:t>
            </w:r>
            <w:r>
              <w:rPr>
                <w:rFonts w:ascii="Times New Roman" w:hAnsi="Times New Roman" w:eastAsia="宋体" w:cs="Times New Roman"/>
                <w:b/>
                <w:bCs/>
                <w:color w:val="auto"/>
                <w:sz w:val="21"/>
                <w:szCs w:val="21"/>
                <w:lang w:eastAsia="en-US"/>
              </w:rPr>
              <w:t>/s）</w:t>
            </w:r>
          </w:p>
        </w:tc>
        <w:tc>
          <w:tcPr>
            <w:tcW w:w="2577" w:type="dxa"/>
            <w:tcBorders>
              <w:top w:val="single" w:color="auto" w:sz="4" w:space="0"/>
              <w:left w:val="single" w:color="auto" w:sz="4" w:space="0"/>
              <w:bottom w:val="single" w:color="auto" w:sz="4" w:space="0"/>
              <w:right w:val="single" w:color="auto" w:sz="4" w:space="0"/>
            </w:tcBorders>
            <w:noWrap w:val="0"/>
            <w:vAlign w:val="center"/>
          </w:tcPr>
          <w:p w14:paraId="0F4DE3CE">
            <w:pPr>
              <w:pStyle w:val="28"/>
              <w:autoSpaceDE w:val="0"/>
              <w:autoSpaceDN w:val="0"/>
              <w:adjustRightInd w:val="0"/>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s="Times New Roman"/>
                <w:color w:val="auto"/>
                <w:kern w:val="0"/>
                <w:sz w:val="21"/>
                <w:szCs w:val="21"/>
                <w:lang w:val="en-US" w:eastAsia="zh-CN" w:bidi="ar-SA"/>
              </w:rPr>
              <w:t>0.004305</w:t>
            </w:r>
          </w:p>
        </w:tc>
        <w:tc>
          <w:tcPr>
            <w:tcW w:w="2799" w:type="dxa"/>
            <w:tcBorders>
              <w:top w:val="single" w:color="auto" w:sz="4" w:space="0"/>
              <w:left w:val="single" w:color="auto" w:sz="4" w:space="0"/>
              <w:bottom w:val="single" w:color="auto" w:sz="4" w:space="0"/>
              <w:right w:val="single" w:color="auto" w:sz="4" w:space="0"/>
            </w:tcBorders>
            <w:noWrap w:val="0"/>
            <w:vAlign w:val="center"/>
          </w:tcPr>
          <w:p w14:paraId="245743B0">
            <w:pPr>
              <w:pStyle w:val="28"/>
              <w:autoSpaceDE w:val="0"/>
              <w:autoSpaceDN w:val="0"/>
              <w:adjustRightInd w:val="0"/>
              <w:jc w:val="center"/>
              <w:rPr>
                <w:rFonts w:ascii="Times New Roman"/>
                <w:color w:val="auto"/>
                <w:sz w:val="21"/>
                <w:szCs w:val="21"/>
                <w:lang w:val="en-US" w:eastAsia="zh-CN"/>
              </w:rPr>
            </w:pPr>
          </w:p>
        </w:tc>
      </w:tr>
    </w:tbl>
    <w:p w14:paraId="59FF138B">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r>
        <w:rPr>
          <w:rFonts w:hint="eastAsia"/>
          <w:color w:val="auto"/>
          <w:lang w:val="en-US" w:eastAsia="zh-CN"/>
        </w:rPr>
        <w:t>预测结果与分析</w:t>
      </w:r>
      <w:bookmarkEnd w:id="75"/>
      <w:bookmarkEnd w:id="76"/>
    </w:p>
    <w:p w14:paraId="5CF4200A">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项目建成后区域污染物消减情况</w:t>
      </w:r>
    </w:p>
    <w:p w14:paraId="5F950AD8">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排水渠和大八河主要污染物来源于周边居民生活污水的排放，项目建成后日污水处理量达到3000m</w:t>
      </w:r>
      <w:r>
        <w:rPr>
          <w:rFonts w:hint="eastAsia"/>
          <w:color w:val="auto"/>
          <w:sz w:val="24"/>
          <w:highlight w:val="none"/>
          <w:vertAlign w:val="superscript"/>
          <w:lang w:val="en-US" w:eastAsia="zh-CN"/>
        </w:rPr>
        <w:t>3</w:t>
      </w:r>
      <w:r>
        <w:rPr>
          <w:rFonts w:hint="eastAsia"/>
          <w:color w:val="auto"/>
          <w:sz w:val="24"/>
          <w:highlight w:val="none"/>
          <w:lang w:val="en-US" w:eastAsia="zh-CN"/>
        </w:rPr>
        <w:t>，大八镇居民生活污水得到有效处理后外排，将大幅度削减进入排水渠和大八河的污染物排放，具体见下表：</w:t>
      </w:r>
    </w:p>
    <w:p w14:paraId="7BB472E4">
      <w:pPr>
        <w:pStyle w:val="7"/>
        <w:bidi w:val="0"/>
        <w:rPr>
          <w:rFonts w:hint="eastAsia"/>
          <w:color w:val="auto"/>
          <w:lang w:val="en-US" w:eastAsia="zh-CN"/>
        </w:rPr>
      </w:pPr>
      <w:r>
        <w:rPr>
          <w:rFonts w:hint="eastAsia"/>
          <w:color w:val="auto"/>
          <w:lang w:val="en-US" w:eastAsia="zh-CN"/>
        </w:rPr>
        <w:t>本项目建成后区域污染物削减量统计表</w:t>
      </w:r>
    </w:p>
    <w:tbl>
      <w:tblPr>
        <w:tblStyle w:val="81"/>
        <w:tblW w:w="508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893"/>
        <w:gridCol w:w="1137"/>
        <w:gridCol w:w="1091"/>
        <w:gridCol w:w="1012"/>
        <w:gridCol w:w="909"/>
        <w:gridCol w:w="834"/>
        <w:gridCol w:w="955"/>
        <w:gridCol w:w="1364"/>
      </w:tblGrid>
      <w:tr w14:paraId="374A1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029" w:type="pct"/>
            <w:vAlign w:val="center"/>
          </w:tcPr>
          <w:p w14:paraId="2B34AC3D">
            <w:pPr>
              <w:pStyle w:val="10"/>
              <w:keepNext w:val="0"/>
              <w:keepLines w:val="0"/>
              <w:pageBreakBefore w:val="0"/>
              <w:kinsoku/>
              <w:wordWrap/>
              <w:overflowPunct/>
              <w:topLinePunct w:val="0"/>
              <w:autoSpaceDE/>
              <w:autoSpaceDN/>
              <w:bidi w:val="0"/>
              <w:adjustRightInd w:val="0"/>
              <w:snapToGrid w:val="0"/>
              <w:spacing w:line="240" w:lineRule="auto"/>
              <w:ind w:firstLine="0"/>
              <w:jc w:val="center"/>
              <w:textAlignment w:val="auto"/>
              <w:rPr>
                <w:rFonts w:hint="eastAsia"/>
                <w:b/>
                <w:bCs/>
                <w:color w:val="auto"/>
                <w:sz w:val="21"/>
                <w:szCs w:val="21"/>
                <w:vertAlign w:val="baseline"/>
                <w:lang w:eastAsia="en-US"/>
              </w:rPr>
            </w:pPr>
            <w:r>
              <w:rPr>
                <w:rFonts w:hint="eastAsia"/>
                <w:b/>
                <w:bCs/>
                <w:color w:val="auto"/>
                <w:sz w:val="21"/>
                <w:szCs w:val="21"/>
                <w:vertAlign w:val="baseline"/>
                <w:lang w:eastAsia="en-US"/>
              </w:rPr>
              <w:t>污染物</w:t>
            </w:r>
          </w:p>
        </w:tc>
        <w:tc>
          <w:tcPr>
            <w:tcW w:w="618" w:type="pct"/>
            <w:vAlign w:val="center"/>
          </w:tcPr>
          <w:p w14:paraId="07684ECB">
            <w:pPr>
              <w:pStyle w:val="10"/>
              <w:keepNext w:val="0"/>
              <w:keepLines w:val="0"/>
              <w:pageBreakBefore w:val="0"/>
              <w:kinsoku/>
              <w:wordWrap/>
              <w:overflowPunct/>
              <w:topLinePunct w:val="0"/>
              <w:autoSpaceDE/>
              <w:autoSpaceDN/>
              <w:bidi w:val="0"/>
              <w:adjustRightInd w:val="0"/>
              <w:snapToGrid w:val="0"/>
              <w:spacing w:line="240" w:lineRule="auto"/>
              <w:ind w:firstLine="0"/>
              <w:jc w:val="center"/>
              <w:textAlignment w:val="auto"/>
              <w:rPr>
                <w:rFonts w:hint="eastAsia"/>
                <w:b/>
                <w:bCs/>
                <w:color w:val="auto"/>
                <w:sz w:val="21"/>
                <w:szCs w:val="21"/>
                <w:vertAlign w:val="baseline"/>
                <w:lang w:eastAsia="en-US"/>
              </w:rPr>
            </w:pPr>
            <w:r>
              <w:rPr>
                <w:rFonts w:hint="eastAsia"/>
                <w:b/>
                <w:bCs/>
                <w:color w:val="auto"/>
                <w:sz w:val="21"/>
                <w:szCs w:val="21"/>
                <w:vertAlign w:val="baseline"/>
                <w:lang w:eastAsia="en-US"/>
              </w:rPr>
              <w:t>COD</w:t>
            </w:r>
            <w:r>
              <w:rPr>
                <w:rFonts w:hint="eastAsia"/>
                <w:b/>
                <w:bCs/>
                <w:color w:val="auto"/>
                <w:sz w:val="21"/>
                <w:szCs w:val="21"/>
                <w:vertAlign w:val="subscript"/>
                <w:lang w:eastAsia="en-US"/>
              </w:rPr>
              <w:t>Cr</w:t>
            </w:r>
          </w:p>
        </w:tc>
        <w:tc>
          <w:tcPr>
            <w:tcW w:w="593" w:type="pct"/>
            <w:vAlign w:val="center"/>
          </w:tcPr>
          <w:p w14:paraId="54CEA7E4">
            <w:pPr>
              <w:pStyle w:val="10"/>
              <w:keepNext w:val="0"/>
              <w:keepLines w:val="0"/>
              <w:pageBreakBefore w:val="0"/>
              <w:kinsoku/>
              <w:wordWrap/>
              <w:overflowPunct/>
              <w:topLinePunct w:val="0"/>
              <w:autoSpaceDE/>
              <w:autoSpaceDN/>
              <w:bidi w:val="0"/>
              <w:adjustRightInd w:val="0"/>
              <w:snapToGrid w:val="0"/>
              <w:spacing w:line="240" w:lineRule="auto"/>
              <w:ind w:firstLine="0"/>
              <w:jc w:val="center"/>
              <w:textAlignment w:val="auto"/>
              <w:rPr>
                <w:rFonts w:hint="eastAsia"/>
                <w:b/>
                <w:bCs/>
                <w:color w:val="auto"/>
                <w:sz w:val="21"/>
                <w:szCs w:val="21"/>
                <w:vertAlign w:val="baseline"/>
                <w:lang w:eastAsia="en-US"/>
              </w:rPr>
            </w:pPr>
            <w:r>
              <w:rPr>
                <w:rFonts w:hint="eastAsia"/>
                <w:b/>
                <w:bCs/>
                <w:color w:val="auto"/>
                <w:sz w:val="21"/>
                <w:szCs w:val="21"/>
                <w:vertAlign w:val="baseline"/>
                <w:lang w:eastAsia="en-US"/>
              </w:rPr>
              <w:t>BOD</w:t>
            </w:r>
            <w:r>
              <w:rPr>
                <w:rFonts w:hint="eastAsia"/>
                <w:b/>
                <w:bCs/>
                <w:color w:val="auto"/>
                <w:sz w:val="21"/>
                <w:szCs w:val="21"/>
                <w:vertAlign w:val="subscript"/>
                <w:lang w:eastAsia="en-US"/>
              </w:rPr>
              <w:t>5</w:t>
            </w:r>
          </w:p>
        </w:tc>
        <w:tc>
          <w:tcPr>
            <w:tcW w:w="550" w:type="pct"/>
            <w:vAlign w:val="center"/>
          </w:tcPr>
          <w:p w14:paraId="190241AD">
            <w:pPr>
              <w:pStyle w:val="10"/>
              <w:keepNext w:val="0"/>
              <w:keepLines w:val="0"/>
              <w:pageBreakBefore w:val="0"/>
              <w:kinsoku/>
              <w:wordWrap/>
              <w:overflowPunct/>
              <w:topLinePunct w:val="0"/>
              <w:autoSpaceDE/>
              <w:autoSpaceDN/>
              <w:bidi w:val="0"/>
              <w:adjustRightInd w:val="0"/>
              <w:snapToGrid w:val="0"/>
              <w:spacing w:line="240" w:lineRule="auto"/>
              <w:ind w:firstLine="0"/>
              <w:jc w:val="center"/>
              <w:textAlignment w:val="auto"/>
              <w:rPr>
                <w:rFonts w:hint="eastAsia"/>
                <w:b/>
                <w:bCs/>
                <w:color w:val="auto"/>
                <w:sz w:val="21"/>
                <w:szCs w:val="21"/>
                <w:vertAlign w:val="baseline"/>
                <w:lang w:eastAsia="en-US"/>
              </w:rPr>
            </w:pPr>
            <w:r>
              <w:rPr>
                <w:rFonts w:hint="eastAsia"/>
                <w:b/>
                <w:bCs/>
                <w:color w:val="auto"/>
                <w:sz w:val="21"/>
                <w:szCs w:val="21"/>
                <w:vertAlign w:val="baseline"/>
                <w:lang w:eastAsia="en-US"/>
              </w:rPr>
              <w:t>SS</w:t>
            </w:r>
          </w:p>
        </w:tc>
        <w:tc>
          <w:tcPr>
            <w:tcW w:w="494" w:type="pct"/>
            <w:vAlign w:val="center"/>
          </w:tcPr>
          <w:p w14:paraId="528BD8F4">
            <w:pPr>
              <w:pStyle w:val="10"/>
              <w:keepNext w:val="0"/>
              <w:keepLines w:val="0"/>
              <w:pageBreakBefore w:val="0"/>
              <w:kinsoku/>
              <w:wordWrap/>
              <w:overflowPunct/>
              <w:topLinePunct w:val="0"/>
              <w:autoSpaceDE/>
              <w:autoSpaceDN/>
              <w:bidi w:val="0"/>
              <w:adjustRightInd w:val="0"/>
              <w:snapToGrid w:val="0"/>
              <w:spacing w:line="240" w:lineRule="auto"/>
              <w:ind w:firstLine="0"/>
              <w:jc w:val="center"/>
              <w:textAlignment w:val="auto"/>
              <w:rPr>
                <w:rFonts w:hint="eastAsia"/>
                <w:b/>
                <w:bCs/>
                <w:color w:val="auto"/>
                <w:sz w:val="21"/>
                <w:szCs w:val="21"/>
                <w:vertAlign w:val="baseline"/>
                <w:lang w:eastAsia="en-US"/>
              </w:rPr>
            </w:pPr>
            <w:r>
              <w:rPr>
                <w:rFonts w:hint="eastAsia"/>
                <w:b/>
                <w:bCs/>
                <w:color w:val="auto"/>
                <w:sz w:val="21"/>
                <w:szCs w:val="21"/>
                <w:vertAlign w:val="baseline"/>
                <w:lang w:eastAsia="en-US"/>
              </w:rPr>
              <w:t>NH</w:t>
            </w:r>
            <w:r>
              <w:rPr>
                <w:rFonts w:hint="eastAsia"/>
                <w:b/>
                <w:bCs/>
                <w:color w:val="auto"/>
                <w:sz w:val="21"/>
                <w:szCs w:val="21"/>
                <w:vertAlign w:val="subscript"/>
                <w:lang w:eastAsia="en-US"/>
              </w:rPr>
              <w:t>3</w:t>
            </w:r>
            <w:r>
              <w:rPr>
                <w:rFonts w:hint="eastAsia"/>
                <w:b/>
                <w:bCs/>
                <w:color w:val="auto"/>
                <w:sz w:val="21"/>
                <w:szCs w:val="21"/>
                <w:vertAlign w:val="baseline"/>
                <w:lang w:eastAsia="en-US"/>
              </w:rPr>
              <w:t>-N</w:t>
            </w:r>
          </w:p>
        </w:tc>
        <w:tc>
          <w:tcPr>
            <w:tcW w:w="453" w:type="pct"/>
            <w:vAlign w:val="center"/>
          </w:tcPr>
          <w:p w14:paraId="46DF3B98">
            <w:pPr>
              <w:pStyle w:val="10"/>
              <w:keepNext w:val="0"/>
              <w:keepLines w:val="0"/>
              <w:pageBreakBefore w:val="0"/>
              <w:kinsoku/>
              <w:wordWrap/>
              <w:overflowPunct/>
              <w:topLinePunct w:val="0"/>
              <w:autoSpaceDE/>
              <w:autoSpaceDN/>
              <w:bidi w:val="0"/>
              <w:adjustRightInd w:val="0"/>
              <w:snapToGrid w:val="0"/>
              <w:spacing w:line="240" w:lineRule="auto"/>
              <w:ind w:firstLine="0"/>
              <w:jc w:val="center"/>
              <w:textAlignment w:val="auto"/>
              <w:rPr>
                <w:rFonts w:hint="eastAsia"/>
                <w:b/>
                <w:bCs/>
                <w:color w:val="auto"/>
                <w:sz w:val="21"/>
                <w:szCs w:val="21"/>
                <w:vertAlign w:val="baseline"/>
                <w:lang w:eastAsia="en-US"/>
              </w:rPr>
            </w:pPr>
            <w:r>
              <w:rPr>
                <w:rFonts w:hint="eastAsia"/>
                <w:b/>
                <w:bCs/>
                <w:color w:val="auto"/>
                <w:sz w:val="21"/>
                <w:szCs w:val="21"/>
                <w:vertAlign w:val="baseline"/>
                <w:lang w:eastAsia="en-US"/>
              </w:rPr>
              <w:t>TN</w:t>
            </w:r>
          </w:p>
        </w:tc>
        <w:tc>
          <w:tcPr>
            <w:tcW w:w="519" w:type="pct"/>
            <w:vAlign w:val="center"/>
          </w:tcPr>
          <w:p w14:paraId="44E87326">
            <w:pPr>
              <w:pStyle w:val="10"/>
              <w:keepNext w:val="0"/>
              <w:keepLines w:val="0"/>
              <w:pageBreakBefore w:val="0"/>
              <w:kinsoku/>
              <w:wordWrap/>
              <w:overflowPunct/>
              <w:topLinePunct w:val="0"/>
              <w:autoSpaceDE/>
              <w:autoSpaceDN/>
              <w:bidi w:val="0"/>
              <w:adjustRightInd w:val="0"/>
              <w:snapToGrid w:val="0"/>
              <w:spacing w:line="240" w:lineRule="auto"/>
              <w:ind w:firstLine="0"/>
              <w:jc w:val="center"/>
              <w:textAlignment w:val="auto"/>
              <w:rPr>
                <w:rFonts w:hint="eastAsia"/>
                <w:b/>
                <w:bCs/>
                <w:color w:val="auto"/>
                <w:sz w:val="21"/>
                <w:szCs w:val="21"/>
                <w:vertAlign w:val="baseline"/>
                <w:lang w:eastAsia="en-US"/>
              </w:rPr>
            </w:pPr>
            <w:r>
              <w:rPr>
                <w:rFonts w:hint="eastAsia"/>
                <w:b/>
                <w:bCs/>
                <w:color w:val="auto"/>
                <w:sz w:val="21"/>
                <w:szCs w:val="21"/>
                <w:vertAlign w:val="baseline"/>
                <w:lang w:eastAsia="en-US"/>
              </w:rPr>
              <w:t>TP</w:t>
            </w:r>
          </w:p>
        </w:tc>
        <w:tc>
          <w:tcPr>
            <w:tcW w:w="741" w:type="pct"/>
            <w:vAlign w:val="center"/>
          </w:tcPr>
          <w:p w14:paraId="59B23679">
            <w:pPr>
              <w:pStyle w:val="10"/>
              <w:keepNext w:val="0"/>
              <w:keepLines w:val="0"/>
              <w:pageBreakBefore w:val="0"/>
              <w:kinsoku/>
              <w:wordWrap/>
              <w:overflowPunct/>
              <w:topLinePunct w:val="0"/>
              <w:autoSpaceDE/>
              <w:autoSpaceDN/>
              <w:bidi w:val="0"/>
              <w:adjustRightInd w:val="0"/>
              <w:snapToGrid w:val="0"/>
              <w:spacing w:line="240" w:lineRule="auto"/>
              <w:ind w:firstLine="0"/>
              <w:jc w:val="center"/>
              <w:textAlignment w:val="auto"/>
              <w:rPr>
                <w:rFonts w:hint="eastAsia"/>
                <w:b/>
                <w:bCs/>
                <w:color w:val="auto"/>
                <w:sz w:val="21"/>
                <w:szCs w:val="21"/>
                <w:vertAlign w:val="baseline"/>
                <w:lang w:eastAsia="en-US"/>
              </w:rPr>
            </w:pPr>
            <w:r>
              <w:rPr>
                <w:rFonts w:hint="eastAsia"/>
                <w:b/>
                <w:bCs/>
                <w:color w:val="auto"/>
                <w:sz w:val="21"/>
                <w:szCs w:val="21"/>
                <w:vertAlign w:val="baseline"/>
                <w:lang w:eastAsia="en-US"/>
              </w:rPr>
              <w:t>污水量</w:t>
            </w:r>
          </w:p>
        </w:tc>
      </w:tr>
      <w:tr w14:paraId="559CD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029" w:type="pct"/>
            <w:vAlign w:val="center"/>
          </w:tcPr>
          <w:p w14:paraId="5CAC36DC">
            <w:pPr>
              <w:pStyle w:val="10"/>
              <w:keepNext w:val="0"/>
              <w:keepLines w:val="0"/>
              <w:pageBreakBefore w:val="0"/>
              <w:kinsoku/>
              <w:wordWrap/>
              <w:overflowPunct/>
              <w:topLinePunct w:val="0"/>
              <w:autoSpaceDE/>
              <w:autoSpaceDN/>
              <w:bidi w:val="0"/>
              <w:adjustRightInd w:val="0"/>
              <w:snapToGrid w:val="0"/>
              <w:spacing w:line="240" w:lineRule="auto"/>
              <w:ind w:firstLine="0"/>
              <w:jc w:val="center"/>
              <w:textAlignment w:val="auto"/>
              <w:rPr>
                <w:rFonts w:hint="eastAsia"/>
                <w:color w:val="auto"/>
                <w:sz w:val="21"/>
                <w:szCs w:val="21"/>
                <w:vertAlign w:val="baseline"/>
                <w:lang w:eastAsia="en-US"/>
              </w:rPr>
            </w:pPr>
            <w:r>
              <w:rPr>
                <w:rFonts w:hint="eastAsia"/>
                <w:color w:val="auto"/>
                <w:sz w:val="21"/>
                <w:szCs w:val="21"/>
                <w:vertAlign w:val="baseline"/>
                <w:lang w:eastAsia="en-US"/>
              </w:rPr>
              <w:t>处理</w:t>
            </w:r>
            <w:r>
              <w:rPr>
                <w:rFonts w:hint="eastAsia"/>
                <w:color w:val="auto"/>
                <w:sz w:val="21"/>
                <w:szCs w:val="21"/>
                <w:vertAlign w:val="baseline"/>
                <w:lang w:val="en-US" w:eastAsia="zh-CN"/>
              </w:rPr>
              <w:t>前</w:t>
            </w:r>
            <w:r>
              <w:rPr>
                <w:rFonts w:hint="eastAsia"/>
                <w:color w:val="auto"/>
                <w:sz w:val="21"/>
                <w:szCs w:val="21"/>
                <w:vertAlign w:val="baseline"/>
                <w:lang w:eastAsia="en-US"/>
              </w:rPr>
              <w:t>总量（t/a）</w:t>
            </w:r>
          </w:p>
        </w:tc>
        <w:tc>
          <w:tcPr>
            <w:tcW w:w="618" w:type="pct"/>
            <w:vAlign w:val="center"/>
          </w:tcPr>
          <w:p w14:paraId="404A81B8">
            <w:pPr>
              <w:autoSpaceDE w:val="0"/>
              <w:autoSpaceDN w:val="0"/>
              <w:jc w:val="center"/>
              <w:rPr>
                <w:rFonts w:hint="default"/>
                <w:color w:val="auto"/>
                <w:sz w:val="21"/>
                <w:szCs w:val="21"/>
                <w:highlight w:val="none"/>
                <w:vertAlign w:val="baseline"/>
                <w:lang w:val="en-US" w:eastAsia="zh-CN"/>
              </w:rPr>
            </w:pPr>
            <w:r>
              <w:rPr>
                <w:color w:val="auto"/>
                <w:szCs w:val="21"/>
                <w:highlight w:val="none"/>
              </w:rPr>
              <w:t>284.7</w:t>
            </w:r>
          </w:p>
        </w:tc>
        <w:tc>
          <w:tcPr>
            <w:tcW w:w="593" w:type="pct"/>
            <w:vAlign w:val="center"/>
          </w:tcPr>
          <w:p w14:paraId="5A947308">
            <w:pPr>
              <w:autoSpaceDE w:val="0"/>
              <w:autoSpaceDN w:val="0"/>
              <w:jc w:val="center"/>
              <w:rPr>
                <w:rFonts w:hint="default" w:eastAsia="宋体"/>
                <w:color w:val="auto"/>
                <w:sz w:val="21"/>
                <w:szCs w:val="21"/>
                <w:highlight w:val="none"/>
                <w:vertAlign w:val="baseline"/>
                <w:lang w:val="en-US" w:eastAsia="zh-CN"/>
              </w:rPr>
            </w:pPr>
            <w:r>
              <w:rPr>
                <w:color w:val="auto"/>
                <w:szCs w:val="21"/>
                <w:highlight w:val="none"/>
              </w:rPr>
              <w:t>164.25</w:t>
            </w:r>
          </w:p>
        </w:tc>
        <w:tc>
          <w:tcPr>
            <w:tcW w:w="550" w:type="pct"/>
            <w:vAlign w:val="center"/>
          </w:tcPr>
          <w:p w14:paraId="20FFBCFA">
            <w:pPr>
              <w:autoSpaceDE w:val="0"/>
              <w:autoSpaceDN w:val="0"/>
              <w:jc w:val="center"/>
              <w:rPr>
                <w:rFonts w:hint="default" w:eastAsia="宋体"/>
                <w:color w:val="auto"/>
                <w:sz w:val="21"/>
                <w:szCs w:val="21"/>
                <w:highlight w:val="none"/>
                <w:vertAlign w:val="baseline"/>
                <w:lang w:val="en-US" w:eastAsia="zh-CN"/>
              </w:rPr>
            </w:pPr>
            <w:r>
              <w:rPr>
                <w:color w:val="auto"/>
                <w:szCs w:val="21"/>
                <w:highlight w:val="none"/>
              </w:rPr>
              <w:t>164.25</w:t>
            </w:r>
          </w:p>
        </w:tc>
        <w:tc>
          <w:tcPr>
            <w:tcW w:w="494" w:type="pct"/>
            <w:vAlign w:val="center"/>
          </w:tcPr>
          <w:p w14:paraId="5D8027B7">
            <w:pPr>
              <w:autoSpaceDE w:val="0"/>
              <w:autoSpaceDN w:val="0"/>
              <w:jc w:val="center"/>
              <w:rPr>
                <w:rFonts w:hint="default" w:eastAsia="宋体"/>
                <w:color w:val="auto"/>
                <w:sz w:val="21"/>
                <w:szCs w:val="21"/>
                <w:highlight w:val="none"/>
                <w:vertAlign w:val="baseline"/>
                <w:lang w:val="en-US" w:eastAsia="zh-CN"/>
              </w:rPr>
            </w:pPr>
            <w:r>
              <w:rPr>
                <w:color w:val="auto"/>
                <w:szCs w:val="21"/>
                <w:highlight w:val="none"/>
              </w:rPr>
              <w:t>27.375</w:t>
            </w:r>
          </w:p>
        </w:tc>
        <w:tc>
          <w:tcPr>
            <w:tcW w:w="453" w:type="pct"/>
            <w:vAlign w:val="center"/>
          </w:tcPr>
          <w:p w14:paraId="7F8834ED">
            <w:pPr>
              <w:autoSpaceDE w:val="0"/>
              <w:autoSpaceDN w:val="0"/>
              <w:jc w:val="center"/>
              <w:rPr>
                <w:rFonts w:hint="default" w:eastAsia="宋体"/>
                <w:color w:val="auto"/>
                <w:sz w:val="21"/>
                <w:szCs w:val="21"/>
                <w:highlight w:val="none"/>
                <w:vertAlign w:val="baseline"/>
                <w:lang w:val="en-US" w:eastAsia="zh-CN"/>
              </w:rPr>
            </w:pPr>
            <w:r>
              <w:rPr>
                <w:color w:val="auto"/>
                <w:szCs w:val="21"/>
                <w:highlight w:val="none"/>
              </w:rPr>
              <w:t>32.85</w:t>
            </w:r>
          </w:p>
        </w:tc>
        <w:tc>
          <w:tcPr>
            <w:tcW w:w="519" w:type="pct"/>
            <w:vAlign w:val="center"/>
          </w:tcPr>
          <w:p w14:paraId="5D9E9FC3">
            <w:pPr>
              <w:autoSpaceDE w:val="0"/>
              <w:autoSpaceDN w:val="0"/>
              <w:jc w:val="center"/>
              <w:rPr>
                <w:rFonts w:hint="default" w:eastAsia="宋体"/>
                <w:color w:val="auto"/>
                <w:sz w:val="21"/>
                <w:szCs w:val="21"/>
                <w:highlight w:val="none"/>
                <w:vertAlign w:val="baseline"/>
                <w:lang w:val="en-US" w:eastAsia="zh-CN"/>
              </w:rPr>
            </w:pPr>
            <w:r>
              <w:rPr>
                <w:color w:val="auto"/>
                <w:szCs w:val="21"/>
                <w:highlight w:val="none"/>
              </w:rPr>
              <w:t>3.285</w:t>
            </w:r>
          </w:p>
        </w:tc>
        <w:tc>
          <w:tcPr>
            <w:tcW w:w="741" w:type="pct"/>
            <w:vMerge w:val="restart"/>
            <w:vAlign w:val="center"/>
          </w:tcPr>
          <w:p w14:paraId="678D7228">
            <w:pPr>
              <w:pStyle w:val="10"/>
              <w:keepNext w:val="0"/>
              <w:keepLines w:val="0"/>
              <w:pageBreakBefore w:val="0"/>
              <w:kinsoku/>
              <w:wordWrap/>
              <w:overflowPunct/>
              <w:topLinePunct w:val="0"/>
              <w:autoSpaceDE/>
              <w:autoSpaceDN/>
              <w:bidi w:val="0"/>
              <w:adjustRightInd w:val="0"/>
              <w:snapToGrid w:val="0"/>
              <w:spacing w:line="240" w:lineRule="auto"/>
              <w:ind w:firstLine="0"/>
              <w:jc w:val="center"/>
              <w:textAlignment w:val="auto"/>
              <w:rPr>
                <w:rFonts w:hint="eastAsia"/>
                <w:color w:val="auto"/>
                <w:sz w:val="21"/>
                <w:szCs w:val="21"/>
                <w:vertAlign w:val="baseline"/>
                <w:lang w:eastAsia="en-US"/>
              </w:rPr>
            </w:pPr>
          </w:p>
          <w:p w14:paraId="0C86968E">
            <w:pPr>
              <w:pStyle w:val="10"/>
              <w:keepNext w:val="0"/>
              <w:keepLines w:val="0"/>
              <w:pageBreakBefore w:val="0"/>
              <w:kinsoku/>
              <w:wordWrap/>
              <w:overflowPunct/>
              <w:topLinePunct w:val="0"/>
              <w:autoSpaceDE/>
              <w:autoSpaceDN/>
              <w:bidi w:val="0"/>
              <w:adjustRightInd w:val="0"/>
              <w:snapToGrid w:val="0"/>
              <w:spacing w:line="240" w:lineRule="auto"/>
              <w:ind w:firstLine="0"/>
              <w:jc w:val="center"/>
              <w:textAlignment w:val="auto"/>
              <w:rPr>
                <w:rFonts w:hint="eastAsia"/>
                <w:color w:val="auto"/>
                <w:sz w:val="21"/>
                <w:szCs w:val="21"/>
                <w:vertAlign w:val="baseline"/>
                <w:lang w:eastAsia="en-US"/>
              </w:rPr>
            </w:pPr>
            <w:r>
              <w:rPr>
                <w:rFonts w:hint="eastAsia"/>
                <w:color w:val="auto"/>
                <w:sz w:val="21"/>
                <w:szCs w:val="21"/>
                <w:vertAlign w:val="baseline"/>
                <w:lang w:val="en-US" w:eastAsia="zh-CN"/>
              </w:rPr>
              <w:t>3000t/</w:t>
            </w:r>
            <w:r>
              <w:rPr>
                <w:rFonts w:hint="eastAsia"/>
                <w:color w:val="auto"/>
                <w:sz w:val="21"/>
                <w:szCs w:val="21"/>
                <w:vertAlign w:val="baseline"/>
                <w:lang w:eastAsia="en-US"/>
              </w:rPr>
              <w:t>d</w:t>
            </w:r>
          </w:p>
          <w:p w14:paraId="6962240F">
            <w:pPr>
              <w:pStyle w:val="10"/>
              <w:keepNext w:val="0"/>
              <w:keepLines w:val="0"/>
              <w:pageBreakBefore w:val="0"/>
              <w:kinsoku/>
              <w:wordWrap/>
              <w:overflowPunct/>
              <w:topLinePunct w:val="0"/>
              <w:autoSpaceDE/>
              <w:autoSpaceDN/>
              <w:bidi w:val="0"/>
              <w:adjustRightInd w:val="0"/>
              <w:snapToGrid w:val="0"/>
              <w:spacing w:line="240" w:lineRule="auto"/>
              <w:ind w:firstLine="0"/>
              <w:jc w:val="center"/>
              <w:textAlignment w:val="auto"/>
              <w:rPr>
                <w:rFonts w:hint="eastAsia"/>
                <w:color w:val="auto"/>
                <w:sz w:val="21"/>
                <w:szCs w:val="21"/>
                <w:vertAlign w:val="baseline"/>
                <w:lang w:eastAsia="en-US"/>
              </w:rPr>
            </w:pPr>
            <w:r>
              <w:rPr>
                <w:rFonts w:hint="eastAsia"/>
                <w:color w:val="auto"/>
                <w:sz w:val="21"/>
                <w:szCs w:val="21"/>
                <w:vertAlign w:val="baseline"/>
                <w:lang w:eastAsia="en-US"/>
              </w:rPr>
              <w:t>（</w:t>
            </w:r>
            <w:r>
              <w:rPr>
                <w:rFonts w:hint="eastAsia"/>
                <w:color w:val="auto"/>
                <w:sz w:val="21"/>
                <w:szCs w:val="21"/>
                <w:vertAlign w:val="baseline"/>
                <w:lang w:val="en-US" w:eastAsia="zh-CN"/>
              </w:rPr>
              <w:t>109.5万</w:t>
            </w:r>
            <w:r>
              <w:rPr>
                <w:rFonts w:hint="eastAsia"/>
                <w:color w:val="auto"/>
                <w:sz w:val="21"/>
                <w:szCs w:val="21"/>
                <w:vertAlign w:val="baseline"/>
                <w:lang w:eastAsia="en-US"/>
              </w:rPr>
              <w:t>t/a）</w:t>
            </w:r>
          </w:p>
        </w:tc>
      </w:tr>
      <w:tr w14:paraId="1C268F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029" w:type="pct"/>
            <w:vAlign w:val="center"/>
          </w:tcPr>
          <w:p w14:paraId="6A610DCA">
            <w:pPr>
              <w:pStyle w:val="10"/>
              <w:keepNext w:val="0"/>
              <w:keepLines w:val="0"/>
              <w:pageBreakBefore w:val="0"/>
              <w:kinsoku/>
              <w:wordWrap/>
              <w:overflowPunct/>
              <w:topLinePunct w:val="0"/>
              <w:autoSpaceDE/>
              <w:autoSpaceDN/>
              <w:bidi w:val="0"/>
              <w:adjustRightInd w:val="0"/>
              <w:snapToGrid w:val="0"/>
              <w:spacing w:line="240" w:lineRule="auto"/>
              <w:ind w:firstLine="0"/>
              <w:jc w:val="center"/>
              <w:textAlignment w:val="auto"/>
              <w:rPr>
                <w:rFonts w:hint="eastAsia"/>
                <w:color w:val="auto"/>
                <w:sz w:val="21"/>
                <w:szCs w:val="21"/>
                <w:vertAlign w:val="baseline"/>
                <w:lang w:eastAsia="en-US"/>
              </w:rPr>
            </w:pPr>
            <w:r>
              <w:rPr>
                <w:rFonts w:hint="eastAsia"/>
                <w:color w:val="auto"/>
                <w:sz w:val="21"/>
                <w:szCs w:val="21"/>
                <w:vertAlign w:val="baseline"/>
                <w:lang w:eastAsia="en-US"/>
              </w:rPr>
              <w:t>排放总量（t/a）</w:t>
            </w:r>
          </w:p>
        </w:tc>
        <w:tc>
          <w:tcPr>
            <w:tcW w:w="618" w:type="pct"/>
            <w:vAlign w:val="center"/>
          </w:tcPr>
          <w:p w14:paraId="095226D1">
            <w:pPr>
              <w:autoSpaceDE w:val="0"/>
              <w:autoSpaceDN w:val="0"/>
              <w:jc w:val="center"/>
              <w:rPr>
                <w:rFonts w:hint="default"/>
                <w:color w:val="auto"/>
                <w:sz w:val="21"/>
                <w:szCs w:val="21"/>
                <w:highlight w:val="none"/>
                <w:vertAlign w:val="baseline"/>
                <w:lang w:val="en-US" w:eastAsia="zh-CN"/>
              </w:rPr>
            </w:pPr>
            <w:r>
              <w:rPr>
                <w:color w:val="auto"/>
                <w:szCs w:val="21"/>
                <w:highlight w:val="none"/>
              </w:rPr>
              <w:t>43.8</w:t>
            </w:r>
          </w:p>
        </w:tc>
        <w:tc>
          <w:tcPr>
            <w:tcW w:w="593" w:type="pct"/>
            <w:vAlign w:val="center"/>
          </w:tcPr>
          <w:p w14:paraId="4DB4489A">
            <w:pPr>
              <w:autoSpaceDE w:val="0"/>
              <w:autoSpaceDN w:val="0"/>
              <w:jc w:val="center"/>
              <w:rPr>
                <w:rFonts w:hint="default" w:eastAsia="宋体"/>
                <w:color w:val="auto"/>
                <w:sz w:val="21"/>
                <w:szCs w:val="21"/>
                <w:highlight w:val="none"/>
                <w:vertAlign w:val="baseline"/>
                <w:lang w:val="en-US" w:eastAsia="zh-CN"/>
              </w:rPr>
            </w:pPr>
            <w:r>
              <w:rPr>
                <w:color w:val="auto"/>
                <w:szCs w:val="21"/>
                <w:highlight w:val="none"/>
              </w:rPr>
              <w:t>10.95</w:t>
            </w:r>
          </w:p>
        </w:tc>
        <w:tc>
          <w:tcPr>
            <w:tcW w:w="550" w:type="pct"/>
            <w:vAlign w:val="center"/>
          </w:tcPr>
          <w:p w14:paraId="6FB267C0">
            <w:pPr>
              <w:autoSpaceDE w:val="0"/>
              <w:autoSpaceDN w:val="0"/>
              <w:jc w:val="center"/>
              <w:rPr>
                <w:rFonts w:hint="default" w:eastAsia="宋体"/>
                <w:color w:val="auto"/>
                <w:sz w:val="21"/>
                <w:szCs w:val="21"/>
                <w:highlight w:val="none"/>
                <w:vertAlign w:val="baseline"/>
                <w:lang w:val="en-US" w:eastAsia="zh-CN"/>
              </w:rPr>
            </w:pPr>
            <w:r>
              <w:rPr>
                <w:color w:val="auto"/>
                <w:szCs w:val="21"/>
                <w:highlight w:val="none"/>
              </w:rPr>
              <w:t>10.95</w:t>
            </w:r>
          </w:p>
        </w:tc>
        <w:tc>
          <w:tcPr>
            <w:tcW w:w="494" w:type="pct"/>
            <w:vAlign w:val="center"/>
          </w:tcPr>
          <w:p w14:paraId="55F5381A">
            <w:pPr>
              <w:autoSpaceDE w:val="0"/>
              <w:autoSpaceDN w:val="0"/>
              <w:jc w:val="center"/>
              <w:rPr>
                <w:rFonts w:hint="default" w:eastAsia="宋体"/>
                <w:color w:val="auto"/>
                <w:sz w:val="21"/>
                <w:szCs w:val="21"/>
                <w:highlight w:val="none"/>
                <w:vertAlign w:val="baseline"/>
                <w:lang w:val="en-US" w:eastAsia="zh-CN"/>
              </w:rPr>
            </w:pPr>
            <w:r>
              <w:rPr>
                <w:color w:val="auto"/>
                <w:szCs w:val="21"/>
                <w:highlight w:val="none"/>
              </w:rPr>
              <w:t>5.475</w:t>
            </w:r>
          </w:p>
        </w:tc>
        <w:tc>
          <w:tcPr>
            <w:tcW w:w="453" w:type="pct"/>
            <w:vAlign w:val="center"/>
          </w:tcPr>
          <w:p w14:paraId="10930B30">
            <w:pPr>
              <w:autoSpaceDE w:val="0"/>
              <w:autoSpaceDN w:val="0"/>
              <w:jc w:val="center"/>
              <w:rPr>
                <w:rFonts w:hint="default" w:eastAsia="宋体"/>
                <w:color w:val="auto"/>
                <w:sz w:val="21"/>
                <w:szCs w:val="21"/>
                <w:highlight w:val="none"/>
                <w:vertAlign w:val="baseline"/>
                <w:lang w:val="en-US" w:eastAsia="zh-CN"/>
              </w:rPr>
            </w:pPr>
            <w:r>
              <w:rPr>
                <w:color w:val="auto"/>
                <w:szCs w:val="21"/>
                <w:highlight w:val="none"/>
              </w:rPr>
              <w:t>16.425</w:t>
            </w:r>
          </w:p>
        </w:tc>
        <w:tc>
          <w:tcPr>
            <w:tcW w:w="519" w:type="pct"/>
            <w:vAlign w:val="center"/>
          </w:tcPr>
          <w:p w14:paraId="3359234C">
            <w:pPr>
              <w:autoSpaceDE w:val="0"/>
              <w:autoSpaceDN w:val="0"/>
              <w:jc w:val="center"/>
              <w:rPr>
                <w:rFonts w:hint="default" w:eastAsia="宋体"/>
                <w:color w:val="auto"/>
                <w:sz w:val="21"/>
                <w:szCs w:val="21"/>
                <w:highlight w:val="none"/>
                <w:vertAlign w:val="baseline"/>
                <w:lang w:val="en-US" w:eastAsia="zh-CN"/>
              </w:rPr>
            </w:pPr>
            <w:r>
              <w:rPr>
                <w:color w:val="auto"/>
                <w:szCs w:val="21"/>
                <w:highlight w:val="none"/>
              </w:rPr>
              <w:t>0.5475</w:t>
            </w:r>
          </w:p>
        </w:tc>
        <w:tc>
          <w:tcPr>
            <w:tcW w:w="741" w:type="pct"/>
            <w:vMerge w:val="continue"/>
            <w:tcBorders>
              <w:top w:val="nil"/>
            </w:tcBorders>
            <w:vAlign w:val="center"/>
          </w:tcPr>
          <w:p w14:paraId="6CC2D0AB">
            <w:pPr>
              <w:pStyle w:val="10"/>
              <w:keepNext w:val="0"/>
              <w:keepLines w:val="0"/>
              <w:pageBreakBefore w:val="0"/>
              <w:kinsoku/>
              <w:wordWrap/>
              <w:overflowPunct/>
              <w:topLinePunct w:val="0"/>
              <w:autoSpaceDE/>
              <w:autoSpaceDN/>
              <w:bidi w:val="0"/>
              <w:adjustRightInd w:val="0"/>
              <w:snapToGrid w:val="0"/>
              <w:spacing w:line="240" w:lineRule="auto"/>
              <w:ind w:firstLine="0"/>
              <w:jc w:val="center"/>
              <w:textAlignment w:val="auto"/>
              <w:rPr>
                <w:rFonts w:hint="eastAsia"/>
                <w:color w:val="auto"/>
                <w:sz w:val="21"/>
                <w:szCs w:val="21"/>
                <w:vertAlign w:val="baseline"/>
                <w:lang w:eastAsia="en-US"/>
              </w:rPr>
            </w:pPr>
          </w:p>
        </w:tc>
      </w:tr>
      <w:tr w14:paraId="38FB9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029" w:type="pct"/>
            <w:vAlign w:val="center"/>
          </w:tcPr>
          <w:p w14:paraId="10088BCE">
            <w:pPr>
              <w:pStyle w:val="10"/>
              <w:keepNext w:val="0"/>
              <w:keepLines w:val="0"/>
              <w:pageBreakBefore w:val="0"/>
              <w:kinsoku/>
              <w:wordWrap/>
              <w:overflowPunct/>
              <w:topLinePunct w:val="0"/>
              <w:autoSpaceDE/>
              <w:autoSpaceDN/>
              <w:bidi w:val="0"/>
              <w:adjustRightInd w:val="0"/>
              <w:snapToGrid w:val="0"/>
              <w:spacing w:line="240" w:lineRule="auto"/>
              <w:ind w:firstLine="0"/>
              <w:jc w:val="center"/>
              <w:textAlignment w:val="auto"/>
              <w:rPr>
                <w:rFonts w:hint="eastAsia"/>
                <w:color w:val="auto"/>
                <w:sz w:val="21"/>
                <w:szCs w:val="21"/>
                <w:vertAlign w:val="baseline"/>
                <w:lang w:eastAsia="en-US"/>
              </w:rPr>
            </w:pPr>
            <w:r>
              <w:rPr>
                <w:rFonts w:hint="eastAsia"/>
                <w:color w:val="auto"/>
                <w:sz w:val="21"/>
                <w:szCs w:val="21"/>
                <w:vertAlign w:val="baseline"/>
                <w:lang w:eastAsia="en-US"/>
              </w:rPr>
              <w:t>削减量（t/a）</w:t>
            </w:r>
          </w:p>
        </w:tc>
        <w:tc>
          <w:tcPr>
            <w:tcW w:w="618" w:type="pct"/>
            <w:vAlign w:val="center"/>
          </w:tcPr>
          <w:p w14:paraId="0D59616F">
            <w:pPr>
              <w:autoSpaceDE w:val="0"/>
              <w:autoSpaceDN w:val="0"/>
              <w:jc w:val="center"/>
              <w:rPr>
                <w:rFonts w:hint="eastAsia" w:ascii="Times New Roman" w:hAnsi="Times New Roman" w:eastAsia="宋体" w:cs="Times New Roman"/>
                <w:color w:val="auto"/>
                <w:highlight w:val="none"/>
                <w:lang w:val="en-US" w:eastAsia="zh-CN"/>
              </w:rPr>
            </w:pPr>
            <w:r>
              <w:rPr>
                <w:color w:val="auto"/>
                <w:szCs w:val="21"/>
                <w:highlight w:val="none"/>
              </w:rPr>
              <w:t>240.9</w:t>
            </w:r>
          </w:p>
        </w:tc>
        <w:tc>
          <w:tcPr>
            <w:tcW w:w="593" w:type="pct"/>
            <w:vAlign w:val="center"/>
          </w:tcPr>
          <w:p w14:paraId="71BF20FE">
            <w:pPr>
              <w:autoSpaceDE w:val="0"/>
              <w:autoSpaceDN w:val="0"/>
              <w:jc w:val="center"/>
              <w:rPr>
                <w:rFonts w:hint="default" w:ascii="Times New Roman" w:hAnsi="Times New Roman" w:eastAsia="宋体" w:cs="Times New Roman"/>
                <w:color w:val="auto"/>
                <w:highlight w:val="none"/>
                <w:lang w:val="en-US" w:eastAsia="zh-CN"/>
              </w:rPr>
            </w:pPr>
            <w:r>
              <w:rPr>
                <w:color w:val="auto"/>
                <w:szCs w:val="21"/>
                <w:highlight w:val="none"/>
              </w:rPr>
              <w:t>153.3</w:t>
            </w:r>
          </w:p>
        </w:tc>
        <w:tc>
          <w:tcPr>
            <w:tcW w:w="550" w:type="pct"/>
            <w:vAlign w:val="center"/>
          </w:tcPr>
          <w:p w14:paraId="394B4877">
            <w:pPr>
              <w:autoSpaceDE w:val="0"/>
              <w:autoSpaceDN w:val="0"/>
              <w:jc w:val="center"/>
              <w:rPr>
                <w:rFonts w:hint="default" w:ascii="Times New Roman" w:hAnsi="Times New Roman" w:eastAsia="宋体" w:cs="Times New Roman"/>
                <w:color w:val="auto"/>
                <w:highlight w:val="none"/>
                <w:lang w:val="en-US" w:eastAsia="zh-CN"/>
              </w:rPr>
            </w:pPr>
            <w:r>
              <w:rPr>
                <w:color w:val="auto"/>
                <w:szCs w:val="21"/>
                <w:highlight w:val="none"/>
              </w:rPr>
              <w:t>153.3</w:t>
            </w:r>
          </w:p>
        </w:tc>
        <w:tc>
          <w:tcPr>
            <w:tcW w:w="494" w:type="pct"/>
            <w:vAlign w:val="center"/>
          </w:tcPr>
          <w:p w14:paraId="5F974063">
            <w:pPr>
              <w:autoSpaceDE w:val="0"/>
              <w:autoSpaceDN w:val="0"/>
              <w:jc w:val="center"/>
              <w:rPr>
                <w:rFonts w:hint="default" w:ascii="Times New Roman" w:hAnsi="Times New Roman" w:eastAsia="宋体" w:cs="Times New Roman"/>
                <w:color w:val="auto"/>
                <w:highlight w:val="none"/>
                <w:lang w:val="en-US" w:eastAsia="zh-CN"/>
              </w:rPr>
            </w:pPr>
            <w:r>
              <w:rPr>
                <w:color w:val="auto"/>
                <w:szCs w:val="21"/>
                <w:highlight w:val="none"/>
              </w:rPr>
              <w:t>21.9</w:t>
            </w:r>
          </w:p>
        </w:tc>
        <w:tc>
          <w:tcPr>
            <w:tcW w:w="453" w:type="pct"/>
            <w:vAlign w:val="center"/>
          </w:tcPr>
          <w:p w14:paraId="5000A62A">
            <w:pPr>
              <w:autoSpaceDE w:val="0"/>
              <w:autoSpaceDN w:val="0"/>
              <w:jc w:val="center"/>
              <w:rPr>
                <w:rFonts w:hint="default" w:ascii="Times New Roman" w:hAnsi="Times New Roman" w:eastAsia="宋体" w:cs="Times New Roman"/>
                <w:color w:val="auto"/>
                <w:highlight w:val="none"/>
                <w:lang w:val="en-US" w:eastAsia="zh-CN"/>
              </w:rPr>
            </w:pPr>
            <w:r>
              <w:rPr>
                <w:color w:val="auto"/>
                <w:szCs w:val="21"/>
                <w:highlight w:val="none"/>
              </w:rPr>
              <w:t>16.425</w:t>
            </w:r>
          </w:p>
        </w:tc>
        <w:tc>
          <w:tcPr>
            <w:tcW w:w="519" w:type="pct"/>
            <w:vAlign w:val="center"/>
          </w:tcPr>
          <w:p w14:paraId="12A47D7F">
            <w:pPr>
              <w:autoSpaceDE w:val="0"/>
              <w:autoSpaceDN w:val="0"/>
              <w:jc w:val="center"/>
              <w:rPr>
                <w:rFonts w:hint="default" w:ascii="Times New Roman" w:hAnsi="Times New Roman" w:eastAsia="宋体" w:cs="Times New Roman"/>
                <w:color w:val="auto"/>
                <w:highlight w:val="none"/>
                <w:lang w:val="en-US" w:eastAsia="zh-CN"/>
              </w:rPr>
            </w:pPr>
            <w:r>
              <w:rPr>
                <w:color w:val="auto"/>
                <w:szCs w:val="21"/>
                <w:highlight w:val="none"/>
              </w:rPr>
              <w:t>2.7375</w:t>
            </w:r>
          </w:p>
        </w:tc>
        <w:tc>
          <w:tcPr>
            <w:tcW w:w="741" w:type="pct"/>
            <w:vMerge w:val="continue"/>
            <w:tcBorders>
              <w:top w:val="nil"/>
            </w:tcBorders>
            <w:vAlign w:val="center"/>
          </w:tcPr>
          <w:p w14:paraId="49476751">
            <w:pPr>
              <w:pStyle w:val="10"/>
              <w:keepNext w:val="0"/>
              <w:keepLines w:val="0"/>
              <w:pageBreakBefore w:val="0"/>
              <w:kinsoku/>
              <w:wordWrap/>
              <w:overflowPunct/>
              <w:topLinePunct w:val="0"/>
              <w:autoSpaceDE/>
              <w:autoSpaceDN/>
              <w:bidi w:val="0"/>
              <w:adjustRightInd w:val="0"/>
              <w:snapToGrid w:val="0"/>
              <w:spacing w:line="240" w:lineRule="auto"/>
              <w:ind w:firstLine="0"/>
              <w:jc w:val="center"/>
              <w:textAlignment w:val="auto"/>
              <w:rPr>
                <w:rFonts w:hint="eastAsia"/>
                <w:color w:val="auto"/>
                <w:sz w:val="21"/>
                <w:szCs w:val="21"/>
                <w:vertAlign w:val="baseline"/>
                <w:lang w:eastAsia="en-US"/>
              </w:rPr>
            </w:pPr>
          </w:p>
        </w:tc>
      </w:tr>
    </w:tbl>
    <w:p w14:paraId="6432BE4B">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本项目投入使用后，截取原来排入排水渠和大八河的未处理的污水，消减了相应的污染物。COD</w:t>
      </w:r>
      <w:r>
        <w:rPr>
          <w:rFonts w:hint="eastAsia"/>
          <w:color w:val="auto"/>
          <w:sz w:val="24"/>
          <w:highlight w:val="none"/>
          <w:vertAlign w:val="subscript"/>
          <w:lang w:val="en-US" w:eastAsia="zh-CN"/>
        </w:rPr>
        <w:t>Cr</w:t>
      </w:r>
      <w:r>
        <w:rPr>
          <w:rFonts w:hint="eastAsia"/>
          <w:color w:val="auto"/>
          <w:sz w:val="24"/>
          <w:highlight w:val="none"/>
          <w:lang w:val="en-US" w:eastAsia="zh-CN"/>
        </w:rPr>
        <w:t>、氨氮和总磷的消减量可分别达到240.9t/a，21.9t/a和2.7375t/a。处理达标后，尾水由污水处理厂排放口排入东北面的排水渠，最终汇入吉水河和大八河，减少了纳污范围内分散的排污口数量，规范了排污口设置。因此本项目对纳污水体水质改善具有正面积极作用。</w:t>
      </w:r>
    </w:p>
    <w:p w14:paraId="4A115DB3">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cs="Times New Roman"/>
          <w:color w:val="auto"/>
          <w:lang w:val="en-US" w:eastAsia="zh-CN"/>
        </w:rPr>
        <w:t>排水渠</w:t>
      </w:r>
      <w:r>
        <w:rPr>
          <w:rFonts w:hint="eastAsia" w:ascii="Times New Roman" w:hAnsi="Times New Roman" w:cs="Times New Roman"/>
          <w:color w:val="auto"/>
          <w:lang w:val="en-US" w:eastAsia="zh-CN"/>
        </w:rPr>
        <w:t>和大八河</w:t>
      </w:r>
    </w:p>
    <w:p w14:paraId="3734A2E4">
      <w:pPr>
        <w:pStyle w:val="37"/>
        <w:spacing w:line="360" w:lineRule="auto"/>
        <w:ind w:firstLine="480" w:firstLineChars="200"/>
        <w:jc w:val="both"/>
        <w:rPr>
          <w:rFonts w:hint="eastAsia" w:ascii="Times New Roman"/>
          <w:color w:val="auto"/>
        </w:rPr>
      </w:pPr>
      <w:r>
        <w:rPr>
          <w:rFonts w:hint="eastAsia"/>
          <w:color w:val="auto"/>
          <w:sz w:val="24"/>
          <w:szCs w:val="24"/>
          <w:highlight w:val="none"/>
          <w:lang w:val="en-US" w:eastAsia="zh-CN"/>
        </w:rPr>
        <w:t>经计算，可得混合过程段长度为480m，污水在排水渠已得到完全混合，故本项目预测入河排污口至大八河河段550m内污染物浓度变化情况。</w:t>
      </w:r>
    </w:p>
    <w:p w14:paraId="7BC417D3">
      <w:pPr>
        <w:numPr>
          <w:ilvl w:val="0"/>
          <w:numId w:val="10"/>
        </w:numPr>
        <w:spacing w:line="360" w:lineRule="auto"/>
        <w:ind w:firstLine="482" w:firstLineChars="200"/>
        <w:rPr>
          <w:rFonts w:hint="eastAsia" w:ascii="Times New Roman" w:hAnsi="Times New Roman" w:cs="Times New Roman"/>
          <w:b/>
          <w:bCs/>
          <w:color w:val="auto"/>
          <w:sz w:val="24"/>
          <w:highlight w:val="none"/>
          <w:lang w:val="en-US" w:eastAsia="zh-CN"/>
        </w:rPr>
      </w:pPr>
      <w:r>
        <w:rPr>
          <w:rFonts w:hint="eastAsia" w:ascii="Times New Roman" w:hAnsi="Times New Roman" w:cs="Times New Roman"/>
          <w:b/>
          <w:bCs/>
          <w:color w:val="auto"/>
          <w:sz w:val="24"/>
          <w:highlight w:val="none"/>
          <w:lang w:val="en-US" w:eastAsia="zh-CN"/>
        </w:rPr>
        <w:t>正常工况下</w:t>
      </w:r>
    </w:p>
    <w:p w14:paraId="3895CFB0">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①COD</w:t>
      </w:r>
      <w:r>
        <w:rPr>
          <w:rFonts w:hint="eastAsia" w:ascii="Times New Roman" w:hAnsi="Times New Roman" w:cs="Times New Roman"/>
          <w:color w:val="auto"/>
          <w:sz w:val="24"/>
          <w:highlight w:val="none"/>
          <w:vertAlign w:val="subscript"/>
          <w:lang w:val="en-US" w:eastAsia="zh-CN"/>
        </w:rPr>
        <w:t>Cr</w:t>
      </w:r>
      <w:r>
        <w:rPr>
          <w:rFonts w:hint="eastAsia" w:ascii="Times New Roman" w:hAnsi="Times New Roman" w:cs="Times New Roman"/>
          <w:color w:val="auto"/>
          <w:sz w:val="24"/>
          <w:highlight w:val="none"/>
          <w:lang w:val="en-US" w:eastAsia="zh-CN"/>
        </w:rPr>
        <w:t>预测结果分析</w:t>
      </w:r>
    </w:p>
    <w:p w14:paraId="1E307DE6">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正常工况下，项目</w:t>
      </w:r>
      <w:r>
        <w:rPr>
          <w:rFonts w:hint="eastAsia" w:cs="Times New Roman"/>
          <w:color w:val="auto"/>
          <w:sz w:val="24"/>
          <w:highlight w:val="none"/>
          <w:lang w:val="en-US" w:eastAsia="zh-CN"/>
        </w:rPr>
        <w:t>污水处理厂排放尾水中污染物</w:t>
      </w:r>
      <w:r>
        <w:rPr>
          <w:rFonts w:hint="default" w:ascii="Times New Roman" w:hAnsi="Times New Roman" w:cs="Times New Roman"/>
          <w:color w:val="auto"/>
          <w:sz w:val="24"/>
          <w:highlight w:val="none"/>
          <w:lang w:val="en-US" w:eastAsia="zh-CN"/>
        </w:rPr>
        <w:t>COD</w:t>
      </w:r>
      <w:r>
        <w:rPr>
          <w:rFonts w:hint="default" w:ascii="Times New Roman" w:hAnsi="Times New Roman" w:cs="Times New Roman"/>
          <w:color w:val="auto"/>
          <w:sz w:val="24"/>
          <w:highlight w:val="none"/>
          <w:vertAlign w:val="subscript"/>
          <w:lang w:val="en-US" w:eastAsia="zh-CN"/>
        </w:rPr>
        <w:t>Cr</w:t>
      </w:r>
      <w:r>
        <w:rPr>
          <w:rFonts w:hint="eastAsia" w:ascii="Times New Roman" w:hAnsi="Times New Roman" w:cs="Times New Roman"/>
          <w:color w:val="auto"/>
          <w:sz w:val="24"/>
          <w:highlight w:val="none"/>
          <w:lang w:val="en-US" w:eastAsia="zh-CN"/>
        </w:rPr>
        <w:t>对</w:t>
      </w:r>
      <w:r>
        <w:rPr>
          <w:rFonts w:hint="eastAsia"/>
          <w:color w:val="auto"/>
          <w:sz w:val="24"/>
          <w:highlight w:val="none"/>
          <w:lang w:val="en-US" w:eastAsia="zh-CN"/>
        </w:rPr>
        <w:t>排水渠</w:t>
      </w:r>
      <w:r>
        <w:rPr>
          <w:rFonts w:hint="eastAsia" w:ascii="Times New Roman" w:hAnsi="Times New Roman" w:cs="Times New Roman"/>
          <w:color w:val="auto"/>
          <w:sz w:val="24"/>
          <w:highlight w:val="none"/>
          <w:lang w:val="en-US" w:eastAsia="zh-CN"/>
        </w:rPr>
        <w:t>影响预测结果见</w:t>
      </w:r>
      <w:r>
        <w:rPr>
          <w:rFonts w:hint="eastAsia" w:cs="Times New Roman"/>
          <w:color w:val="auto"/>
          <w:sz w:val="24"/>
          <w:highlight w:val="none"/>
          <w:lang w:val="en-US" w:eastAsia="zh-CN"/>
        </w:rPr>
        <w:t>下</w:t>
      </w:r>
      <w:r>
        <w:rPr>
          <w:rFonts w:hint="eastAsia" w:ascii="Times New Roman" w:hAnsi="Times New Roman" w:cs="Times New Roman"/>
          <w:color w:val="auto"/>
          <w:sz w:val="24"/>
          <w:highlight w:val="none"/>
          <w:lang w:val="en-US" w:eastAsia="zh-CN"/>
        </w:rPr>
        <w:t xml:space="preserve">表。 </w:t>
      </w:r>
    </w:p>
    <w:p w14:paraId="17C7DF5E">
      <w:pPr>
        <w:pStyle w:val="7"/>
        <w:bidi w:val="0"/>
        <w:rPr>
          <w:rFonts w:hint="eastAsia"/>
          <w:color w:val="auto"/>
        </w:rPr>
      </w:pPr>
      <w:r>
        <w:rPr>
          <w:rFonts w:hint="eastAsia"/>
          <w:color w:val="auto"/>
          <w:lang w:val="en-US" w:eastAsia="zh-CN"/>
        </w:rPr>
        <w:t>尾水正常排放对排水渠下游河段预</w:t>
      </w:r>
      <w:r>
        <w:rPr>
          <w:rFonts w:hint="eastAsia"/>
          <w:color w:val="auto"/>
        </w:rPr>
        <w:t>测结果（</w:t>
      </w:r>
      <w:r>
        <w:rPr>
          <w:rFonts w:hint="default" w:ascii="Times New Roman" w:hAnsi="Times New Roman" w:cs="Times New Roman"/>
          <w:color w:val="auto"/>
          <w:sz w:val="21"/>
          <w:szCs w:val="21"/>
          <w:highlight w:val="none"/>
          <w:lang w:val="en-US" w:eastAsia="zh-CN"/>
        </w:rPr>
        <w:t>COD</w:t>
      </w:r>
      <w:r>
        <w:rPr>
          <w:rFonts w:hint="default" w:ascii="Times New Roman" w:hAnsi="Times New Roman" w:cs="Times New Roman"/>
          <w:color w:val="auto"/>
          <w:sz w:val="21"/>
          <w:szCs w:val="21"/>
          <w:highlight w:val="none"/>
          <w:vertAlign w:val="subscript"/>
          <w:lang w:val="en-US" w:eastAsia="zh-CN"/>
        </w:rPr>
        <w:t>Cr</w:t>
      </w:r>
      <w:r>
        <w:rPr>
          <w:rFonts w:hint="eastAsia"/>
          <w:color w:val="auto"/>
        </w:rPr>
        <w:t>）单位：mg/L</w:t>
      </w:r>
    </w:p>
    <w:tbl>
      <w:tblPr>
        <w:tblStyle w:val="31"/>
        <w:tblW w:w="4455" w:type="pct"/>
        <w:jc w:val="center"/>
        <w:tblLayout w:type="autofit"/>
        <w:tblCellMar>
          <w:top w:w="0" w:type="dxa"/>
          <w:left w:w="108" w:type="dxa"/>
          <w:bottom w:w="0" w:type="dxa"/>
          <w:right w:w="108" w:type="dxa"/>
        </w:tblCellMar>
      </w:tblPr>
      <w:tblGrid>
        <w:gridCol w:w="1114"/>
        <w:gridCol w:w="995"/>
        <w:gridCol w:w="997"/>
        <w:gridCol w:w="997"/>
        <w:gridCol w:w="997"/>
        <w:gridCol w:w="1012"/>
        <w:gridCol w:w="2123"/>
      </w:tblGrid>
      <w:tr w14:paraId="7FF077F7">
        <w:tblPrEx>
          <w:tblCellMar>
            <w:top w:w="0" w:type="dxa"/>
            <w:left w:w="108" w:type="dxa"/>
            <w:bottom w:w="0" w:type="dxa"/>
            <w:right w:w="108" w:type="dxa"/>
          </w:tblCellMar>
        </w:tblPrEx>
        <w:trPr>
          <w:trHeight w:val="354" w:hRule="atLeast"/>
          <w:jc w:val="center"/>
        </w:trPr>
        <w:tc>
          <w:tcPr>
            <w:tcW w:w="677" w:type="pct"/>
            <w:tcBorders>
              <w:top w:val="single" w:color="auto" w:sz="4" w:space="0"/>
              <w:left w:val="single" w:color="auto" w:sz="4" w:space="0"/>
              <w:bottom w:val="single" w:color="auto" w:sz="4" w:space="0"/>
              <w:right w:val="single" w:color="auto" w:sz="4" w:space="0"/>
            </w:tcBorders>
            <w:noWrap w:val="0"/>
            <w:vAlign w:val="center"/>
          </w:tcPr>
          <w:p w14:paraId="17C12906">
            <w:pPr>
              <w:widowControl/>
              <w:jc w:val="center"/>
              <w:rPr>
                <w:rFonts w:ascii="Times New Roman" w:hAnsi="Times New Roman" w:eastAsia="宋体" w:cs="Times New Roman"/>
                <w:b/>
                <w:bCs/>
                <w:color w:val="auto"/>
                <w:kern w:val="0"/>
                <w:szCs w:val="21"/>
              </w:rPr>
            </w:pPr>
            <w:r>
              <w:rPr>
                <w:rFonts w:ascii="Times New Roman" w:hAnsi="Times New Roman" w:eastAsia="宋体" w:cs="Times New Roman"/>
                <w:b/>
                <w:bCs/>
                <w:color w:val="auto"/>
                <w:kern w:val="0"/>
                <w:szCs w:val="21"/>
              </w:rPr>
              <w:t>X\c/Y　</w:t>
            </w:r>
          </w:p>
        </w:tc>
        <w:tc>
          <w:tcPr>
            <w:tcW w:w="604" w:type="pct"/>
            <w:tcBorders>
              <w:top w:val="single" w:color="auto" w:sz="4" w:space="0"/>
              <w:left w:val="nil"/>
              <w:bottom w:val="single" w:color="auto" w:sz="4" w:space="0"/>
              <w:right w:val="single" w:color="auto" w:sz="4" w:space="0"/>
            </w:tcBorders>
            <w:noWrap w:val="0"/>
            <w:vAlign w:val="center"/>
          </w:tcPr>
          <w:p w14:paraId="1939F5E2">
            <w:pPr>
              <w:widowControl/>
              <w:jc w:val="center"/>
              <w:rPr>
                <w:rFonts w:hint="default" w:ascii="Times New Roman" w:hAnsi="Times New Roman" w:eastAsia="宋体" w:cs="Times New Roman"/>
                <w:b/>
                <w:bCs/>
                <w:color w:val="auto"/>
                <w:kern w:val="0"/>
                <w:szCs w:val="21"/>
                <w:lang w:val="en-US" w:eastAsia="zh-CN"/>
              </w:rPr>
            </w:pPr>
            <w:r>
              <w:rPr>
                <w:rFonts w:hint="eastAsia" w:cs="Times New Roman"/>
                <w:b/>
                <w:bCs/>
                <w:color w:val="auto"/>
                <w:kern w:val="0"/>
                <w:szCs w:val="21"/>
                <w:lang w:val="en-US" w:eastAsia="zh-CN"/>
              </w:rPr>
              <w:t>1</w:t>
            </w:r>
          </w:p>
        </w:tc>
        <w:tc>
          <w:tcPr>
            <w:tcW w:w="605" w:type="pct"/>
            <w:tcBorders>
              <w:top w:val="single" w:color="auto" w:sz="4" w:space="0"/>
              <w:left w:val="nil"/>
              <w:bottom w:val="single" w:color="auto" w:sz="4" w:space="0"/>
              <w:right w:val="single" w:color="auto" w:sz="4" w:space="0"/>
            </w:tcBorders>
            <w:noWrap w:val="0"/>
            <w:vAlign w:val="center"/>
          </w:tcPr>
          <w:p w14:paraId="05A3F7BB">
            <w:pPr>
              <w:widowControl/>
              <w:jc w:val="center"/>
              <w:rPr>
                <w:rFonts w:hint="default" w:ascii="Times New Roman" w:hAnsi="Times New Roman" w:eastAsia="宋体" w:cs="Times New Roman"/>
                <w:b/>
                <w:bCs/>
                <w:color w:val="auto"/>
                <w:kern w:val="0"/>
                <w:szCs w:val="21"/>
                <w:lang w:val="en-US" w:eastAsia="zh-CN"/>
              </w:rPr>
            </w:pPr>
            <w:r>
              <w:rPr>
                <w:rFonts w:hint="eastAsia" w:cs="Times New Roman"/>
                <w:b/>
                <w:bCs/>
                <w:color w:val="auto"/>
                <w:kern w:val="0"/>
                <w:szCs w:val="21"/>
                <w:lang w:val="en-US" w:eastAsia="zh-CN"/>
              </w:rPr>
              <w:t>2</w:t>
            </w:r>
          </w:p>
        </w:tc>
        <w:tc>
          <w:tcPr>
            <w:tcW w:w="605" w:type="pct"/>
            <w:tcBorders>
              <w:top w:val="single" w:color="auto" w:sz="4" w:space="0"/>
              <w:left w:val="nil"/>
              <w:bottom w:val="single" w:color="auto" w:sz="4" w:space="0"/>
              <w:right w:val="single" w:color="auto" w:sz="4" w:space="0"/>
            </w:tcBorders>
            <w:noWrap w:val="0"/>
            <w:vAlign w:val="center"/>
          </w:tcPr>
          <w:p w14:paraId="455DBF8C">
            <w:pPr>
              <w:widowControl/>
              <w:jc w:val="center"/>
              <w:rPr>
                <w:rFonts w:hint="default" w:cs="Times New Roman"/>
                <w:b/>
                <w:bCs/>
                <w:color w:val="auto"/>
                <w:kern w:val="0"/>
                <w:szCs w:val="21"/>
                <w:lang w:val="en-US" w:eastAsia="zh-CN"/>
              </w:rPr>
            </w:pPr>
            <w:r>
              <w:rPr>
                <w:rFonts w:hint="eastAsia" w:cs="Times New Roman"/>
                <w:b/>
                <w:bCs/>
                <w:color w:val="auto"/>
                <w:kern w:val="0"/>
                <w:szCs w:val="21"/>
                <w:lang w:val="en-US" w:eastAsia="zh-CN"/>
              </w:rPr>
              <w:t>3</w:t>
            </w:r>
          </w:p>
        </w:tc>
        <w:tc>
          <w:tcPr>
            <w:tcW w:w="605" w:type="pct"/>
            <w:tcBorders>
              <w:top w:val="single" w:color="auto" w:sz="4" w:space="0"/>
              <w:left w:val="nil"/>
              <w:bottom w:val="single" w:color="auto" w:sz="4" w:space="0"/>
              <w:right w:val="single" w:color="auto" w:sz="4" w:space="0"/>
            </w:tcBorders>
            <w:noWrap w:val="0"/>
            <w:vAlign w:val="center"/>
          </w:tcPr>
          <w:p w14:paraId="611DC17A">
            <w:pPr>
              <w:widowControl/>
              <w:jc w:val="center"/>
              <w:rPr>
                <w:rFonts w:hint="default" w:ascii="Times New Roman" w:hAnsi="Times New Roman" w:eastAsia="宋体" w:cs="Times New Roman"/>
                <w:b/>
                <w:bCs/>
                <w:color w:val="auto"/>
                <w:kern w:val="0"/>
                <w:szCs w:val="21"/>
                <w:lang w:val="en-US" w:eastAsia="zh-CN"/>
              </w:rPr>
            </w:pPr>
            <w:r>
              <w:rPr>
                <w:rFonts w:hint="eastAsia" w:cs="Times New Roman"/>
                <w:b/>
                <w:bCs/>
                <w:color w:val="auto"/>
                <w:kern w:val="0"/>
                <w:szCs w:val="21"/>
                <w:lang w:val="en-US" w:eastAsia="zh-CN"/>
              </w:rPr>
              <w:t>4</w:t>
            </w:r>
          </w:p>
        </w:tc>
        <w:tc>
          <w:tcPr>
            <w:tcW w:w="613" w:type="pct"/>
            <w:tcBorders>
              <w:top w:val="single" w:color="auto" w:sz="4" w:space="0"/>
              <w:left w:val="nil"/>
              <w:bottom w:val="single" w:color="auto" w:sz="4" w:space="0"/>
              <w:right w:val="single" w:color="auto" w:sz="4" w:space="0"/>
            </w:tcBorders>
            <w:noWrap w:val="0"/>
            <w:vAlign w:val="center"/>
          </w:tcPr>
          <w:p w14:paraId="5DFCD0AB">
            <w:pPr>
              <w:widowControl/>
              <w:jc w:val="center"/>
              <w:rPr>
                <w:rFonts w:hint="default" w:ascii="Times New Roman" w:hAnsi="Times New Roman" w:eastAsia="宋体" w:cs="Times New Roman"/>
                <w:b/>
                <w:bCs/>
                <w:color w:val="auto"/>
                <w:kern w:val="0"/>
                <w:szCs w:val="21"/>
                <w:lang w:val="en-US" w:eastAsia="zh-CN"/>
              </w:rPr>
            </w:pPr>
            <w:r>
              <w:rPr>
                <w:rFonts w:hint="eastAsia" w:cs="Times New Roman"/>
                <w:b/>
                <w:bCs/>
                <w:color w:val="auto"/>
                <w:kern w:val="0"/>
                <w:szCs w:val="21"/>
                <w:lang w:val="en-US" w:eastAsia="zh-CN"/>
              </w:rPr>
              <w:t>5</w:t>
            </w:r>
          </w:p>
        </w:tc>
        <w:tc>
          <w:tcPr>
            <w:tcW w:w="1289" w:type="pct"/>
            <w:tcBorders>
              <w:top w:val="single" w:color="auto" w:sz="4" w:space="0"/>
              <w:left w:val="nil"/>
              <w:bottom w:val="single" w:color="auto" w:sz="4" w:space="0"/>
              <w:right w:val="single" w:color="auto" w:sz="4" w:space="0"/>
            </w:tcBorders>
            <w:noWrap w:val="0"/>
            <w:vAlign w:val="center"/>
          </w:tcPr>
          <w:p w14:paraId="66D72196">
            <w:pPr>
              <w:widowControl/>
              <w:jc w:val="center"/>
              <w:rPr>
                <w:rFonts w:ascii="Times New Roman" w:hAnsi="Times New Roman" w:eastAsia="宋体" w:cs="Times New Roman"/>
                <w:b/>
                <w:bCs/>
                <w:color w:val="auto"/>
                <w:kern w:val="0"/>
                <w:szCs w:val="21"/>
              </w:rPr>
            </w:pPr>
            <w:r>
              <w:rPr>
                <w:rFonts w:ascii="Times New Roman" w:hAnsi="Times New Roman" w:eastAsia="宋体" w:cs="Times New Roman"/>
                <w:b/>
                <w:bCs/>
                <w:color w:val="auto"/>
                <w:kern w:val="0"/>
                <w:szCs w:val="21"/>
              </w:rPr>
              <w:t>备注</w:t>
            </w:r>
          </w:p>
        </w:tc>
      </w:tr>
      <w:tr w14:paraId="559AD3D9">
        <w:tblPrEx>
          <w:tblCellMar>
            <w:top w:w="0" w:type="dxa"/>
            <w:left w:w="108" w:type="dxa"/>
            <w:bottom w:w="0" w:type="dxa"/>
            <w:right w:w="108" w:type="dxa"/>
          </w:tblCellMar>
        </w:tblPrEx>
        <w:trPr>
          <w:trHeight w:val="354" w:hRule="atLeast"/>
          <w:jc w:val="center"/>
        </w:trPr>
        <w:tc>
          <w:tcPr>
            <w:tcW w:w="677" w:type="pct"/>
            <w:tcBorders>
              <w:top w:val="single" w:color="auto" w:sz="4" w:space="0"/>
              <w:left w:val="single" w:color="auto" w:sz="4" w:space="0"/>
              <w:bottom w:val="single" w:color="auto" w:sz="4" w:space="0"/>
              <w:right w:val="single" w:color="auto" w:sz="4" w:space="0"/>
            </w:tcBorders>
            <w:noWrap w:val="0"/>
            <w:vAlign w:val="center"/>
          </w:tcPr>
          <w:p w14:paraId="40F06463">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w:t>
            </w:r>
          </w:p>
        </w:tc>
        <w:tc>
          <w:tcPr>
            <w:tcW w:w="604" w:type="pct"/>
            <w:tcBorders>
              <w:top w:val="single" w:color="auto" w:sz="4" w:space="0"/>
              <w:left w:val="nil"/>
              <w:bottom w:val="single" w:color="auto" w:sz="4" w:space="0"/>
              <w:right w:val="single" w:color="auto" w:sz="4" w:space="0"/>
            </w:tcBorders>
            <w:noWrap w:val="0"/>
            <w:vAlign w:val="center"/>
          </w:tcPr>
          <w:p w14:paraId="03D0B555">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16.0000 </w:t>
            </w:r>
          </w:p>
        </w:tc>
        <w:tc>
          <w:tcPr>
            <w:tcW w:w="605" w:type="pct"/>
            <w:tcBorders>
              <w:top w:val="single" w:color="auto" w:sz="4" w:space="0"/>
              <w:left w:val="nil"/>
              <w:bottom w:val="single" w:color="auto" w:sz="4" w:space="0"/>
              <w:right w:val="single" w:color="auto" w:sz="4" w:space="0"/>
            </w:tcBorders>
            <w:noWrap w:val="0"/>
            <w:vAlign w:val="center"/>
          </w:tcPr>
          <w:p w14:paraId="22061991">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16.0000 </w:t>
            </w:r>
          </w:p>
        </w:tc>
        <w:tc>
          <w:tcPr>
            <w:tcW w:w="605" w:type="pct"/>
            <w:tcBorders>
              <w:top w:val="single" w:color="auto" w:sz="4" w:space="0"/>
              <w:left w:val="nil"/>
              <w:bottom w:val="single" w:color="auto" w:sz="4" w:space="0"/>
              <w:right w:val="single" w:color="auto" w:sz="4" w:space="0"/>
            </w:tcBorders>
            <w:noWrap w:val="0"/>
            <w:vAlign w:val="center"/>
          </w:tcPr>
          <w:p w14:paraId="11CA9105">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16.0000 </w:t>
            </w:r>
          </w:p>
        </w:tc>
        <w:tc>
          <w:tcPr>
            <w:tcW w:w="605" w:type="pct"/>
            <w:tcBorders>
              <w:top w:val="single" w:color="auto" w:sz="4" w:space="0"/>
              <w:left w:val="nil"/>
              <w:bottom w:val="single" w:color="auto" w:sz="4" w:space="0"/>
              <w:right w:val="single" w:color="auto" w:sz="4" w:space="0"/>
            </w:tcBorders>
            <w:noWrap w:val="0"/>
            <w:vAlign w:val="center"/>
          </w:tcPr>
          <w:p w14:paraId="648A5B51">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16.0000 </w:t>
            </w:r>
          </w:p>
        </w:tc>
        <w:tc>
          <w:tcPr>
            <w:tcW w:w="613" w:type="pct"/>
            <w:tcBorders>
              <w:top w:val="single" w:color="auto" w:sz="4" w:space="0"/>
              <w:left w:val="nil"/>
              <w:bottom w:val="single" w:color="auto" w:sz="4" w:space="0"/>
              <w:right w:val="single" w:color="auto" w:sz="4" w:space="0"/>
            </w:tcBorders>
            <w:noWrap w:val="0"/>
            <w:vAlign w:val="center"/>
          </w:tcPr>
          <w:p w14:paraId="5B43CA44">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16.0000 </w:t>
            </w:r>
          </w:p>
        </w:tc>
        <w:tc>
          <w:tcPr>
            <w:tcW w:w="1289" w:type="pct"/>
            <w:vMerge w:val="restart"/>
            <w:tcBorders>
              <w:top w:val="single" w:color="auto" w:sz="4" w:space="0"/>
              <w:left w:val="nil"/>
              <w:right w:val="single" w:color="auto" w:sz="4" w:space="0"/>
            </w:tcBorders>
            <w:noWrap w:val="0"/>
            <w:vAlign w:val="center"/>
          </w:tcPr>
          <w:p w14:paraId="00A9343B">
            <w:pPr>
              <w:widowControl/>
              <w:jc w:val="center"/>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混合过程段</w:t>
            </w:r>
            <w:r>
              <w:rPr>
                <w:rFonts w:hint="eastAsia" w:ascii="Times New Roman" w:hAnsi="Times New Roman" w:eastAsia="宋体" w:cs="Times New Roman"/>
                <w:color w:val="auto"/>
                <w:kern w:val="0"/>
                <w:sz w:val="21"/>
                <w:szCs w:val="21"/>
                <w:lang w:eastAsia="zh-CN"/>
              </w:rPr>
              <w:t>（</w:t>
            </w:r>
            <w:r>
              <w:rPr>
                <w:rFonts w:hint="eastAsia" w:ascii="Times New Roman" w:hAnsi="Times New Roman" w:eastAsia="宋体" w:cs="Times New Roman"/>
                <w:color w:val="auto"/>
                <w:kern w:val="0"/>
                <w:sz w:val="21"/>
                <w:szCs w:val="21"/>
                <w:lang w:val="en-US" w:eastAsia="zh-CN"/>
              </w:rPr>
              <w:t>排水渠</w:t>
            </w:r>
            <w:r>
              <w:rPr>
                <w:rFonts w:hint="eastAsia" w:ascii="Times New Roman" w:hAnsi="Times New Roman" w:eastAsia="宋体" w:cs="Times New Roman"/>
                <w:color w:val="auto"/>
                <w:kern w:val="0"/>
                <w:sz w:val="21"/>
                <w:szCs w:val="21"/>
                <w:lang w:eastAsia="zh-CN"/>
              </w:rPr>
              <w:t>）</w:t>
            </w:r>
          </w:p>
        </w:tc>
      </w:tr>
      <w:tr w14:paraId="4D6D6FAC">
        <w:tblPrEx>
          <w:tblCellMar>
            <w:top w:w="0" w:type="dxa"/>
            <w:left w:w="108" w:type="dxa"/>
            <w:bottom w:w="0" w:type="dxa"/>
            <w:right w:w="108" w:type="dxa"/>
          </w:tblCellMar>
        </w:tblPrEx>
        <w:trPr>
          <w:trHeight w:val="354" w:hRule="atLeast"/>
          <w:jc w:val="center"/>
        </w:trPr>
        <w:tc>
          <w:tcPr>
            <w:tcW w:w="677" w:type="pct"/>
            <w:tcBorders>
              <w:top w:val="nil"/>
              <w:left w:val="single" w:color="auto" w:sz="4" w:space="0"/>
              <w:bottom w:val="single" w:color="auto" w:sz="4" w:space="0"/>
              <w:right w:val="single" w:color="auto" w:sz="4" w:space="0"/>
            </w:tcBorders>
            <w:noWrap w:val="0"/>
            <w:vAlign w:val="center"/>
          </w:tcPr>
          <w:p w14:paraId="7F191E33">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10</w:t>
            </w:r>
          </w:p>
        </w:tc>
        <w:tc>
          <w:tcPr>
            <w:tcW w:w="604" w:type="pct"/>
            <w:tcBorders>
              <w:top w:val="nil"/>
              <w:left w:val="nil"/>
              <w:bottom w:val="single" w:color="auto" w:sz="4" w:space="0"/>
              <w:right w:val="single" w:color="auto" w:sz="4" w:space="0"/>
            </w:tcBorders>
            <w:noWrap w:val="0"/>
            <w:vAlign w:val="center"/>
          </w:tcPr>
          <w:p w14:paraId="07DAEEE8">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17.0357 </w:t>
            </w:r>
          </w:p>
        </w:tc>
        <w:tc>
          <w:tcPr>
            <w:tcW w:w="605" w:type="pct"/>
            <w:tcBorders>
              <w:top w:val="nil"/>
              <w:left w:val="nil"/>
              <w:bottom w:val="single" w:color="auto" w:sz="4" w:space="0"/>
              <w:right w:val="single" w:color="auto" w:sz="4" w:space="0"/>
            </w:tcBorders>
            <w:noWrap w:val="0"/>
            <w:vAlign w:val="center"/>
          </w:tcPr>
          <w:p w14:paraId="769EECF0">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16.0066 </w:t>
            </w:r>
          </w:p>
        </w:tc>
        <w:tc>
          <w:tcPr>
            <w:tcW w:w="605" w:type="pct"/>
            <w:tcBorders>
              <w:top w:val="nil"/>
              <w:left w:val="nil"/>
              <w:bottom w:val="single" w:color="auto" w:sz="4" w:space="0"/>
              <w:right w:val="single" w:color="auto" w:sz="4" w:space="0"/>
            </w:tcBorders>
            <w:noWrap w:val="0"/>
            <w:vAlign w:val="center"/>
          </w:tcPr>
          <w:p w14:paraId="3B27AABB">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16.0000 </w:t>
            </w:r>
          </w:p>
        </w:tc>
        <w:tc>
          <w:tcPr>
            <w:tcW w:w="605" w:type="pct"/>
            <w:tcBorders>
              <w:top w:val="nil"/>
              <w:left w:val="nil"/>
              <w:bottom w:val="single" w:color="auto" w:sz="4" w:space="0"/>
              <w:right w:val="single" w:color="auto" w:sz="4" w:space="0"/>
            </w:tcBorders>
            <w:noWrap w:val="0"/>
            <w:vAlign w:val="center"/>
          </w:tcPr>
          <w:p w14:paraId="0947BFD0">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16.0000 </w:t>
            </w:r>
          </w:p>
        </w:tc>
        <w:tc>
          <w:tcPr>
            <w:tcW w:w="613" w:type="pct"/>
            <w:tcBorders>
              <w:top w:val="nil"/>
              <w:left w:val="nil"/>
              <w:bottom w:val="single" w:color="auto" w:sz="4" w:space="0"/>
              <w:right w:val="single" w:color="auto" w:sz="4" w:space="0"/>
            </w:tcBorders>
            <w:noWrap w:val="0"/>
            <w:vAlign w:val="center"/>
          </w:tcPr>
          <w:p w14:paraId="31CB9851">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16.0000 </w:t>
            </w:r>
          </w:p>
        </w:tc>
        <w:tc>
          <w:tcPr>
            <w:tcW w:w="1289" w:type="pct"/>
            <w:vMerge w:val="continue"/>
            <w:tcBorders>
              <w:left w:val="nil"/>
              <w:right w:val="single" w:color="auto" w:sz="4" w:space="0"/>
            </w:tcBorders>
            <w:noWrap w:val="0"/>
            <w:vAlign w:val="center"/>
          </w:tcPr>
          <w:p w14:paraId="12C4BFA9">
            <w:pPr>
              <w:widowControl/>
              <w:jc w:val="center"/>
              <w:rPr>
                <w:rFonts w:ascii="Times New Roman" w:hAnsi="Times New Roman" w:eastAsia="宋体" w:cs="Times New Roman"/>
                <w:color w:val="auto"/>
                <w:kern w:val="0"/>
                <w:sz w:val="21"/>
                <w:szCs w:val="21"/>
              </w:rPr>
            </w:pPr>
          </w:p>
        </w:tc>
      </w:tr>
      <w:tr w14:paraId="561D692D">
        <w:tblPrEx>
          <w:tblCellMar>
            <w:top w:w="0" w:type="dxa"/>
            <w:left w:w="108" w:type="dxa"/>
            <w:bottom w:w="0" w:type="dxa"/>
            <w:right w:w="108" w:type="dxa"/>
          </w:tblCellMar>
        </w:tblPrEx>
        <w:trPr>
          <w:trHeight w:val="354" w:hRule="atLeast"/>
          <w:jc w:val="center"/>
        </w:trPr>
        <w:tc>
          <w:tcPr>
            <w:tcW w:w="677" w:type="pct"/>
            <w:tcBorders>
              <w:top w:val="nil"/>
              <w:left w:val="single" w:color="auto" w:sz="4" w:space="0"/>
              <w:bottom w:val="single" w:color="auto" w:sz="4" w:space="0"/>
              <w:right w:val="single" w:color="auto" w:sz="4" w:space="0"/>
            </w:tcBorders>
            <w:noWrap w:val="0"/>
            <w:vAlign w:val="center"/>
          </w:tcPr>
          <w:p w14:paraId="194277D8">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50</w:t>
            </w:r>
          </w:p>
        </w:tc>
        <w:tc>
          <w:tcPr>
            <w:tcW w:w="604" w:type="pct"/>
            <w:tcBorders>
              <w:top w:val="nil"/>
              <w:left w:val="nil"/>
              <w:bottom w:val="single" w:color="auto" w:sz="4" w:space="0"/>
              <w:right w:val="single" w:color="auto" w:sz="4" w:space="0"/>
            </w:tcBorders>
            <w:noWrap w:val="0"/>
            <w:vAlign w:val="center"/>
          </w:tcPr>
          <w:p w14:paraId="1222D9FD">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17.7477 </w:t>
            </w:r>
          </w:p>
        </w:tc>
        <w:tc>
          <w:tcPr>
            <w:tcW w:w="605" w:type="pct"/>
            <w:tcBorders>
              <w:top w:val="nil"/>
              <w:left w:val="nil"/>
              <w:bottom w:val="single" w:color="auto" w:sz="4" w:space="0"/>
              <w:right w:val="single" w:color="auto" w:sz="4" w:space="0"/>
            </w:tcBorders>
            <w:noWrap w:val="0"/>
            <w:vAlign w:val="center"/>
          </w:tcPr>
          <w:p w14:paraId="5C5C809A">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16.6363 </w:t>
            </w:r>
          </w:p>
        </w:tc>
        <w:tc>
          <w:tcPr>
            <w:tcW w:w="605" w:type="pct"/>
            <w:tcBorders>
              <w:top w:val="nil"/>
              <w:left w:val="nil"/>
              <w:bottom w:val="single" w:color="auto" w:sz="4" w:space="0"/>
              <w:right w:val="single" w:color="auto" w:sz="4" w:space="0"/>
            </w:tcBorders>
            <w:noWrap w:val="0"/>
            <w:vAlign w:val="center"/>
          </w:tcPr>
          <w:p w14:paraId="31FB031F">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16.1181 </w:t>
            </w:r>
          </w:p>
        </w:tc>
        <w:tc>
          <w:tcPr>
            <w:tcW w:w="605" w:type="pct"/>
            <w:tcBorders>
              <w:top w:val="nil"/>
              <w:left w:val="nil"/>
              <w:bottom w:val="single" w:color="auto" w:sz="4" w:space="0"/>
              <w:right w:val="single" w:color="auto" w:sz="4" w:space="0"/>
            </w:tcBorders>
            <w:noWrap w:val="0"/>
            <w:vAlign w:val="center"/>
          </w:tcPr>
          <w:p w14:paraId="520AE2D8">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16.0112 </w:t>
            </w:r>
          </w:p>
        </w:tc>
        <w:tc>
          <w:tcPr>
            <w:tcW w:w="613" w:type="pct"/>
            <w:tcBorders>
              <w:top w:val="nil"/>
              <w:left w:val="nil"/>
              <w:bottom w:val="single" w:color="auto" w:sz="4" w:space="0"/>
              <w:right w:val="single" w:color="auto" w:sz="4" w:space="0"/>
            </w:tcBorders>
            <w:noWrap w:val="0"/>
            <w:vAlign w:val="center"/>
          </w:tcPr>
          <w:p w14:paraId="50ACDFF2">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16.0005 </w:t>
            </w:r>
          </w:p>
        </w:tc>
        <w:tc>
          <w:tcPr>
            <w:tcW w:w="1289" w:type="pct"/>
            <w:vMerge w:val="continue"/>
            <w:tcBorders>
              <w:left w:val="nil"/>
              <w:right w:val="single" w:color="auto" w:sz="4" w:space="0"/>
            </w:tcBorders>
            <w:noWrap w:val="0"/>
            <w:vAlign w:val="center"/>
          </w:tcPr>
          <w:p w14:paraId="73FA8083">
            <w:pPr>
              <w:widowControl/>
              <w:jc w:val="center"/>
              <w:rPr>
                <w:rFonts w:ascii="Times New Roman" w:hAnsi="Times New Roman" w:eastAsia="宋体" w:cs="Times New Roman"/>
                <w:color w:val="auto"/>
                <w:kern w:val="0"/>
                <w:sz w:val="21"/>
                <w:szCs w:val="21"/>
              </w:rPr>
            </w:pPr>
          </w:p>
        </w:tc>
      </w:tr>
      <w:tr w14:paraId="2947918E">
        <w:tblPrEx>
          <w:tblCellMar>
            <w:top w:w="0" w:type="dxa"/>
            <w:left w:w="108" w:type="dxa"/>
            <w:bottom w:w="0" w:type="dxa"/>
            <w:right w:w="108" w:type="dxa"/>
          </w:tblCellMar>
        </w:tblPrEx>
        <w:trPr>
          <w:trHeight w:val="354" w:hRule="atLeast"/>
          <w:jc w:val="center"/>
        </w:trPr>
        <w:tc>
          <w:tcPr>
            <w:tcW w:w="677" w:type="pct"/>
            <w:tcBorders>
              <w:top w:val="nil"/>
              <w:left w:val="single" w:color="auto" w:sz="4" w:space="0"/>
              <w:bottom w:val="single" w:color="auto" w:sz="4" w:space="0"/>
              <w:right w:val="single" w:color="auto" w:sz="4" w:space="0"/>
            </w:tcBorders>
            <w:noWrap w:val="0"/>
            <w:vAlign w:val="center"/>
          </w:tcPr>
          <w:p w14:paraId="01B5766B">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100</w:t>
            </w:r>
          </w:p>
        </w:tc>
        <w:tc>
          <w:tcPr>
            <w:tcW w:w="604" w:type="pct"/>
            <w:tcBorders>
              <w:top w:val="nil"/>
              <w:left w:val="nil"/>
              <w:bottom w:val="single" w:color="auto" w:sz="4" w:space="0"/>
              <w:right w:val="single" w:color="auto" w:sz="4" w:space="0"/>
            </w:tcBorders>
            <w:noWrap w:val="0"/>
            <w:vAlign w:val="center"/>
          </w:tcPr>
          <w:p w14:paraId="58839853">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17.4276 </w:t>
            </w:r>
          </w:p>
        </w:tc>
        <w:tc>
          <w:tcPr>
            <w:tcW w:w="605" w:type="pct"/>
            <w:tcBorders>
              <w:top w:val="nil"/>
              <w:left w:val="nil"/>
              <w:bottom w:val="single" w:color="auto" w:sz="4" w:space="0"/>
              <w:right w:val="single" w:color="auto" w:sz="4" w:space="0"/>
            </w:tcBorders>
            <w:noWrap w:val="0"/>
            <w:vAlign w:val="center"/>
          </w:tcPr>
          <w:p w14:paraId="79CD47DF">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16.8614 </w:t>
            </w:r>
          </w:p>
        </w:tc>
        <w:tc>
          <w:tcPr>
            <w:tcW w:w="605" w:type="pct"/>
            <w:tcBorders>
              <w:top w:val="nil"/>
              <w:left w:val="nil"/>
              <w:bottom w:val="single" w:color="auto" w:sz="4" w:space="0"/>
              <w:right w:val="single" w:color="auto" w:sz="4" w:space="0"/>
            </w:tcBorders>
            <w:noWrap w:val="0"/>
            <w:vAlign w:val="center"/>
          </w:tcPr>
          <w:p w14:paraId="186FF977">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16.3711 </w:t>
            </w:r>
          </w:p>
        </w:tc>
        <w:tc>
          <w:tcPr>
            <w:tcW w:w="605" w:type="pct"/>
            <w:tcBorders>
              <w:top w:val="nil"/>
              <w:left w:val="nil"/>
              <w:bottom w:val="single" w:color="auto" w:sz="4" w:space="0"/>
              <w:right w:val="single" w:color="auto" w:sz="4" w:space="0"/>
            </w:tcBorders>
            <w:noWrap w:val="0"/>
            <w:vAlign w:val="center"/>
          </w:tcPr>
          <w:p w14:paraId="5CDB4727">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16.1142 </w:t>
            </w:r>
          </w:p>
        </w:tc>
        <w:tc>
          <w:tcPr>
            <w:tcW w:w="613" w:type="pct"/>
            <w:tcBorders>
              <w:top w:val="nil"/>
              <w:left w:val="nil"/>
              <w:bottom w:val="single" w:color="auto" w:sz="4" w:space="0"/>
              <w:right w:val="single" w:color="auto" w:sz="4" w:space="0"/>
            </w:tcBorders>
            <w:noWrap w:val="0"/>
            <w:vAlign w:val="center"/>
          </w:tcPr>
          <w:p w14:paraId="5E3FFAD5">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16.0251 </w:t>
            </w:r>
          </w:p>
        </w:tc>
        <w:tc>
          <w:tcPr>
            <w:tcW w:w="1289" w:type="pct"/>
            <w:vMerge w:val="continue"/>
            <w:tcBorders>
              <w:left w:val="nil"/>
              <w:right w:val="single" w:color="auto" w:sz="4" w:space="0"/>
            </w:tcBorders>
            <w:noWrap w:val="0"/>
            <w:vAlign w:val="center"/>
          </w:tcPr>
          <w:p w14:paraId="47782022">
            <w:pPr>
              <w:widowControl/>
              <w:jc w:val="center"/>
              <w:rPr>
                <w:rFonts w:ascii="Times New Roman" w:hAnsi="Times New Roman" w:eastAsia="宋体" w:cs="Times New Roman"/>
                <w:color w:val="auto"/>
                <w:kern w:val="0"/>
                <w:sz w:val="21"/>
                <w:szCs w:val="21"/>
              </w:rPr>
            </w:pPr>
          </w:p>
        </w:tc>
      </w:tr>
      <w:tr w14:paraId="10AF7C75">
        <w:tblPrEx>
          <w:tblCellMar>
            <w:top w:w="0" w:type="dxa"/>
            <w:left w:w="108" w:type="dxa"/>
            <w:bottom w:w="0" w:type="dxa"/>
            <w:right w:w="108" w:type="dxa"/>
          </w:tblCellMar>
        </w:tblPrEx>
        <w:trPr>
          <w:trHeight w:val="354" w:hRule="atLeast"/>
          <w:jc w:val="center"/>
        </w:trPr>
        <w:tc>
          <w:tcPr>
            <w:tcW w:w="677" w:type="pct"/>
            <w:tcBorders>
              <w:top w:val="nil"/>
              <w:left w:val="single" w:color="auto" w:sz="4" w:space="0"/>
              <w:bottom w:val="single" w:color="auto" w:sz="4" w:space="0"/>
              <w:right w:val="single" w:color="auto" w:sz="4" w:space="0"/>
            </w:tcBorders>
            <w:shd w:val="clear" w:color="auto" w:fill="auto"/>
            <w:noWrap w:val="0"/>
            <w:vAlign w:val="center"/>
          </w:tcPr>
          <w:p w14:paraId="0125B55E">
            <w:pPr>
              <w:widowControl/>
              <w:shd w:val="clear" w:color="auto" w:fill="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200</w:t>
            </w:r>
          </w:p>
        </w:tc>
        <w:tc>
          <w:tcPr>
            <w:tcW w:w="604" w:type="pct"/>
            <w:tcBorders>
              <w:top w:val="nil"/>
              <w:left w:val="nil"/>
              <w:bottom w:val="single" w:color="auto" w:sz="4" w:space="0"/>
              <w:right w:val="single" w:color="auto" w:sz="4" w:space="0"/>
            </w:tcBorders>
            <w:noWrap w:val="0"/>
            <w:vAlign w:val="center"/>
          </w:tcPr>
          <w:p w14:paraId="5AE59F5E">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17.0464 </w:t>
            </w:r>
          </w:p>
        </w:tc>
        <w:tc>
          <w:tcPr>
            <w:tcW w:w="605" w:type="pct"/>
            <w:tcBorders>
              <w:top w:val="nil"/>
              <w:left w:val="nil"/>
              <w:bottom w:val="single" w:color="auto" w:sz="4" w:space="0"/>
              <w:right w:val="single" w:color="auto" w:sz="4" w:space="0"/>
            </w:tcBorders>
            <w:noWrap w:val="0"/>
            <w:vAlign w:val="center"/>
          </w:tcPr>
          <w:p w14:paraId="6946DB5D">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16.8128 </w:t>
            </w:r>
          </w:p>
        </w:tc>
        <w:tc>
          <w:tcPr>
            <w:tcW w:w="605" w:type="pct"/>
            <w:tcBorders>
              <w:top w:val="nil"/>
              <w:left w:val="nil"/>
              <w:bottom w:val="single" w:color="auto" w:sz="4" w:space="0"/>
              <w:right w:val="single" w:color="auto" w:sz="4" w:space="0"/>
            </w:tcBorders>
            <w:noWrap w:val="0"/>
            <w:vAlign w:val="center"/>
          </w:tcPr>
          <w:p w14:paraId="1F455BD7">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16.5335 </w:t>
            </w:r>
          </w:p>
        </w:tc>
        <w:tc>
          <w:tcPr>
            <w:tcW w:w="605" w:type="pct"/>
            <w:tcBorders>
              <w:top w:val="nil"/>
              <w:left w:val="nil"/>
              <w:bottom w:val="single" w:color="auto" w:sz="4" w:space="0"/>
              <w:right w:val="single" w:color="auto" w:sz="4" w:space="0"/>
            </w:tcBorders>
            <w:noWrap w:val="0"/>
            <w:vAlign w:val="center"/>
          </w:tcPr>
          <w:p w14:paraId="66B0876F">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16.2959 </w:t>
            </w:r>
          </w:p>
        </w:tc>
        <w:tc>
          <w:tcPr>
            <w:tcW w:w="613" w:type="pct"/>
            <w:tcBorders>
              <w:top w:val="nil"/>
              <w:left w:val="nil"/>
              <w:bottom w:val="single" w:color="auto" w:sz="4" w:space="0"/>
              <w:right w:val="single" w:color="auto" w:sz="4" w:space="0"/>
            </w:tcBorders>
            <w:noWrap w:val="0"/>
            <w:vAlign w:val="center"/>
          </w:tcPr>
          <w:p w14:paraId="2A9938E1">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16.1387 </w:t>
            </w:r>
          </w:p>
        </w:tc>
        <w:tc>
          <w:tcPr>
            <w:tcW w:w="1289" w:type="pct"/>
            <w:vMerge w:val="continue"/>
            <w:tcBorders>
              <w:left w:val="nil"/>
              <w:bottom w:val="single" w:color="auto" w:sz="4" w:space="0"/>
              <w:right w:val="single" w:color="auto" w:sz="4" w:space="0"/>
            </w:tcBorders>
            <w:noWrap w:val="0"/>
            <w:vAlign w:val="center"/>
          </w:tcPr>
          <w:p w14:paraId="6508428F">
            <w:pPr>
              <w:widowControl/>
              <w:jc w:val="center"/>
              <w:rPr>
                <w:rFonts w:ascii="Times New Roman" w:hAnsi="Times New Roman" w:eastAsia="宋体" w:cs="Times New Roman"/>
                <w:color w:val="auto"/>
                <w:kern w:val="0"/>
                <w:sz w:val="21"/>
                <w:szCs w:val="21"/>
              </w:rPr>
            </w:pPr>
          </w:p>
        </w:tc>
      </w:tr>
      <w:tr w14:paraId="7AF8AE3D">
        <w:tblPrEx>
          <w:tblCellMar>
            <w:top w:w="0" w:type="dxa"/>
            <w:left w:w="108" w:type="dxa"/>
            <w:bottom w:w="0" w:type="dxa"/>
            <w:right w:w="108" w:type="dxa"/>
          </w:tblCellMar>
        </w:tblPrEx>
        <w:trPr>
          <w:trHeight w:val="354" w:hRule="atLeast"/>
          <w:jc w:val="center"/>
        </w:trPr>
        <w:tc>
          <w:tcPr>
            <w:tcW w:w="67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9E11DEB">
            <w:pPr>
              <w:widowControl/>
              <w:shd w:val="clear" w:color="auto" w:fill="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300</w:t>
            </w:r>
          </w:p>
        </w:tc>
        <w:tc>
          <w:tcPr>
            <w:tcW w:w="60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256A09D3">
            <w:pPr>
              <w:widowControl/>
              <w:shd w:val="clear" w:color="auto" w:fill="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16.7075 </w:t>
            </w:r>
          </w:p>
        </w:tc>
        <w:tc>
          <w:tcPr>
            <w:tcW w:w="605"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F52A6E8">
            <w:pPr>
              <w:widowControl/>
              <w:shd w:val="clear" w:color="auto" w:fill="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16.5344 </w:t>
            </w:r>
          </w:p>
        </w:tc>
        <w:tc>
          <w:tcPr>
            <w:tcW w:w="605"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9275012">
            <w:pPr>
              <w:widowControl/>
              <w:shd w:val="clear" w:color="auto" w:fill="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16.3607 </w:t>
            </w:r>
          </w:p>
        </w:tc>
        <w:tc>
          <w:tcPr>
            <w:tcW w:w="605"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3CE697E">
            <w:pPr>
              <w:widowControl/>
              <w:shd w:val="clear" w:color="auto" w:fill="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16.2177 </w:t>
            </w:r>
          </w:p>
        </w:tc>
        <w:tc>
          <w:tcPr>
            <w:tcW w:w="613" w:type="pct"/>
            <w:tcBorders>
              <w:top w:val="single" w:color="auto" w:sz="4" w:space="0"/>
              <w:left w:val="single" w:color="auto" w:sz="4" w:space="0"/>
              <w:bottom w:val="single" w:color="auto" w:sz="4" w:space="0"/>
              <w:right w:val="single" w:color="auto" w:sz="4" w:space="0"/>
            </w:tcBorders>
            <w:noWrap w:val="0"/>
            <w:vAlign w:val="center"/>
          </w:tcPr>
          <w:p w14:paraId="5C817FC2">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16.</w:t>
            </w:r>
            <w:r>
              <w:rPr>
                <w:rFonts w:hint="eastAsia" w:cs="Times New Roman"/>
                <w:color w:val="auto"/>
                <w:kern w:val="0"/>
                <w:szCs w:val="21"/>
                <w:lang w:val="en-US" w:eastAsia="zh-CN"/>
              </w:rPr>
              <w:t>2025</w:t>
            </w:r>
          </w:p>
        </w:tc>
        <w:tc>
          <w:tcPr>
            <w:tcW w:w="1289" w:type="pct"/>
            <w:vMerge w:val="restart"/>
            <w:tcBorders>
              <w:top w:val="single" w:color="auto" w:sz="4" w:space="0"/>
              <w:left w:val="single" w:color="auto" w:sz="4" w:space="0"/>
              <w:right w:val="single" w:color="auto" w:sz="4" w:space="0"/>
            </w:tcBorders>
            <w:noWrap w:val="0"/>
            <w:vAlign w:val="center"/>
          </w:tcPr>
          <w:p w14:paraId="7454D3D0">
            <w:pPr>
              <w:widowControl/>
              <w:jc w:val="center"/>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完全混合段</w:t>
            </w:r>
            <w:r>
              <w:rPr>
                <w:rFonts w:hint="eastAsia" w:ascii="Times New Roman" w:hAnsi="Times New Roman" w:eastAsia="宋体" w:cs="Times New Roman"/>
                <w:color w:val="auto"/>
                <w:kern w:val="0"/>
                <w:sz w:val="21"/>
                <w:szCs w:val="21"/>
                <w:lang w:eastAsia="zh-CN"/>
              </w:rPr>
              <w:t>（</w:t>
            </w:r>
            <w:r>
              <w:rPr>
                <w:rFonts w:hint="eastAsia" w:ascii="Times New Roman" w:hAnsi="Times New Roman" w:eastAsia="宋体" w:cs="Times New Roman"/>
                <w:color w:val="auto"/>
                <w:kern w:val="0"/>
                <w:sz w:val="21"/>
                <w:szCs w:val="21"/>
                <w:lang w:val="en-US" w:eastAsia="zh-CN"/>
              </w:rPr>
              <w:t>排水渠</w:t>
            </w:r>
            <w:r>
              <w:rPr>
                <w:rFonts w:hint="eastAsia" w:ascii="Times New Roman" w:hAnsi="Times New Roman" w:eastAsia="宋体" w:cs="Times New Roman"/>
                <w:color w:val="auto"/>
                <w:kern w:val="0"/>
                <w:sz w:val="21"/>
                <w:szCs w:val="21"/>
                <w:lang w:eastAsia="zh-CN"/>
              </w:rPr>
              <w:t>）</w:t>
            </w:r>
          </w:p>
        </w:tc>
      </w:tr>
      <w:tr w14:paraId="3892F7C0">
        <w:tblPrEx>
          <w:tblCellMar>
            <w:top w:w="0" w:type="dxa"/>
            <w:left w:w="108" w:type="dxa"/>
            <w:bottom w:w="0" w:type="dxa"/>
            <w:right w:w="108" w:type="dxa"/>
          </w:tblCellMar>
        </w:tblPrEx>
        <w:trPr>
          <w:trHeight w:val="354" w:hRule="atLeast"/>
          <w:jc w:val="center"/>
        </w:trPr>
        <w:tc>
          <w:tcPr>
            <w:tcW w:w="67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667E03D">
            <w:pPr>
              <w:widowControl/>
              <w:shd w:val="clear" w:color="auto" w:fill="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400</w:t>
            </w:r>
          </w:p>
        </w:tc>
        <w:tc>
          <w:tcPr>
            <w:tcW w:w="60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EA33729">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16.6176 </w:t>
            </w:r>
          </w:p>
        </w:tc>
        <w:tc>
          <w:tcPr>
            <w:tcW w:w="605"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C4F17F2">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16.5003 </w:t>
            </w:r>
          </w:p>
        </w:tc>
        <w:tc>
          <w:tcPr>
            <w:tcW w:w="605"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FB5B014">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16.3726 </w:t>
            </w:r>
          </w:p>
        </w:tc>
        <w:tc>
          <w:tcPr>
            <w:tcW w:w="605"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AD74153">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16.2551 </w:t>
            </w:r>
          </w:p>
        </w:tc>
        <w:tc>
          <w:tcPr>
            <w:tcW w:w="613" w:type="pct"/>
            <w:tcBorders>
              <w:top w:val="single" w:color="auto" w:sz="4" w:space="0"/>
              <w:left w:val="single" w:color="auto" w:sz="4" w:space="0"/>
              <w:bottom w:val="single" w:color="auto" w:sz="4" w:space="0"/>
              <w:right w:val="single" w:color="auto" w:sz="4" w:space="0"/>
            </w:tcBorders>
            <w:noWrap w:val="0"/>
            <w:vAlign w:val="center"/>
          </w:tcPr>
          <w:p w14:paraId="61F04467">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16.</w:t>
            </w:r>
            <w:r>
              <w:rPr>
                <w:rFonts w:hint="eastAsia" w:cs="Times New Roman"/>
                <w:color w:val="auto"/>
                <w:kern w:val="0"/>
                <w:szCs w:val="21"/>
                <w:lang w:val="en-US" w:eastAsia="zh-CN"/>
              </w:rPr>
              <w:t>3057</w:t>
            </w:r>
            <w:r>
              <w:rPr>
                <w:rFonts w:hint="eastAsia" w:ascii="Times New Roman" w:hAnsi="Times New Roman" w:eastAsia="宋体" w:cs="Times New Roman"/>
                <w:color w:val="auto"/>
                <w:kern w:val="0"/>
                <w:szCs w:val="21"/>
                <w:lang w:val="en-US" w:eastAsia="zh-CN"/>
              </w:rPr>
              <w:t xml:space="preserve"> </w:t>
            </w:r>
          </w:p>
        </w:tc>
        <w:tc>
          <w:tcPr>
            <w:tcW w:w="1289" w:type="pct"/>
            <w:vMerge w:val="continue"/>
            <w:tcBorders>
              <w:left w:val="single" w:color="auto" w:sz="4" w:space="0"/>
              <w:right w:val="single" w:color="auto" w:sz="4" w:space="0"/>
            </w:tcBorders>
            <w:noWrap w:val="0"/>
            <w:vAlign w:val="center"/>
          </w:tcPr>
          <w:p w14:paraId="05802F6B">
            <w:pPr>
              <w:widowControl/>
              <w:jc w:val="center"/>
              <w:rPr>
                <w:rFonts w:ascii="Times New Roman" w:hAnsi="Times New Roman" w:eastAsia="宋体" w:cs="Times New Roman"/>
                <w:color w:val="auto"/>
                <w:kern w:val="0"/>
                <w:szCs w:val="21"/>
              </w:rPr>
            </w:pPr>
          </w:p>
        </w:tc>
      </w:tr>
      <w:tr w14:paraId="6FFB5036">
        <w:tblPrEx>
          <w:tblCellMar>
            <w:top w:w="0" w:type="dxa"/>
            <w:left w:w="108" w:type="dxa"/>
            <w:bottom w:w="0" w:type="dxa"/>
            <w:right w:w="108" w:type="dxa"/>
          </w:tblCellMar>
        </w:tblPrEx>
        <w:trPr>
          <w:trHeight w:val="354" w:hRule="atLeast"/>
          <w:jc w:val="center"/>
        </w:trPr>
        <w:tc>
          <w:tcPr>
            <w:tcW w:w="677" w:type="pct"/>
            <w:tcBorders>
              <w:top w:val="single" w:color="auto" w:sz="4" w:space="0"/>
              <w:left w:val="single" w:color="auto" w:sz="4" w:space="0"/>
              <w:bottom w:val="single" w:color="auto" w:sz="4" w:space="0"/>
              <w:right w:val="single" w:color="auto" w:sz="4" w:space="0"/>
            </w:tcBorders>
            <w:noWrap w:val="0"/>
            <w:vAlign w:val="center"/>
          </w:tcPr>
          <w:p w14:paraId="01244496">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cs="Times New Roman"/>
                <w:color w:val="auto"/>
                <w:kern w:val="0"/>
                <w:szCs w:val="21"/>
                <w:lang w:val="en-US" w:eastAsia="zh-CN"/>
              </w:rPr>
              <w:t>480</w:t>
            </w:r>
          </w:p>
        </w:tc>
        <w:tc>
          <w:tcPr>
            <w:tcW w:w="4996" w:type="dxa"/>
            <w:gridSpan w:val="5"/>
            <w:tcBorders>
              <w:top w:val="single" w:color="auto" w:sz="4" w:space="0"/>
              <w:left w:val="single" w:color="auto" w:sz="4" w:space="0"/>
              <w:bottom w:val="single" w:color="auto" w:sz="4" w:space="0"/>
              <w:right w:val="single" w:color="auto" w:sz="4" w:space="0"/>
            </w:tcBorders>
            <w:noWrap w:val="0"/>
            <w:vAlign w:val="center"/>
          </w:tcPr>
          <w:p w14:paraId="15F6DF77">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16.2684 </w:t>
            </w:r>
          </w:p>
        </w:tc>
        <w:tc>
          <w:tcPr>
            <w:tcW w:w="1289" w:type="pct"/>
            <w:vMerge w:val="continue"/>
            <w:tcBorders>
              <w:left w:val="single" w:color="auto" w:sz="4" w:space="0"/>
              <w:right w:val="single" w:color="auto" w:sz="4" w:space="0"/>
            </w:tcBorders>
            <w:noWrap w:val="0"/>
            <w:vAlign w:val="center"/>
          </w:tcPr>
          <w:p w14:paraId="3F6C5B72">
            <w:pPr>
              <w:widowControl/>
              <w:jc w:val="center"/>
              <w:rPr>
                <w:rFonts w:ascii="Times New Roman" w:hAnsi="Times New Roman" w:eastAsia="宋体" w:cs="Times New Roman"/>
                <w:color w:val="auto"/>
                <w:kern w:val="0"/>
                <w:szCs w:val="21"/>
              </w:rPr>
            </w:pPr>
          </w:p>
        </w:tc>
      </w:tr>
      <w:tr w14:paraId="14B0D74B">
        <w:tblPrEx>
          <w:tblCellMar>
            <w:top w:w="0" w:type="dxa"/>
            <w:left w:w="108" w:type="dxa"/>
            <w:bottom w:w="0" w:type="dxa"/>
            <w:right w:w="108" w:type="dxa"/>
          </w:tblCellMar>
        </w:tblPrEx>
        <w:trPr>
          <w:trHeight w:val="90" w:hRule="atLeast"/>
          <w:jc w:val="center"/>
        </w:trPr>
        <w:tc>
          <w:tcPr>
            <w:tcW w:w="677" w:type="pct"/>
            <w:tcBorders>
              <w:top w:val="single" w:color="auto" w:sz="4" w:space="0"/>
              <w:left w:val="single" w:color="auto" w:sz="4" w:space="0"/>
              <w:bottom w:val="single" w:color="auto" w:sz="4" w:space="0"/>
              <w:right w:val="single" w:color="auto" w:sz="4" w:space="0"/>
            </w:tcBorders>
            <w:noWrap w:val="0"/>
            <w:vAlign w:val="center"/>
          </w:tcPr>
          <w:p w14:paraId="24F27EC7">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500</w:t>
            </w:r>
          </w:p>
        </w:tc>
        <w:tc>
          <w:tcPr>
            <w:tcW w:w="4996" w:type="dxa"/>
            <w:gridSpan w:val="5"/>
            <w:tcBorders>
              <w:top w:val="single" w:color="auto" w:sz="4" w:space="0"/>
              <w:left w:val="single" w:color="auto" w:sz="4" w:space="0"/>
              <w:bottom w:val="single" w:color="auto" w:sz="4" w:space="0"/>
              <w:right w:val="single" w:color="auto" w:sz="4" w:space="0"/>
            </w:tcBorders>
            <w:noWrap w:val="0"/>
            <w:vAlign w:val="center"/>
          </w:tcPr>
          <w:p w14:paraId="1EA6C91A">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16.2696 </w:t>
            </w:r>
          </w:p>
        </w:tc>
        <w:tc>
          <w:tcPr>
            <w:tcW w:w="1289" w:type="pct"/>
            <w:vMerge w:val="continue"/>
            <w:tcBorders>
              <w:left w:val="single" w:color="auto" w:sz="4" w:space="0"/>
              <w:right w:val="single" w:color="auto" w:sz="4" w:space="0"/>
            </w:tcBorders>
            <w:noWrap w:val="0"/>
            <w:vAlign w:val="center"/>
          </w:tcPr>
          <w:p w14:paraId="1228CBE3">
            <w:pPr>
              <w:widowControl/>
              <w:jc w:val="center"/>
              <w:rPr>
                <w:rFonts w:ascii="Times New Roman" w:hAnsi="Times New Roman" w:eastAsia="宋体" w:cs="Times New Roman"/>
                <w:color w:val="auto"/>
                <w:kern w:val="0"/>
                <w:szCs w:val="21"/>
              </w:rPr>
            </w:pPr>
          </w:p>
        </w:tc>
      </w:tr>
      <w:tr w14:paraId="1BBADE8C">
        <w:tblPrEx>
          <w:tblCellMar>
            <w:top w:w="0" w:type="dxa"/>
            <w:left w:w="108" w:type="dxa"/>
            <w:bottom w:w="0" w:type="dxa"/>
            <w:right w:w="108" w:type="dxa"/>
          </w:tblCellMar>
        </w:tblPrEx>
        <w:trPr>
          <w:trHeight w:val="354" w:hRule="atLeast"/>
          <w:jc w:val="center"/>
        </w:trPr>
        <w:tc>
          <w:tcPr>
            <w:tcW w:w="677" w:type="pct"/>
            <w:tcBorders>
              <w:top w:val="single" w:color="auto" w:sz="4" w:space="0"/>
              <w:left w:val="single" w:color="auto" w:sz="4" w:space="0"/>
              <w:bottom w:val="single" w:color="auto" w:sz="4" w:space="0"/>
              <w:right w:val="single" w:color="auto" w:sz="4" w:space="0"/>
            </w:tcBorders>
            <w:noWrap w:val="0"/>
            <w:vAlign w:val="center"/>
          </w:tcPr>
          <w:p w14:paraId="5BBED1E4">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550</w:t>
            </w:r>
          </w:p>
        </w:tc>
        <w:tc>
          <w:tcPr>
            <w:tcW w:w="4996" w:type="dxa"/>
            <w:gridSpan w:val="5"/>
            <w:tcBorders>
              <w:top w:val="single" w:color="auto" w:sz="4" w:space="0"/>
              <w:left w:val="single" w:color="auto" w:sz="4" w:space="0"/>
              <w:bottom w:val="single" w:color="auto" w:sz="4" w:space="0"/>
              <w:right w:val="single" w:color="auto" w:sz="4" w:space="0"/>
            </w:tcBorders>
            <w:noWrap w:val="0"/>
            <w:vAlign w:val="center"/>
          </w:tcPr>
          <w:p w14:paraId="3891D8F5">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16.2517 </w:t>
            </w:r>
          </w:p>
        </w:tc>
        <w:tc>
          <w:tcPr>
            <w:tcW w:w="1289" w:type="pct"/>
            <w:vMerge w:val="continue"/>
            <w:tcBorders>
              <w:left w:val="single" w:color="auto" w:sz="4" w:space="0"/>
              <w:bottom w:val="single" w:color="auto" w:sz="4" w:space="0"/>
              <w:right w:val="single" w:color="auto" w:sz="4" w:space="0"/>
            </w:tcBorders>
            <w:noWrap w:val="0"/>
            <w:vAlign w:val="center"/>
          </w:tcPr>
          <w:p w14:paraId="3DCC50D8">
            <w:pPr>
              <w:widowControl/>
              <w:jc w:val="center"/>
              <w:rPr>
                <w:rFonts w:ascii="Times New Roman" w:hAnsi="Times New Roman" w:eastAsia="宋体" w:cs="Times New Roman"/>
                <w:color w:val="auto"/>
                <w:kern w:val="0"/>
                <w:szCs w:val="21"/>
              </w:rPr>
            </w:pPr>
          </w:p>
        </w:tc>
      </w:tr>
      <w:tr w14:paraId="5203BC01">
        <w:tblPrEx>
          <w:tblCellMar>
            <w:top w:w="0" w:type="dxa"/>
            <w:left w:w="108" w:type="dxa"/>
            <w:bottom w:w="0" w:type="dxa"/>
            <w:right w:w="108" w:type="dxa"/>
          </w:tblCellMar>
        </w:tblPrEx>
        <w:trPr>
          <w:trHeight w:val="708" w:hRule="atLeast"/>
          <w:jc w:val="center"/>
        </w:trPr>
        <w:tc>
          <w:tcPr>
            <w:tcW w:w="677" w:type="pct"/>
            <w:tcBorders>
              <w:top w:val="single" w:color="auto" w:sz="4" w:space="0"/>
              <w:left w:val="single" w:color="auto" w:sz="4" w:space="0"/>
              <w:bottom w:val="single" w:color="auto" w:sz="4" w:space="0"/>
              <w:right w:val="single" w:color="auto" w:sz="4" w:space="0"/>
            </w:tcBorders>
            <w:noWrap w:val="0"/>
            <w:vAlign w:val="center"/>
          </w:tcPr>
          <w:p w14:paraId="195A20CE">
            <w:pPr>
              <w:widowControl/>
              <w:shd w:val="clear" w:color="auto" w:fill="auto"/>
              <w:jc w:val="center"/>
              <w:rPr>
                <w:rFonts w:hint="eastAsia" w:cs="Times New Roman"/>
                <w:color w:val="auto"/>
                <w:kern w:val="0"/>
                <w:szCs w:val="21"/>
                <w:highlight w:val="none"/>
                <w:lang w:val="en-US" w:eastAsia="zh-CN"/>
              </w:rPr>
            </w:pPr>
            <w:r>
              <w:rPr>
                <w:rFonts w:hint="eastAsia" w:cs="Times New Roman"/>
                <w:color w:val="auto"/>
                <w:kern w:val="0"/>
                <w:szCs w:val="21"/>
                <w:highlight w:val="none"/>
                <w:lang w:val="en-US" w:eastAsia="zh-CN"/>
              </w:rPr>
              <w:t>标准限值</w:t>
            </w:r>
          </w:p>
        </w:tc>
        <w:tc>
          <w:tcPr>
            <w:tcW w:w="3033" w:type="pct"/>
            <w:gridSpan w:val="5"/>
            <w:tcBorders>
              <w:top w:val="single" w:color="auto" w:sz="4" w:space="0"/>
              <w:left w:val="single" w:color="auto" w:sz="4" w:space="0"/>
              <w:bottom w:val="single" w:color="auto" w:sz="4" w:space="0"/>
              <w:right w:val="single" w:color="auto" w:sz="4" w:space="0"/>
            </w:tcBorders>
            <w:noWrap w:val="0"/>
            <w:vAlign w:val="center"/>
          </w:tcPr>
          <w:p w14:paraId="56C99531">
            <w:pPr>
              <w:widowControl/>
              <w:shd w:val="clear" w:color="auto" w:fill="auto"/>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≦20</w:t>
            </w:r>
          </w:p>
        </w:tc>
        <w:tc>
          <w:tcPr>
            <w:tcW w:w="1289" w:type="pct"/>
            <w:tcBorders>
              <w:top w:val="single" w:color="auto" w:sz="4" w:space="0"/>
              <w:left w:val="single" w:color="auto" w:sz="4" w:space="0"/>
              <w:bottom w:val="single" w:color="auto" w:sz="4" w:space="0"/>
              <w:right w:val="single" w:color="auto" w:sz="4" w:space="0"/>
            </w:tcBorders>
            <w:noWrap w:val="0"/>
            <w:vAlign w:val="center"/>
          </w:tcPr>
          <w:p w14:paraId="75C83A37">
            <w:pPr>
              <w:widowControl/>
              <w:jc w:val="center"/>
              <w:rPr>
                <w:rFonts w:hint="eastAsia"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w:t>
            </w:r>
          </w:p>
        </w:tc>
      </w:tr>
    </w:tbl>
    <w:p w14:paraId="5D1725C6">
      <w:pPr>
        <w:spacing w:line="360" w:lineRule="auto"/>
        <w:ind w:firstLine="480" w:firstLineChars="200"/>
        <w:rPr>
          <w:rFonts w:hint="eastAsia"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从上表可以看出，正常情况下，</w:t>
      </w:r>
      <w:r>
        <w:rPr>
          <w:rFonts w:hint="eastAsia" w:cs="Times New Roman"/>
          <w:color w:val="auto"/>
          <w:sz w:val="24"/>
          <w:highlight w:val="none"/>
          <w:lang w:val="en-US" w:eastAsia="zh-CN"/>
        </w:rPr>
        <w:t>项目尾水排入</w:t>
      </w:r>
      <w:r>
        <w:rPr>
          <w:rFonts w:hint="eastAsia"/>
          <w:color w:val="auto"/>
          <w:sz w:val="24"/>
          <w:highlight w:val="none"/>
          <w:lang w:val="en-US" w:eastAsia="zh-CN"/>
        </w:rPr>
        <w:t>排水渠</w:t>
      </w:r>
      <w:r>
        <w:rPr>
          <w:rFonts w:hint="eastAsia" w:ascii="Times New Roman" w:hAnsi="Times New Roman" w:cs="Times New Roman"/>
          <w:color w:val="auto"/>
          <w:sz w:val="24"/>
          <w:highlight w:val="none"/>
          <w:lang w:val="en-US" w:eastAsia="zh-CN"/>
        </w:rPr>
        <w:t>下游</w:t>
      </w:r>
      <w:r>
        <w:rPr>
          <w:rFonts w:hint="eastAsia" w:cs="Times New Roman"/>
          <w:color w:val="auto"/>
          <w:sz w:val="24"/>
          <w:highlight w:val="none"/>
          <w:lang w:val="en-US" w:eastAsia="zh-CN"/>
        </w:rPr>
        <w:t>5</w:t>
      </w:r>
      <w:r>
        <w:rPr>
          <w:rFonts w:hint="default" w:ascii="Times New Roman" w:hAnsi="Times New Roman" w:cs="Times New Roman"/>
          <w:color w:val="auto"/>
          <w:sz w:val="24"/>
          <w:highlight w:val="none"/>
          <w:lang w:val="en-US" w:eastAsia="zh-CN"/>
        </w:rPr>
        <w:t>0m</w:t>
      </w:r>
      <w:r>
        <w:rPr>
          <w:rFonts w:hint="eastAsia" w:ascii="Times New Roman" w:hAnsi="Times New Roman" w:cs="Times New Roman"/>
          <w:color w:val="auto"/>
          <w:sz w:val="24"/>
          <w:highlight w:val="none"/>
          <w:lang w:val="en-US" w:eastAsia="zh-CN"/>
        </w:rPr>
        <w:t>位置</w:t>
      </w:r>
      <w:r>
        <w:rPr>
          <w:rFonts w:hint="eastAsia" w:cs="Times New Roman"/>
          <w:color w:val="auto"/>
          <w:sz w:val="24"/>
          <w:highlight w:val="none"/>
          <w:lang w:val="en-US" w:eastAsia="zh-CN"/>
        </w:rPr>
        <w:t>时，在叠加背景值情况下</w:t>
      </w:r>
      <w:r>
        <w:rPr>
          <w:rFonts w:hint="default" w:ascii="Times New Roman" w:hAnsi="Times New Roman" w:cs="Times New Roman"/>
          <w:color w:val="auto"/>
          <w:sz w:val="24"/>
          <w:highlight w:val="none"/>
          <w:lang w:val="en-US" w:eastAsia="zh-CN"/>
        </w:rPr>
        <w:t>COD</w:t>
      </w:r>
      <w:r>
        <w:rPr>
          <w:rFonts w:hint="default" w:ascii="Times New Roman" w:hAnsi="Times New Roman" w:cs="Times New Roman"/>
          <w:color w:val="auto"/>
          <w:sz w:val="24"/>
          <w:highlight w:val="none"/>
          <w:vertAlign w:val="subscript"/>
          <w:lang w:val="en-US" w:eastAsia="zh-CN"/>
        </w:rPr>
        <w:t>Cr</w:t>
      </w:r>
      <w:r>
        <w:rPr>
          <w:rFonts w:hint="eastAsia" w:ascii="Times New Roman" w:hAnsi="Times New Roman" w:cs="Times New Roman"/>
          <w:color w:val="auto"/>
          <w:sz w:val="24"/>
          <w:highlight w:val="none"/>
          <w:lang w:val="en-US" w:eastAsia="zh-CN"/>
        </w:rPr>
        <w:t>最大</w:t>
      </w:r>
      <w:r>
        <w:rPr>
          <w:rFonts w:hint="eastAsia" w:cs="Times New Roman"/>
          <w:color w:val="auto"/>
          <w:sz w:val="24"/>
          <w:highlight w:val="none"/>
          <w:lang w:val="en-US" w:eastAsia="zh-CN"/>
        </w:rPr>
        <w:t>预测</w:t>
      </w:r>
      <w:r>
        <w:rPr>
          <w:rFonts w:hint="eastAsia" w:ascii="Times New Roman" w:hAnsi="Times New Roman" w:cs="Times New Roman"/>
          <w:color w:val="auto"/>
          <w:sz w:val="24"/>
          <w:highlight w:val="none"/>
          <w:lang w:val="en-US" w:eastAsia="zh-CN"/>
        </w:rPr>
        <w:t>值为</w:t>
      </w:r>
      <w:r>
        <w:rPr>
          <w:rFonts w:hint="eastAsia" w:cs="Times New Roman"/>
          <w:color w:val="auto"/>
          <w:sz w:val="24"/>
          <w:highlight w:val="none"/>
          <w:lang w:val="en-US" w:eastAsia="zh-CN"/>
        </w:rPr>
        <w:t xml:space="preserve">17.7477 </w:t>
      </w:r>
      <w:r>
        <w:rPr>
          <w:rFonts w:hint="default" w:ascii="Times New Roman" w:hAnsi="Times New Roman" w:cs="Times New Roman"/>
          <w:color w:val="auto"/>
          <w:sz w:val="24"/>
          <w:highlight w:val="none"/>
          <w:lang w:val="en-US" w:eastAsia="zh-CN"/>
        </w:rPr>
        <w:t>mg/L</w:t>
      </w:r>
      <w:r>
        <w:rPr>
          <w:rFonts w:hint="eastAsia" w:cs="Times New Roman"/>
          <w:color w:val="auto"/>
          <w:sz w:val="24"/>
          <w:highlight w:val="none"/>
          <w:lang w:val="en-US" w:eastAsia="zh-CN"/>
        </w:rPr>
        <w:t>，</w:t>
      </w:r>
      <w:r>
        <w:rPr>
          <w:rFonts w:ascii="Times New Roman" w:hAnsi="Times New Roman" w:eastAsia="宋体" w:cs="Times New Roman"/>
          <w:color w:val="auto"/>
          <w:kern w:val="24"/>
          <w:sz w:val="24"/>
          <w:highlight w:val="none"/>
        </w:rPr>
        <w:t>能够满足《地表水环境质量标准》</w:t>
      </w:r>
      <w:r>
        <w:rPr>
          <w:rFonts w:hint="eastAsia" w:cs="宋体"/>
          <w:color w:val="auto"/>
          <w:kern w:val="0"/>
          <w:sz w:val="24"/>
          <w:szCs w:val="24"/>
          <w:highlight w:val="none"/>
        </w:rPr>
        <w:t>III</w:t>
      </w:r>
      <w:r>
        <w:rPr>
          <w:rFonts w:ascii="Times New Roman" w:hAnsi="Times New Roman" w:eastAsia="宋体" w:cs="Times New Roman"/>
          <w:color w:val="auto"/>
          <w:kern w:val="24"/>
          <w:sz w:val="24"/>
          <w:highlight w:val="none"/>
        </w:rPr>
        <w:t>类标准</w:t>
      </w:r>
      <w:r>
        <w:rPr>
          <w:rFonts w:hint="eastAsia" w:cs="Times New Roman"/>
          <w:color w:val="auto"/>
          <w:sz w:val="24"/>
          <w:highlight w:val="none"/>
          <w:lang w:val="en-US" w:eastAsia="zh-CN"/>
        </w:rPr>
        <w:t>。</w:t>
      </w:r>
    </w:p>
    <w:p w14:paraId="176FC8CC">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cs="Times New Roman"/>
          <w:color w:val="auto"/>
          <w:sz w:val="24"/>
          <w:highlight w:val="none"/>
          <w:lang w:val="en-US" w:eastAsia="zh-CN"/>
        </w:rPr>
        <w:fldChar w:fldCharType="begin"/>
      </w:r>
      <w:r>
        <w:rPr>
          <w:rFonts w:hint="eastAsia" w:cs="Times New Roman"/>
          <w:color w:val="auto"/>
          <w:sz w:val="24"/>
          <w:highlight w:val="none"/>
          <w:lang w:val="en-US" w:eastAsia="zh-CN"/>
        </w:rPr>
        <w:instrText xml:space="preserve"> EQ \o\ac(</w:instrText>
      </w:r>
      <w:r>
        <w:rPr>
          <w:rFonts w:hint="eastAsia" w:ascii="Times New Roman" w:hAnsi="Times New Roman" w:eastAsia="宋体" w:cs="Times New Roman"/>
          <w:color w:val="auto"/>
          <w:kern w:val="2"/>
          <w:position w:val="-4"/>
          <w:sz w:val="36"/>
          <w:szCs w:val="21"/>
          <w:highlight w:val="none"/>
          <w:lang w:val="en-US" w:eastAsia="zh-CN" w:bidi="ar-SA"/>
        </w:rPr>
        <w:instrText xml:space="preserve">○</w:instrText>
      </w:r>
      <w:r>
        <w:rPr>
          <w:rFonts w:hint="eastAsia" w:cs="Times New Roman"/>
          <w:color w:val="auto"/>
          <w:sz w:val="24"/>
          <w:highlight w:val="none"/>
          <w:lang w:val="en-US" w:eastAsia="zh-CN"/>
        </w:rPr>
        <w:instrText xml:space="preserve">,2)</w:instrText>
      </w:r>
      <w:r>
        <w:rPr>
          <w:rFonts w:hint="eastAsia" w:cs="Times New Roman"/>
          <w:color w:val="auto"/>
          <w:sz w:val="24"/>
          <w:highlight w:val="none"/>
          <w:lang w:val="en-US" w:eastAsia="zh-CN"/>
        </w:rPr>
        <w:fldChar w:fldCharType="end"/>
      </w:r>
      <w:r>
        <w:rPr>
          <w:rFonts w:hint="eastAsia" w:cs="Times New Roman"/>
          <w:color w:val="auto"/>
          <w:sz w:val="24"/>
          <w:highlight w:val="none"/>
          <w:lang w:val="en-US" w:eastAsia="zh-CN"/>
        </w:rPr>
        <w:t>氨氮</w:t>
      </w:r>
      <w:r>
        <w:rPr>
          <w:rFonts w:hint="eastAsia" w:ascii="Times New Roman" w:hAnsi="Times New Roman" w:cs="Times New Roman"/>
          <w:color w:val="auto"/>
          <w:sz w:val="24"/>
          <w:highlight w:val="none"/>
          <w:lang w:val="en-US" w:eastAsia="zh-CN"/>
        </w:rPr>
        <w:t>预测结果分析</w:t>
      </w:r>
    </w:p>
    <w:p w14:paraId="6E9034C0">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正常工况下，项目</w:t>
      </w:r>
      <w:r>
        <w:rPr>
          <w:rFonts w:hint="eastAsia" w:cs="Times New Roman"/>
          <w:color w:val="auto"/>
          <w:sz w:val="24"/>
          <w:highlight w:val="none"/>
          <w:lang w:val="en-US" w:eastAsia="zh-CN"/>
        </w:rPr>
        <w:t>污水处理厂排放尾水中污染物氨氮</w:t>
      </w:r>
      <w:r>
        <w:rPr>
          <w:rFonts w:hint="eastAsia" w:ascii="Times New Roman" w:hAnsi="Times New Roman" w:cs="Times New Roman"/>
          <w:color w:val="auto"/>
          <w:sz w:val="24"/>
          <w:highlight w:val="none"/>
          <w:lang w:val="en-US" w:eastAsia="zh-CN"/>
        </w:rPr>
        <w:t>对</w:t>
      </w:r>
      <w:r>
        <w:rPr>
          <w:rFonts w:hint="eastAsia"/>
          <w:color w:val="auto"/>
          <w:sz w:val="24"/>
          <w:highlight w:val="none"/>
          <w:lang w:val="en-US" w:eastAsia="zh-CN"/>
        </w:rPr>
        <w:t>排水渠</w:t>
      </w:r>
      <w:r>
        <w:rPr>
          <w:rFonts w:hint="eastAsia" w:ascii="Times New Roman" w:hAnsi="Times New Roman" w:cs="Times New Roman"/>
          <w:color w:val="auto"/>
          <w:sz w:val="24"/>
          <w:highlight w:val="none"/>
          <w:lang w:val="en-US" w:eastAsia="zh-CN"/>
        </w:rPr>
        <w:t>影响预测结果见</w:t>
      </w:r>
      <w:r>
        <w:rPr>
          <w:rFonts w:hint="eastAsia" w:cs="Times New Roman"/>
          <w:color w:val="auto"/>
          <w:sz w:val="24"/>
          <w:highlight w:val="none"/>
          <w:lang w:val="en-US" w:eastAsia="zh-CN"/>
        </w:rPr>
        <w:t>下</w:t>
      </w:r>
      <w:r>
        <w:rPr>
          <w:rFonts w:hint="eastAsia" w:ascii="Times New Roman" w:hAnsi="Times New Roman" w:cs="Times New Roman"/>
          <w:color w:val="auto"/>
          <w:sz w:val="24"/>
          <w:highlight w:val="none"/>
          <w:lang w:val="en-US" w:eastAsia="zh-CN"/>
        </w:rPr>
        <w:t xml:space="preserve">表。 </w:t>
      </w:r>
    </w:p>
    <w:p w14:paraId="67495941">
      <w:pPr>
        <w:pStyle w:val="7"/>
        <w:bidi w:val="0"/>
        <w:rPr>
          <w:color w:val="auto"/>
        </w:rPr>
      </w:pPr>
      <w:r>
        <w:rPr>
          <w:rFonts w:hint="eastAsia"/>
          <w:color w:val="auto"/>
        </w:rPr>
        <w:t>尾水正常排放对</w:t>
      </w:r>
      <w:r>
        <w:rPr>
          <w:rFonts w:hint="eastAsia"/>
          <w:color w:val="auto"/>
          <w:lang w:val="en-US" w:eastAsia="zh-CN"/>
        </w:rPr>
        <w:t>排水渠</w:t>
      </w:r>
      <w:r>
        <w:rPr>
          <w:rFonts w:hint="eastAsia"/>
          <w:color w:val="auto"/>
        </w:rPr>
        <w:t>下游河段预测结果（</w:t>
      </w:r>
      <w:r>
        <w:rPr>
          <w:rFonts w:hint="eastAsia"/>
          <w:color w:val="auto"/>
          <w:lang w:eastAsia="zh-CN"/>
        </w:rPr>
        <w:t>氨氮</w:t>
      </w:r>
      <w:r>
        <w:rPr>
          <w:rFonts w:hint="eastAsia"/>
          <w:color w:val="auto"/>
        </w:rPr>
        <w:t>）</w:t>
      </w:r>
      <w:r>
        <w:rPr>
          <w:color w:val="auto"/>
        </w:rPr>
        <w:t xml:space="preserve"> 单位：mg/L</w:t>
      </w:r>
    </w:p>
    <w:tbl>
      <w:tblPr>
        <w:tblStyle w:val="31"/>
        <w:tblW w:w="4455" w:type="pct"/>
        <w:jc w:val="center"/>
        <w:tblLayout w:type="autofit"/>
        <w:tblCellMar>
          <w:top w:w="0" w:type="dxa"/>
          <w:left w:w="108" w:type="dxa"/>
          <w:bottom w:w="0" w:type="dxa"/>
          <w:right w:w="108" w:type="dxa"/>
        </w:tblCellMar>
      </w:tblPr>
      <w:tblGrid>
        <w:gridCol w:w="1139"/>
        <w:gridCol w:w="992"/>
        <w:gridCol w:w="992"/>
        <w:gridCol w:w="992"/>
        <w:gridCol w:w="992"/>
        <w:gridCol w:w="1008"/>
        <w:gridCol w:w="2120"/>
      </w:tblGrid>
      <w:tr w14:paraId="6F0C7A23">
        <w:tblPrEx>
          <w:tblCellMar>
            <w:top w:w="0" w:type="dxa"/>
            <w:left w:w="108" w:type="dxa"/>
            <w:bottom w:w="0" w:type="dxa"/>
            <w:right w:w="108" w:type="dxa"/>
          </w:tblCellMar>
        </w:tblPrEx>
        <w:trPr>
          <w:trHeight w:val="354" w:hRule="atLeast"/>
          <w:jc w:val="center"/>
        </w:trPr>
        <w:tc>
          <w:tcPr>
            <w:tcW w:w="692" w:type="pct"/>
            <w:tcBorders>
              <w:top w:val="single" w:color="auto" w:sz="4" w:space="0"/>
              <w:left w:val="single" w:color="auto" w:sz="4" w:space="0"/>
              <w:bottom w:val="single" w:color="auto" w:sz="4" w:space="0"/>
              <w:right w:val="single" w:color="auto" w:sz="4" w:space="0"/>
            </w:tcBorders>
            <w:noWrap w:val="0"/>
            <w:vAlign w:val="center"/>
          </w:tcPr>
          <w:p w14:paraId="3E3C288E">
            <w:pPr>
              <w:widowControl/>
              <w:jc w:val="center"/>
              <w:rPr>
                <w:rFonts w:ascii="Times New Roman" w:hAnsi="Times New Roman" w:eastAsia="宋体" w:cs="Times New Roman"/>
                <w:b/>
                <w:bCs/>
                <w:color w:val="auto"/>
                <w:kern w:val="0"/>
                <w:szCs w:val="21"/>
              </w:rPr>
            </w:pPr>
            <w:r>
              <w:rPr>
                <w:rFonts w:ascii="Times New Roman" w:hAnsi="Times New Roman" w:eastAsia="宋体" w:cs="Times New Roman"/>
                <w:b/>
                <w:bCs/>
                <w:color w:val="auto"/>
                <w:kern w:val="0"/>
                <w:szCs w:val="21"/>
              </w:rPr>
              <w:t>X\c/Y　</w:t>
            </w:r>
          </w:p>
        </w:tc>
        <w:tc>
          <w:tcPr>
            <w:tcW w:w="602" w:type="pct"/>
            <w:tcBorders>
              <w:top w:val="single" w:color="auto" w:sz="4" w:space="0"/>
              <w:left w:val="nil"/>
              <w:bottom w:val="single" w:color="auto" w:sz="4" w:space="0"/>
              <w:right w:val="single" w:color="auto" w:sz="4" w:space="0"/>
            </w:tcBorders>
            <w:noWrap w:val="0"/>
            <w:vAlign w:val="center"/>
          </w:tcPr>
          <w:p w14:paraId="0B625B57">
            <w:pPr>
              <w:widowControl/>
              <w:jc w:val="center"/>
              <w:rPr>
                <w:rFonts w:hint="eastAsia" w:ascii="Times New Roman" w:hAnsi="Times New Roman" w:eastAsia="宋体" w:cs="Times New Roman"/>
                <w:b/>
                <w:bCs/>
                <w:color w:val="auto"/>
                <w:kern w:val="0"/>
                <w:szCs w:val="21"/>
                <w:lang w:eastAsia="zh-CN"/>
              </w:rPr>
            </w:pPr>
            <w:r>
              <w:rPr>
                <w:rFonts w:hint="eastAsia" w:cs="Times New Roman"/>
                <w:b/>
                <w:bCs/>
                <w:color w:val="auto"/>
                <w:kern w:val="0"/>
                <w:szCs w:val="21"/>
                <w:lang w:val="en-US" w:eastAsia="zh-CN"/>
              </w:rPr>
              <w:t>1</w:t>
            </w:r>
          </w:p>
        </w:tc>
        <w:tc>
          <w:tcPr>
            <w:tcW w:w="602" w:type="pct"/>
            <w:tcBorders>
              <w:top w:val="single" w:color="auto" w:sz="4" w:space="0"/>
              <w:left w:val="nil"/>
              <w:bottom w:val="single" w:color="auto" w:sz="4" w:space="0"/>
              <w:right w:val="single" w:color="auto" w:sz="4" w:space="0"/>
            </w:tcBorders>
            <w:noWrap w:val="0"/>
            <w:vAlign w:val="center"/>
          </w:tcPr>
          <w:p w14:paraId="6173B650">
            <w:pPr>
              <w:widowControl/>
              <w:jc w:val="center"/>
              <w:rPr>
                <w:rFonts w:hint="default" w:ascii="Times New Roman" w:hAnsi="Times New Roman" w:eastAsia="宋体" w:cs="Times New Roman"/>
                <w:b/>
                <w:bCs/>
                <w:color w:val="auto"/>
                <w:kern w:val="0"/>
                <w:szCs w:val="21"/>
                <w:lang w:val="en-US" w:eastAsia="zh-CN"/>
              </w:rPr>
            </w:pPr>
            <w:r>
              <w:rPr>
                <w:rFonts w:hint="eastAsia" w:ascii="Times New Roman" w:hAnsi="Times New Roman" w:eastAsia="宋体" w:cs="Times New Roman"/>
                <w:b/>
                <w:bCs/>
                <w:color w:val="auto"/>
                <w:kern w:val="0"/>
                <w:szCs w:val="21"/>
                <w:lang w:val="en-US" w:eastAsia="zh-CN"/>
              </w:rPr>
              <w:t>2</w:t>
            </w:r>
          </w:p>
        </w:tc>
        <w:tc>
          <w:tcPr>
            <w:tcW w:w="602" w:type="pct"/>
            <w:tcBorders>
              <w:top w:val="single" w:color="auto" w:sz="4" w:space="0"/>
              <w:left w:val="nil"/>
              <w:bottom w:val="single" w:color="auto" w:sz="4" w:space="0"/>
              <w:right w:val="single" w:color="auto" w:sz="4" w:space="0"/>
            </w:tcBorders>
            <w:noWrap w:val="0"/>
            <w:vAlign w:val="center"/>
          </w:tcPr>
          <w:p w14:paraId="3701814F">
            <w:pPr>
              <w:widowControl/>
              <w:jc w:val="center"/>
              <w:rPr>
                <w:rFonts w:hint="default" w:ascii="Times New Roman" w:hAnsi="Times New Roman" w:eastAsia="宋体" w:cs="Times New Roman"/>
                <w:b/>
                <w:bCs/>
                <w:color w:val="auto"/>
                <w:kern w:val="0"/>
                <w:szCs w:val="21"/>
                <w:lang w:val="en-US" w:eastAsia="zh-CN"/>
              </w:rPr>
            </w:pPr>
            <w:r>
              <w:rPr>
                <w:rFonts w:hint="eastAsia" w:cs="Times New Roman"/>
                <w:b/>
                <w:bCs/>
                <w:color w:val="auto"/>
                <w:kern w:val="0"/>
                <w:szCs w:val="21"/>
                <w:lang w:val="en-US" w:eastAsia="zh-CN"/>
              </w:rPr>
              <w:t>3</w:t>
            </w:r>
          </w:p>
        </w:tc>
        <w:tc>
          <w:tcPr>
            <w:tcW w:w="602" w:type="pct"/>
            <w:tcBorders>
              <w:top w:val="single" w:color="auto" w:sz="4" w:space="0"/>
              <w:left w:val="nil"/>
              <w:bottom w:val="single" w:color="auto" w:sz="4" w:space="0"/>
              <w:right w:val="single" w:color="auto" w:sz="4" w:space="0"/>
            </w:tcBorders>
            <w:noWrap w:val="0"/>
            <w:vAlign w:val="center"/>
          </w:tcPr>
          <w:p w14:paraId="4B8BEA43">
            <w:pPr>
              <w:widowControl/>
              <w:jc w:val="center"/>
              <w:rPr>
                <w:rFonts w:hint="eastAsia" w:cs="Times New Roman"/>
                <w:b/>
                <w:bCs/>
                <w:color w:val="auto"/>
                <w:kern w:val="0"/>
                <w:szCs w:val="21"/>
                <w:lang w:val="en-US" w:eastAsia="zh-CN"/>
              </w:rPr>
            </w:pPr>
            <w:r>
              <w:rPr>
                <w:rFonts w:hint="eastAsia" w:cs="Times New Roman"/>
                <w:b/>
                <w:bCs/>
                <w:color w:val="auto"/>
                <w:kern w:val="0"/>
                <w:szCs w:val="21"/>
                <w:lang w:val="en-US" w:eastAsia="zh-CN"/>
              </w:rPr>
              <w:t>4</w:t>
            </w:r>
          </w:p>
        </w:tc>
        <w:tc>
          <w:tcPr>
            <w:tcW w:w="608" w:type="pct"/>
            <w:tcBorders>
              <w:top w:val="single" w:color="auto" w:sz="4" w:space="0"/>
              <w:left w:val="nil"/>
              <w:bottom w:val="single" w:color="auto" w:sz="4" w:space="0"/>
              <w:right w:val="single" w:color="auto" w:sz="4" w:space="0"/>
            </w:tcBorders>
            <w:noWrap w:val="0"/>
            <w:vAlign w:val="center"/>
          </w:tcPr>
          <w:p w14:paraId="385E4BBB">
            <w:pPr>
              <w:widowControl/>
              <w:jc w:val="center"/>
              <w:rPr>
                <w:rFonts w:hint="default" w:ascii="Times New Roman" w:hAnsi="Times New Roman" w:eastAsia="宋体" w:cs="Times New Roman"/>
                <w:b/>
                <w:bCs/>
                <w:color w:val="auto"/>
                <w:kern w:val="0"/>
                <w:szCs w:val="21"/>
                <w:lang w:val="en-US" w:eastAsia="zh-CN"/>
              </w:rPr>
            </w:pPr>
            <w:r>
              <w:rPr>
                <w:rFonts w:hint="eastAsia" w:cs="Times New Roman"/>
                <w:b/>
                <w:bCs/>
                <w:color w:val="auto"/>
                <w:kern w:val="0"/>
                <w:szCs w:val="21"/>
                <w:lang w:val="en-US" w:eastAsia="zh-CN"/>
              </w:rPr>
              <w:t>5</w:t>
            </w:r>
          </w:p>
        </w:tc>
        <w:tc>
          <w:tcPr>
            <w:tcW w:w="1287" w:type="pct"/>
            <w:tcBorders>
              <w:top w:val="single" w:color="auto" w:sz="4" w:space="0"/>
              <w:left w:val="nil"/>
              <w:bottom w:val="single" w:color="auto" w:sz="4" w:space="0"/>
              <w:right w:val="single" w:color="auto" w:sz="4" w:space="0"/>
            </w:tcBorders>
            <w:noWrap w:val="0"/>
            <w:vAlign w:val="center"/>
          </w:tcPr>
          <w:p w14:paraId="07E20EFF">
            <w:pPr>
              <w:widowControl/>
              <w:jc w:val="center"/>
              <w:rPr>
                <w:rFonts w:ascii="Times New Roman" w:hAnsi="Times New Roman" w:eastAsia="宋体" w:cs="Times New Roman"/>
                <w:b/>
                <w:bCs/>
                <w:color w:val="auto"/>
                <w:kern w:val="0"/>
                <w:szCs w:val="21"/>
              </w:rPr>
            </w:pPr>
            <w:r>
              <w:rPr>
                <w:rFonts w:ascii="Times New Roman" w:hAnsi="Times New Roman" w:eastAsia="宋体" w:cs="Times New Roman"/>
                <w:b/>
                <w:bCs/>
                <w:color w:val="auto"/>
                <w:kern w:val="0"/>
                <w:szCs w:val="21"/>
              </w:rPr>
              <w:t>备注</w:t>
            </w:r>
          </w:p>
        </w:tc>
      </w:tr>
      <w:tr w14:paraId="3722F40E">
        <w:tblPrEx>
          <w:tblCellMar>
            <w:top w:w="0" w:type="dxa"/>
            <w:left w:w="108" w:type="dxa"/>
            <w:bottom w:w="0" w:type="dxa"/>
            <w:right w:w="108" w:type="dxa"/>
          </w:tblCellMar>
        </w:tblPrEx>
        <w:trPr>
          <w:trHeight w:val="354" w:hRule="atLeast"/>
          <w:jc w:val="center"/>
        </w:trPr>
        <w:tc>
          <w:tcPr>
            <w:tcW w:w="692" w:type="pct"/>
            <w:tcBorders>
              <w:top w:val="single" w:color="auto" w:sz="4" w:space="0"/>
              <w:left w:val="single" w:color="auto" w:sz="4" w:space="0"/>
              <w:bottom w:val="single" w:color="auto" w:sz="4" w:space="0"/>
              <w:right w:val="single" w:color="auto" w:sz="4" w:space="0"/>
            </w:tcBorders>
            <w:noWrap w:val="0"/>
            <w:vAlign w:val="center"/>
          </w:tcPr>
          <w:p w14:paraId="0A29B69F">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w:t>
            </w:r>
          </w:p>
        </w:tc>
        <w:tc>
          <w:tcPr>
            <w:tcW w:w="602" w:type="pct"/>
            <w:tcBorders>
              <w:top w:val="single" w:color="auto" w:sz="4" w:space="0"/>
              <w:left w:val="nil"/>
              <w:bottom w:val="single" w:color="auto" w:sz="4" w:space="0"/>
              <w:right w:val="single" w:color="auto" w:sz="4" w:space="0"/>
            </w:tcBorders>
            <w:noWrap w:val="0"/>
            <w:vAlign w:val="center"/>
          </w:tcPr>
          <w:p w14:paraId="4592D6E4">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0.3420 </w:t>
            </w:r>
          </w:p>
        </w:tc>
        <w:tc>
          <w:tcPr>
            <w:tcW w:w="602" w:type="pct"/>
            <w:tcBorders>
              <w:top w:val="single" w:color="auto" w:sz="4" w:space="0"/>
              <w:left w:val="nil"/>
              <w:bottom w:val="single" w:color="auto" w:sz="4" w:space="0"/>
              <w:right w:val="single" w:color="auto" w:sz="4" w:space="0"/>
            </w:tcBorders>
            <w:noWrap w:val="0"/>
            <w:vAlign w:val="center"/>
          </w:tcPr>
          <w:p w14:paraId="7D6C69CC">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0.3420 </w:t>
            </w:r>
          </w:p>
        </w:tc>
        <w:tc>
          <w:tcPr>
            <w:tcW w:w="602" w:type="pct"/>
            <w:tcBorders>
              <w:top w:val="single" w:color="auto" w:sz="4" w:space="0"/>
              <w:left w:val="nil"/>
              <w:bottom w:val="single" w:color="auto" w:sz="4" w:space="0"/>
              <w:right w:val="single" w:color="auto" w:sz="4" w:space="0"/>
            </w:tcBorders>
            <w:noWrap w:val="0"/>
            <w:vAlign w:val="center"/>
          </w:tcPr>
          <w:p w14:paraId="525AA88F">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0.3420 </w:t>
            </w:r>
          </w:p>
        </w:tc>
        <w:tc>
          <w:tcPr>
            <w:tcW w:w="602" w:type="pct"/>
            <w:tcBorders>
              <w:top w:val="single" w:color="auto" w:sz="4" w:space="0"/>
              <w:left w:val="nil"/>
              <w:bottom w:val="single" w:color="auto" w:sz="4" w:space="0"/>
              <w:right w:val="single" w:color="auto" w:sz="4" w:space="0"/>
            </w:tcBorders>
            <w:noWrap w:val="0"/>
            <w:vAlign w:val="center"/>
          </w:tcPr>
          <w:p w14:paraId="33C4A2F6">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0.3420 </w:t>
            </w:r>
          </w:p>
        </w:tc>
        <w:tc>
          <w:tcPr>
            <w:tcW w:w="608" w:type="pct"/>
            <w:tcBorders>
              <w:top w:val="single" w:color="auto" w:sz="4" w:space="0"/>
              <w:left w:val="nil"/>
              <w:bottom w:val="single" w:color="auto" w:sz="4" w:space="0"/>
              <w:right w:val="single" w:color="auto" w:sz="4" w:space="0"/>
            </w:tcBorders>
            <w:noWrap w:val="0"/>
            <w:vAlign w:val="center"/>
          </w:tcPr>
          <w:p w14:paraId="2C42ED6B">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0.3420 </w:t>
            </w:r>
          </w:p>
        </w:tc>
        <w:tc>
          <w:tcPr>
            <w:tcW w:w="1287" w:type="pct"/>
            <w:vMerge w:val="restart"/>
            <w:tcBorders>
              <w:top w:val="single" w:color="auto" w:sz="4" w:space="0"/>
              <w:left w:val="nil"/>
              <w:right w:val="single" w:color="auto" w:sz="4" w:space="0"/>
            </w:tcBorders>
            <w:noWrap w:val="0"/>
            <w:vAlign w:val="center"/>
          </w:tcPr>
          <w:p w14:paraId="6B377E76">
            <w:pPr>
              <w:widowControl/>
              <w:jc w:val="center"/>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混合过程段</w:t>
            </w:r>
          </w:p>
        </w:tc>
      </w:tr>
      <w:tr w14:paraId="2E341B0A">
        <w:tblPrEx>
          <w:tblCellMar>
            <w:top w:w="0" w:type="dxa"/>
            <w:left w:w="108" w:type="dxa"/>
            <w:bottom w:w="0" w:type="dxa"/>
            <w:right w:w="108" w:type="dxa"/>
          </w:tblCellMar>
        </w:tblPrEx>
        <w:trPr>
          <w:trHeight w:val="354" w:hRule="atLeast"/>
          <w:jc w:val="center"/>
        </w:trPr>
        <w:tc>
          <w:tcPr>
            <w:tcW w:w="692" w:type="pct"/>
            <w:tcBorders>
              <w:top w:val="nil"/>
              <w:left w:val="single" w:color="auto" w:sz="4" w:space="0"/>
              <w:bottom w:val="single" w:color="auto" w:sz="4" w:space="0"/>
              <w:right w:val="single" w:color="auto" w:sz="4" w:space="0"/>
            </w:tcBorders>
            <w:noWrap w:val="0"/>
            <w:vAlign w:val="center"/>
          </w:tcPr>
          <w:p w14:paraId="0313D78B">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10</w:t>
            </w:r>
          </w:p>
        </w:tc>
        <w:tc>
          <w:tcPr>
            <w:tcW w:w="602" w:type="pct"/>
            <w:tcBorders>
              <w:top w:val="nil"/>
              <w:left w:val="nil"/>
              <w:bottom w:val="single" w:color="auto" w:sz="4" w:space="0"/>
              <w:right w:val="single" w:color="auto" w:sz="4" w:space="0"/>
            </w:tcBorders>
            <w:noWrap w:val="0"/>
            <w:vAlign w:val="center"/>
          </w:tcPr>
          <w:p w14:paraId="79CE2A76">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0.6657 </w:t>
            </w:r>
          </w:p>
        </w:tc>
        <w:tc>
          <w:tcPr>
            <w:tcW w:w="602" w:type="pct"/>
            <w:tcBorders>
              <w:top w:val="nil"/>
              <w:left w:val="nil"/>
              <w:bottom w:val="single" w:color="auto" w:sz="4" w:space="0"/>
              <w:right w:val="single" w:color="auto" w:sz="4" w:space="0"/>
            </w:tcBorders>
            <w:noWrap w:val="0"/>
            <w:vAlign w:val="center"/>
          </w:tcPr>
          <w:p w14:paraId="436447C8">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0.3441 </w:t>
            </w:r>
          </w:p>
        </w:tc>
        <w:tc>
          <w:tcPr>
            <w:tcW w:w="602" w:type="pct"/>
            <w:tcBorders>
              <w:top w:val="nil"/>
              <w:left w:val="nil"/>
              <w:bottom w:val="single" w:color="auto" w:sz="4" w:space="0"/>
              <w:right w:val="single" w:color="auto" w:sz="4" w:space="0"/>
            </w:tcBorders>
            <w:noWrap w:val="0"/>
            <w:vAlign w:val="center"/>
          </w:tcPr>
          <w:p w14:paraId="21A88B68">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0.3420 </w:t>
            </w:r>
          </w:p>
        </w:tc>
        <w:tc>
          <w:tcPr>
            <w:tcW w:w="602" w:type="pct"/>
            <w:tcBorders>
              <w:top w:val="nil"/>
              <w:left w:val="nil"/>
              <w:bottom w:val="single" w:color="auto" w:sz="4" w:space="0"/>
              <w:right w:val="single" w:color="auto" w:sz="4" w:space="0"/>
            </w:tcBorders>
            <w:noWrap w:val="0"/>
            <w:vAlign w:val="center"/>
          </w:tcPr>
          <w:p w14:paraId="0681E03C">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0.3420 </w:t>
            </w:r>
          </w:p>
        </w:tc>
        <w:tc>
          <w:tcPr>
            <w:tcW w:w="608" w:type="pct"/>
            <w:tcBorders>
              <w:top w:val="nil"/>
              <w:left w:val="nil"/>
              <w:bottom w:val="single" w:color="auto" w:sz="4" w:space="0"/>
              <w:right w:val="single" w:color="auto" w:sz="4" w:space="0"/>
            </w:tcBorders>
            <w:noWrap w:val="0"/>
            <w:vAlign w:val="center"/>
          </w:tcPr>
          <w:p w14:paraId="5E6A9581">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0.3420 </w:t>
            </w:r>
          </w:p>
        </w:tc>
        <w:tc>
          <w:tcPr>
            <w:tcW w:w="1287" w:type="pct"/>
            <w:vMerge w:val="continue"/>
            <w:tcBorders>
              <w:left w:val="nil"/>
              <w:right w:val="single" w:color="auto" w:sz="4" w:space="0"/>
            </w:tcBorders>
            <w:noWrap w:val="0"/>
            <w:vAlign w:val="center"/>
          </w:tcPr>
          <w:p w14:paraId="57D4BAAF">
            <w:pPr>
              <w:widowControl/>
              <w:jc w:val="center"/>
              <w:rPr>
                <w:rFonts w:ascii="Times New Roman" w:hAnsi="Times New Roman" w:eastAsia="宋体" w:cs="Times New Roman"/>
                <w:color w:val="auto"/>
                <w:kern w:val="0"/>
                <w:sz w:val="21"/>
                <w:szCs w:val="21"/>
              </w:rPr>
            </w:pPr>
          </w:p>
        </w:tc>
      </w:tr>
      <w:tr w14:paraId="00007FA9">
        <w:tblPrEx>
          <w:tblCellMar>
            <w:top w:w="0" w:type="dxa"/>
            <w:left w:w="108" w:type="dxa"/>
            <w:bottom w:w="0" w:type="dxa"/>
            <w:right w:w="108" w:type="dxa"/>
          </w:tblCellMar>
        </w:tblPrEx>
        <w:trPr>
          <w:trHeight w:val="354" w:hRule="atLeast"/>
          <w:jc w:val="center"/>
        </w:trPr>
        <w:tc>
          <w:tcPr>
            <w:tcW w:w="692" w:type="pct"/>
            <w:tcBorders>
              <w:top w:val="nil"/>
              <w:left w:val="single" w:color="auto" w:sz="4" w:space="0"/>
              <w:bottom w:val="single" w:color="auto" w:sz="4" w:space="0"/>
              <w:right w:val="single" w:color="auto" w:sz="4" w:space="0"/>
            </w:tcBorders>
            <w:noWrap w:val="0"/>
            <w:vAlign w:val="center"/>
          </w:tcPr>
          <w:p w14:paraId="520BE80E">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50</w:t>
            </w:r>
          </w:p>
        </w:tc>
        <w:tc>
          <w:tcPr>
            <w:tcW w:w="602" w:type="pct"/>
            <w:tcBorders>
              <w:top w:val="nil"/>
              <w:left w:val="nil"/>
              <w:bottom w:val="single" w:color="auto" w:sz="4" w:space="0"/>
              <w:right w:val="single" w:color="auto" w:sz="4" w:space="0"/>
            </w:tcBorders>
            <w:noWrap w:val="0"/>
            <w:vAlign w:val="center"/>
          </w:tcPr>
          <w:p w14:paraId="1BC2E030">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0.8882 </w:t>
            </w:r>
          </w:p>
        </w:tc>
        <w:tc>
          <w:tcPr>
            <w:tcW w:w="602" w:type="pct"/>
            <w:tcBorders>
              <w:top w:val="nil"/>
              <w:left w:val="nil"/>
              <w:bottom w:val="single" w:color="auto" w:sz="4" w:space="0"/>
              <w:right w:val="single" w:color="auto" w:sz="4" w:space="0"/>
            </w:tcBorders>
            <w:noWrap w:val="0"/>
            <w:vAlign w:val="center"/>
          </w:tcPr>
          <w:p w14:paraId="35D7397F">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0.5408 </w:t>
            </w:r>
          </w:p>
        </w:tc>
        <w:tc>
          <w:tcPr>
            <w:tcW w:w="602" w:type="pct"/>
            <w:tcBorders>
              <w:top w:val="nil"/>
              <w:left w:val="nil"/>
              <w:bottom w:val="single" w:color="auto" w:sz="4" w:space="0"/>
              <w:right w:val="single" w:color="auto" w:sz="4" w:space="0"/>
            </w:tcBorders>
            <w:noWrap w:val="0"/>
            <w:vAlign w:val="center"/>
          </w:tcPr>
          <w:p w14:paraId="41B6E3F1">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0.3789 </w:t>
            </w:r>
          </w:p>
        </w:tc>
        <w:tc>
          <w:tcPr>
            <w:tcW w:w="602" w:type="pct"/>
            <w:tcBorders>
              <w:top w:val="nil"/>
              <w:left w:val="nil"/>
              <w:bottom w:val="single" w:color="auto" w:sz="4" w:space="0"/>
              <w:right w:val="single" w:color="auto" w:sz="4" w:space="0"/>
            </w:tcBorders>
            <w:noWrap w:val="0"/>
            <w:vAlign w:val="center"/>
          </w:tcPr>
          <w:p w14:paraId="6F620044">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0.3455 </w:t>
            </w:r>
          </w:p>
        </w:tc>
        <w:tc>
          <w:tcPr>
            <w:tcW w:w="608" w:type="pct"/>
            <w:tcBorders>
              <w:top w:val="nil"/>
              <w:left w:val="nil"/>
              <w:bottom w:val="single" w:color="auto" w:sz="4" w:space="0"/>
              <w:right w:val="single" w:color="auto" w:sz="4" w:space="0"/>
            </w:tcBorders>
            <w:noWrap w:val="0"/>
            <w:vAlign w:val="center"/>
          </w:tcPr>
          <w:p w14:paraId="76BC8387">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0.3422 </w:t>
            </w:r>
          </w:p>
        </w:tc>
        <w:tc>
          <w:tcPr>
            <w:tcW w:w="1287" w:type="pct"/>
            <w:vMerge w:val="continue"/>
            <w:tcBorders>
              <w:left w:val="nil"/>
              <w:right w:val="single" w:color="auto" w:sz="4" w:space="0"/>
            </w:tcBorders>
            <w:noWrap w:val="0"/>
            <w:vAlign w:val="center"/>
          </w:tcPr>
          <w:p w14:paraId="0F5AA077">
            <w:pPr>
              <w:widowControl/>
              <w:jc w:val="center"/>
              <w:rPr>
                <w:rFonts w:ascii="Times New Roman" w:hAnsi="Times New Roman" w:eastAsia="宋体" w:cs="Times New Roman"/>
                <w:color w:val="auto"/>
                <w:kern w:val="0"/>
                <w:sz w:val="21"/>
                <w:szCs w:val="21"/>
              </w:rPr>
            </w:pPr>
          </w:p>
        </w:tc>
      </w:tr>
      <w:tr w14:paraId="2492740E">
        <w:tblPrEx>
          <w:tblCellMar>
            <w:top w:w="0" w:type="dxa"/>
            <w:left w:w="108" w:type="dxa"/>
            <w:bottom w:w="0" w:type="dxa"/>
            <w:right w:w="108" w:type="dxa"/>
          </w:tblCellMar>
        </w:tblPrEx>
        <w:trPr>
          <w:trHeight w:val="354" w:hRule="atLeast"/>
          <w:jc w:val="center"/>
        </w:trPr>
        <w:tc>
          <w:tcPr>
            <w:tcW w:w="692" w:type="pct"/>
            <w:tcBorders>
              <w:top w:val="nil"/>
              <w:left w:val="single" w:color="auto" w:sz="4" w:space="0"/>
              <w:bottom w:val="single" w:color="auto" w:sz="4" w:space="0"/>
              <w:right w:val="single" w:color="auto" w:sz="4" w:space="0"/>
            </w:tcBorders>
            <w:noWrap w:val="0"/>
            <w:vAlign w:val="center"/>
          </w:tcPr>
          <w:p w14:paraId="35E70766">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100</w:t>
            </w:r>
          </w:p>
        </w:tc>
        <w:tc>
          <w:tcPr>
            <w:tcW w:w="602" w:type="pct"/>
            <w:tcBorders>
              <w:top w:val="nil"/>
              <w:left w:val="nil"/>
              <w:bottom w:val="single" w:color="auto" w:sz="4" w:space="0"/>
              <w:right w:val="single" w:color="auto" w:sz="4" w:space="0"/>
            </w:tcBorders>
            <w:noWrap w:val="0"/>
            <w:vAlign w:val="center"/>
          </w:tcPr>
          <w:p w14:paraId="26E2A78E">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0.7881 </w:t>
            </w:r>
          </w:p>
        </w:tc>
        <w:tc>
          <w:tcPr>
            <w:tcW w:w="602" w:type="pct"/>
            <w:tcBorders>
              <w:top w:val="nil"/>
              <w:left w:val="nil"/>
              <w:bottom w:val="single" w:color="auto" w:sz="4" w:space="0"/>
              <w:right w:val="single" w:color="auto" w:sz="4" w:space="0"/>
            </w:tcBorders>
            <w:noWrap w:val="0"/>
            <w:vAlign w:val="center"/>
          </w:tcPr>
          <w:p w14:paraId="3869E9CD">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0.6112 </w:t>
            </w:r>
          </w:p>
        </w:tc>
        <w:tc>
          <w:tcPr>
            <w:tcW w:w="602" w:type="pct"/>
            <w:tcBorders>
              <w:top w:val="nil"/>
              <w:left w:val="nil"/>
              <w:bottom w:val="single" w:color="auto" w:sz="4" w:space="0"/>
              <w:right w:val="single" w:color="auto" w:sz="4" w:space="0"/>
            </w:tcBorders>
            <w:noWrap w:val="0"/>
            <w:vAlign w:val="center"/>
          </w:tcPr>
          <w:p w14:paraId="1EE2909E">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0.4580 </w:t>
            </w:r>
          </w:p>
        </w:tc>
        <w:tc>
          <w:tcPr>
            <w:tcW w:w="602" w:type="pct"/>
            <w:tcBorders>
              <w:top w:val="nil"/>
              <w:left w:val="nil"/>
              <w:bottom w:val="single" w:color="auto" w:sz="4" w:space="0"/>
              <w:right w:val="single" w:color="auto" w:sz="4" w:space="0"/>
            </w:tcBorders>
            <w:noWrap w:val="0"/>
            <w:vAlign w:val="center"/>
          </w:tcPr>
          <w:p w14:paraId="5FAEE41B">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0.3777 </w:t>
            </w:r>
          </w:p>
        </w:tc>
        <w:tc>
          <w:tcPr>
            <w:tcW w:w="608" w:type="pct"/>
            <w:tcBorders>
              <w:top w:val="nil"/>
              <w:left w:val="nil"/>
              <w:bottom w:val="single" w:color="auto" w:sz="4" w:space="0"/>
              <w:right w:val="single" w:color="auto" w:sz="4" w:space="0"/>
            </w:tcBorders>
            <w:noWrap w:val="0"/>
            <w:vAlign w:val="center"/>
          </w:tcPr>
          <w:p w14:paraId="316147FF">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0.3498 </w:t>
            </w:r>
          </w:p>
        </w:tc>
        <w:tc>
          <w:tcPr>
            <w:tcW w:w="1287" w:type="pct"/>
            <w:vMerge w:val="continue"/>
            <w:tcBorders>
              <w:left w:val="nil"/>
              <w:right w:val="single" w:color="auto" w:sz="4" w:space="0"/>
            </w:tcBorders>
            <w:noWrap w:val="0"/>
            <w:vAlign w:val="center"/>
          </w:tcPr>
          <w:p w14:paraId="73B047A5">
            <w:pPr>
              <w:widowControl/>
              <w:jc w:val="center"/>
              <w:rPr>
                <w:rFonts w:ascii="Times New Roman" w:hAnsi="Times New Roman" w:eastAsia="宋体" w:cs="Times New Roman"/>
                <w:color w:val="auto"/>
                <w:kern w:val="0"/>
                <w:sz w:val="21"/>
                <w:szCs w:val="21"/>
              </w:rPr>
            </w:pPr>
          </w:p>
        </w:tc>
      </w:tr>
      <w:tr w14:paraId="6A099DAD">
        <w:tblPrEx>
          <w:tblCellMar>
            <w:top w:w="0" w:type="dxa"/>
            <w:left w:w="108" w:type="dxa"/>
            <w:bottom w:w="0" w:type="dxa"/>
            <w:right w:w="108" w:type="dxa"/>
          </w:tblCellMar>
        </w:tblPrEx>
        <w:trPr>
          <w:trHeight w:val="354" w:hRule="atLeast"/>
          <w:jc w:val="center"/>
        </w:trPr>
        <w:tc>
          <w:tcPr>
            <w:tcW w:w="692" w:type="pct"/>
            <w:tcBorders>
              <w:top w:val="nil"/>
              <w:left w:val="single" w:color="auto" w:sz="4" w:space="0"/>
              <w:bottom w:val="single" w:color="auto" w:sz="4" w:space="0"/>
              <w:right w:val="single" w:color="auto" w:sz="4" w:space="0"/>
            </w:tcBorders>
            <w:shd w:val="clear" w:color="auto" w:fill="auto"/>
            <w:noWrap w:val="0"/>
            <w:vAlign w:val="center"/>
          </w:tcPr>
          <w:p w14:paraId="405348E6">
            <w:pPr>
              <w:widowControl/>
              <w:shd w:val="clear" w:color="auto" w:fill="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200</w:t>
            </w:r>
          </w:p>
        </w:tc>
        <w:tc>
          <w:tcPr>
            <w:tcW w:w="602" w:type="pct"/>
            <w:tcBorders>
              <w:top w:val="nil"/>
              <w:left w:val="nil"/>
              <w:bottom w:val="single" w:color="auto" w:sz="4" w:space="0"/>
              <w:right w:val="single" w:color="auto" w:sz="4" w:space="0"/>
            </w:tcBorders>
            <w:shd w:val="clear" w:color="auto" w:fill="auto"/>
            <w:noWrap w:val="0"/>
            <w:vAlign w:val="center"/>
          </w:tcPr>
          <w:p w14:paraId="25B81085">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0.6037 </w:t>
            </w:r>
          </w:p>
        </w:tc>
        <w:tc>
          <w:tcPr>
            <w:tcW w:w="602" w:type="pct"/>
            <w:tcBorders>
              <w:top w:val="nil"/>
              <w:left w:val="nil"/>
              <w:bottom w:val="single" w:color="auto" w:sz="4" w:space="0"/>
              <w:right w:val="single" w:color="auto" w:sz="4" w:space="0"/>
            </w:tcBorders>
            <w:noWrap w:val="0"/>
            <w:vAlign w:val="center"/>
          </w:tcPr>
          <w:p w14:paraId="545B9AB0">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0.5960 </w:t>
            </w:r>
          </w:p>
        </w:tc>
        <w:tc>
          <w:tcPr>
            <w:tcW w:w="602" w:type="pct"/>
            <w:tcBorders>
              <w:top w:val="nil"/>
              <w:left w:val="nil"/>
              <w:bottom w:val="single" w:color="auto" w:sz="4" w:space="0"/>
              <w:right w:val="single" w:color="auto" w:sz="4" w:space="0"/>
            </w:tcBorders>
            <w:noWrap w:val="0"/>
            <w:vAlign w:val="center"/>
          </w:tcPr>
          <w:p w14:paraId="6A89AB75">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0.5087 </w:t>
            </w:r>
          </w:p>
        </w:tc>
        <w:tc>
          <w:tcPr>
            <w:tcW w:w="602" w:type="pct"/>
            <w:tcBorders>
              <w:top w:val="nil"/>
              <w:left w:val="nil"/>
              <w:bottom w:val="single" w:color="auto" w:sz="4" w:space="0"/>
              <w:right w:val="single" w:color="auto" w:sz="4" w:space="0"/>
            </w:tcBorders>
            <w:noWrap w:val="0"/>
            <w:vAlign w:val="center"/>
          </w:tcPr>
          <w:p w14:paraId="00611847">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0.4345 </w:t>
            </w:r>
          </w:p>
        </w:tc>
        <w:tc>
          <w:tcPr>
            <w:tcW w:w="608" w:type="pct"/>
            <w:tcBorders>
              <w:top w:val="nil"/>
              <w:left w:val="nil"/>
              <w:bottom w:val="single" w:color="auto" w:sz="4" w:space="0"/>
              <w:right w:val="single" w:color="auto" w:sz="4" w:space="0"/>
            </w:tcBorders>
            <w:noWrap w:val="0"/>
            <w:vAlign w:val="center"/>
          </w:tcPr>
          <w:p w14:paraId="2EAD79BB">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0.3853 </w:t>
            </w:r>
          </w:p>
        </w:tc>
        <w:tc>
          <w:tcPr>
            <w:tcW w:w="1287" w:type="pct"/>
            <w:vMerge w:val="continue"/>
            <w:tcBorders>
              <w:left w:val="nil"/>
              <w:bottom w:val="single" w:color="auto" w:sz="4" w:space="0"/>
              <w:right w:val="single" w:color="auto" w:sz="4" w:space="0"/>
            </w:tcBorders>
            <w:noWrap w:val="0"/>
            <w:vAlign w:val="center"/>
          </w:tcPr>
          <w:p w14:paraId="4D611EB6">
            <w:pPr>
              <w:widowControl/>
              <w:jc w:val="center"/>
              <w:rPr>
                <w:rFonts w:ascii="Times New Roman" w:hAnsi="Times New Roman" w:eastAsia="宋体" w:cs="Times New Roman"/>
                <w:color w:val="auto"/>
                <w:kern w:val="0"/>
                <w:sz w:val="21"/>
                <w:szCs w:val="21"/>
              </w:rPr>
            </w:pPr>
          </w:p>
        </w:tc>
      </w:tr>
      <w:tr w14:paraId="1351FC2B">
        <w:tblPrEx>
          <w:tblCellMar>
            <w:top w:w="0" w:type="dxa"/>
            <w:left w:w="108" w:type="dxa"/>
            <w:bottom w:w="0" w:type="dxa"/>
            <w:right w:w="108" w:type="dxa"/>
          </w:tblCellMar>
        </w:tblPrEx>
        <w:trPr>
          <w:trHeight w:val="354" w:hRule="atLeast"/>
          <w:jc w:val="center"/>
        </w:trPr>
        <w:tc>
          <w:tcPr>
            <w:tcW w:w="69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64F1083">
            <w:pPr>
              <w:widowControl/>
              <w:shd w:val="clear" w:color="auto" w:fill="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300</w:t>
            </w:r>
          </w:p>
        </w:tc>
        <w:tc>
          <w:tcPr>
            <w:tcW w:w="60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B2B9ABF">
            <w:pPr>
              <w:widowControl/>
              <w:shd w:val="clear" w:color="auto" w:fill="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0.5</w:t>
            </w:r>
            <w:r>
              <w:rPr>
                <w:rFonts w:hint="eastAsia" w:cs="Times New Roman"/>
                <w:color w:val="auto"/>
                <w:kern w:val="0"/>
                <w:szCs w:val="21"/>
                <w:lang w:val="en-US" w:eastAsia="zh-CN"/>
              </w:rPr>
              <w:t>552</w:t>
            </w:r>
            <w:r>
              <w:rPr>
                <w:rFonts w:hint="eastAsia" w:ascii="Times New Roman" w:hAnsi="Times New Roman" w:eastAsia="宋体" w:cs="Times New Roman"/>
                <w:color w:val="auto"/>
                <w:kern w:val="0"/>
                <w:szCs w:val="21"/>
                <w:lang w:val="en-US" w:eastAsia="zh-CN"/>
              </w:rPr>
              <w:t xml:space="preserve"> </w:t>
            </w:r>
          </w:p>
        </w:tc>
        <w:tc>
          <w:tcPr>
            <w:tcW w:w="602" w:type="pct"/>
            <w:tcBorders>
              <w:top w:val="single" w:color="auto" w:sz="4" w:space="0"/>
              <w:left w:val="single" w:color="auto" w:sz="4" w:space="0"/>
              <w:bottom w:val="single" w:color="auto" w:sz="4" w:space="0"/>
              <w:right w:val="single" w:color="auto" w:sz="4" w:space="0"/>
            </w:tcBorders>
            <w:noWrap w:val="0"/>
            <w:vAlign w:val="center"/>
          </w:tcPr>
          <w:p w14:paraId="741F7585">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0.5</w:t>
            </w:r>
            <w:r>
              <w:rPr>
                <w:rFonts w:hint="eastAsia" w:cs="Times New Roman"/>
                <w:color w:val="auto"/>
                <w:kern w:val="0"/>
                <w:szCs w:val="21"/>
                <w:lang w:val="en-US" w:eastAsia="zh-CN"/>
              </w:rPr>
              <w:t>4</w:t>
            </w:r>
            <w:r>
              <w:rPr>
                <w:rFonts w:hint="eastAsia" w:ascii="Times New Roman" w:hAnsi="Times New Roman" w:eastAsia="宋体" w:cs="Times New Roman"/>
                <w:color w:val="auto"/>
                <w:kern w:val="0"/>
                <w:szCs w:val="21"/>
                <w:lang w:val="en-US" w:eastAsia="zh-CN"/>
              </w:rPr>
              <w:t xml:space="preserve">31 </w:t>
            </w:r>
          </w:p>
        </w:tc>
        <w:tc>
          <w:tcPr>
            <w:tcW w:w="602" w:type="pct"/>
            <w:tcBorders>
              <w:top w:val="single" w:color="auto" w:sz="4" w:space="0"/>
              <w:left w:val="single" w:color="auto" w:sz="4" w:space="0"/>
              <w:bottom w:val="single" w:color="auto" w:sz="4" w:space="0"/>
              <w:right w:val="single" w:color="auto" w:sz="4" w:space="0"/>
            </w:tcBorders>
            <w:noWrap w:val="0"/>
            <w:vAlign w:val="center"/>
          </w:tcPr>
          <w:p w14:paraId="2A8E92EE">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0.5</w:t>
            </w:r>
            <w:r>
              <w:rPr>
                <w:rFonts w:hint="eastAsia" w:cs="Times New Roman"/>
                <w:color w:val="auto"/>
                <w:kern w:val="0"/>
                <w:szCs w:val="21"/>
                <w:lang w:val="en-US" w:eastAsia="zh-CN"/>
              </w:rPr>
              <w:t>3</w:t>
            </w:r>
            <w:r>
              <w:rPr>
                <w:rFonts w:hint="eastAsia" w:ascii="Times New Roman" w:hAnsi="Times New Roman" w:eastAsia="宋体" w:cs="Times New Roman"/>
                <w:color w:val="auto"/>
                <w:kern w:val="0"/>
                <w:szCs w:val="21"/>
                <w:lang w:val="en-US" w:eastAsia="zh-CN"/>
              </w:rPr>
              <w:t xml:space="preserve">90 </w:t>
            </w:r>
          </w:p>
        </w:tc>
        <w:tc>
          <w:tcPr>
            <w:tcW w:w="602" w:type="pct"/>
            <w:tcBorders>
              <w:top w:val="single" w:color="auto" w:sz="4" w:space="0"/>
              <w:left w:val="single" w:color="auto" w:sz="4" w:space="0"/>
              <w:bottom w:val="single" w:color="auto" w:sz="4" w:space="0"/>
              <w:right w:val="single" w:color="auto" w:sz="4" w:space="0"/>
            </w:tcBorders>
            <w:noWrap w:val="0"/>
            <w:vAlign w:val="center"/>
          </w:tcPr>
          <w:p w14:paraId="64C06025">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0.4</w:t>
            </w:r>
            <w:r>
              <w:rPr>
                <w:rFonts w:hint="eastAsia" w:cs="Times New Roman"/>
                <w:color w:val="auto"/>
                <w:kern w:val="0"/>
                <w:szCs w:val="21"/>
                <w:lang w:val="en-US" w:eastAsia="zh-CN"/>
              </w:rPr>
              <w:t>8</w:t>
            </w:r>
            <w:r>
              <w:rPr>
                <w:rFonts w:hint="eastAsia" w:ascii="Times New Roman" w:hAnsi="Times New Roman" w:eastAsia="宋体" w:cs="Times New Roman"/>
                <w:color w:val="auto"/>
                <w:kern w:val="0"/>
                <w:szCs w:val="21"/>
                <w:lang w:val="en-US" w:eastAsia="zh-CN"/>
              </w:rPr>
              <w:t xml:space="preserve">47 </w:t>
            </w:r>
          </w:p>
        </w:tc>
        <w:tc>
          <w:tcPr>
            <w:tcW w:w="608" w:type="pct"/>
            <w:tcBorders>
              <w:top w:val="single" w:color="auto" w:sz="4" w:space="0"/>
              <w:left w:val="single" w:color="auto" w:sz="4" w:space="0"/>
              <w:bottom w:val="single" w:color="auto" w:sz="4" w:space="0"/>
              <w:right w:val="single" w:color="auto" w:sz="4" w:space="0"/>
            </w:tcBorders>
            <w:noWrap w:val="0"/>
            <w:vAlign w:val="center"/>
          </w:tcPr>
          <w:p w14:paraId="615C6624">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0.4</w:t>
            </w:r>
            <w:r>
              <w:rPr>
                <w:rFonts w:hint="eastAsia" w:cs="Times New Roman"/>
                <w:color w:val="auto"/>
                <w:kern w:val="0"/>
                <w:szCs w:val="21"/>
                <w:lang w:val="en-US" w:eastAsia="zh-CN"/>
              </w:rPr>
              <w:t>5</w:t>
            </w:r>
            <w:r>
              <w:rPr>
                <w:rFonts w:hint="eastAsia" w:ascii="Times New Roman" w:hAnsi="Times New Roman" w:eastAsia="宋体" w:cs="Times New Roman"/>
                <w:color w:val="auto"/>
                <w:kern w:val="0"/>
                <w:szCs w:val="21"/>
                <w:lang w:val="en-US" w:eastAsia="zh-CN"/>
              </w:rPr>
              <w:t xml:space="preserve">00 </w:t>
            </w:r>
          </w:p>
        </w:tc>
        <w:tc>
          <w:tcPr>
            <w:tcW w:w="1287" w:type="pct"/>
            <w:vMerge w:val="restart"/>
            <w:tcBorders>
              <w:top w:val="single" w:color="auto" w:sz="4" w:space="0"/>
              <w:left w:val="single" w:color="auto" w:sz="4" w:space="0"/>
              <w:right w:val="single" w:color="auto" w:sz="4" w:space="0"/>
            </w:tcBorders>
            <w:noWrap w:val="0"/>
            <w:vAlign w:val="center"/>
          </w:tcPr>
          <w:p w14:paraId="2E915CFE">
            <w:pPr>
              <w:widowControl/>
              <w:jc w:val="center"/>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完全混合段</w:t>
            </w:r>
          </w:p>
        </w:tc>
      </w:tr>
      <w:tr w14:paraId="7CFB050E">
        <w:tblPrEx>
          <w:tblCellMar>
            <w:top w:w="0" w:type="dxa"/>
            <w:left w:w="108" w:type="dxa"/>
            <w:bottom w:w="0" w:type="dxa"/>
            <w:right w:w="108" w:type="dxa"/>
          </w:tblCellMar>
        </w:tblPrEx>
        <w:trPr>
          <w:trHeight w:val="354" w:hRule="atLeast"/>
          <w:jc w:val="center"/>
        </w:trPr>
        <w:tc>
          <w:tcPr>
            <w:tcW w:w="69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780E39B">
            <w:pPr>
              <w:widowControl/>
              <w:shd w:val="clear" w:color="auto" w:fill="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400</w:t>
            </w:r>
          </w:p>
        </w:tc>
        <w:tc>
          <w:tcPr>
            <w:tcW w:w="60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226C0DF9">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0.5</w:t>
            </w:r>
            <w:r>
              <w:rPr>
                <w:rFonts w:hint="eastAsia" w:cs="Times New Roman"/>
                <w:color w:val="auto"/>
                <w:kern w:val="0"/>
                <w:szCs w:val="21"/>
                <w:lang w:val="en-US" w:eastAsia="zh-CN"/>
              </w:rPr>
              <w:t>0</w:t>
            </w:r>
            <w:r>
              <w:rPr>
                <w:rFonts w:hint="eastAsia" w:ascii="Times New Roman" w:hAnsi="Times New Roman" w:eastAsia="宋体" w:cs="Times New Roman"/>
                <w:color w:val="auto"/>
                <w:kern w:val="0"/>
                <w:szCs w:val="21"/>
                <w:lang w:val="en-US" w:eastAsia="zh-CN"/>
              </w:rPr>
              <w:t xml:space="preserve">50 </w:t>
            </w:r>
          </w:p>
        </w:tc>
        <w:tc>
          <w:tcPr>
            <w:tcW w:w="60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CD00DF8">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0.4984 </w:t>
            </w:r>
          </w:p>
        </w:tc>
        <w:tc>
          <w:tcPr>
            <w:tcW w:w="60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7AAD3DD">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0.4584 </w:t>
            </w:r>
          </w:p>
        </w:tc>
        <w:tc>
          <w:tcPr>
            <w:tcW w:w="60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437CAC1">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0.4</w:t>
            </w:r>
            <w:r>
              <w:rPr>
                <w:rFonts w:hint="eastAsia" w:cs="Times New Roman"/>
                <w:color w:val="auto"/>
                <w:kern w:val="0"/>
                <w:szCs w:val="21"/>
                <w:lang w:val="en-US" w:eastAsia="zh-CN"/>
              </w:rPr>
              <w:t>485</w:t>
            </w:r>
            <w:r>
              <w:rPr>
                <w:rFonts w:hint="eastAsia" w:ascii="Times New Roman" w:hAnsi="Times New Roman" w:eastAsia="宋体" w:cs="Times New Roman"/>
                <w:color w:val="auto"/>
                <w:kern w:val="0"/>
                <w:szCs w:val="21"/>
                <w:lang w:val="en-US" w:eastAsia="zh-CN"/>
              </w:rPr>
              <w:t xml:space="preserve"> </w:t>
            </w:r>
          </w:p>
        </w:tc>
        <w:tc>
          <w:tcPr>
            <w:tcW w:w="608" w:type="pct"/>
            <w:tcBorders>
              <w:top w:val="single" w:color="auto" w:sz="4" w:space="0"/>
              <w:left w:val="single" w:color="auto" w:sz="4" w:space="0"/>
              <w:bottom w:val="single" w:color="auto" w:sz="4" w:space="0"/>
              <w:right w:val="single" w:color="auto" w:sz="4" w:space="0"/>
            </w:tcBorders>
            <w:noWrap w:val="0"/>
            <w:vAlign w:val="center"/>
          </w:tcPr>
          <w:p w14:paraId="1F13F103">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0.4</w:t>
            </w:r>
            <w:r>
              <w:rPr>
                <w:rFonts w:hint="eastAsia" w:cs="Times New Roman"/>
                <w:color w:val="auto"/>
                <w:kern w:val="0"/>
                <w:szCs w:val="21"/>
                <w:lang w:val="en-US" w:eastAsia="zh-CN"/>
              </w:rPr>
              <w:t>3</w:t>
            </w:r>
            <w:r>
              <w:rPr>
                <w:rFonts w:hint="eastAsia" w:ascii="Times New Roman" w:hAnsi="Times New Roman" w:eastAsia="宋体" w:cs="Times New Roman"/>
                <w:color w:val="auto"/>
                <w:kern w:val="0"/>
                <w:szCs w:val="21"/>
                <w:lang w:val="en-US" w:eastAsia="zh-CN"/>
              </w:rPr>
              <w:t>17</w:t>
            </w:r>
          </w:p>
        </w:tc>
        <w:tc>
          <w:tcPr>
            <w:tcW w:w="1287" w:type="pct"/>
            <w:vMerge w:val="continue"/>
            <w:tcBorders>
              <w:left w:val="single" w:color="auto" w:sz="4" w:space="0"/>
              <w:right w:val="single" w:color="auto" w:sz="4" w:space="0"/>
            </w:tcBorders>
            <w:noWrap w:val="0"/>
            <w:vAlign w:val="center"/>
          </w:tcPr>
          <w:p w14:paraId="1BFB4796">
            <w:pPr>
              <w:widowControl/>
              <w:jc w:val="center"/>
              <w:rPr>
                <w:rFonts w:ascii="Times New Roman" w:hAnsi="Times New Roman" w:eastAsia="宋体" w:cs="Times New Roman"/>
                <w:color w:val="auto"/>
                <w:kern w:val="0"/>
                <w:szCs w:val="21"/>
              </w:rPr>
            </w:pPr>
          </w:p>
        </w:tc>
      </w:tr>
      <w:tr w14:paraId="0B8E1B5F">
        <w:tblPrEx>
          <w:tblCellMar>
            <w:top w:w="0" w:type="dxa"/>
            <w:left w:w="108" w:type="dxa"/>
            <w:bottom w:w="0" w:type="dxa"/>
            <w:right w:w="108" w:type="dxa"/>
          </w:tblCellMar>
        </w:tblPrEx>
        <w:trPr>
          <w:trHeight w:val="354" w:hRule="atLeast"/>
          <w:jc w:val="center"/>
        </w:trPr>
        <w:tc>
          <w:tcPr>
            <w:tcW w:w="692" w:type="pct"/>
            <w:tcBorders>
              <w:top w:val="single" w:color="auto" w:sz="4" w:space="0"/>
              <w:left w:val="single" w:color="auto" w:sz="4" w:space="0"/>
              <w:bottom w:val="single" w:color="auto" w:sz="4" w:space="0"/>
              <w:right w:val="single" w:color="auto" w:sz="4" w:space="0"/>
            </w:tcBorders>
            <w:noWrap w:val="0"/>
            <w:vAlign w:val="center"/>
          </w:tcPr>
          <w:p w14:paraId="37615756">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cs="Times New Roman"/>
                <w:color w:val="auto"/>
                <w:kern w:val="0"/>
                <w:szCs w:val="21"/>
                <w:lang w:val="en-US" w:eastAsia="zh-CN"/>
              </w:rPr>
              <w:t>480</w:t>
            </w:r>
          </w:p>
        </w:tc>
        <w:tc>
          <w:tcPr>
            <w:tcW w:w="4974" w:type="dxa"/>
            <w:gridSpan w:val="5"/>
            <w:tcBorders>
              <w:top w:val="single" w:color="auto" w:sz="4" w:space="0"/>
              <w:left w:val="single" w:color="auto" w:sz="4" w:space="0"/>
              <w:bottom w:val="single" w:color="auto" w:sz="4" w:space="0"/>
              <w:right w:val="single" w:color="auto" w:sz="4" w:space="0"/>
            </w:tcBorders>
            <w:noWrap w:val="0"/>
            <w:vAlign w:val="center"/>
          </w:tcPr>
          <w:p w14:paraId="46621B20">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0.4254 </w:t>
            </w:r>
          </w:p>
        </w:tc>
        <w:tc>
          <w:tcPr>
            <w:tcW w:w="1287" w:type="pct"/>
            <w:vMerge w:val="continue"/>
            <w:tcBorders>
              <w:left w:val="single" w:color="auto" w:sz="4" w:space="0"/>
              <w:right w:val="single" w:color="auto" w:sz="4" w:space="0"/>
            </w:tcBorders>
            <w:noWrap w:val="0"/>
            <w:vAlign w:val="center"/>
          </w:tcPr>
          <w:p w14:paraId="36704720">
            <w:pPr>
              <w:widowControl/>
              <w:jc w:val="center"/>
              <w:rPr>
                <w:rFonts w:ascii="Times New Roman" w:hAnsi="Times New Roman" w:eastAsia="宋体" w:cs="Times New Roman"/>
                <w:color w:val="auto"/>
                <w:kern w:val="0"/>
                <w:szCs w:val="21"/>
              </w:rPr>
            </w:pPr>
          </w:p>
        </w:tc>
      </w:tr>
      <w:tr w14:paraId="0887845E">
        <w:tblPrEx>
          <w:tblCellMar>
            <w:top w:w="0" w:type="dxa"/>
            <w:left w:w="108" w:type="dxa"/>
            <w:bottom w:w="0" w:type="dxa"/>
            <w:right w:w="108" w:type="dxa"/>
          </w:tblCellMar>
        </w:tblPrEx>
        <w:trPr>
          <w:trHeight w:val="90" w:hRule="atLeast"/>
          <w:jc w:val="center"/>
        </w:trPr>
        <w:tc>
          <w:tcPr>
            <w:tcW w:w="692" w:type="pct"/>
            <w:tcBorders>
              <w:top w:val="single" w:color="auto" w:sz="4" w:space="0"/>
              <w:left w:val="single" w:color="auto" w:sz="4" w:space="0"/>
              <w:bottom w:val="single" w:color="auto" w:sz="4" w:space="0"/>
              <w:right w:val="single" w:color="auto" w:sz="4" w:space="0"/>
            </w:tcBorders>
            <w:noWrap w:val="0"/>
            <w:vAlign w:val="center"/>
          </w:tcPr>
          <w:p w14:paraId="11A30991">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500</w:t>
            </w:r>
          </w:p>
        </w:tc>
        <w:tc>
          <w:tcPr>
            <w:tcW w:w="4974" w:type="dxa"/>
            <w:gridSpan w:val="5"/>
            <w:tcBorders>
              <w:top w:val="single" w:color="auto" w:sz="4" w:space="0"/>
              <w:left w:val="single" w:color="auto" w:sz="4" w:space="0"/>
              <w:bottom w:val="single" w:color="auto" w:sz="4" w:space="0"/>
              <w:right w:val="single" w:color="auto" w:sz="4" w:space="0"/>
            </w:tcBorders>
            <w:noWrap w:val="0"/>
            <w:vAlign w:val="center"/>
          </w:tcPr>
          <w:p w14:paraId="161014AB">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0.4259 </w:t>
            </w:r>
          </w:p>
        </w:tc>
        <w:tc>
          <w:tcPr>
            <w:tcW w:w="1287" w:type="pct"/>
            <w:vMerge w:val="continue"/>
            <w:tcBorders>
              <w:left w:val="single" w:color="auto" w:sz="4" w:space="0"/>
              <w:right w:val="single" w:color="auto" w:sz="4" w:space="0"/>
            </w:tcBorders>
            <w:noWrap w:val="0"/>
            <w:vAlign w:val="center"/>
          </w:tcPr>
          <w:p w14:paraId="58953B93">
            <w:pPr>
              <w:widowControl/>
              <w:jc w:val="center"/>
              <w:rPr>
                <w:rFonts w:ascii="Times New Roman" w:hAnsi="Times New Roman" w:eastAsia="宋体" w:cs="Times New Roman"/>
                <w:color w:val="auto"/>
                <w:kern w:val="0"/>
                <w:szCs w:val="21"/>
              </w:rPr>
            </w:pPr>
          </w:p>
        </w:tc>
      </w:tr>
      <w:tr w14:paraId="010CCCB6">
        <w:tblPrEx>
          <w:tblCellMar>
            <w:top w:w="0" w:type="dxa"/>
            <w:left w:w="108" w:type="dxa"/>
            <w:bottom w:w="0" w:type="dxa"/>
            <w:right w:w="108" w:type="dxa"/>
          </w:tblCellMar>
        </w:tblPrEx>
        <w:trPr>
          <w:trHeight w:val="354" w:hRule="atLeast"/>
          <w:jc w:val="center"/>
        </w:trPr>
        <w:tc>
          <w:tcPr>
            <w:tcW w:w="692" w:type="pct"/>
            <w:tcBorders>
              <w:top w:val="single" w:color="auto" w:sz="4" w:space="0"/>
              <w:left w:val="single" w:color="auto" w:sz="4" w:space="0"/>
              <w:bottom w:val="single" w:color="auto" w:sz="4" w:space="0"/>
              <w:right w:val="single" w:color="auto" w:sz="4" w:space="0"/>
            </w:tcBorders>
            <w:noWrap w:val="0"/>
            <w:vAlign w:val="center"/>
          </w:tcPr>
          <w:p w14:paraId="22BA2A3A">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550</w:t>
            </w:r>
          </w:p>
        </w:tc>
        <w:tc>
          <w:tcPr>
            <w:tcW w:w="4974" w:type="dxa"/>
            <w:gridSpan w:val="5"/>
            <w:tcBorders>
              <w:top w:val="single" w:color="auto" w:sz="4" w:space="0"/>
              <w:left w:val="single" w:color="auto" w:sz="4" w:space="0"/>
              <w:bottom w:val="single" w:color="auto" w:sz="4" w:space="0"/>
              <w:right w:val="single" w:color="auto" w:sz="4" w:space="0"/>
            </w:tcBorders>
            <w:noWrap w:val="0"/>
            <w:vAlign w:val="center"/>
          </w:tcPr>
          <w:p w14:paraId="6DAE1E5F">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0.4263 </w:t>
            </w:r>
          </w:p>
        </w:tc>
        <w:tc>
          <w:tcPr>
            <w:tcW w:w="1287" w:type="pct"/>
            <w:vMerge w:val="continue"/>
            <w:tcBorders>
              <w:left w:val="single" w:color="auto" w:sz="4" w:space="0"/>
              <w:bottom w:val="single" w:color="auto" w:sz="4" w:space="0"/>
              <w:right w:val="single" w:color="auto" w:sz="4" w:space="0"/>
            </w:tcBorders>
            <w:noWrap w:val="0"/>
            <w:vAlign w:val="center"/>
          </w:tcPr>
          <w:p w14:paraId="53C3AF13">
            <w:pPr>
              <w:widowControl/>
              <w:jc w:val="center"/>
              <w:rPr>
                <w:rFonts w:ascii="Times New Roman" w:hAnsi="Times New Roman" w:eastAsia="宋体" w:cs="Times New Roman"/>
                <w:color w:val="auto"/>
                <w:kern w:val="0"/>
                <w:szCs w:val="21"/>
              </w:rPr>
            </w:pPr>
          </w:p>
        </w:tc>
      </w:tr>
      <w:tr w14:paraId="7820D572">
        <w:tblPrEx>
          <w:tblCellMar>
            <w:top w:w="0" w:type="dxa"/>
            <w:left w:w="108" w:type="dxa"/>
            <w:bottom w:w="0" w:type="dxa"/>
            <w:right w:w="108" w:type="dxa"/>
          </w:tblCellMar>
        </w:tblPrEx>
        <w:trPr>
          <w:trHeight w:val="353" w:hRule="atLeast"/>
          <w:jc w:val="center"/>
        </w:trPr>
        <w:tc>
          <w:tcPr>
            <w:tcW w:w="692" w:type="pct"/>
            <w:tcBorders>
              <w:top w:val="single" w:color="auto" w:sz="4" w:space="0"/>
              <w:left w:val="single" w:color="auto" w:sz="4" w:space="0"/>
              <w:bottom w:val="single" w:color="auto" w:sz="4" w:space="0"/>
              <w:right w:val="single" w:color="auto" w:sz="4" w:space="0"/>
            </w:tcBorders>
            <w:noWrap w:val="0"/>
            <w:vAlign w:val="center"/>
          </w:tcPr>
          <w:p w14:paraId="74C4B427">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标准限值</w:t>
            </w:r>
          </w:p>
        </w:tc>
        <w:tc>
          <w:tcPr>
            <w:tcW w:w="3020" w:type="pct"/>
            <w:gridSpan w:val="5"/>
            <w:tcBorders>
              <w:top w:val="single" w:color="auto" w:sz="4" w:space="0"/>
              <w:left w:val="single" w:color="auto" w:sz="4" w:space="0"/>
              <w:bottom w:val="single" w:color="auto" w:sz="4" w:space="0"/>
              <w:right w:val="single" w:color="auto" w:sz="4" w:space="0"/>
            </w:tcBorders>
            <w:noWrap w:val="0"/>
            <w:vAlign w:val="center"/>
          </w:tcPr>
          <w:p w14:paraId="799B2E72">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highlight w:val="none"/>
                <w:lang w:val="en-US" w:eastAsia="zh-CN"/>
              </w:rPr>
              <w:t>≦1</w:t>
            </w:r>
          </w:p>
        </w:tc>
        <w:tc>
          <w:tcPr>
            <w:tcW w:w="1287" w:type="pct"/>
            <w:tcBorders>
              <w:top w:val="single" w:color="auto" w:sz="4" w:space="0"/>
              <w:left w:val="single" w:color="auto" w:sz="4" w:space="0"/>
              <w:bottom w:val="single" w:color="auto" w:sz="4" w:space="0"/>
              <w:right w:val="single" w:color="auto" w:sz="4" w:space="0"/>
            </w:tcBorders>
            <w:noWrap w:val="0"/>
            <w:vAlign w:val="center"/>
          </w:tcPr>
          <w:p w14:paraId="00148081">
            <w:pPr>
              <w:widowControl/>
              <w:jc w:val="center"/>
              <w:rPr>
                <w:rFonts w:hint="eastAsia" w:ascii="Times New Roman" w:hAnsi="Times New Roman" w:eastAsia="宋体" w:cs="Times New Roman"/>
                <w:color w:val="auto"/>
                <w:kern w:val="0"/>
                <w:szCs w:val="21"/>
                <w:lang w:val="en-US" w:eastAsia="zh-CN"/>
              </w:rPr>
            </w:pPr>
            <w:r>
              <w:rPr>
                <w:rFonts w:hint="eastAsia" w:cs="Times New Roman"/>
                <w:color w:val="auto"/>
                <w:kern w:val="0"/>
                <w:szCs w:val="21"/>
                <w:lang w:val="en-US" w:eastAsia="zh-CN"/>
              </w:rPr>
              <w:t>/</w:t>
            </w:r>
          </w:p>
        </w:tc>
      </w:tr>
    </w:tbl>
    <w:p w14:paraId="6829846D">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从上表可以看出，正常情况下，项目尾水排入排水渠下游</w:t>
      </w:r>
      <w:r>
        <w:rPr>
          <w:rFonts w:hint="eastAsia" w:cs="Times New Roman"/>
          <w:color w:val="auto"/>
          <w:sz w:val="24"/>
          <w:highlight w:val="none"/>
          <w:lang w:val="en-US" w:eastAsia="zh-CN"/>
        </w:rPr>
        <w:t>5</w:t>
      </w:r>
      <w:r>
        <w:rPr>
          <w:rFonts w:hint="eastAsia" w:ascii="Times New Roman" w:hAnsi="Times New Roman" w:cs="Times New Roman"/>
          <w:color w:val="auto"/>
          <w:sz w:val="24"/>
          <w:highlight w:val="none"/>
          <w:lang w:val="en-US" w:eastAsia="zh-CN"/>
        </w:rPr>
        <w:t>0m位置时，在叠加背景值情况下</w:t>
      </w:r>
      <w:r>
        <w:rPr>
          <w:rFonts w:hint="eastAsia" w:cs="Times New Roman"/>
          <w:color w:val="auto"/>
          <w:sz w:val="24"/>
          <w:highlight w:val="none"/>
          <w:lang w:val="en-US" w:eastAsia="zh-CN"/>
        </w:rPr>
        <w:t>氨氮</w:t>
      </w:r>
      <w:r>
        <w:rPr>
          <w:rFonts w:hint="eastAsia" w:ascii="Times New Roman" w:hAnsi="Times New Roman" w:cs="Times New Roman"/>
          <w:color w:val="auto"/>
          <w:sz w:val="24"/>
          <w:highlight w:val="none"/>
          <w:lang w:val="en-US" w:eastAsia="zh-CN"/>
        </w:rPr>
        <w:t>最大预测值为0.</w:t>
      </w:r>
      <w:r>
        <w:rPr>
          <w:rFonts w:hint="eastAsia" w:cs="Times New Roman"/>
          <w:color w:val="auto"/>
          <w:sz w:val="24"/>
          <w:highlight w:val="none"/>
          <w:lang w:val="en-US" w:eastAsia="zh-CN"/>
        </w:rPr>
        <w:t>8882</w:t>
      </w:r>
      <w:r>
        <w:rPr>
          <w:rFonts w:hint="eastAsia" w:ascii="Times New Roman" w:hAnsi="Times New Roman" w:cs="Times New Roman"/>
          <w:color w:val="auto"/>
          <w:sz w:val="24"/>
          <w:highlight w:val="none"/>
          <w:lang w:val="en-US" w:eastAsia="zh-CN"/>
        </w:rPr>
        <w:t>mg/L，能够满足《地表水环境质量标准》III类标准。</w:t>
      </w:r>
    </w:p>
    <w:p w14:paraId="78E52B05">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cs="Times New Roman"/>
          <w:color w:val="auto"/>
          <w:sz w:val="24"/>
          <w:highlight w:val="none"/>
          <w:lang w:val="en-US" w:eastAsia="zh-CN"/>
        </w:rPr>
        <w:fldChar w:fldCharType="begin"/>
      </w:r>
      <w:r>
        <w:rPr>
          <w:rFonts w:hint="eastAsia" w:cs="Times New Roman"/>
          <w:color w:val="auto"/>
          <w:sz w:val="24"/>
          <w:highlight w:val="none"/>
          <w:lang w:val="en-US" w:eastAsia="zh-CN"/>
        </w:rPr>
        <w:instrText xml:space="preserve"> = 3 \* GB3 \* MERGEFORMAT </w:instrText>
      </w:r>
      <w:r>
        <w:rPr>
          <w:rFonts w:hint="eastAsia" w:cs="Times New Roman"/>
          <w:color w:val="auto"/>
          <w:sz w:val="24"/>
          <w:highlight w:val="none"/>
          <w:lang w:val="en-US" w:eastAsia="zh-CN"/>
        </w:rPr>
        <w:fldChar w:fldCharType="separate"/>
      </w:r>
      <w:r>
        <w:rPr>
          <w:color w:val="auto"/>
        </w:rPr>
        <w:t>③</w:t>
      </w:r>
      <w:r>
        <w:rPr>
          <w:rFonts w:hint="eastAsia" w:cs="Times New Roman"/>
          <w:color w:val="auto"/>
          <w:sz w:val="24"/>
          <w:highlight w:val="none"/>
          <w:lang w:val="en-US" w:eastAsia="zh-CN"/>
        </w:rPr>
        <w:fldChar w:fldCharType="end"/>
      </w:r>
      <w:r>
        <w:rPr>
          <w:rFonts w:hint="eastAsia" w:cs="Times New Roman"/>
          <w:color w:val="auto"/>
          <w:sz w:val="24"/>
          <w:highlight w:val="none"/>
          <w:lang w:val="en-US" w:eastAsia="zh-CN"/>
        </w:rPr>
        <w:t>总磷</w:t>
      </w:r>
      <w:r>
        <w:rPr>
          <w:rFonts w:hint="eastAsia" w:ascii="Times New Roman" w:hAnsi="Times New Roman" w:cs="Times New Roman"/>
          <w:color w:val="auto"/>
          <w:sz w:val="24"/>
          <w:highlight w:val="none"/>
          <w:lang w:val="en-US" w:eastAsia="zh-CN"/>
        </w:rPr>
        <w:t>预测结果分析</w:t>
      </w:r>
    </w:p>
    <w:p w14:paraId="7A355CCC">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正常工况下，项目</w:t>
      </w:r>
      <w:r>
        <w:rPr>
          <w:rFonts w:hint="eastAsia" w:cs="Times New Roman"/>
          <w:color w:val="auto"/>
          <w:sz w:val="24"/>
          <w:highlight w:val="none"/>
          <w:lang w:val="en-US" w:eastAsia="zh-CN"/>
        </w:rPr>
        <w:t>污水处理厂排放尾水中污染物总磷</w:t>
      </w:r>
      <w:r>
        <w:rPr>
          <w:rFonts w:hint="eastAsia" w:ascii="Times New Roman" w:hAnsi="Times New Roman" w:cs="Times New Roman"/>
          <w:color w:val="auto"/>
          <w:sz w:val="24"/>
          <w:highlight w:val="none"/>
          <w:lang w:val="en-US" w:eastAsia="zh-CN"/>
        </w:rPr>
        <w:t>对</w:t>
      </w:r>
      <w:r>
        <w:rPr>
          <w:rFonts w:hint="eastAsia"/>
          <w:color w:val="auto"/>
          <w:sz w:val="24"/>
          <w:highlight w:val="none"/>
          <w:lang w:val="en-US" w:eastAsia="zh-CN"/>
        </w:rPr>
        <w:t>排水渠</w:t>
      </w:r>
      <w:r>
        <w:rPr>
          <w:rFonts w:hint="eastAsia" w:ascii="Times New Roman" w:hAnsi="Times New Roman" w:cs="Times New Roman"/>
          <w:color w:val="auto"/>
          <w:sz w:val="24"/>
          <w:highlight w:val="none"/>
          <w:lang w:val="en-US" w:eastAsia="zh-CN"/>
        </w:rPr>
        <w:t>影响预测结果见</w:t>
      </w:r>
      <w:r>
        <w:rPr>
          <w:rFonts w:hint="eastAsia" w:cs="Times New Roman"/>
          <w:color w:val="auto"/>
          <w:sz w:val="24"/>
          <w:highlight w:val="none"/>
          <w:lang w:val="en-US" w:eastAsia="zh-CN"/>
        </w:rPr>
        <w:t>下</w:t>
      </w:r>
      <w:r>
        <w:rPr>
          <w:rFonts w:hint="eastAsia" w:ascii="Times New Roman" w:hAnsi="Times New Roman" w:cs="Times New Roman"/>
          <w:color w:val="auto"/>
          <w:sz w:val="24"/>
          <w:highlight w:val="none"/>
          <w:lang w:val="en-US" w:eastAsia="zh-CN"/>
        </w:rPr>
        <w:t xml:space="preserve">表。 </w:t>
      </w:r>
    </w:p>
    <w:p w14:paraId="6AD5B1A2">
      <w:pPr>
        <w:pStyle w:val="7"/>
        <w:bidi w:val="0"/>
        <w:rPr>
          <w:color w:val="auto"/>
        </w:rPr>
      </w:pPr>
      <w:r>
        <w:rPr>
          <w:rFonts w:hint="eastAsia"/>
          <w:color w:val="auto"/>
        </w:rPr>
        <w:t>尾水正常排放对</w:t>
      </w:r>
      <w:r>
        <w:rPr>
          <w:rFonts w:hint="eastAsia"/>
          <w:color w:val="auto"/>
          <w:lang w:val="en-US" w:eastAsia="zh-CN"/>
        </w:rPr>
        <w:t>排水渠</w:t>
      </w:r>
      <w:r>
        <w:rPr>
          <w:rFonts w:hint="eastAsia"/>
          <w:color w:val="auto"/>
        </w:rPr>
        <w:t>下游河段预测结果（</w:t>
      </w:r>
      <w:r>
        <w:rPr>
          <w:rFonts w:hint="eastAsia"/>
          <w:color w:val="auto"/>
          <w:lang w:val="en-US" w:eastAsia="zh-CN"/>
        </w:rPr>
        <w:t>总磷</w:t>
      </w:r>
      <w:r>
        <w:rPr>
          <w:rFonts w:hint="eastAsia"/>
          <w:color w:val="auto"/>
        </w:rPr>
        <w:t>）</w:t>
      </w:r>
      <w:r>
        <w:rPr>
          <w:color w:val="auto"/>
        </w:rPr>
        <w:t xml:space="preserve"> 单位：mg/L</w:t>
      </w:r>
    </w:p>
    <w:tbl>
      <w:tblPr>
        <w:tblStyle w:val="31"/>
        <w:tblW w:w="4455" w:type="pct"/>
        <w:jc w:val="center"/>
        <w:tblLayout w:type="autofit"/>
        <w:tblCellMar>
          <w:top w:w="0" w:type="dxa"/>
          <w:left w:w="108" w:type="dxa"/>
          <w:bottom w:w="0" w:type="dxa"/>
          <w:right w:w="108" w:type="dxa"/>
        </w:tblCellMar>
      </w:tblPr>
      <w:tblGrid>
        <w:gridCol w:w="1137"/>
        <w:gridCol w:w="992"/>
        <w:gridCol w:w="992"/>
        <w:gridCol w:w="992"/>
        <w:gridCol w:w="992"/>
        <w:gridCol w:w="1010"/>
        <w:gridCol w:w="2120"/>
      </w:tblGrid>
      <w:tr w14:paraId="385F21C8">
        <w:tblPrEx>
          <w:tblCellMar>
            <w:top w:w="0" w:type="dxa"/>
            <w:left w:w="108" w:type="dxa"/>
            <w:bottom w:w="0" w:type="dxa"/>
            <w:right w:w="108" w:type="dxa"/>
          </w:tblCellMar>
        </w:tblPrEx>
        <w:trPr>
          <w:trHeight w:val="354" w:hRule="atLeast"/>
          <w:jc w:val="center"/>
        </w:trPr>
        <w:tc>
          <w:tcPr>
            <w:tcW w:w="691" w:type="pct"/>
            <w:tcBorders>
              <w:top w:val="single" w:color="auto" w:sz="4" w:space="0"/>
              <w:left w:val="single" w:color="auto" w:sz="4" w:space="0"/>
              <w:bottom w:val="single" w:color="auto" w:sz="4" w:space="0"/>
              <w:right w:val="single" w:color="auto" w:sz="4" w:space="0"/>
            </w:tcBorders>
            <w:noWrap w:val="0"/>
            <w:vAlign w:val="center"/>
          </w:tcPr>
          <w:p w14:paraId="6CC74E1A">
            <w:pPr>
              <w:widowControl/>
              <w:jc w:val="center"/>
              <w:rPr>
                <w:rFonts w:ascii="Times New Roman" w:hAnsi="Times New Roman" w:eastAsia="宋体" w:cs="Times New Roman"/>
                <w:b/>
                <w:bCs/>
                <w:color w:val="auto"/>
                <w:kern w:val="0"/>
                <w:szCs w:val="21"/>
              </w:rPr>
            </w:pPr>
            <w:r>
              <w:rPr>
                <w:rFonts w:ascii="Times New Roman" w:hAnsi="Times New Roman" w:eastAsia="宋体" w:cs="Times New Roman"/>
                <w:b/>
                <w:bCs/>
                <w:color w:val="auto"/>
                <w:kern w:val="0"/>
                <w:szCs w:val="21"/>
              </w:rPr>
              <w:t>X\c/Y　</w:t>
            </w:r>
          </w:p>
        </w:tc>
        <w:tc>
          <w:tcPr>
            <w:tcW w:w="602" w:type="pct"/>
            <w:tcBorders>
              <w:top w:val="single" w:color="auto" w:sz="4" w:space="0"/>
              <w:left w:val="nil"/>
              <w:bottom w:val="single" w:color="auto" w:sz="4" w:space="0"/>
              <w:right w:val="single" w:color="auto" w:sz="4" w:space="0"/>
            </w:tcBorders>
            <w:noWrap w:val="0"/>
            <w:vAlign w:val="center"/>
          </w:tcPr>
          <w:p w14:paraId="0EA1ED6C">
            <w:pPr>
              <w:widowControl/>
              <w:jc w:val="center"/>
              <w:rPr>
                <w:rFonts w:hint="eastAsia" w:ascii="Times New Roman" w:hAnsi="Times New Roman" w:eastAsia="宋体" w:cs="Times New Roman"/>
                <w:b/>
                <w:bCs/>
                <w:color w:val="auto"/>
                <w:kern w:val="0"/>
                <w:szCs w:val="21"/>
                <w:lang w:eastAsia="zh-CN"/>
              </w:rPr>
            </w:pPr>
            <w:r>
              <w:rPr>
                <w:rFonts w:hint="eastAsia" w:cs="Times New Roman"/>
                <w:b/>
                <w:bCs/>
                <w:color w:val="auto"/>
                <w:kern w:val="0"/>
                <w:szCs w:val="21"/>
                <w:lang w:val="en-US" w:eastAsia="zh-CN"/>
              </w:rPr>
              <w:t>1</w:t>
            </w:r>
          </w:p>
        </w:tc>
        <w:tc>
          <w:tcPr>
            <w:tcW w:w="602" w:type="pct"/>
            <w:tcBorders>
              <w:top w:val="single" w:color="auto" w:sz="4" w:space="0"/>
              <w:left w:val="nil"/>
              <w:bottom w:val="single" w:color="auto" w:sz="4" w:space="0"/>
              <w:right w:val="single" w:color="auto" w:sz="4" w:space="0"/>
            </w:tcBorders>
            <w:noWrap w:val="0"/>
            <w:vAlign w:val="center"/>
          </w:tcPr>
          <w:p w14:paraId="4FDC722F">
            <w:pPr>
              <w:widowControl/>
              <w:jc w:val="center"/>
              <w:rPr>
                <w:rFonts w:hint="default" w:ascii="Times New Roman" w:hAnsi="Times New Roman" w:eastAsia="宋体" w:cs="Times New Roman"/>
                <w:b/>
                <w:bCs/>
                <w:color w:val="auto"/>
                <w:kern w:val="0"/>
                <w:szCs w:val="21"/>
                <w:lang w:val="en-US" w:eastAsia="zh-CN"/>
              </w:rPr>
            </w:pPr>
            <w:r>
              <w:rPr>
                <w:rFonts w:hint="eastAsia" w:ascii="Times New Roman" w:hAnsi="Times New Roman" w:eastAsia="宋体" w:cs="Times New Roman"/>
                <w:b/>
                <w:bCs/>
                <w:color w:val="auto"/>
                <w:kern w:val="0"/>
                <w:szCs w:val="21"/>
                <w:lang w:val="en-US" w:eastAsia="zh-CN"/>
              </w:rPr>
              <w:t>2</w:t>
            </w:r>
          </w:p>
        </w:tc>
        <w:tc>
          <w:tcPr>
            <w:tcW w:w="602" w:type="pct"/>
            <w:tcBorders>
              <w:top w:val="single" w:color="auto" w:sz="4" w:space="0"/>
              <w:left w:val="nil"/>
              <w:bottom w:val="single" w:color="auto" w:sz="4" w:space="0"/>
              <w:right w:val="single" w:color="auto" w:sz="4" w:space="0"/>
            </w:tcBorders>
            <w:noWrap w:val="0"/>
            <w:vAlign w:val="center"/>
          </w:tcPr>
          <w:p w14:paraId="161B0CE3">
            <w:pPr>
              <w:widowControl/>
              <w:jc w:val="center"/>
              <w:rPr>
                <w:rFonts w:hint="default" w:ascii="Times New Roman" w:hAnsi="Times New Roman" w:eastAsia="宋体" w:cs="Times New Roman"/>
                <w:b/>
                <w:bCs/>
                <w:color w:val="auto"/>
                <w:kern w:val="0"/>
                <w:szCs w:val="21"/>
                <w:lang w:val="en-US" w:eastAsia="zh-CN"/>
              </w:rPr>
            </w:pPr>
            <w:r>
              <w:rPr>
                <w:rFonts w:hint="eastAsia" w:cs="Times New Roman"/>
                <w:b/>
                <w:bCs/>
                <w:color w:val="auto"/>
                <w:kern w:val="0"/>
                <w:szCs w:val="21"/>
                <w:lang w:val="en-US" w:eastAsia="zh-CN"/>
              </w:rPr>
              <w:t>3</w:t>
            </w:r>
          </w:p>
        </w:tc>
        <w:tc>
          <w:tcPr>
            <w:tcW w:w="602" w:type="pct"/>
            <w:tcBorders>
              <w:top w:val="single" w:color="auto" w:sz="4" w:space="0"/>
              <w:left w:val="nil"/>
              <w:bottom w:val="single" w:color="auto" w:sz="4" w:space="0"/>
              <w:right w:val="single" w:color="auto" w:sz="4" w:space="0"/>
            </w:tcBorders>
            <w:noWrap w:val="0"/>
            <w:vAlign w:val="center"/>
          </w:tcPr>
          <w:p w14:paraId="71489BAC">
            <w:pPr>
              <w:widowControl/>
              <w:jc w:val="center"/>
              <w:rPr>
                <w:rFonts w:hint="eastAsia" w:cs="Times New Roman"/>
                <w:b/>
                <w:bCs/>
                <w:color w:val="auto"/>
                <w:kern w:val="0"/>
                <w:szCs w:val="21"/>
                <w:lang w:val="en-US" w:eastAsia="zh-CN"/>
              </w:rPr>
            </w:pPr>
            <w:r>
              <w:rPr>
                <w:rFonts w:hint="eastAsia" w:cs="Times New Roman"/>
                <w:b/>
                <w:bCs/>
                <w:color w:val="auto"/>
                <w:kern w:val="0"/>
                <w:szCs w:val="21"/>
                <w:lang w:val="en-US" w:eastAsia="zh-CN"/>
              </w:rPr>
              <w:t>4</w:t>
            </w:r>
          </w:p>
        </w:tc>
        <w:tc>
          <w:tcPr>
            <w:tcW w:w="612" w:type="pct"/>
            <w:tcBorders>
              <w:top w:val="single" w:color="auto" w:sz="4" w:space="0"/>
              <w:left w:val="nil"/>
              <w:bottom w:val="single" w:color="auto" w:sz="4" w:space="0"/>
              <w:right w:val="single" w:color="auto" w:sz="4" w:space="0"/>
            </w:tcBorders>
            <w:noWrap w:val="0"/>
            <w:vAlign w:val="center"/>
          </w:tcPr>
          <w:p w14:paraId="0A0FBF72">
            <w:pPr>
              <w:widowControl/>
              <w:jc w:val="center"/>
              <w:rPr>
                <w:rFonts w:hint="default" w:ascii="Times New Roman" w:hAnsi="Times New Roman" w:eastAsia="宋体" w:cs="Times New Roman"/>
                <w:b/>
                <w:bCs/>
                <w:color w:val="auto"/>
                <w:kern w:val="0"/>
                <w:szCs w:val="21"/>
                <w:lang w:val="en-US" w:eastAsia="zh-CN"/>
              </w:rPr>
            </w:pPr>
            <w:r>
              <w:rPr>
                <w:rFonts w:hint="eastAsia" w:cs="Times New Roman"/>
                <w:b/>
                <w:bCs/>
                <w:color w:val="auto"/>
                <w:kern w:val="0"/>
                <w:szCs w:val="21"/>
                <w:lang w:val="en-US" w:eastAsia="zh-CN"/>
              </w:rPr>
              <w:t>5</w:t>
            </w:r>
          </w:p>
        </w:tc>
        <w:tc>
          <w:tcPr>
            <w:tcW w:w="1287" w:type="pct"/>
            <w:tcBorders>
              <w:top w:val="single" w:color="auto" w:sz="4" w:space="0"/>
              <w:left w:val="nil"/>
              <w:bottom w:val="single" w:color="auto" w:sz="4" w:space="0"/>
              <w:right w:val="single" w:color="auto" w:sz="4" w:space="0"/>
            </w:tcBorders>
            <w:noWrap w:val="0"/>
            <w:vAlign w:val="center"/>
          </w:tcPr>
          <w:p w14:paraId="1255A99C">
            <w:pPr>
              <w:widowControl/>
              <w:jc w:val="center"/>
              <w:rPr>
                <w:rFonts w:ascii="Times New Roman" w:hAnsi="Times New Roman" w:eastAsia="宋体" w:cs="Times New Roman"/>
                <w:b/>
                <w:bCs/>
                <w:color w:val="auto"/>
                <w:kern w:val="0"/>
                <w:szCs w:val="21"/>
              </w:rPr>
            </w:pPr>
            <w:r>
              <w:rPr>
                <w:rFonts w:ascii="Times New Roman" w:hAnsi="Times New Roman" w:eastAsia="宋体" w:cs="Times New Roman"/>
                <w:b/>
                <w:bCs/>
                <w:color w:val="auto"/>
                <w:kern w:val="0"/>
                <w:szCs w:val="21"/>
              </w:rPr>
              <w:t>备注</w:t>
            </w:r>
          </w:p>
        </w:tc>
      </w:tr>
      <w:tr w14:paraId="3885D9AB">
        <w:tblPrEx>
          <w:tblCellMar>
            <w:top w:w="0" w:type="dxa"/>
            <w:left w:w="108" w:type="dxa"/>
            <w:bottom w:w="0" w:type="dxa"/>
            <w:right w:w="108" w:type="dxa"/>
          </w:tblCellMar>
        </w:tblPrEx>
        <w:trPr>
          <w:trHeight w:val="354" w:hRule="atLeast"/>
          <w:jc w:val="center"/>
        </w:trPr>
        <w:tc>
          <w:tcPr>
            <w:tcW w:w="691" w:type="pct"/>
            <w:tcBorders>
              <w:top w:val="single" w:color="auto" w:sz="4" w:space="0"/>
              <w:left w:val="single" w:color="auto" w:sz="4" w:space="0"/>
              <w:bottom w:val="single" w:color="auto" w:sz="4" w:space="0"/>
              <w:right w:val="single" w:color="auto" w:sz="4" w:space="0"/>
            </w:tcBorders>
            <w:noWrap w:val="0"/>
            <w:vAlign w:val="center"/>
          </w:tcPr>
          <w:p w14:paraId="4A84E1A8">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w:t>
            </w:r>
          </w:p>
        </w:tc>
        <w:tc>
          <w:tcPr>
            <w:tcW w:w="602" w:type="pct"/>
            <w:tcBorders>
              <w:top w:val="single" w:color="auto" w:sz="4" w:space="0"/>
              <w:left w:val="nil"/>
              <w:bottom w:val="single" w:color="auto" w:sz="4" w:space="0"/>
              <w:right w:val="single" w:color="auto" w:sz="4" w:space="0"/>
            </w:tcBorders>
            <w:noWrap w:val="0"/>
            <w:vAlign w:val="center"/>
          </w:tcPr>
          <w:p w14:paraId="653A48B7">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0.0800 </w:t>
            </w:r>
          </w:p>
        </w:tc>
        <w:tc>
          <w:tcPr>
            <w:tcW w:w="602" w:type="pct"/>
            <w:tcBorders>
              <w:top w:val="single" w:color="auto" w:sz="4" w:space="0"/>
              <w:left w:val="nil"/>
              <w:bottom w:val="single" w:color="auto" w:sz="4" w:space="0"/>
              <w:right w:val="single" w:color="auto" w:sz="4" w:space="0"/>
            </w:tcBorders>
            <w:noWrap w:val="0"/>
            <w:vAlign w:val="center"/>
          </w:tcPr>
          <w:p w14:paraId="61B7D592">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0.0800 </w:t>
            </w:r>
          </w:p>
        </w:tc>
        <w:tc>
          <w:tcPr>
            <w:tcW w:w="602" w:type="pct"/>
            <w:tcBorders>
              <w:top w:val="single" w:color="auto" w:sz="4" w:space="0"/>
              <w:left w:val="nil"/>
              <w:bottom w:val="single" w:color="auto" w:sz="4" w:space="0"/>
              <w:right w:val="single" w:color="auto" w:sz="4" w:space="0"/>
            </w:tcBorders>
            <w:noWrap w:val="0"/>
            <w:vAlign w:val="center"/>
          </w:tcPr>
          <w:p w14:paraId="200DDD41">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0.0800 </w:t>
            </w:r>
          </w:p>
        </w:tc>
        <w:tc>
          <w:tcPr>
            <w:tcW w:w="602" w:type="pct"/>
            <w:tcBorders>
              <w:top w:val="single" w:color="auto" w:sz="4" w:space="0"/>
              <w:left w:val="nil"/>
              <w:bottom w:val="single" w:color="auto" w:sz="4" w:space="0"/>
              <w:right w:val="single" w:color="auto" w:sz="4" w:space="0"/>
            </w:tcBorders>
            <w:noWrap w:val="0"/>
            <w:vAlign w:val="center"/>
          </w:tcPr>
          <w:p w14:paraId="7AFEE70F">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0.0800 </w:t>
            </w:r>
          </w:p>
        </w:tc>
        <w:tc>
          <w:tcPr>
            <w:tcW w:w="612" w:type="pct"/>
            <w:tcBorders>
              <w:top w:val="single" w:color="auto" w:sz="4" w:space="0"/>
              <w:left w:val="nil"/>
              <w:bottom w:val="single" w:color="auto" w:sz="4" w:space="0"/>
              <w:right w:val="single" w:color="auto" w:sz="4" w:space="0"/>
            </w:tcBorders>
            <w:noWrap w:val="0"/>
            <w:vAlign w:val="center"/>
          </w:tcPr>
          <w:p w14:paraId="45D6792F">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0.0800 </w:t>
            </w:r>
          </w:p>
        </w:tc>
        <w:tc>
          <w:tcPr>
            <w:tcW w:w="1287" w:type="pct"/>
            <w:vMerge w:val="restart"/>
            <w:tcBorders>
              <w:top w:val="single" w:color="auto" w:sz="4" w:space="0"/>
              <w:left w:val="nil"/>
              <w:right w:val="single" w:color="auto" w:sz="4" w:space="0"/>
            </w:tcBorders>
            <w:noWrap w:val="0"/>
            <w:vAlign w:val="center"/>
          </w:tcPr>
          <w:p w14:paraId="1A153D44">
            <w:pPr>
              <w:widowControl/>
              <w:jc w:val="center"/>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混合过程段</w:t>
            </w:r>
          </w:p>
        </w:tc>
      </w:tr>
      <w:tr w14:paraId="7D31C847">
        <w:tblPrEx>
          <w:tblCellMar>
            <w:top w:w="0" w:type="dxa"/>
            <w:left w:w="108" w:type="dxa"/>
            <w:bottom w:w="0" w:type="dxa"/>
            <w:right w:w="108" w:type="dxa"/>
          </w:tblCellMar>
        </w:tblPrEx>
        <w:trPr>
          <w:trHeight w:val="354" w:hRule="atLeast"/>
          <w:jc w:val="center"/>
        </w:trPr>
        <w:tc>
          <w:tcPr>
            <w:tcW w:w="691" w:type="pct"/>
            <w:tcBorders>
              <w:top w:val="nil"/>
              <w:left w:val="single" w:color="auto" w:sz="4" w:space="0"/>
              <w:bottom w:val="single" w:color="auto" w:sz="4" w:space="0"/>
              <w:right w:val="single" w:color="auto" w:sz="4" w:space="0"/>
            </w:tcBorders>
            <w:noWrap w:val="0"/>
            <w:vAlign w:val="center"/>
          </w:tcPr>
          <w:p w14:paraId="20E9BC9C">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10</w:t>
            </w:r>
          </w:p>
        </w:tc>
        <w:tc>
          <w:tcPr>
            <w:tcW w:w="602" w:type="pct"/>
            <w:tcBorders>
              <w:top w:val="nil"/>
              <w:left w:val="nil"/>
              <w:bottom w:val="single" w:color="auto" w:sz="4" w:space="0"/>
              <w:right w:val="single" w:color="auto" w:sz="4" w:space="0"/>
            </w:tcBorders>
            <w:noWrap w:val="0"/>
            <w:vAlign w:val="center"/>
          </w:tcPr>
          <w:p w14:paraId="6FA6EF8B">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0.1124 </w:t>
            </w:r>
          </w:p>
        </w:tc>
        <w:tc>
          <w:tcPr>
            <w:tcW w:w="602" w:type="pct"/>
            <w:tcBorders>
              <w:top w:val="nil"/>
              <w:left w:val="nil"/>
              <w:bottom w:val="single" w:color="auto" w:sz="4" w:space="0"/>
              <w:right w:val="single" w:color="auto" w:sz="4" w:space="0"/>
            </w:tcBorders>
            <w:noWrap w:val="0"/>
            <w:vAlign w:val="center"/>
          </w:tcPr>
          <w:p w14:paraId="197BEE56">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0.0802 </w:t>
            </w:r>
          </w:p>
        </w:tc>
        <w:tc>
          <w:tcPr>
            <w:tcW w:w="602" w:type="pct"/>
            <w:tcBorders>
              <w:top w:val="nil"/>
              <w:left w:val="nil"/>
              <w:bottom w:val="single" w:color="auto" w:sz="4" w:space="0"/>
              <w:right w:val="single" w:color="auto" w:sz="4" w:space="0"/>
            </w:tcBorders>
            <w:noWrap w:val="0"/>
            <w:vAlign w:val="center"/>
          </w:tcPr>
          <w:p w14:paraId="01083082">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0.0800 </w:t>
            </w:r>
          </w:p>
        </w:tc>
        <w:tc>
          <w:tcPr>
            <w:tcW w:w="602" w:type="pct"/>
            <w:tcBorders>
              <w:top w:val="nil"/>
              <w:left w:val="nil"/>
              <w:bottom w:val="single" w:color="auto" w:sz="4" w:space="0"/>
              <w:right w:val="single" w:color="auto" w:sz="4" w:space="0"/>
            </w:tcBorders>
            <w:noWrap w:val="0"/>
            <w:vAlign w:val="center"/>
          </w:tcPr>
          <w:p w14:paraId="414316FB">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0.0800 </w:t>
            </w:r>
          </w:p>
        </w:tc>
        <w:tc>
          <w:tcPr>
            <w:tcW w:w="612" w:type="pct"/>
            <w:tcBorders>
              <w:top w:val="nil"/>
              <w:left w:val="nil"/>
              <w:bottom w:val="single" w:color="auto" w:sz="4" w:space="0"/>
              <w:right w:val="single" w:color="auto" w:sz="4" w:space="0"/>
            </w:tcBorders>
            <w:noWrap w:val="0"/>
            <w:vAlign w:val="center"/>
          </w:tcPr>
          <w:p w14:paraId="20164B42">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0.0800 </w:t>
            </w:r>
          </w:p>
        </w:tc>
        <w:tc>
          <w:tcPr>
            <w:tcW w:w="1287" w:type="pct"/>
            <w:vMerge w:val="continue"/>
            <w:tcBorders>
              <w:left w:val="nil"/>
              <w:right w:val="single" w:color="auto" w:sz="4" w:space="0"/>
            </w:tcBorders>
            <w:noWrap w:val="0"/>
            <w:vAlign w:val="center"/>
          </w:tcPr>
          <w:p w14:paraId="34AB333F">
            <w:pPr>
              <w:widowControl/>
              <w:jc w:val="center"/>
              <w:rPr>
                <w:rFonts w:ascii="Times New Roman" w:hAnsi="Times New Roman" w:eastAsia="宋体" w:cs="Times New Roman"/>
                <w:color w:val="auto"/>
                <w:kern w:val="0"/>
                <w:sz w:val="21"/>
                <w:szCs w:val="21"/>
              </w:rPr>
            </w:pPr>
          </w:p>
        </w:tc>
      </w:tr>
      <w:tr w14:paraId="4D277179">
        <w:tblPrEx>
          <w:tblCellMar>
            <w:top w:w="0" w:type="dxa"/>
            <w:left w:w="108" w:type="dxa"/>
            <w:bottom w:w="0" w:type="dxa"/>
            <w:right w:w="108" w:type="dxa"/>
          </w:tblCellMar>
        </w:tblPrEx>
        <w:trPr>
          <w:trHeight w:val="354" w:hRule="atLeast"/>
          <w:jc w:val="center"/>
        </w:trPr>
        <w:tc>
          <w:tcPr>
            <w:tcW w:w="691" w:type="pct"/>
            <w:tcBorders>
              <w:top w:val="nil"/>
              <w:left w:val="single" w:color="auto" w:sz="4" w:space="0"/>
              <w:bottom w:val="single" w:color="auto" w:sz="4" w:space="0"/>
              <w:right w:val="single" w:color="auto" w:sz="4" w:space="0"/>
            </w:tcBorders>
            <w:noWrap w:val="0"/>
            <w:vAlign w:val="center"/>
          </w:tcPr>
          <w:p w14:paraId="3FAD7440">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50</w:t>
            </w:r>
          </w:p>
        </w:tc>
        <w:tc>
          <w:tcPr>
            <w:tcW w:w="602" w:type="pct"/>
            <w:tcBorders>
              <w:top w:val="nil"/>
              <w:left w:val="nil"/>
              <w:bottom w:val="single" w:color="auto" w:sz="4" w:space="0"/>
              <w:right w:val="single" w:color="auto" w:sz="4" w:space="0"/>
            </w:tcBorders>
            <w:noWrap w:val="0"/>
            <w:vAlign w:val="center"/>
          </w:tcPr>
          <w:p w14:paraId="554A614E">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0.1346 </w:t>
            </w:r>
          </w:p>
        </w:tc>
        <w:tc>
          <w:tcPr>
            <w:tcW w:w="602" w:type="pct"/>
            <w:tcBorders>
              <w:top w:val="nil"/>
              <w:left w:val="nil"/>
              <w:bottom w:val="single" w:color="auto" w:sz="4" w:space="0"/>
              <w:right w:val="single" w:color="auto" w:sz="4" w:space="0"/>
            </w:tcBorders>
            <w:noWrap w:val="0"/>
            <w:vAlign w:val="center"/>
          </w:tcPr>
          <w:p w14:paraId="2A5CD5EB">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0.0999 </w:t>
            </w:r>
          </w:p>
        </w:tc>
        <w:tc>
          <w:tcPr>
            <w:tcW w:w="602" w:type="pct"/>
            <w:tcBorders>
              <w:top w:val="nil"/>
              <w:left w:val="nil"/>
              <w:bottom w:val="single" w:color="auto" w:sz="4" w:space="0"/>
              <w:right w:val="single" w:color="auto" w:sz="4" w:space="0"/>
            </w:tcBorders>
            <w:noWrap w:val="0"/>
            <w:vAlign w:val="center"/>
          </w:tcPr>
          <w:p w14:paraId="6BD8A688">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0.0837 </w:t>
            </w:r>
          </w:p>
        </w:tc>
        <w:tc>
          <w:tcPr>
            <w:tcW w:w="602" w:type="pct"/>
            <w:tcBorders>
              <w:top w:val="nil"/>
              <w:left w:val="nil"/>
              <w:bottom w:val="single" w:color="auto" w:sz="4" w:space="0"/>
              <w:right w:val="single" w:color="auto" w:sz="4" w:space="0"/>
            </w:tcBorders>
            <w:noWrap w:val="0"/>
            <w:vAlign w:val="center"/>
          </w:tcPr>
          <w:p w14:paraId="267B83FE">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0.0803 </w:t>
            </w:r>
          </w:p>
        </w:tc>
        <w:tc>
          <w:tcPr>
            <w:tcW w:w="612" w:type="pct"/>
            <w:tcBorders>
              <w:top w:val="nil"/>
              <w:left w:val="nil"/>
              <w:bottom w:val="single" w:color="auto" w:sz="4" w:space="0"/>
              <w:right w:val="single" w:color="auto" w:sz="4" w:space="0"/>
            </w:tcBorders>
            <w:noWrap w:val="0"/>
            <w:vAlign w:val="center"/>
          </w:tcPr>
          <w:p w14:paraId="27B52DD5">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0.0800 </w:t>
            </w:r>
          </w:p>
        </w:tc>
        <w:tc>
          <w:tcPr>
            <w:tcW w:w="1287" w:type="pct"/>
            <w:vMerge w:val="continue"/>
            <w:tcBorders>
              <w:left w:val="nil"/>
              <w:right w:val="single" w:color="auto" w:sz="4" w:space="0"/>
            </w:tcBorders>
            <w:noWrap w:val="0"/>
            <w:vAlign w:val="center"/>
          </w:tcPr>
          <w:p w14:paraId="33FD7416">
            <w:pPr>
              <w:widowControl/>
              <w:jc w:val="center"/>
              <w:rPr>
                <w:rFonts w:ascii="Times New Roman" w:hAnsi="Times New Roman" w:eastAsia="宋体" w:cs="Times New Roman"/>
                <w:color w:val="auto"/>
                <w:kern w:val="0"/>
                <w:sz w:val="21"/>
                <w:szCs w:val="21"/>
              </w:rPr>
            </w:pPr>
          </w:p>
        </w:tc>
      </w:tr>
      <w:tr w14:paraId="39AF1869">
        <w:tblPrEx>
          <w:tblCellMar>
            <w:top w:w="0" w:type="dxa"/>
            <w:left w:w="108" w:type="dxa"/>
            <w:bottom w:w="0" w:type="dxa"/>
            <w:right w:w="108" w:type="dxa"/>
          </w:tblCellMar>
        </w:tblPrEx>
        <w:trPr>
          <w:trHeight w:val="354" w:hRule="atLeast"/>
          <w:jc w:val="center"/>
        </w:trPr>
        <w:tc>
          <w:tcPr>
            <w:tcW w:w="691" w:type="pct"/>
            <w:tcBorders>
              <w:top w:val="nil"/>
              <w:left w:val="single" w:color="auto" w:sz="4" w:space="0"/>
              <w:bottom w:val="single" w:color="auto" w:sz="4" w:space="0"/>
              <w:right w:val="single" w:color="auto" w:sz="4" w:space="0"/>
            </w:tcBorders>
            <w:noWrap w:val="0"/>
            <w:vAlign w:val="center"/>
          </w:tcPr>
          <w:p w14:paraId="2B797496">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100</w:t>
            </w:r>
          </w:p>
        </w:tc>
        <w:tc>
          <w:tcPr>
            <w:tcW w:w="602" w:type="pct"/>
            <w:tcBorders>
              <w:top w:val="nil"/>
              <w:left w:val="nil"/>
              <w:bottom w:val="single" w:color="auto" w:sz="4" w:space="0"/>
              <w:right w:val="single" w:color="auto" w:sz="4" w:space="0"/>
            </w:tcBorders>
            <w:noWrap w:val="0"/>
            <w:vAlign w:val="center"/>
          </w:tcPr>
          <w:p w14:paraId="213E5F8F">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0.1246 </w:t>
            </w:r>
          </w:p>
        </w:tc>
        <w:tc>
          <w:tcPr>
            <w:tcW w:w="602" w:type="pct"/>
            <w:tcBorders>
              <w:top w:val="nil"/>
              <w:left w:val="nil"/>
              <w:bottom w:val="single" w:color="auto" w:sz="4" w:space="0"/>
              <w:right w:val="single" w:color="auto" w:sz="4" w:space="0"/>
            </w:tcBorders>
            <w:noWrap w:val="0"/>
            <w:vAlign w:val="center"/>
          </w:tcPr>
          <w:p w14:paraId="67970933">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0.1069 </w:t>
            </w:r>
          </w:p>
        </w:tc>
        <w:tc>
          <w:tcPr>
            <w:tcW w:w="602" w:type="pct"/>
            <w:tcBorders>
              <w:top w:val="nil"/>
              <w:left w:val="nil"/>
              <w:bottom w:val="single" w:color="auto" w:sz="4" w:space="0"/>
              <w:right w:val="single" w:color="auto" w:sz="4" w:space="0"/>
            </w:tcBorders>
            <w:noWrap w:val="0"/>
            <w:vAlign w:val="center"/>
          </w:tcPr>
          <w:p w14:paraId="737A438C">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0.0916 </w:t>
            </w:r>
          </w:p>
        </w:tc>
        <w:tc>
          <w:tcPr>
            <w:tcW w:w="602" w:type="pct"/>
            <w:tcBorders>
              <w:top w:val="nil"/>
              <w:left w:val="nil"/>
              <w:bottom w:val="single" w:color="auto" w:sz="4" w:space="0"/>
              <w:right w:val="single" w:color="auto" w:sz="4" w:space="0"/>
            </w:tcBorders>
            <w:noWrap w:val="0"/>
            <w:vAlign w:val="center"/>
          </w:tcPr>
          <w:p w14:paraId="433D940C">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0.0836 </w:t>
            </w:r>
          </w:p>
        </w:tc>
        <w:tc>
          <w:tcPr>
            <w:tcW w:w="612" w:type="pct"/>
            <w:tcBorders>
              <w:top w:val="nil"/>
              <w:left w:val="nil"/>
              <w:bottom w:val="single" w:color="auto" w:sz="4" w:space="0"/>
              <w:right w:val="single" w:color="auto" w:sz="4" w:space="0"/>
            </w:tcBorders>
            <w:noWrap w:val="0"/>
            <w:vAlign w:val="center"/>
          </w:tcPr>
          <w:p w14:paraId="501ACCB8">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0.0808 </w:t>
            </w:r>
          </w:p>
        </w:tc>
        <w:tc>
          <w:tcPr>
            <w:tcW w:w="1287" w:type="pct"/>
            <w:vMerge w:val="continue"/>
            <w:tcBorders>
              <w:left w:val="nil"/>
              <w:right w:val="single" w:color="auto" w:sz="4" w:space="0"/>
            </w:tcBorders>
            <w:noWrap w:val="0"/>
            <w:vAlign w:val="center"/>
          </w:tcPr>
          <w:p w14:paraId="7BD5B044">
            <w:pPr>
              <w:widowControl/>
              <w:jc w:val="center"/>
              <w:rPr>
                <w:rFonts w:ascii="Times New Roman" w:hAnsi="Times New Roman" w:eastAsia="宋体" w:cs="Times New Roman"/>
                <w:color w:val="auto"/>
                <w:kern w:val="0"/>
                <w:sz w:val="21"/>
                <w:szCs w:val="21"/>
              </w:rPr>
            </w:pPr>
          </w:p>
        </w:tc>
      </w:tr>
      <w:tr w14:paraId="371BE60C">
        <w:tblPrEx>
          <w:tblCellMar>
            <w:top w:w="0" w:type="dxa"/>
            <w:left w:w="108" w:type="dxa"/>
            <w:bottom w:w="0" w:type="dxa"/>
            <w:right w:w="108" w:type="dxa"/>
          </w:tblCellMar>
        </w:tblPrEx>
        <w:trPr>
          <w:trHeight w:val="354" w:hRule="atLeast"/>
          <w:jc w:val="center"/>
        </w:trPr>
        <w:tc>
          <w:tcPr>
            <w:tcW w:w="691" w:type="pct"/>
            <w:tcBorders>
              <w:top w:val="nil"/>
              <w:left w:val="single" w:color="auto" w:sz="4" w:space="0"/>
              <w:bottom w:val="single" w:color="auto" w:sz="4" w:space="0"/>
              <w:right w:val="single" w:color="auto" w:sz="4" w:space="0"/>
            </w:tcBorders>
            <w:shd w:val="clear" w:color="auto" w:fill="auto"/>
            <w:noWrap w:val="0"/>
            <w:vAlign w:val="center"/>
          </w:tcPr>
          <w:p w14:paraId="4C67AA18">
            <w:pPr>
              <w:widowControl/>
              <w:shd w:val="clear" w:color="auto" w:fill="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200</w:t>
            </w:r>
          </w:p>
        </w:tc>
        <w:tc>
          <w:tcPr>
            <w:tcW w:w="602" w:type="pct"/>
            <w:tcBorders>
              <w:top w:val="nil"/>
              <w:left w:val="nil"/>
              <w:bottom w:val="single" w:color="auto" w:sz="4" w:space="0"/>
              <w:right w:val="single" w:color="auto" w:sz="4" w:space="0"/>
            </w:tcBorders>
            <w:shd w:val="clear" w:color="auto" w:fill="auto"/>
            <w:noWrap w:val="0"/>
            <w:vAlign w:val="center"/>
          </w:tcPr>
          <w:p w14:paraId="1E13955D">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0.1054 </w:t>
            </w:r>
          </w:p>
        </w:tc>
        <w:tc>
          <w:tcPr>
            <w:tcW w:w="602" w:type="pct"/>
            <w:tcBorders>
              <w:top w:val="nil"/>
              <w:left w:val="nil"/>
              <w:bottom w:val="single" w:color="auto" w:sz="4" w:space="0"/>
              <w:right w:val="single" w:color="auto" w:sz="4" w:space="0"/>
            </w:tcBorders>
            <w:shd w:val="clear" w:color="auto" w:fill="auto"/>
            <w:noWrap w:val="0"/>
            <w:vAlign w:val="center"/>
          </w:tcPr>
          <w:p w14:paraId="358996AA">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0.0967 </w:t>
            </w:r>
          </w:p>
        </w:tc>
        <w:tc>
          <w:tcPr>
            <w:tcW w:w="602" w:type="pct"/>
            <w:tcBorders>
              <w:top w:val="nil"/>
              <w:left w:val="nil"/>
              <w:bottom w:val="single" w:color="auto" w:sz="4" w:space="0"/>
              <w:right w:val="single" w:color="auto" w:sz="4" w:space="0"/>
            </w:tcBorders>
            <w:shd w:val="clear" w:color="auto" w:fill="auto"/>
            <w:noWrap w:val="0"/>
            <w:vAlign w:val="center"/>
          </w:tcPr>
          <w:p w14:paraId="540068ED">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0.0892 </w:t>
            </w:r>
          </w:p>
        </w:tc>
        <w:tc>
          <w:tcPr>
            <w:tcW w:w="602" w:type="pct"/>
            <w:tcBorders>
              <w:top w:val="nil"/>
              <w:left w:val="nil"/>
              <w:bottom w:val="single" w:color="auto" w:sz="4" w:space="0"/>
              <w:right w:val="single" w:color="auto" w:sz="4" w:space="0"/>
            </w:tcBorders>
            <w:shd w:val="clear" w:color="auto" w:fill="auto"/>
            <w:noWrap w:val="0"/>
            <w:vAlign w:val="center"/>
          </w:tcPr>
          <w:p w14:paraId="4C7FBAA2">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0.0843 </w:t>
            </w:r>
          </w:p>
        </w:tc>
        <w:tc>
          <w:tcPr>
            <w:tcW w:w="1008" w:type="dxa"/>
            <w:tcBorders>
              <w:top w:val="nil"/>
              <w:left w:val="nil"/>
              <w:bottom w:val="single" w:color="auto" w:sz="4" w:space="0"/>
              <w:right w:val="single" w:color="auto" w:sz="4" w:space="0"/>
            </w:tcBorders>
            <w:noWrap w:val="0"/>
            <w:vAlign w:val="center"/>
          </w:tcPr>
          <w:p w14:paraId="0F1C4B21">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0.0</w:t>
            </w:r>
            <w:r>
              <w:rPr>
                <w:rFonts w:hint="eastAsia" w:cs="Times New Roman"/>
                <w:color w:val="auto"/>
                <w:kern w:val="0"/>
                <w:szCs w:val="21"/>
                <w:lang w:val="en-US" w:eastAsia="zh-CN"/>
              </w:rPr>
              <w:t>82</w:t>
            </w:r>
            <w:r>
              <w:rPr>
                <w:rFonts w:hint="eastAsia" w:ascii="Times New Roman" w:hAnsi="Times New Roman" w:eastAsia="宋体" w:cs="Times New Roman"/>
                <w:color w:val="auto"/>
                <w:kern w:val="0"/>
                <w:szCs w:val="21"/>
                <w:lang w:val="en-US" w:eastAsia="zh-CN"/>
              </w:rPr>
              <w:t xml:space="preserve">3 </w:t>
            </w:r>
          </w:p>
        </w:tc>
        <w:tc>
          <w:tcPr>
            <w:tcW w:w="1287" w:type="pct"/>
            <w:vMerge w:val="continue"/>
            <w:tcBorders>
              <w:left w:val="nil"/>
              <w:bottom w:val="single" w:color="auto" w:sz="4" w:space="0"/>
              <w:right w:val="single" w:color="auto" w:sz="4" w:space="0"/>
            </w:tcBorders>
            <w:noWrap w:val="0"/>
            <w:vAlign w:val="center"/>
          </w:tcPr>
          <w:p w14:paraId="1EEC0F35">
            <w:pPr>
              <w:widowControl/>
              <w:jc w:val="center"/>
              <w:rPr>
                <w:rFonts w:ascii="Times New Roman" w:hAnsi="Times New Roman" w:eastAsia="宋体" w:cs="Times New Roman"/>
                <w:color w:val="auto"/>
                <w:kern w:val="0"/>
                <w:sz w:val="21"/>
                <w:szCs w:val="21"/>
              </w:rPr>
            </w:pPr>
          </w:p>
        </w:tc>
      </w:tr>
      <w:tr w14:paraId="04ED008C">
        <w:tblPrEx>
          <w:tblCellMar>
            <w:top w:w="0" w:type="dxa"/>
            <w:left w:w="108" w:type="dxa"/>
            <w:bottom w:w="0" w:type="dxa"/>
            <w:right w:w="108" w:type="dxa"/>
          </w:tblCellMar>
        </w:tblPrEx>
        <w:trPr>
          <w:trHeight w:val="354" w:hRule="atLeast"/>
          <w:jc w:val="center"/>
        </w:trPr>
        <w:tc>
          <w:tcPr>
            <w:tcW w:w="69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9079F68">
            <w:pPr>
              <w:widowControl/>
              <w:shd w:val="clear" w:color="auto" w:fill="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300</w:t>
            </w:r>
          </w:p>
        </w:tc>
        <w:tc>
          <w:tcPr>
            <w:tcW w:w="60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8CC727A">
            <w:pPr>
              <w:widowControl/>
              <w:shd w:val="clear" w:color="auto" w:fill="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0.1021 </w:t>
            </w:r>
          </w:p>
        </w:tc>
        <w:tc>
          <w:tcPr>
            <w:tcW w:w="60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37D26AE">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0.0967 </w:t>
            </w:r>
          </w:p>
        </w:tc>
        <w:tc>
          <w:tcPr>
            <w:tcW w:w="60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F051D70">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0.0913 </w:t>
            </w:r>
          </w:p>
        </w:tc>
        <w:tc>
          <w:tcPr>
            <w:tcW w:w="60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0D5DA78">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0.0868 </w:t>
            </w:r>
          </w:p>
        </w:tc>
        <w:tc>
          <w:tcPr>
            <w:tcW w:w="1008" w:type="dxa"/>
            <w:tcBorders>
              <w:top w:val="single" w:color="auto" w:sz="4" w:space="0"/>
              <w:left w:val="single" w:color="auto" w:sz="4" w:space="0"/>
              <w:bottom w:val="single" w:color="auto" w:sz="4" w:space="0"/>
              <w:right w:val="single" w:color="auto" w:sz="4" w:space="0"/>
            </w:tcBorders>
            <w:noWrap w:val="0"/>
            <w:vAlign w:val="center"/>
          </w:tcPr>
          <w:p w14:paraId="1473D789">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0.0</w:t>
            </w:r>
            <w:r>
              <w:rPr>
                <w:rFonts w:hint="eastAsia" w:cs="Times New Roman"/>
                <w:color w:val="auto"/>
                <w:kern w:val="0"/>
                <w:szCs w:val="21"/>
                <w:lang w:val="en-US" w:eastAsia="zh-CN"/>
              </w:rPr>
              <w:t>8421</w:t>
            </w:r>
            <w:r>
              <w:rPr>
                <w:rFonts w:hint="eastAsia" w:ascii="Times New Roman" w:hAnsi="Times New Roman" w:eastAsia="宋体" w:cs="Times New Roman"/>
                <w:color w:val="auto"/>
                <w:kern w:val="0"/>
                <w:szCs w:val="21"/>
                <w:lang w:val="en-US" w:eastAsia="zh-CN"/>
              </w:rPr>
              <w:t xml:space="preserve"> </w:t>
            </w:r>
          </w:p>
        </w:tc>
        <w:tc>
          <w:tcPr>
            <w:tcW w:w="1287" w:type="pct"/>
            <w:vMerge w:val="restart"/>
            <w:tcBorders>
              <w:top w:val="single" w:color="auto" w:sz="4" w:space="0"/>
              <w:left w:val="single" w:color="auto" w:sz="4" w:space="0"/>
              <w:right w:val="single" w:color="auto" w:sz="4" w:space="0"/>
            </w:tcBorders>
            <w:noWrap w:val="0"/>
            <w:vAlign w:val="center"/>
          </w:tcPr>
          <w:p w14:paraId="00C7DE59">
            <w:pPr>
              <w:widowControl/>
              <w:jc w:val="center"/>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完全混合段</w:t>
            </w:r>
          </w:p>
        </w:tc>
      </w:tr>
      <w:tr w14:paraId="72CD9E59">
        <w:tblPrEx>
          <w:tblCellMar>
            <w:top w:w="0" w:type="dxa"/>
            <w:left w:w="108" w:type="dxa"/>
            <w:bottom w:w="0" w:type="dxa"/>
            <w:right w:w="108" w:type="dxa"/>
          </w:tblCellMar>
        </w:tblPrEx>
        <w:trPr>
          <w:trHeight w:val="354" w:hRule="atLeast"/>
          <w:jc w:val="center"/>
        </w:trPr>
        <w:tc>
          <w:tcPr>
            <w:tcW w:w="69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1B86404">
            <w:pPr>
              <w:widowControl/>
              <w:shd w:val="clear" w:color="auto" w:fill="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400</w:t>
            </w:r>
          </w:p>
        </w:tc>
        <w:tc>
          <w:tcPr>
            <w:tcW w:w="60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9B919CF">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0.0993 </w:t>
            </w:r>
          </w:p>
        </w:tc>
        <w:tc>
          <w:tcPr>
            <w:tcW w:w="60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B7F2B69">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0.0956 </w:t>
            </w:r>
          </w:p>
        </w:tc>
        <w:tc>
          <w:tcPr>
            <w:tcW w:w="60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3C1F52A">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0.0916 </w:t>
            </w:r>
          </w:p>
        </w:tc>
        <w:tc>
          <w:tcPr>
            <w:tcW w:w="60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14D276B">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0.0880 </w:t>
            </w:r>
          </w:p>
        </w:tc>
        <w:tc>
          <w:tcPr>
            <w:tcW w:w="1008" w:type="dxa"/>
            <w:tcBorders>
              <w:top w:val="single" w:color="auto" w:sz="4" w:space="0"/>
              <w:left w:val="single" w:color="auto" w:sz="4" w:space="0"/>
              <w:bottom w:val="single" w:color="auto" w:sz="4" w:space="0"/>
              <w:right w:val="single" w:color="auto" w:sz="4" w:space="0"/>
            </w:tcBorders>
            <w:noWrap w:val="0"/>
            <w:vAlign w:val="center"/>
          </w:tcPr>
          <w:p w14:paraId="49439328">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0.08</w:t>
            </w:r>
            <w:r>
              <w:rPr>
                <w:rFonts w:hint="eastAsia" w:cs="Times New Roman"/>
                <w:color w:val="auto"/>
                <w:kern w:val="0"/>
                <w:szCs w:val="21"/>
                <w:lang w:val="en-US" w:eastAsia="zh-CN"/>
              </w:rPr>
              <w:t>65</w:t>
            </w:r>
          </w:p>
        </w:tc>
        <w:tc>
          <w:tcPr>
            <w:tcW w:w="1287" w:type="pct"/>
            <w:vMerge w:val="continue"/>
            <w:tcBorders>
              <w:left w:val="single" w:color="auto" w:sz="4" w:space="0"/>
              <w:right w:val="single" w:color="auto" w:sz="4" w:space="0"/>
            </w:tcBorders>
            <w:noWrap w:val="0"/>
            <w:vAlign w:val="center"/>
          </w:tcPr>
          <w:p w14:paraId="6FC06263">
            <w:pPr>
              <w:widowControl/>
              <w:jc w:val="center"/>
              <w:rPr>
                <w:rFonts w:ascii="Times New Roman" w:hAnsi="Times New Roman" w:eastAsia="宋体" w:cs="Times New Roman"/>
                <w:color w:val="auto"/>
                <w:kern w:val="0"/>
                <w:szCs w:val="21"/>
              </w:rPr>
            </w:pPr>
          </w:p>
        </w:tc>
      </w:tr>
      <w:tr w14:paraId="14F4086A">
        <w:tblPrEx>
          <w:tblCellMar>
            <w:top w:w="0" w:type="dxa"/>
            <w:left w:w="108" w:type="dxa"/>
            <w:bottom w:w="0" w:type="dxa"/>
            <w:right w:w="108" w:type="dxa"/>
          </w:tblCellMar>
        </w:tblPrEx>
        <w:trPr>
          <w:trHeight w:val="354" w:hRule="atLeast"/>
          <w:jc w:val="center"/>
        </w:trPr>
        <w:tc>
          <w:tcPr>
            <w:tcW w:w="691" w:type="pct"/>
            <w:tcBorders>
              <w:top w:val="single" w:color="auto" w:sz="4" w:space="0"/>
              <w:left w:val="single" w:color="auto" w:sz="4" w:space="0"/>
              <w:bottom w:val="single" w:color="auto" w:sz="4" w:space="0"/>
              <w:right w:val="single" w:color="auto" w:sz="4" w:space="0"/>
            </w:tcBorders>
            <w:noWrap w:val="0"/>
            <w:vAlign w:val="center"/>
          </w:tcPr>
          <w:p w14:paraId="6A88066F">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cs="Times New Roman"/>
                <w:color w:val="auto"/>
                <w:kern w:val="0"/>
                <w:szCs w:val="21"/>
                <w:lang w:val="en-US" w:eastAsia="zh-CN"/>
              </w:rPr>
              <w:t>480</w:t>
            </w:r>
          </w:p>
        </w:tc>
        <w:tc>
          <w:tcPr>
            <w:tcW w:w="4976" w:type="dxa"/>
            <w:gridSpan w:val="5"/>
            <w:tcBorders>
              <w:top w:val="single" w:color="auto" w:sz="4" w:space="0"/>
              <w:left w:val="single" w:color="auto" w:sz="4" w:space="0"/>
              <w:bottom w:val="single" w:color="auto" w:sz="4" w:space="0"/>
              <w:right w:val="single" w:color="auto" w:sz="4" w:space="0"/>
            </w:tcBorders>
            <w:noWrap w:val="0"/>
            <w:vAlign w:val="center"/>
          </w:tcPr>
          <w:p w14:paraId="13D9BDCF">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0.08</w:t>
            </w:r>
            <w:r>
              <w:rPr>
                <w:rFonts w:hint="eastAsia" w:cs="Times New Roman"/>
                <w:color w:val="auto"/>
                <w:kern w:val="0"/>
                <w:szCs w:val="21"/>
                <w:lang w:val="en-US" w:eastAsia="zh-CN"/>
              </w:rPr>
              <w:t>5</w:t>
            </w:r>
            <w:r>
              <w:rPr>
                <w:rFonts w:hint="eastAsia" w:ascii="Times New Roman" w:hAnsi="Times New Roman" w:eastAsia="宋体" w:cs="Times New Roman"/>
                <w:color w:val="auto"/>
                <w:kern w:val="0"/>
                <w:szCs w:val="21"/>
                <w:lang w:val="en-US" w:eastAsia="zh-CN"/>
              </w:rPr>
              <w:t xml:space="preserve">5 </w:t>
            </w:r>
          </w:p>
        </w:tc>
        <w:tc>
          <w:tcPr>
            <w:tcW w:w="1287" w:type="pct"/>
            <w:vMerge w:val="continue"/>
            <w:tcBorders>
              <w:left w:val="single" w:color="auto" w:sz="4" w:space="0"/>
              <w:right w:val="single" w:color="auto" w:sz="4" w:space="0"/>
            </w:tcBorders>
            <w:noWrap w:val="0"/>
            <w:vAlign w:val="center"/>
          </w:tcPr>
          <w:p w14:paraId="6E6AA059">
            <w:pPr>
              <w:widowControl/>
              <w:jc w:val="center"/>
              <w:rPr>
                <w:rFonts w:ascii="Times New Roman" w:hAnsi="Times New Roman" w:eastAsia="宋体" w:cs="Times New Roman"/>
                <w:color w:val="auto"/>
                <w:kern w:val="0"/>
                <w:szCs w:val="21"/>
              </w:rPr>
            </w:pPr>
          </w:p>
        </w:tc>
      </w:tr>
      <w:tr w14:paraId="4A08F9B4">
        <w:tblPrEx>
          <w:tblCellMar>
            <w:top w:w="0" w:type="dxa"/>
            <w:left w:w="108" w:type="dxa"/>
            <w:bottom w:w="0" w:type="dxa"/>
            <w:right w:w="108" w:type="dxa"/>
          </w:tblCellMar>
        </w:tblPrEx>
        <w:trPr>
          <w:trHeight w:val="90" w:hRule="atLeast"/>
          <w:jc w:val="center"/>
        </w:trPr>
        <w:tc>
          <w:tcPr>
            <w:tcW w:w="691" w:type="pct"/>
            <w:tcBorders>
              <w:top w:val="single" w:color="auto" w:sz="4" w:space="0"/>
              <w:left w:val="single" w:color="auto" w:sz="4" w:space="0"/>
              <w:bottom w:val="single" w:color="auto" w:sz="4" w:space="0"/>
              <w:right w:val="single" w:color="auto" w:sz="4" w:space="0"/>
            </w:tcBorders>
            <w:noWrap w:val="0"/>
            <w:vAlign w:val="center"/>
          </w:tcPr>
          <w:p w14:paraId="55020670">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500</w:t>
            </w:r>
          </w:p>
        </w:tc>
        <w:tc>
          <w:tcPr>
            <w:tcW w:w="4976" w:type="dxa"/>
            <w:gridSpan w:val="5"/>
            <w:tcBorders>
              <w:top w:val="single" w:color="auto" w:sz="4" w:space="0"/>
              <w:left w:val="single" w:color="auto" w:sz="4" w:space="0"/>
              <w:bottom w:val="single" w:color="auto" w:sz="4" w:space="0"/>
              <w:right w:val="single" w:color="auto" w:sz="4" w:space="0"/>
            </w:tcBorders>
            <w:noWrap w:val="0"/>
            <w:vAlign w:val="center"/>
          </w:tcPr>
          <w:p w14:paraId="1AE5B835">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0.08</w:t>
            </w:r>
            <w:r>
              <w:rPr>
                <w:rFonts w:hint="eastAsia" w:cs="Times New Roman"/>
                <w:color w:val="auto"/>
                <w:kern w:val="0"/>
                <w:szCs w:val="21"/>
                <w:lang w:val="en-US" w:eastAsia="zh-CN"/>
              </w:rPr>
              <w:t>4</w:t>
            </w:r>
            <w:r>
              <w:rPr>
                <w:rFonts w:hint="eastAsia" w:ascii="Times New Roman" w:hAnsi="Times New Roman" w:eastAsia="宋体" w:cs="Times New Roman"/>
                <w:color w:val="auto"/>
                <w:kern w:val="0"/>
                <w:szCs w:val="21"/>
                <w:lang w:val="en-US" w:eastAsia="zh-CN"/>
              </w:rPr>
              <w:t xml:space="preserve">7 </w:t>
            </w:r>
          </w:p>
        </w:tc>
        <w:tc>
          <w:tcPr>
            <w:tcW w:w="1287" w:type="pct"/>
            <w:vMerge w:val="continue"/>
            <w:tcBorders>
              <w:left w:val="single" w:color="auto" w:sz="4" w:space="0"/>
              <w:right w:val="single" w:color="auto" w:sz="4" w:space="0"/>
            </w:tcBorders>
            <w:noWrap w:val="0"/>
            <w:vAlign w:val="center"/>
          </w:tcPr>
          <w:p w14:paraId="0BE70B1A">
            <w:pPr>
              <w:widowControl/>
              <w:jc w:val="center"/>
              <w:rPr>
                <w:rFonts w:ascii="Times New Roman" w:hAnsi="Times New Roman" w:eastAsia="宋体" w:cs="Times New Roman"/>
                <w:color w:val="auto"/>
                <w:kern w:val="0"/>
                <w:szCs w:val="21"/>
              </w:rPr>
            </w:pPr>
          </w:p>
        </w:tc>
      </w:tr>
      <w:tr w14:paraId="5104C29D">
        <w:tblPrEx>
          <w:tblCellMar>
            <w:top w:w="0" w:type="dxa"/>
            <w:left w:w="108" w:type="dxa"/>
            <w:bottom w:w="0" w:type="dxa"/>
            <w:right w:w="108" w:type="dxa"/>
          </w:tblCellMar>
        </w:tblPrEx>
        <w:trPr>
          <w:trHeight w:val="354" w:hRule="atLeast"/>
          <w:jc w:val="center"/>
        </w:trPr>
        <w:tc>
          <w:tcPr>
            <w:tcW w:w="691" w:type="pct"/>
            <w:tcBorders>
              <w:top w:val="single" w:color="auto" w:sz="4" w:space="0"/>
              <w:left w:val="single" w:color="auto" w:sz="4" w:space="0"/>
              <w:bottom w:val="single" w:color="auto" w:sz="4" w:space="0"/>
              <w:right w:val="single" w:color="auto" w:sz="4" w:space="0"/>
            </w:tcBorders>
            <w:noWrap w:val="0"/>
            <w:vAlign w:val="center"/>
          </w:tcPr>
          <w:p w14:paraId="481419FA">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550</w:t>
            </w:r>
          </w:p>
        </w:tc>
        <w:tc>
          <w:tcPr>
            <w:tcW w:w="4976" w:type="dxa"/>
            <w:gridSpan w:val="5"/>
            <w:tcBorders>
              <w:top w:val="single" w:color="auto" w:sz="4" w:space="0"/>
              <w:left w:val="single" w:color="auto" w:sz="4" w:space="0"/>
              <w:bottom w:val="single" w:color="auto" w:sz="4" w:space="0"/>
              <w:right w:val="single" w:color="auto" w:sz="4" w:space="0"/>
            </w:tcBorders>
            <w:noWrap w:val="0"/>
            <w:vAlign w:val="center"/>
          </w:tcPr>
          <w:p w14:paraId="574FFA55">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0.08</w:t>
            </w:r>
            <w:r>
              <w:rPr>
                <w:rFonts w:hint="eastAsia" w:cs="Times New Roman"/>
                <w:color w:val="auto"/>
                <w:kern w:val="0"/>
                <w:szCs w:val="21"/>
                <w:lang w:val="en-US" w:eastAsia="zh-CN"/>
              </w:rPr>
              <w:t>4</w:t>
            </w:r>
            <w:r>
              <w:rPr>
                <w:rFonts w:hint="eastAsia" w:ascii="Times New Roman" w:hAnsi="Times New Roman" w:eastAsia="宋体" w:cs="Times New Roman"/>
                <w:color w:val="auto"/>
                <w:kern w:val="0"/>
                <w:szCs w:val="21"/>
                <w:lang w:val="en-US" w:eastAsia="zh-CN"/>
              </w:rPr>
              <w:t xml:space="preserve">4 </w:t>
            </w:r>
          </w:p>
        </w:tc>
        <w:tc>
          <w:tcPr>
            <w:tcW w:w="1287" w:type="pct"/>
            <w:vMerge w:val="continue"/>
            <w:tcBorders>
              <w:left w:val="single" w:color="auto" w:sz="4" w:space="0"/>
              <w:bottom w:val="single" w:color="auto" w:sz="4" w:space="0"/>
              <w:right w:val="single" w:color="auto" w:sz="4" w:space="0"/>
            </w:tcBorders>
            <w:noWrap w:val="0"/>
            <w:vAlign w:val="center"/>
          </w:tcPr>
          <w:p w14:paraId="2FD81559">
            <w:pPr>
              <w:widowControl/>
              <w:jc w:val="center"/>
              <w:rPr>
                <w:rFonts w:ascii="Times New Roman" w:hAnsi="Times New Roman" w:eastAsia="宋体" w:cs="Times New Roman"/>
                <w:color w:val="auto"/>
                <w:kern w:val="0"/>
                <w:szCs w:val="21"/>
              </w:rPr>
            </w:pPr>
          </w:p>
        </w:tc>
      </w:tr>
      <w:tr w14:paraId="745316A8">
        <w:tblPrEx>
          <w:tblCellMar>
            <w:top w:w="0" w:type="dxa"/>
            <w:left w:w="108" w:type="dxa"/>
            <w:bottom w:w="0" w:type="dxa"/>
            <w:right w:w="108" w:type="dxa"/>
          </w:tblCellMar>
        </w:tblPrEx>
        <w:trPr>
          <w:trHeight w:val="353" w:hRule="atLeast"/>
          <w:jc w:val="center"/>
        </w:trPr>
        <w:tc>
          <w:tcPr>
            <w:tcW w:w="691" w:type="pct"/>
            <w:tcBorders>
              <w:top w:val="single" w:color="auto" w:sz="4" w:space="0"/>
              <w:left w:val="single" w:color="auto" w:sz="4" w:space="0"/>
              <w:bottom w:val="single" w:color="auto" w:sz="4" w:space="0"/>
              <w:right w:val="single" w:color="auto" w:sz="4" w:space="0"/>
            </w:tcBorders>
            <w:noWrap w:val="0"/>
            <w:vAlign w:val="center"/>
          </w:tcPr>
          <w:p w14:paraId="5DB33D03">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标准限值</w:t>
            </w:r>
          </w:p>
        </w:tc>
        <w:tc>
          <w:tcPr>
            <w:tcW w:w="3021" w:type="pct"/>
            <w:gridSpan w:val="5"/>
            <w:tcBorders>
              <w:top w:val="single" w:color="auto" w:sz="4" w:space="0"/>
              <w:left w:val="single" w:color="auto" w:sz="4" w:space="0"/>
              <w:bottom w:val="single" w:color="auto" w:sz="4" w:space="0"/>
              <w:right w:val="single" w:color="auto" w:sz="4" w:space="0"/>
            </w:tcBorders>
            <w:noWrap w:val="0"/>
            <w:vAlign w:val="center"/>
          </w:tcPr>
          <w:p w14:paraId="7A45F0E2">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highlight w:val="none"/>
                <w:lang w:val="en-US" w:eastAsia="zh-CN"/>
              </w:rPr>
              <w:t>≦</w:t>
            </w:r>
            <w:r>
              <w:rPr>
                <w:rFonts w:hint="eastAsia" w:cs="Times New Roman"/>
                <w:color w:val="auto"/>
                <w:kern w:val="0"/>
                <w:szCs w:val="21"/>
                <w:highlight w:val="none"/>
                <w:lang w:val="en-US" w:eastAsia="zh-CN"/>
              </w:rPr>
              <w:t>0.5</w:t>
            </w:r>
          </w:p>
        </w:tc>
        <w:tc>
          <w:tcPr>
            <w:tcW w:w="1287" w:type="pct"/>
            <w:tcBorders>
              <w:top w:val="single" w:color="auto" w:sz="4" w:space="0"/>
              <w:left w:val="single" w:color="auto" w:sz="4" w:space="0"/>
              <w:bottom w:val="single" w:color="auto" w:sz="4" w:space="0"/>
              <w:right w:val="single" w:color="auto" w:sz="4" w:space="0"/>
            </w:tcBorders>
            <w:noWrap w:val="0"/>
            <w:vAlign w:val="center"/>
          </w:tcPr>
          <w:p w14:paraId="297150EC">
            <w:pPr>
              <w:widowControl/>
              <w:jc w:val="center"/>
              <w:rPr>
                <w:rFonts w:hint="eastAsia" w:ascii="Times New Roman" w:hAnsi="Times New Roman" w:eastAsia="宋体" w:cs="Times New Roman"/>
                <w:color w:val="auto"/>
                <w:kern w:val="0"/>
                <w:szCs w:val="21"/>
                <w:lang w:val="en-US" w:eastAsia="zh-CN"/>
              </w:rPr>
            </w:pPr>
            <w:r>
              <w:rPr>
                <w:rFonts w:hint="eastAsia" w:cs="Times New Roman"/>
                <w:color w:val="auto"/>
                <w:kern w:val="0"/>
                <w:szCs w:val="21"/>
                <w:lang w:val="en-US" w:eastAsia="zh-CN"/>
              </w:rPr>
              <w:t>/</w:t>
            </w:r>
          </w:p>
        </w:tc>
      </w:tr>
    </w:tbl>
    <w:p w14:paraId="03D870BE">
      <w:pPr>
        <w:spacing w:line="360" w:lineRule="auto"/>
        <w:ind w:firstLine="480" w:firstLineChars="200"/>
        <w:rPr>
          <w:rFonts w:hint="eastAsia"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从上表可以看出，正常情况下，项目尾水排入排水渠下游</w:t>
      </w:r>
      <w:r>
        <w:rPr>
          <w:rFonts w:hint="eastAsia" w:cs="Times New Roman"/>
          <w:color w:val="auto"/>
          <w:sz w:val="24"/>
          <w:highlight w:val="none"/>
          <w:lang w:val="en-US" w:eastAsia="zh-CN"/>
        </w:rPr>
        <w:t>5</w:t>
      </w:r>
      <w:r>
        <w:rPr>
          <w:rFonts w:hint="eastAsia" w:ascii="Times New Roman" w:hAnsi="Times New Roman" w:cs="Times New Roman"/>
          <w:color w:val="auto"/>
          <w:sz w:val="24"/>
          <w:highlight w:val="none"/>
          <w:lang w:val="en-US" w:eastAsia="zh-CN"/>
        </w:rPr>
        <w:t>0m位置时，在叠加背景值情况下</w:t>
      </w:r>
      <w:r>
        <w:rPr>
          <w:rFonts w:hint="eastAsia" w:cs="Times New Roman"/>
          <w:color w:val="auto"/>
          <w:sz w:val="24"/>
          <w:highlight w:val="none"/>
          <w:lang w:val="en-US" w:eastAsia="zh-CN"/>
        </w:rPr>
        <w:t>总磷</w:t>
      </w:r>
      <w:r>
        <w:rPr>
          <w:rFonts w:hint="eastAsia" w:ascii="Times New Roman" w:hAnsi="Times New Roman" w:cs="Times New Roman"/>
          <w:color w:val="auto"/>
          <w:sz w:val="24"/>
          <w:highlight w:val="none"/>
          <w:lang w:val="en-US" w:eastAsia="zh-CN"/>
        </w:rPr>
        <w:t>最大预测值为0.1346mg/L，能够满足《地表水环境质量标准》III类标准。</w:t>
      </w:r>
    </w:p>
    <w:p w14:paraId="42FF7832">
      <w:pPr>
        <w:rPr>
          <w:rFonts w:hint="eastAsia"/>
          <w:color w:val="auto"/>
          <w:lang w:val="en-US" w:eastAsia="zh-CN"/>
        </w:rPr>
      </w:pPr>
    </w:p>
    <w:p w14:paraId="2C14D33A">
      <w:pPr>
        <w:numPr>
          <w:ilvl w:val="0"/>
          <w:numId w:val="10"/>
        </w:numPr>
        <w:spacing w:line="360" w:lineRule="auto"/>
        <w:ind w:left="0" w:leftChars="0" w:firstLine="482" w:firstLineChars="200"/>
        <w:rPr>
          <w:rFonts w:hint="eastAsia" w:ascii="Times New Roman" w:hAnsi="Times New Roman" w:cs="Times New Roman"/>
          <w:b/>
          <w:bCs/>
          <w:color w:val="auto"/>
          <w:sz w:val="24"/>
          <w:highlight w:val="none"/>
          <w:lang w:val="en-US" w:eastAsia="zh-CN"/>
        </w:rPr>
      </w:pPr>
      <w:r>
        <w:rPr>
          <w:rFonts w:hint="eastAsia" w:ascii="Times New Roman" w:hAnsi="Times New Roman" w:cs="Times New Roman"/>
          <w:b/>
          <w:bCs/>
          <w:color w:val="auto"/>
          <w:sz w:val="24"/>
          <w:highlight w:val="none"/>
          <w:lang w:val="en-US" w:eastAsia="zh-CN"/>
        </w:rPr>
        <w:t>非正常工况下</w:t>
      </w:r>
    </w:p>
    <w:p w14:paraId="2BE2469F">
      <w:pPr>
        <w:spacing w:line="360" w:lineRule="auto"/>
        <w:ind w:firstLine="480" w:firstLineChars="200"/>
        <w:rPr>
          <w:rFonts w:hint="eastAsia"/>
          <w:color w:val="auto"/>
          <w:lang w:val="en-US" w:eastAsia="zh-CN"/>
        </w:rPr>
      </w:pPr>
      <w:r>
        <w:rPr>
          <w:rFonts w:hint="eastAsia" w:ascii="Times New Roman" w:hAnsi="Times New Roman" w:cs="Times New Roman"/>
          <w:color w:val="auto"/>
          <w:sz w:val="24"/>
          <w:highlight w:val="none"/>
          <w:lang w:val="en-US" w:eastAsia="zh-CN"/>
        </w:rPr>
        <w:t>①COD</w:t>
      </w:r>
      <w:r>
        <w:rPr>
          <w:rFonts w:hint="eastAsia" w:ascii="Times New Roman" w:hAnsi="Times New Roman" w:cs="Times New Roman"/>
          <w:color w:val="auto"/>
          <w:sz w:val="24"/>
          <w:highlight w:val="none"/>
          <w:vertAlign w:val="subscript"/>
          <w:lang w:val="en-US" w:eastAsia="zh-CN"/>
        </w:rPr>
        <w:t>Cr</w:t>
      </w:r>
      <w:r>
        <w:rPr>
          <w:rFonts w:hint="eastAsia" w:ascii="Times New Roman" w:hAnsi="Times New Roman" w:cs="Times New Roman"/>
          <w:color w:val="auto"/>
          <w:sz w:val="24"/>
          <w:highlight w:val="none"/>
          <w:lang w:val="en-US" w:eastAsia="zh-CN"/>
        </w:rPr>
        <w:t>预测结果分析</w:t>
      </w:r>
    </w:p>
    <w:p w14:paraId="1AA43727">
      <w:pPr>
        <w:pStyle w:val="40"/>
        <w:jc w:val="both"/>
        <w:rPr>
          <w:rFonts w:hint="default" w:ascii="Times New Roman" w:hAnsi="Times New Roman" w:eastAsia="宋体" w:cs="Times New Roman"/>
          <w:color w:val="auto"/>
        </w:rPr>
      </w:pPr>
      <w:r>
        <w:rPr>
          <w:rFonts w:hint="default" w:ascii="Times New Roman" w:hAnsi="Times New Roman" w:eastAsia="宋体" w:cs="Times New Roman"/>
          <w:color w:val="auto"/>
          <w:sz w:val="24"/>
          <w:highlight w:val="none"/>
          <w:lang w:val="en-US" w:eastAsia="zh-CN"/>
        </w:rPr>
        <w:t>非正常工况下，</w:t>
      </w:r>
      <w:r>
        <w:rPr>
          <w:rFonts w:hint="eastAsia" w:ascii="Times New Roman" w:hAnsi="Times New Roman" w:eastAsia="宋体" w:cs="Times New Roman"/>
          <w:color w:val="auto"/>
          <w:sz w:val="24"/>
          <w:highlight w:val="none"/>
          <w:lang w:val="en-US" w:eastAsia="zh-CN"/>
        </w:rPr>
        <w:t>项目污水处理厂排放尾水中污染物</w:t>
      </w:r>
      <w:r>
        <w:rPr>
          <w:rFonts w:hint="default" w:ascii="Times New Roman" w:hAnsi="Times New Roman" w:eastAsia="宋体" w:cs="Times New Roman"/>
          <w:color w:val="auto"/>
          <w:sz w:val="24"/>
          <w:highlight w:val="none"/>
          <w:lang w:val="en-US" w:eastAsia="zh-CN"/>
        </w:rPr>
        <w:t>COD</w:t>
      </w:r>
      <w:r>
        <w:rPr>
          <w:rFonts w:hint="default" w:ascii="Times New Roman" w:hAnsi="Times New Roman" w:eastAsia="宋体" w:cs="Times New Roman"/>
          <w:color w:val="auto"/>
          <w:sz w:val="24"/>
          <w:highlight w:val="none"/>
          <w:vertAlign w:val="subscript"/>
          <w:lang w:val="en-US" w:eastAsia="zh-CN"/>
        </w:rPr>
        <w:t>Cr</w:t>
      </w:r>
      <w:r>
        <w:rPr>
          <w:rFonts w:hint="default" w:ascii="Times New Roman" w:hAnsi="Times New Roman" w:eastAsia="宋体" w:cs="Times New Roman"/>
          <w:color w:val="auto"/>
          <w:sz w:val="24"/>
          <w:highlight w:val="none"/>
          <w:lang w:val="en-US" w:eastAsia="zh-CN"/>
        </w:rPr>
        <w:t>对</w:t>
      </w:r>
      <w:r>
        <w:rPr>
          <w:rFonts w:hint="eastAsia" w:ascii="Times New Roman" w:hAnsi="Times New Roman" w:eastAsia="宋体" w:cs="Times New Roman"/>
          <w:color w:val="auto"/>
          <w:sz w:val="24"/>
          <w:highlight w:val="none"/>
          <w:lang w:val="en-US" w:eastAsia="zh-CN"/>
        </w:rPr>
        <w:t>排水渠</w:t>
      </w:r>
      <w:r>
        <w:rPr>
          <w:rFonts w:hint="default" w:ascii="Times New Roman" w:hAnsi="Times New Roman" w:eastAsia="宋体" w:cs="Times New Roman"/>
          <w:color w:val="auto"/>
          <w:sz w:val="24"/>
          <w:highlight w:val="none"/>
          <w:lang w:val="en-US" w:eastAsia="zh-CN"/>
        </w:rPr>
        <w:t>影响预测结果见下表。</w:t>
      </w:r>
    </w:p>
    <w:p w14:paraId="24670183">
      <w:pPr>
        <w:pStyle w:val="7"/>
        <w:bidi w:val="0"/>
        <w:rPr>
          <w:rFonts w:hint="eastAsia"/>
          <w:color w:val="auto"/>
        </w:rPr>
      </w:pPr>
      <w:r>
        <w:rPr>
          <w:rFonts w:hint="eastAsia"/>
          <w:color w:val="auto"/>
          <w:lang w:val="en-US" w:eastAsia="zh-CN"/>
        </w:rPr>
        <w:t>尾水非正常排放对排水渠下游河段预</w:t>
      </w:r>
      <w:r>
        <w:rPr>
          <w:rFonts w:hint="eastAsia"/>
          <w:color w:val="auto"/>
        </w:rPr>
        <w:t>测结果（</w:t>
      </w:r>
      <w:r>
        <w:rPr>
          <w:rFonts w:hint="default" w:ascii="Times New Roman" w:hAnsi="Times New Roman" w:cs="Times New Roman"/>
          <w:color w:val="auto"/>
          <w:sz w:val="21"/>
          <w:szCs w:val="21"/>
          <w:highlight w:val="none"/>
          <w:lang w:val="en-US" w:eastAsia="zh-CN"/>
        </w:rPr>
        <w:t>COD</w:t>
      </w:r>
      <w:r>
        <w:rPr>
          <w:rFonts w:hint="default" w:ascii="Times New Roman" w:hAnsi="Times New Roman" w:cs="Times New Roman"/>
          <w:color w:val="auto"/>
          <w:sz w:val="21"/>
          <w:szCs w:val="21"/>
          <w:highlight w:val="none"/>
          <w:vertAlign w:val="subscript"/>
          <w:lang w:val="en-US" w:eastAsia="zh-CN"/>
        </w:rPr>
        <w:t>Cr</w:t>
      </w:r>
      <w:r>
        <w:rPr>
          <w:rFonts w:hint="eastAsia"/>
          <w:color w:val="auto"/>
        </w:rPr>
        <w:t>）单位：mg/L</w:t>
      </w:r>
    </w:p>
    <w:tbl>
      <w:tblPr>
        <w:tblStyle w:val="31"/>
        <w:tblW w:w="4455" w:type="pct"/>
        <w:jc w:val="center"/>
        <w:tblLayout w:type="autofit"/>
        <w:tblCellMar>
          <w:top w:w="0" w:type="dxa"/>
          <w:left w:w="108" w:type="dxa"/>
          <w:bottom w:w="0" w:type="dxa"/>
          <w:right w:w="108" w:type="dxa"/>
        </w:tblCellMar>
      </w:tblPr>
      <w:tblGrid>
        <w:gridCol w:w="1139"/>
        <w:gridCol w:w="992"/>
        <w:gridCol w:w="992"/>
        <w:gridCol w:w="992"/>
        <w:gridCol w:w="992"/>
        <w:gridCol w:w="1008"/>
        <w:gridCol w:w="2120"/>
      </w:tblGrid>
      <w:tr w14:paraId="13DC5659">
        <w:tblPrEx>
          <w:tblCellMar>
            <w:top w:w="0" w:type="dxa"/>
            <w:left w:w="108" w:type="dxa"/>
            <w:bottom w:w="0" w:type="dxa"/>
            <w:right w:w="108" w:type="dxa"/>
          </w:tblCellMar>
        </w:tblPrEx>
        <w:trPr>
          <w:trHeight w:val="354" w:hRule="atLeast"/>
          <w:jc w:val="center"/>
        </w:trPr>
        <w:tc>
          <w:tcPr>
            <w:tcW w:w="692" w:type="pct"/>
            <w:tcBorders>
              <w:top w:val="single" w:color="auto" w:sz="4" w:space="0"/>
              <w:left w:val="single" w:color="auto" w:sz="4" w:space="0"/>
              <w:bottom w:val="single" w:color="auto" w:sz="4" w:space="0"/>
              <w:right w:val="single" w:color="auto" w:sz="4" w:space="0"/>
            </w:tcBorders>
            <w:noWrap w:val="0"/>
            <w:vAlign w:val="center"/>
          </w:tcPr>
          <w:p w14:paraId="093B26E7">
            <w:pPr>
              <w:widowControl/>
              <w:jc w:val="center"/>
              <w:rPr>
                <w:rFonts w:ascii="Times New Roman" w:hAnsi="Times New Roman" w:eastAsia="宋体" w:cs="Times New Roman"/>
                <w:b/>
                <w:bCs/>
                <w:color w:val="auto"/>
                <w:kern w:val="0"/>
                <w:szCs w:val="21"/>
              </w:rPr>
            </w:pPr>
            <w:r>
              <w:rPr>
                <w:rFonts w:ascii="Times New Roman" w:hAnsi="Times New Roman" w:eastAsia="宋体" w:cs="Times New Roman"/>
                <w:b/>
                <w:bCs/>
                <w:color w:val="auto"/>
                <w:kern w:val="0"/>
                <w:szCs w:val="21"/>
              </w:rPr>
              <w:t>X\c/Y　</w:t>
            </w:r>
          </w:p>
        </w:tc>
        <w:tc>
          <w:tcPr>
            <w:tcW w:w="602" w:type="pct"/>
            <w:tcBorders>
              <w:top w:val="single" w:color="auto" w:sz="4" w:space="0"/>
              <w:left w:val="nil"/>
              <w:bottom w:val="single" w:color="auto" w:sz="4" w:space="0"/>
              <w:right w:val="single" w:color="auto" w:sz="4" w:space="0"/>
            </w:tcBorders>
            <w:noWrap w:val="0"/>
            <w:vAlign w:val="center"/>
          </w:tcPr>
          <w:p w14:paraId="36F3FB7A">
            <w:pPr>
              <w:widowControl/>
              <w:jc w:val="center"/>
              <w:rPr>
                <w:rFonts w:hint="eastAsia" w:ascii="Times New Roman" w:hAnsi="Times New Roman" w:eastAsia="宋体" w:cs="Times New Roman"/>
                <w:b/>
                <w:bCs/>
                <w:color w:val="auto"/>
                <w:kern w:val="0"/>
                <w:szCs w:val="21"/>
                <w:lang w:eastAsia="zh-CN"/>
              </w:rPr>
            </w:pPr>
            <w:r>
              <w:rPr>
                <w:rFonts w:hint="eastAsia" w:cs="Times New Roman"/>
                <w:b/>
                <w:bCs/>
                <w:color w:val="auto"/>
                <w:kern w:val="0"/>
                <w:szCs w:val="21"/>
                <w:lang w:val="en-US" w:eastAsia="zh-CN"/>
              </w:rPr>
              <w:t>1</w:t>
            </w:r>
          </w:p>
        </w:tc>
        <w:tc>
          <w:tcPr>
            <w:tcW w:w="602" w:type="pct"/>
            <w:tcBorders>
              <w:top w:val="single" w:color="auto" w:sz="4" w:space="0"/>
              <w:left w:val="nil"/>
              <w:bottom w:val="single" w:color="auto" w:sz="4" w:space="0"/>
              <w:right w:val="single" w:color="auto" w:sz="4" w:space="0"/>
            </w:tcBorders>
            <w:noWrap w:val="0"/>
            <w:vAlign w:val="center"/>
          </w:tcPr>
          <w:p w14:paraId="1BB9E153">
            <w:pPr>
              <w:widowControl/>
              <w:jc w:val="center"/>
              <w:rPr>
                <w:rFonts w:hint="default" w:ascii="Times New Roman" w:hAnsi="Times New Roman" w:eastAsia="宋体" w:cs="Times New Roman"/>
                <w:b/>
                <w:bCs/>
                <w:color w:val="auto"/>
                <w:kern w:val="0"/>
                <w:szCs w:val="21"/>
                <w:lang w:val="en-US" w:eastAsia="zh-CN"/>
              </w:rPr>
            </w:pPr>
            <w:r>
              <w:rPr>
                <w:rFonts w:hint="eastAsia" w:ascii="Times New Roman" w:hAnsi="Times New Roman" w:eastAsia="宋体" w:cs="Times New Roman"/>
                <w:b/>
                <w:bCs/>
                <w:color w:val="auto"/>
                <w:kern w:val="0"/>
                <w:szCs w:val="21"/>
                <w:lang w:val="en-US" w:eastAsia="zh-CN"/>
              </w:rPr>
              <w:t>2</w:t>
            </w:r>
          </w:p>
        </w:tc>
        <w:tc>
          <w:tcPr>
            <w:tcW w:w="602" w:type="pct"/>
            <w:tcBorders>
              <w:top w:val="single" w:color="auto" w:sz="4" w:space="0"/>
              <w:left w:val="nil"/>
              <w:bottom w:val="single" w:color="auto" w:sz="4" w:space="0"/>
              <w:right w:val="single" w:color="auto" w:sz="4" w:space="0"/>
            </w:tcBorders>
            <w:noWrap w:val="0"/>
            <w:vAlign w:val="center"/>
          </w:tcPr>
          <w:p w14:paraId="22ED5EC7">
            <w:pPr>
              <w:widowControl/>
              <w:jc w:val="center"/>
              <w:rPr>
                <w:rFonts w:hint="default" w:ascii="Times New Roman" w:hAnsi="Times New Roman" w:eastAsia="宋体" w:cs="Times New Roman"/>
                <w:b/>
                <w:bCs/>
                <w:color w:val="auto"/>
                <w:kern w:val="0"/>
                <w:szCs w:val="21"/>
                <w:lang w:val="en-US" w:eastAsia="zh-CN"/>
              </w:rPr>
            </w:pPr>
            <w:r>
              <w:rPr>
                <w:rFonts w:hint="eastAsia" w:cs="Times New Roman"/>
                <w:b/>
                <w:bCs/>
                <w:color w:val="auto"/>
                <w:kern w:val="0"/>
                <w:szCs w:val="21"/>
                <w:lang w:val="en-US" w:eastAsia="zh-CN"/>
              </w:rPr>
              <w:t>3</w:t>
            </w:r>
          </w:p>
        </w:tc>
        <w:tc>
          <w:tcPr>
            <w:tcW w:w="602" w:type="pct"/>
            <w:tcBorders>
              <w:top w:val="single" w:color="auto" w:sz="4" w:space="0"/>
              <w:left w:val="nil"/>
              <w:bottom w:val="single" w:color="auto" w:sz="4" w:space="0"/>
              <w:right w:val="single" w:color="auto" w:sz="4" w:space="0"/>
            </w:tcBorders>
            <w:noWrap w:val="0"/>
            <w:vAlign w:val="center"/>
          </w:tcPr>
          <w:p w14:paraId="7EDA29E1">
            <w:pPr>
              <w:widowControl/>
              <w:jc w:val="center"/>
              <w:rPr>
                <w:rFonts w:hint="eastAsia" w:cs="Times New Roman"/>
                <w:b/>
                <w:bCs/>
                <w:color w:val="auto"/>
                <w:kern w:val="0"/>
                <w:szCs w:val="21"/>
                <w:lang w:val="en-US" w:eastAsia="zh-CN"/>
              </w:rPr>
            </w:pPr>
            <w:r>
              <w:rPr>
                <w:rFonts w:hint="eastAsia" w:cs="Times New Roman"/>
                <w:b/>
                <w:bCs/>
                <w:color w:val="auto"/>
                <w:kern w:val="0"/>
                <w:szCs w:val="21"/>
                <w:lang w:val="en-US" w:eastAsia="zh-CN"/>
              </w:rPr>
              <w:t>4</w:t>
            </w:r>
          </w:p>
        </w:tc>
        <w:tc>
          <w:tcPr>
            <w:tcW w:w="608" w:type="pct"/>
            <w:tcBorders>
              <w:top w:val="single" w:color="auto" w:sz="4" w:space="0"/>
              <w:left w:val="nil"/>
              <w:bottom w:val="single" w:color="auto" w:sz="4" w:space="0"/>
              <w:right w:val="single" w:color="auto" w:sz="4" w:space="0"/>
            </w:tcBorders>
            <w:noWrap w:val="0"/>
            <w:vAlign w:val="center"/>
          </w:tcPr>
          <w:p w14:paraId="2DE719A6">
            <w:pPr>
              <w:widowControl/>
              <w:jc w:val="center"/>
              <w:rPr>
                <w:rFonts w:hint="default" w:ascii="Times New Roman" w:hAnsi="Times New Roman" w:eastAsia="宋体" w:cs="Times New Roman"/>
                <w:b/>
                <w:bCs/>
                <w:color w:val="auto"/>
                <w:kern w:val="0"/>
                <w:szCs w:val="21"/>
                <w:lang w:val="en-US" w:eastAsia="zh-CN"/>
              </w:rPr>
            </w:pPr>
            <w:r>
              <w:rPr>
                <w:rFonts w:hint="eastAsia" w:cs="Times New Roman"/>
                <w:b/>
                <w:bCs/>
                <w:color w:val="auto"/>
                <w:kern w:val="0"/>
                <w:szCs w:val="21"/>
                <w:lang w:val="en-US" w:eastAsia="zh-CN"/>
              </w:rPr>
              <w:t>5</w:t>
            </w:r>
          </w:p>
        </w:tc>
        <w:tc>
          <w:tcPr>
            <w:tcW w:w="1287" w:type="pct"/>
            <w:tcBorders>
              <w:top w:val="single" w:color="auto" w:sz="4" w:space="0"/>
              <w:left w:val="nil"/>
              <w:bottom w:val="single" w:color="auto" w:sz="4" w:space="0"/>
              <w:right w:val="single" w:color="auto" w:sz="4" w:space="0"/>
            </w:tcBorders>
            <w:noWrap w:val="0"/>
            <w:vAlign w:val="center"/>
          </w:tcPr>
          <w:p w14:paraId="0DFCA3B1">
            <w:pPr>
              <w:widowControl/>
              <w:jc w:val="center"/>
              <w:rPr>
                <w:rFonts w:ascii="Times New Roman" w:hAnsi="Times New Roman" w:eastAsia="宋体" w:cs="Times New Roman"/>
                <w:b/>
                <w:bCs/>
                <w:color w:val="auto"/>
                <w:kern w:val="0"/>
                <w:szCs w:val="21"/>
              </w:rPr>
            </w:pPr>
            <w:r>
              <w:rPr>
                <w:rFonts w:ascii="Times New Roman" w:hAnsi="Times New Roman" w:eastAsia="宋体" w:cs="Times New Roman"/>
                <w:b/>
                <w:bCs/>
                <w:color w:val="auto"/>
                <w:kern w:val="0"/>
                <w:szCs w:val="21"/>
              </w:rPr>
              <w:t>备注</w:t>
            </w:r>
          </w:p>
        </w:tc>
      </w:tr>
      <w:tr w14:paraId="68E5FCD6">
        <w:tblPrEx>
          <w:tblCellMar>
            <w:top w:w="0" w:type="dxa"/>
            <w:left w:w="108" w:type="dxa"/>
            <w:bottom w:w="0" w:type="dxa"/>
            <w:right w:w="108" w:type="dxa"/>
          </w:tblCellMar>
        </w:tblPrEx>
        <w:trPr>
          <w:trHeight w:val="354" w:hRule="atLeast"/>
          <w:jc w:val="center"/>
        </w:trPr>
        <w:tc>
          <w:tcPr>
            <w:tcW w:w="692" w:type="pct"/>
            <w:tcBorders>
              <w:top w:val="single" w:color="auto" w:sz="4" w:space="0"/>
              <w:left w:val="single" w:color="auto" w:sz="4" w:space="0"/>
              <w:bottom w:val="single" w:color="auto" w:sz="4" w:space="0"/>
              <w:right w:val="single" w:color="auto" w:sz="4" w:space="0"/>
            </w:tcBorders>
            <w:noWrap w:val="0"/>
            <w:vAlign w:val="center"/>
          </w:tcPr>
          <w:p w14:paraId="6E1D9168">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w:t>
            </w:r>
          </w:p>
        </w:tc>
        <w:tc>
          <w:tcPr>
            <w:tcW w:w="992" w:type="dxa"/>
            <w:tcBorders>
              <w:top w:val="single" w:color="auto" w:sz="4" w:space="0"/>
              <w:left w:val="nil"/>
              <w:bottom w:val="single" w:color="auto" w:sz="4" w:space="0"/>
              <w:right w:val="single" w:color="auto" w:sz="4" w:space="0"/>
            </w:tcBorders>
            <w:noWrap w:val="0"/>
            <w:vAlign w:val="center"/>
          </w:tcPr>
          <w:p w14:paraId="79E56C9C">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16.0000 </w:t>
            </w:r>
          </w:p>
        </w:tc>
        <w:tc>
          <w:tcPr>
            <w:tcW w:w="992" w:type="dxa"/>
            <w:tcBorders>
              <w:top w:val="single" w:color="auto" w:sz="4" w:space="0"/>
              <w:left w:val="nil"/>
              <w:bottom w:val="single" w:color="auto" w:sz="4" w:space="0"/>
              <w:right w:val="single" w:color="auto" w:sz="4" w:space="0"/>
            </w:tcBorders>
            <w:noWrap w:val="0"/>
            <w:vAlign w:val="center"/>
          </w:tcPr>
          <w:p w14:paraId="53372D2C">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16.0000 </w:t>
            </w:r>
          </w:p>
        </w:tc>
        <w:tc>
          <w:tcPr>
            <w:tcW w:w="992" w:type="dxa"/>
            <w:tcBorders>
              <w:top w:val="single" w:color="auto" w:sz="4" w:space="0"/>
              <w:left w:val="nil"/>
              <w:bottom w:val="single" w:color="auto" w:sz="4" w:space="0"/>
              <w:right w:val="single" w:color="auto" w:sz="4" w:space="0"/>
            </w:tcBorders>
            <w:noWrap w:val="0"/>
            <w:vAlign w:val="center"/>
          </w:tcPr>
          <w:p w14:paraId="0E99D3EA">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16.0000 </w:t>
            </w:r>
          </w:p>
        </w:tc>
        <w:tc>
          <w:tcPr>
            <w:tcW w:w="992" w:type="dxa"/>
            <w:tcBorders>
              <w:top w:val="single" w:color="auto" w:sz="4" w:space="0"/>
              <w:left w:val="nil"/>
              <w:bottom w:val="single" w:color="auto" w:sz="4" w:space="0"/>
              <w:right w:val="single" w:color="auto" w:sz="4" w:space="0"/>
            </w:tcBorders>
            <w:noWrap w:val="0"/>
            <w:vAlign w:val="center"/>
          </w:tcPr>
          <w:p w14:paraId="4A0CB9B1">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16.0000 </w:t>
            </w:r>
          </w:p>
        </w:tc>
        <w:tc>
          <w:tcPr>
            <w:tcW w:w="1008" w:type="dxa"/>
            <w:tcBorders>
              <w:top w:val="single" w:color="auto" w:sz="4" w:space="0"/>
              <w:left w:val="nil"/>
              <w:bottom w:val="single" w:color="auto" w:sz="4" w:space="0"/>
              <w:right w:val="single" w:color="auto" w:sz="4" w:space="0"/>
            </w:tcBorders>
            <w:noWrap w:val="0"/>
            <w:vAlign w:val="center"/>
          </w:tcPr>
          <w:p w14:paraId="1EE83F31">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16.0000 </w:t>
            </w:r>
          </w:p>
        </w:tc>
        <w:tc>
          <w:tcPr>
            <w:tcW w:w="1287" w:type="pct"/>
            <w:vMerge w:val="restart"/>
            <w:tcBorders>
              <w:top w:val="single" w:color="auto" w:sz="4" w:space="0"/>
              <w:left w:val="nil"/>
              <w:right w:val="single" w:color="auto" w:sz="4" w:space="0"/>
            </w:tcBorders>
            <w:noWrap w:val="0"/>
            <w:vAlign w:val="center"/>
          </w:tcPr>
          <w:p w14:paraId="545F7478">
            <w:pPr>
              <w:widowControl/>
              <w:jc w:val="center"/>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混合过程段</w:t>
            </w:r>
          </w:p>
        </w:tc>
      </w:tr>
      <w:tr w14:paraId="78C1D30F">
        <w:tblPrEx>
          <w:tblCellMar>
            <w:top w:w="0" w:type="dxa"/>
            <w:left w:w="108" w:type="dxa"/>
            <w:bottom w:w="0" w:type="dxa"/>
            <w:right w:w="108" w:type="dxa"/>
          </w:tblCellMar>
        </w:tblPrEx>
        <w:trPr>
          <w:trHeight w:val="354" w:hRule="atLeast"/>
          <w:jc w:val="center"/>
        </w:trPr>
        <w:tc>
          <w:tcPr>
            <w:tcW w:w="692" w:type="pct"/>
            <w:tcBorders>
              <w:top w:val="nil"/>
              <w:left w:val="single" w:color="auto" w:sz="4" w:space="0"/>
              <w:bottom w:val="single" w:color="auto" w:sz="4" w:space="0"/>
              <w:right w:val="single" w:color="auto" w:sz="4" w:space="0"/>
            </w:tcBorders>
            <w:noWrap w:val="0"/>
            <w:vAlign w:val="center"/>
          </w:tcPr>
          <w:p w14:paraId="462F3E11">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10</w:t>
            </w:r>
          </w:p>
        </w:tc>
        <w:tc>
          <w:tcPr>
            <w:tcW w:w="992" w:type="dxa"/>
            <w:tcBorders>
              <w:top w:val="nil"/>
              <w:left w:val="nil"/>
              <w:bottom w:val="single" w:color="auto" w:sz="4" w:space="0"/>
              <w:right w:val="single" w:color="auto" w:sz="4" w:space="0"/>
            </w:tcBorders>
            <w:noWrap w:val="0"/>
            <w:vAlign w:val="center"/>
          </w:tcPr>
          <w:p w14:paraId="3A60FDDD">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32.8300 </w:t>
            </w:r>
          </w:p>
        </w:tc>
        <w:tc>
          <w:tcPr>
            <w:tcW w:w="992" w:type="dxa"/>
            <w:tcBorders>
              <w:top w:val="nil"/>
              <w:left w:val="nil"/>
              <w:bottom w:val="single" w:color="auto" w:sz="4" w:space="0"/>
              <w:right w:val="single" w:color="auto" w:sz="4" w:space="0"/>
            </w:tcBorders>
            <w:noWrap w:val="0"/>
            <w:vAlign w:val="center"/>
          </w:tcPr>
          <w:p w14:paraId="6FB678A1">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16.1076 </w:t>
            </w:r>
          </w:p>
        </w:tc>
        <w:tc>
          <w:tcPr>
            <w:tcW w:w="992" w:type="dxa"/>
            <w:tcBorders>
              <w:top w:val="nil"/>
              <w:left w:val="nil"/>
              <w:bottom w:val="single" w:color="auto" w:sz="4" w:space="0"/>
              <w:right w:val="single" w:color="auto" w:sz="4" w:space="0"/>
            </w:tcBorders>
            <w:noWrap w:val="0"/>
            <w:vAlign w:val="center"/>
          </w:tcPr>
          <w:p w14:paraId="24F19FC9">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16.0000 </w:t>
            </w:r>
          </w:p>
        </w:tc>
        <w:tc>
          <w:tcPr>
            <w:tcW w:w="992" w:type="dxa"/>
            <w:tcBorders>
              <w:top w:val="nil"/>
              <w:left w:val="nil"/>
              <w:bottom w:val="single" w:color="auto" w:sz="4" w:space="0"/>
              <w:right w:val="single" w:color="auto" w:sz="4" w:space="0"/>
            </w:tcBorders>
            <w:noWrap w:val="0"/>
            <w:vAlign w:val="center"/>
          </w:tcPr>
          <w:p w14:paraId="199A2461">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16.0000 </w:t>
            </w:r>
          </w:p>
        </w:tc>
        <w:tc>
          <w:tcPr>
            <w:tcW w:w="1008" w:type="dxa"/>
            <w:tcBorders>
              <w:top w:val="nil"/>
              <w:left w:val="nil"/>
              <w:bottom w:val="single" w:color="auto" w:sz="4" w:space="0"/>
              <w:right w:val="single" w:color="auto" w:sz="4" w:space="0"/>
            </w:tcBorders>
            <w:noWrap w:val="0"/>
            <w:vAlign w:val="center"/>
          </w:tcPr>
          <w:p w14:paraId="2433303A">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16.0000 </w:t>
            </w:r>
          </w:p>
        </w:tc>
        <w:tc>
          <w:tcPr>
            <w:tcW w:w="1287" w:type="pct"/>
            <w:vMerge w:val="continue"/>
            <w:tcBorders>
              <w:left w:val="nil"/>
              <w:right w:val="single" w:color="auto" w:sz="4" w:space="0"/>
            </w:tcBorders>
            <w:noWrap w:val="0"/>
            <w:vAlign w:val="center"/>
          </w:tcPr>
          <w:p w14:paraId="147AE515">
            <w:pPr>
              <w:widowControl/>
              <w:jc w:val="center"/>
              <w:rPr>
                <w:rFonts w:ascii="Times New Roman" w:hAnsi="Times New Roman" w:eastAsia="宋体" w:cs="Times New Roman"/>
                <w:color w:val="auto"/>
                <w:kern w:val="0"/>
                <w:sz w:val="21"/>
                <w:szCs w:val="21"/>
              </w:rPr>
            </w:pPr>
          </w:p>
        </w:tc>
      </w:tr>
      <w:tr w14:paraId="2402C1F7">
        <w:tblPrEx>
          <w:tblCellMar>
            <w:top w:w="0" w:type="dxa"/>
            <w:left w:w="108" w:type="dxa"/>
            <w:bottom w:w="0" w:type="dxa"/>
            <w:right w:w="108" w:type="dxa"/>
          </w:tblCellMar>
        </w:tblPrEx>
        <w:trPr>
          <w:trHeight w:val="354" w:hRule="atLeast"/>
          <w:jc w:val="center"/>
        </w:trPr>
        <w:tc>
          <w:tcPr>
            <w:tcW w:w="692" w:type="pct"/>
            <w:tcBorders>
              <w:top w:val="nil"/>
              <w:left w:val="single" w:color="auto" w:sz="4" w:space="0"/>
              <w:bottom w:val="single" w:color="auto" w:sz="4" w:space="0"/>
              <w:right w:val="single" w:color="auto" w:sz="4" w:space="0"/>
            </w:tcBorders>
            <w:noWrap w:val="0"/>
            <w:vAlign w:val="center"/>
          </w:tcPr>
          <w:p w14:paraId="39189AED">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50</w:t>
            </w:r>
          </w:p>
        </w:tc>
        <w:tc>
          <w:tcPr>
            <w:tcW w:w="992" w:type="dxa"/>
            <w:tcBorders>
              <w:top w:val="nil"/>
              <w:left w:val="nil"/>
              <w:bottom w:val="single" w:color="auto" w:sz="4" w:space="0"/>
              <w:right w:val="single" w:color="auto" w:sz="4" w:space="0"/>
            </w:tcBorders>
            <w:noWrap w:val="0"/>
            <w:vAlign w:val="center"/>
          </w:tcPr>
          <w:p w14:paraId="6B0960DA">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44.4005 </w:t>
            </w:r>
          </w:p>
        </w:tc>
        <w:tc>
          <w:tcPr>
            <w:tcW w:w="992" w:type="dxa"/>
            <w:tcBorders>
              <w:top w:val="nil"/>
              <w:left w:val="nil"/>
              <w:bottom w:val="single" w:color="auto" w:sz="4" w:space="0"/>
              <w:right w:val="single" w:color="auto" w:sz="4" w:space="0"/>
            </w:tcBorders>
            <w:noWrap w:val="0"/>
            <w:vAlign w:val="center"/>
          </w:tcPr>
          <w:p w14:paraId="3A96DF73">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26.3393 </w:t>
            </w:r>
          </w:p>
        </w:tc>
        <w:tc>
          <w:tcPr>
            <w:tcW w:w="992" w:type="dxa"/>
            <w:tcBorders>
              <w:top w:val="nil"/>
              <w:left w:val="nil"/>
              <w:bottom w:val="single" w:color="auto" w:sz="4" w:space="0"/>
              <w:right w:val="single" w:color="auto" w:sz="4" w:space="0"/>
            </w:tcBorders>
            <w:noWrap w:val="0"/>
            <w:vAlign w:val="center"/>
          </w:tcPr>
          <w:p w14:paraId="3EDB56B1">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17.9191 </w:t>
            </w:r>
          </w:p>
        </w:tc>
        <w:tc>
          <w:tcPr>
            <w:tcW w:w="992" w:type="dxa"/>
            <w:tcBorders>
              <w:top w:val="nil"/>
              <w:left w:val="nil"/>
              <w:bottom w:val="single" w:color="auto" w:sz="4" w:space="0"/>
              <w:right w:val="single" w:color="auto" w:sz="4" w:space="0"/>
            </w:tcBorders>
            <w:noWrap w:val="0"/>
            <w:vAlign w:val="center"/>
          </w:tcPr>
          <w:p w14:paraId="4B13E6D3">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16.1816 </w:t>
            </w:r>
          </w:p>
        </w:tc>
        <w:tc>
          <w:tcPr>
            <w:tcW w:w="1008" w:type="dxa"/>
            <w:tcBorders>
              <w:top w:val="nil"/>
              <w:left w:val="nil"/>
              <w:bottom w:val="single" w:color="auto" w:sz="4" w:space="0"/>
              <w:right w:val="single" w:color="auto" w:sz="4" w:space="0"/>
            </w:tcBorders>
            <w:noWrap w:val="0"/>
            <w:vAlign w:val="center"/>
          </w:tcPr>
          <w:p w14:paraId="5BD0BB98">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16.0088 </w:t>
            </w:r>
          </w:p>
        </w:tc>
        <w:tc>
          <w:tcPr>
            <w:tcW w:w="1287" w:type="pct"/>
            <w:vMerge w:val="continue"/>
            <w:tcBorders>
              <w:left w:val="nil"/>
              <w:right w:val="single" w:color="auto" w:sz="4" w:space="0"/>
            </w:tcBorders>
            <w:noWrap w:val="0"/>
            <w:vAlign w:val="center"/>
          </w:tcPr>
          <w:p w14:paraId="3099D45C">
            <w:pPr>
              <w:widowControl/>
              <w:jc w:val="center"/>
              <w:rPr>
                <w:rFonts w:ascii="Times New Roman" w:hAnsi="Times New Roman" w:eastAsia="宋体" w:cs="Times New Roman"/>
                <w:color w:val="auto"/>
                <w:kern w:val="0"/>
                <w:sz w:val="21"/>
                <w:szCs w:val="21"/>
              </w:rPr>
            </w:pPr>
          </w:p>
        </w:tc>
      </w:tr>
      <w:tr w14:paraId="0F54B12E">
        <w:tblPrEx>
          <w:tblCellMar>
            <w:top w:w="0" w:type="dxa"/>
            <w:left w:w="108" w:type="dxa"/>
            <w:bottom w:w="0" w:type="dxa"/>
            <w:right w:w="108" w:type="dxa"/>
          </w:tblCellMar>
        </w:tblPrEx>
        <w:trPr>
          <w:trHeight w:val="354" w:hRule="atLeast"/>
          <w:jc w:val="center"/>
        </w:trPr>
        <w:tc>
          <w:tcPr>
            <w:tcW w:w="692" w:type="pct"/>
            <w:tcBorders>
              <w:top w:val="nil"/>
              <w:left w:val="single" w:color="auto" w:sz="4" w:space="0"/>
              <w:bottom w:val="single" w:color="auto" w:sz="4" w:space="0"/>
              <w:right w:val="single" w:color="auto" w:sz="4" w:space="0"/>
            </w:tcBorders>
            <w:noWrap w:val="0"/>
            <w:vAlign w:val="center"/>
          </w:tcPr>
          <w:p w14:paraId="7D55078B">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100</w:t>
            </w:r>
          </w:p>
        </w:tc>
        <w:tc>
          <w:tcPr>
            <w:tcW w:w="992" w:type="dxa"/>
            <w:tcBorders>
              <w:top w:val="nil"/>
              <w:left w:val="nil"/>
              <w:bottom w:val="single" w:color="auto" w:sz="4" w:space="0"/>
              <w:right w:val="single" w:color="auto" w:sz="4" w:space="0"/>
            </w:tcBorders>
            <w:noWrap w:val="0"/>
            <w:vAlign w:val="center"/>
          </w:tcPr>
          <w:p w14:paraId="65DC9CA1">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39.1989 </w:t>
            </w:r>
          </w:p>
        </w:tc>
        <w:tc>
          <w:tcPr>
            <w:tcW w:w="992" w:type="dxa"/>
            <w:tcBorders>
              <w:top w:val="nil"/>
              <w:left w:val="nil"/>
              <w:bottom w:val="single" w:color="auto" w:sz="4" w:space="0"/>
              <w:right w:val="single" w:color="auto" w:sz="4" w:space="0"/>
            </w:tcBorders>
            <w:noWrap w:val="0"/>
            <w:vAlign w:val="center"/>
          </w:tcPr>
          <w:p w14:paraId="1D697D87">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29.9975 </w:t>
            </w:r>
          </w:p>
        </w:tc>
        <w:tc>
          <w:tcPr>
            <w:tcW w:w="992" w:type="dxa"/>
            <w:tcBorders>
              <w:top w:val="nil"/>
              <w:left w:val="nil"/>
              <w:bottom w:val="single" w:color="auto" w:sz="4" w:space="0"/>
              <w:right w:val="single" w:color="auto" w:sz="4" w:space="0"/>
            </w:tcBorders>
            <w:noWrap w:val="0"/>
            <w:vAlign w:val="center"/>
          </w:tcPr>
          <w:p w14:paraId="0B1434E3">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22.0305 </w:t>
            </w:r>
          </w:p>
        </w:tc>
        <w:tc>
          <w:tcPr>
            <w:tcW w:w="992" w:type="dxa"/>
            <w:tcBorders>
              <w:top w:val="nil"/>
              <w:left w:val="nil"/>
              <w:bottom w:val="single" w:color="auto" w:sz="4" w:space="0"/>
              <w:right w:val="single" w:color="auto" w:sz="4" w:space="0"/>
            </w:tcBorders>
            <w:noWrap w:val="0"/>
            <w:vAlign w:val="center"/>
          </w:tcPr>
          <w:p w14:paraId="74B15DE1">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17.8552 </w:t>
            </w:r>
          </w:p>
        </w:tc>
        <w:tc>
          <w:tcPr>
            <w:tcW w:w="1008" w:type="dxa"/>
            <w:tcBorders>
              <w:top w:val="nil"/>
              <w:left w:val="nil"/>
              <w:bottom w:val="single" w:color="auto" w:sz="4" w:space="0"/>
              <w:right w:val="single" w:color="auto" w:sz="4" w:space="0"/>
            </w:tcBorders>
            <w:noWrap w:val="0"/>
            <w:vAlign w:val="center"/>
          </w:tcPr>
          <w:p w14:paraId="6D47F1AB">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16.4075 </w:t>
            </w:r>
          </w:p>
        </w:tc>
        <w:tc>
          <w:tcPr>
            <w:tcW w:w="1287" w:type="pct"/>
            <w:vMerge w:val="continue"/>
            <w:tcBorders>
              <w:left w:val="nil"/>
              <w:right w:val="single" w:color="auto" w:sz="4" w:space="0"/>
            </w:tcBorders>
            <w:noWrap w:val="0"/>
            <w:vAlign w:val="center"/>
          </w:tcPr>
          <w:p w14:paraId="41F94744">
            <w:pPr>
              <w:widowControl/>
              <w:jc w:val="center"/>
              <w:rPr>
                <w:rFonts w:ascii="Times New Roman" w:hAnsi="Times New Roman" w:eastAsia="宋体" w:cs="Times New Roman"/>
                <w:color w:val="auto"/>
                <w:kern w:val="0"/>
                <w:sz w:val="21"/>
                <w:szCs w:val="21"/>
              </w:rPr>
            </w:pPr>
          </w:p>
        </w:tc>
      </w:tr>
      <w:tr w14:paraId="0459BAC6">
        <w:tblPrEx>
          <w:tblCellMar>
            <w:top w:w="0" w:type="dxa"/>
            <w:left w:w="108" w:type="dxa"/>
            <w:bottom w:w="0" w:type="dxa"/>
            <w:right w:w="108" w:type="dxa"/>
          </w:tblCellMar>
        </w:tblPrEx>
        <w:trPr>
          <w:trHeight w:val="354" w:hRule="atLeast"/>
          <w:jc w:val="center"/>
        </w:trPr>
        <w:tc>
          <w:tcPr>
            <w:tcW w:w="692" w:type="pct"/>
            <w:tcBorders>
              <w:top w:val="nil"/>
              <w:left w:val="single" w:color="auto" w:sz="4" w:space="0"/>
              <w:bottom w:val="single" w:color="auto" w:sz="4" w:space="0"/>
              <w:right w:val="single" w:color="auto" w:sz="4" w:space="0"/>
            </w:tcBorders>
            <w:shd w:val="clear" w:color="auto" w:fill="auto"/>
            <w:noWrap w:val="0"/>
            <w:vAlign w:val="center"/>
          </w:tcPr>
          <w:p w14:paraId="48F4C874">
            <w:pPr>
              <w:widowControl/>
              <w:shd w:val="clear" w:color="auto" w:fill="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200</w:t>
            </w:r>
          </w:p>
        </w:tc>
        <w:tc>
          <w:tcPr>
            <w:tcW w:w="992" w:type="dxa"/>
            <w:tcBorders>
              <w:top w:val="nil"/>
              <w:left w:val="nil"/>
              <w:bottom w:val="single" w:color="auto" w:sz="4" w:space="0"/>
              <w:right w:val="single" w:color="auto" w:sz="4" w:space="0"/>
            </w:tcBorders>
            <w:shd w:val="clear" w:color="auto" w:fill="auto"/>
            <w:noWrap w:val="0"/>
            <w:vAlign w:val="center"/>
          </w:tcPr>
          <w:p w14:paraId="292A6C3C">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33.0042 </w:t>
            </w:r>
          </w:p>
        </w:tc>
        <w:tc>
          <w:tcPr>
            <w:tcW w:w="992" w:type="dxa"/>
            <w:tcBorders>
              <w:top w:val="nil"/>
              <w:left w:val="nil"/>
              <w:bottom w:val="single" w:color="auto" w:sz="4" w:space="0"/>
              <w:right w:val="single" w:color="auto" w:sz="4" w:space="0"/>
            </w:tcBorders>
            <w:noWrap w:val="0"/>
            <w:vAlign w:val="center"/>
          </w:tcPr>
          <w:p w14:paraId="30914F01">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29.2083 </w:t>
            </w:r>
          </w:p>
        </w:tc>
        <w:tc>
          <w:tcPr>
            <w:tcW w:w="992" w:type="dxa"/>
            <w:tcBorders>
              <w:top w:val="nil"/>
              <w:left w:val="nil"/>
              <w:bottom w:val="single" w:color="auto" w:sz="4" w:space="0"/>
              <w:right w:val="single" w:color="auto" w:sz="4" w:space="0"/>
            </w:tcBorders>
            <w:noWrap w:val="0"/>
            <w:vAlign w:val="center"/>
          </w:tcPr>
          <w:p w14:paraId="3AEB06D5">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24.6696 </w:t>
            </w:r>
          </w:p>
        </w:tc>
        <w:tc>
          <w:tcPr>
            <w:tcW w:w="992" w:type="dxa"/>
            <w:tcBorders>
              <w:top w:val="nil"/>
              <w:left w:val="nil"/>
              <w:bottom w:val="single" w:color="auto" w:sz="4" w:space="0"/>
              <w:right w:val="single" w:color="auto" w:sz="4" w:space="0"/>
            </w:tcBorders>
            <w:noWrap w:val="0"/>
            <w:vAlign w:val="center"/>
          </w:tcPr>
          <w:p w14:paraId="26889CAC">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20.8085 </w:t>
            </w:r>
          </w:p>
        </w:tc>
        <w:tc>
          <w:tcPr>
            <w:tcW w:w="1008" w:type="dxa"/>
            <w:tcBorders>
              <w:top w:val="nil"/>
              <w:left w:val="nil"/>
              <w:bottom w:val="single" w:color="auto" w:sz="4" w:space="0"/>
              <w:right w:val="single" w:color="auto" w:sz="4" w:space="0"/>
            </w:tcBorders>
            <w:noWrap w:val="0"/>
            <w:vAlign w:val="center"/>
          </w:tcPr>
          <w:p w14:paraId="51879E8D">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18.2537 </w:t>
            </w:r>
          </w:p>
        </w:tc>
        <w:tc>
          <w:tcPr>
            <w:tcW w:w="1287" w:type="pct"/>
            <w:vMerge w:val="continue"/>
            <w:tcBorders>
              <w:left w:val="nil"/>
              <w:bottom w:val="single" w:color="auto" w:sz="4" w:space="0"/>
              <w:right w:val="single" w:color="auto" w:sz="4" w:space="0"/>
            </w:tcBorders>
            <w:noWrap w:val="0"/>
            <w:vAlign w:val="center"/>
          </w:tcPr>
          <w:p w14:paraId="0A77B2E0">
            <w:pPr>
              <w:widowControl/>
              <w:jc w:val="center"/>
              <w:rPr>
                <w:rFonts w:ascii="Times New Roman" w:hAnsi="Times New Roman" w:eastAsia="宋体" w:cs="Times New Roman"/>
                <w:color w:val="auto"/>
                <w:kern w:val="0"/>
                <w:sz w:val="21"/>
                <w:szCs w:val="21"/>
              </w:rPr>
            </w:pPr>
          </w:p>
        </w:tc>
      </w:tr>
      <w:tr w14:paraId="56F0A2B5">
        <w:tblPrEx>
          <w:tblCellMar>
            <w:top w:w="0" w:type="dxa"/>
            <w:left w:w="108" w:type="dxa"/>
            <w:bottom w:w="0" w:type="dxa"/>
            <w:right w:w="108" w:type="dxa"/>
          </w:tblCellMar>
        </w:tblPrEx>
        <w:trPr>
          <w:trHeight w:val="354" w:hRule="atLeast"/>
          <w:jc w:val="center"/>
        </w:trPr>
        <w:tc>
          <w:tcPr>
            <w:tcW w:w="69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BD1126D">
            <w:pPr>
              <w:widowControl/>
              <w:shd w:val="clear" w:color="auto" w:fill="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300</w:t>
            </w:r>
          </w:p>
        </w:tc>
        <w:tc>
          <w:tcPr>
            <w:tcW w:w="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19D277">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29.6061 </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74299FD5">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27.4973 </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5BA62B74">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24.6835 </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00B70717">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21.8619 </w:t>
            </w:r>
          </w:p>
        </w:tc>
        <w:tc>
          <w:tcPr>
            <w:tcW w:w="1008" w:type="dxa"/>
            <w:tcBorders>
              <w:top w:val="single" w:color="auto" w:sz="4" w:space="0"/>
              <w:left w:val="single" w:color="auto" w:sz="4" w:space="0"/>
              <w:bottom w:val="single" w:color="auto" w:sz="4" w:space="0"/>
              <w:right w:val="single" w:color="auto" w:sz="4" w:space="0"/>
            </w:tcBorders>
            <w:noWrap w:val="0"/>
            <w:vAlign w:val="center"/>
          </w:tcPr>
          <w:p w14:paraId="59FA7C59">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19.5369 </w:t>
            </w:r>
          </w:p>
        </w:tc>
        <w:tc>
          <w:tcPr>
            <w:tcW w:w="1287" w:type="pct"/>
            <w:vMerge w:val="restart"/>
            <w:tcBorders>
              <w:top w:val="single" w:color="auto" w:sz="4" w:space="0"/>
              <w:left w:val="single" w:color="auto" w:sz="4" w:space="0"/>
              <w:right w:val="single" w:color="auto" w:sz="4" w:space="0"/>
            </w:tcBorders>
            <w:noWrap w:val="0"/>
            <w:vAlign w:val="center"/>
          </w:tcPr>
          <w:p w14:paraId="0654D90B">
            <w:pPr>
              <w:widowControl/>
              <w:jc w:val="center"/>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完全混合段</w:t>
            </w:r>
          </w:p>
        </w:tc>
      </w:tr>
      <w:tr w14:paraId="2F0CB8F3">
        <w:tblPrEx>
          <w:tblCellMar>
            <w:top w:w="0" w:type="dxa"/>
            <w:left w:w="108" w:type="dxa"/>
            <w:bottom w:w="0" w:type="dxa"/>
            <w:right w:w="108" w:type="dxa"/>
          </w:tblCellMar>
        </w:tblPrEx>
        <w:trPr>
          <w:trHeight w:val="354" w:hRule="atLeast"/>
          <w:jc w:val="center"/>
        </w:trPr>
        <w:tc>
          <w:tcPr>
            <w:tcW w:w="69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1B89CA2">
            <w:pPr>
              <w:widowControl/>
              <w:shd w:val="clear" w:color="auto" w:fill="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400</w:t>
            </w:r>
          </w:p>
        </w:tc>
        <w:tc>
          <w:tcPr>
            <w:tcW w:w="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E945C4">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27.3866 </w:t>
            </w:r>
          </w:p>
        </w:tc>
        <w:tc>
          <w:tcPr>
            <w:tcW w:w="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FDB98F">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26.0355 </w:t>
            </w:r>
          </w:p>
        </w:tc>
        <w:tc>
          <w:tcPr>
            <w:tcW w:w="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AEE1A75">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24.1305 </w:t>
            </w:r>
          </w:p>
        </w:tc>
        <w:tc>
          <w:tcPr>
            <w:tcW w:w="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9D043A">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22.0551 </w:t>
            </w:r>
          </w:p>
        </w:tc>
        <w:tc>
          <w:tcPr>
            <w:tcW w:w="1008" w:type="dxa"/>
            <w:tcBorders>
              <w:top w:val="single" w:color="auto" w:sz="4" w:space="0"/>
              <w:left w:val="single" w:color="auto" w:sz="4" w:space="0"/>
              <w:bottom w:val="single" w:color="auto" w:sz="4" w:space="0"/>
              <w:right w:val="single" w:color="auto" w:sz="4" w:space="0"/>
            </w:tcBorders>
            <w:noWrap w:val="0"/>
            <w:vAlign w:val="center"/>
          </w:tcPr>
          <w:p w14:paraId="28E2517A">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20.1453 </w:t>
            </w:r>
          </w:p>
        </w:tc>
        <w:tc>
          <w:tcPr>
            <w:tcW w:w="1287" w:type="pct"/>
            <w:vMerge w:val="continue"/>
            <w:tcBorders>
              <w:left w:val="single" w:color="auto" w:sz="4" w:space="0"/>
              <w:right w:val="single" w:color="auto" w:sz="4" w:space="0"/>
            </w:tcBorders>
            <w:noWrap w:val="0"/>
            <w:vAlign w:val="center"/>
          </w:tcPr>
          <w:p w14:paraId="257597E9">
            <w:pPr>
              <w:widowControl/>
              <w:jc w:val="center"/>
              <w:rPr>
                <w:rFonts w:ascii="Times New Roman" w:hAnsi="Times New Roman" w:eastAsia="宋体" w:cs="Times New Roman"/>
                <w:color w:val="auto"/>
                <w:kern w:val="0"/>
                <w:szCs w:val="21"/>
              </w:rPr>
            </w:pPr>
          </w:p>
        </w:tc>
      </w:tr>
      <w:tr w14:paraId="6C25331C">
        <w:tblPrEx>
          <w:tblCellMar>
            <w:top w:w="0" w:type="dxa"/>
            <w:left w:w="108" w:type="dxa"/>
            <w:bottom w:w="0" w:type="dxa"/>
            <w:right w:w="108" w:type="dxa"/>
          </w:tblCellMar>
        </w:tblPrEx>
        <w:trPr>
          <w:trHeight w:val="354" w:hRule="atLeast"/>
          <w:jc w:val="center"/>
        </w:trPr>
        <w:tc>
          <w:tcPr>
            <w:tcW w:w="692" w:type="pct"/>
            <w:tcBorders>
              <w:top w:val="single" w:color="auto" w:sz="4" w:space="0"/>
              <w:left w:val="single" w:color="auto" w:sz="4" w:space="0"/>
              <w:bottom w:val="single" w:color="auto" w:sz="4" w:space="0"/>
              <w:right w:val="single" w:color="auto" w:sz="4" w:space="0"/>
            </w:tcBorders>
            <w:noWrap w:val="0"/>
            <w:vAlign w:val="center"/>
          </w:tcPr>
          <w:p w14:paraId="227E3EF3">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cs="Times New Roman"/>
                <w:color w:val="auto"/>
                <w:kern w:val="0"/>
                <w:szCs w:val="21"/>
                <w:lang w:val="en-US" w:eastAsia="zh-CN"/>
              </w:rPr>
              <w:t>480</w:t>
            </w:r>
          </w:p>
        </w:tc>
        <w:tc>
          <w:tcPr>
            <w:tcW w:w="4974" w:type="dxa"/>
            <w:gridSpan w:val="5"/>
            <w:tcBorders>
              <w:top w:val="single" w:color="auto" w:sz="4" w:space="0"/>
              <w:left w:val="single" w:color="auto" w:sz="4" w:space="0"/>
              <w:bottom w:val="single" w:color="auto" w:sz="4" w:space="0"/>
              <w:right w:val="single" w:color="auto" w:sz="4" w:space="0"/>
            </w:tcBorders>
            <w:noWrap w:val="0"/>
            <w:vAlign w:val="center"/>
          </w:tcPr>
          <w:p w14:paraId="3C283E61">
            <w:pPr>
              <w:widowControl/>
              <w:shd w:val="clear" w:color="auto" w:fill="auto"/>
              <w:jc w:val="center"/>
              <w:rPr>
                <w:rFonts w:hint="eastAsia" w:cs="Times New Roman"/>
                <w:color w:val="auto"/>
                <w:kern w:val="0"/>
                <w:szCs w:val="21"/>
                <w:lang w:val="en-US" w:eastAsia="zh-CN"/>
              </w:rPr>
            </w:pPr>
            <w:r>
              <w:rPr>
                <w:rFonts w:hint="eastAsia" w:cs="Times New Roman"/>
                <w:color w:val="auto"/>
                <w:kern w:val="0"/>
                <w:szCs w:val="21"/>
                <w:lang w:val="en-US" w:eastAsia="zh-CN"/>
              </w:rPr>
              <w:t xml:space="preserve">20.0902 </w:t>
            </w:r>
          </w:p>
        </w:tc>
        <w:tc>
          <w:tcPr>
            <w:tcW w:w="1287" w:type="pct"/>
            <w:vMerge w:val="continue"/>
            <w:tcBorders>
              <w:left w:val="single" w:color="auto" w:sz="4" w:space="0"/>
              <w:right w:val="single" w:color="auto" w:sz="4" w:space="0"/>
            </w:tcBorders>
            <w:noWrap w:val="0"/>
            <w:vAlign w:val="center"/>
          </w:tcPr>
          <w:p w14:paraId="0AB2F781">
            <w:pPr>
              <w:widowControl/>
              <w:jc w:val="center"/>
              <w:rPr>
                <w:rFonts w:ascii="Times New Roman" w:hAnsi="Times New Roman" w:eastAsia="宋体" w:cs="Times New Roman"/>
                <w:color w:val="auto"/>
                <w:kern w:val="0"/>
                <w:szCs w:val="21"/>
              </w:rPr>
            </w:pPr>
          </w:p>
        </w:tc>
      </w:tr>
      <w:tr w14:paraId="20B5338A">
        <w:tblPrEx>
          <w:tblCellMar>
            <w:top w:w="0" w:type="dxa"/>
            <w:left w:w="108" w:type="dxa"/>
            <w:bottom w:w="0" w:type="dxa"/>
            <w:right w:w="108" w:type="dxa"/>
          </w:tblCellMar>
        </w:tblPrEx>
        <w:trPr>
          <w:trHeight w:val="90" w:hRule="atLeast"/>
          <w:jc w:val="center"/>
        </w:trPr>
        <w:tc>
          <w:tcPr>
            <w:tcW w:w="692" w:type="pct"/>
            <w:tcBorders>
              <w:top w:val="single" w:color="auto" w:sz="4" w:space="0"/>
              <w:left w:val="single" w:color="auto" w:sz="4" w:space="0"/>
              <w:bottom w:val="single" w:color="auto" w:sz="4" w:space="0"/>
              <w:right w:val="single" w:color="auto" w:sz="4" w:space="0"/>
            </w:tcBorders>
            <w:noWrap w:val="0"/>
            <w:vAlign w:val="center"/>
          </w:tcPr>
          <w:p w14:paraId="08F91D8E">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500</w:t>
            </w:r>
          </w:p>
        </w:tc>
        <w:tc>
          <w:tcPr>
            <w:tcW w:w="4974" w:type="dxa"/>
            <w:gridSpan w:val="5"/>
            <w:tcBorders>
              <w:top w:val="single" w:color="auto" w:sz="4" w:space="0"/>
              <w:left w:val="single" w:color="auto" w:sz="4" w:space="0"/>
              <w:bottom w:val="single" w:color="auto" w:sz="4" w:space="0"/>
              <w:right w:val="single" w:color="auto" w:sz="4" w:space="0"/>
            </w:tcBorders>
            <w:noWrap w:val="0"/>
            <w:vAlign w:val="center"/>
          </w:tcPr>
          <w:p w14:paraId="6ACBC119">
            <w:pPr>
              <w:widowControl/>
              <w:shd w:val="clear" w:color="auto" w:fill="auto"/>
              <w:jc w:val="center"/>
              <w:rPr>
                <w:rFonts w:hint="default" w:cs="Times New Roman"/>
                <w:color w:val="auto"/>
                <w:kern w:val="0"/>
                <w:szCs w:val="21"/>
                <w:lang w:val="en-US" w:eastAsia="zh-CN"/>
              </w:rPr>
            </w:pPr>
            <w:r>
              <w:rPr>
                <w:rFonts w:hint="eastAsia" w:cs="Times New Roman"/>
                <w:color w:val="auto"/>
                <w:kern w:val="0"/>
                <w:szCs w:val="21"/>
                <w:lang w:val="en-US" w:eastAsia="zh-CN"/>
              </w:rPr>
              <w:t xml:space="preserve">19.8958 </w:t>
            </w:r>
          </w:p>
        </w:tc>
        <w:tc>
          <w:tcPr>
            <w:tcW w:w="1287" w:type="pct"/>
            <w:vMerge w:val="continue"/>
            <w:tcBorders>
              <w:left w:val="single" w:color="auto" w:sz="4" w:space="0"/>
              <w:right w:val="single" w:color="auto" w:sz="4" w:space="0"/>
            </w:tcBorders>
            <w:noWrap w:val="0"/>
            <w:vAlign w:val="center"/>
          </w:tcPr>
          <w:p w14:paraId="0FE27846">
            <w:pPr>
              <w:widowControl/>
              <w:jc w:val="center"/>
              <w:rPr>
                <w:rFonts w:ascii="Times New Roman" w:hAnsi="Times New Roman" w:eastAsia="宋体" w:cs="Times New Roman"/>
                <w:color w:val="auto"/>
                <w:kern w:val="0"/>
                <w:szCs w:val="21"/>
              </w:rPr>
            </w:pPr>
          </w:p>
        </w:tc>
      </w:tr>
      <w:tr w14:paraId="7EE29EFB">
        <w:tblPrEx>
          <w:tblCellMar>
            <w:top w:w="0" w:type="dxa"/>
            <w:left w:w="108" w:type="dxa"/>
            <w:bottom w:w="0" w:type="dxa"/>
            <w:right w:w="108" w:type="dxa"/>
          </w:tblCellMar>
        </w:tblPrEx>
        <w:trPr>
          <w:trHeight w:val="354" w:hRule="atLeast"/>
          <w:jc w:val="center"/>
        </w:trPr>
        <w:tc>
          <w:tcPr>
            <w:tcW w:w="692" w:type="pct"/>
            <w:tcBorders>
              <w:top w:val="single" w:color="auto" w:sz="4" w:space="0"/>
              <w:left w:val="single" w:color="auto" w:sz="4" w:space="0"/>
              <w:bottom w:val="single" w:color="auto" w:sz="4" w:space="0"/>
              <w:right w:val="single" w:color="auto" w:sz="4" w:space="0"/>
            </w:tcBorders>
            <w:noWrap w:val="0"/>
            <w:vAlign w:val="center"/>
          </w:tcPr>
          <w:p w14:paraId="205A0DEA">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550</w:t>
            </w:r>
          </w:p>
        </w:tc>
        <w:tc>
          <w:tcPr>
            <w:tcW w:w="4974" w:type="dxa"/>
            <w:gridSpan w:val="5"/>
            <w:tcBorders>
              <w:top w:val="single" w:color="auto" w:sz="4" w:space="0"/>
              <w:left w:val="single" w:color="auto" w:sz="4" w:space="0"/>
              <w:bottom w:val="single" w:color="auto" w:sz="4" w:space="0"/>
              <w:right w:val="single" w:color="auto" w:sz="4" w:space="0"/>
            </w:tcBorders>
            <w:noWrap w:val="0"/>
            <w:vAlign w:val="center"/>
          </w:tcPr>
          <w:p w14:paraId="22D6565E">
            <w:pPr>
              <w:widowControl/>
              <w:shd w:val="clear" w:color="auto" w:fill="auto"/>
              <w:jc w:val="center"/>
              <w:rPr>
                <w:rFonts w:hint="default" w:cs="Times New Roman"/>
                <w:color w:val="auto"/>
                <w:kern w:val="0"/>
                <w:szCs w:val="21"/>
                <w:lang w:val="en-US" w:eastAsia="zh-CN"/>
              </w:rPr>
            </w:pPr>
            <w:r>
              <w:rPr>
                <w:rFonts w:hint="eastAsia" w:cs="Times New Roman"/>
                <w:color w:val="auto"/>
                <w:kern w:val="0"/>
                <w:szCs w:val="21"/>
                <w:lang w:val="en-US" w:eastAsia="zh-CN"/>
              </w:rPr>
              <w:t xml:space="preserve">19.4836 </w:t>
            </w:r>
          </w:p>
        </w:tc>
        <w:tc>
          <w:tcPr>
            <w:tcW w:w="1287" w:type="pct"/>
            <w:vMerge w:val="continue"/>
            <w:tcBorders>
              <w:left w:val="single" w:color="auto" w:sz="4" w:space="0"/>
              <w:bottom w:val="single" w:color="auto" w:sz="4" w:space="0"/>
              <w:right w:val="single" w:color="auto" w:sz="4" w:space="0"/>
            </w:tcBorders>
            <w:noWrap w:val="0"/>
            <w:vAlign w:val="center"/>
          </w:tcPr>
          <w:p w14:paraId="626E5A26">
            <w:pPr>
              <w:widowControl/>
              <w:jc w:val="center"/>
              <w:rPr>
                <w:rFonts w:ascii="Times New Roman" w:hAnsi="Times New Roman" w:eastAsia="宋体" w:cs="Times New Roman"/>
                <w:color w:val="auto"/>
                <w:kern w:val="0"/>
                <w:szCs w:val="21"/>
              </w:rPr>
            </w:pPr>
          </w:p>
        </w:tc>
      </w:tr>
      <w:tr w14:paraId="118E4902">
        <w:tblPrEx>
          <w:tblCellMar>
            <w:top w:w="0" w:type="dxa"/>
            <w:left w:w="108" w:type="dxa"/>
            <w:bottom w:w="0" w:type="dxa"/>
            <w:right w:w="108" w:type="dxa"/>
          </w:tblCellMar>
        </w:tblPrEx>
        <w:trPr>
          <w:trHeight w:val="353" w:hRule="atLeast"/>
          <w:jc w:val="center"/>
        </w:trPr>
        <w:tc>
          <w:tcPr>
            <w:tcW w:w="692" w:type="pct"/>
            <w:tcBorders>
              <w:top w:val="single" w:color="auto" w:sz="4" w:space="0"/>
              <w:left w:val="single" w:color="auto" w:sz="4" w:space="0"/>
              <w:bottom w:val="single" w:color="auto" w:sz="4" w:space="0"/>
              <w:right w:val="single" w:color="auto" w:sz="4" w:space="0"/>
            </w:tcBorders>
            <w:noWrap w:val="0"/>
            <w:vAlign w:val="center"/>
          </w:tcPr>
          <w:p w14:paraId="0619F495">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标准限值</w:t>
            </w:r>
          </w:p>
        </w:tc>
        <w:tc>
          <w:tcPr>
            <w:tcW w:w="3020" w:type="pct"/>
            <w:gridSpan w:val="5"/>
            <w:tcBorders>
              <w:top w:val="single" w:color="auto" w:sz="4" w:space="0"/>
              <w:left w:val="single" w:color="auto" w:sz="4" w:space="0"/>
              <w:bottom w:val="single" w:color="auto" w:sz="4" w:space="0"/>
              <w:right w:val="single" w:color="auto" w:sz="4" w:space="0"/>
            </w:tcBorders>
            <w:noWrap w:val="0"/>
            <w:vAlign w:val="center"/>
          </w:tcPr>
          <w:p w14:paraId="5E127351">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highlight w:val="none"/>
                <w:lang w:val="en-US" w:eastAsia="zh-CN"/>
              </w:rPr>
              <w:t>≦</w:t>
            </w:r>
            <w:r>
              <w:rPr>
                <w:rFonts w:hint="eastAsia" w:cs="Times New Roman"/>
                <w:color w:val="auto"/>
                <w:kern w:val="0"/>
                <w:szCs w:val="21"/>
                <w:highlight w:val="none"/>
                <w:lang w:val="en-US" w:eastAsia="zh-CN"/>
              </w:rPr>
              <w:t>40</w:t>
            </w:r>
          </w:p>
        </w:tc>
        <w:tc>
          <w:tcPr>
            <w:tcW w:w="1287" w:type="pct"/>
            <w:tcBorders>
              <w:top w:val="single" w:color="auto" w:sz="4" w:space="0"/>
              <w:left w:val="single" w:color="auto" w:sz="4" w:space="0"/>
              <w:bottom w:val="single" w:color="auto" w:sz="4" w:space="0"/>
              <w:right w:val="single" w:color="auto" w:sz="4" w:space="0"/>
            </w:tcBorders>
            <w:noWrap w:val="0"/>
            <w:vAlign w:val="center"/>
          </w:tcPr>
          <w:p w14:paraId="6DBF1369">
            <w:pPr>
              <w:widowControl/>
              <w:jc w:val="center"/>
              <w:rPr>
                <w:rFonts w:hint="eastAsia" w:ascii="Times New Roman" w:hAnsi="Times New Roman" w:eastAsia="宋体" w:cs="Times New Roman"/>
                <w:color w:val="auto"/>
                <w:kern w:val="0"/>
                <w:szCs w:val="21"/>
                <w:lang w:val="en-US" w:eastAsia="zh-CN"/>
              </w:rPr>
            </w:pPr>
            <w:r>
              <w:rPr>
                <w:rFonts w:hint="eastAsia" w:cs="Times New Roman"/>
                <w:color w:val="auto"/>
                <w:kern w:val="0"/>
                <w:szCs w:val="21"/>
                <w:lang w:val="en-US" w:eastAsia="zh-CN"/>
              </w:rPr>
              <w:t>/</w:t>
            </w:r>
          </w:p>
        </w:tc>
      </w:tr>
    </w:tbl>
    <w:p w14:paraId="56B32B11">
      <w:pPr>
        <w:spacing w:line="360" w:lineRule="auto"/>
        <w:ind w:firstLine="480" w:firstLineChars="200"/>
        <w:rPr>
          <w:rFonts w:hint="eastAsia"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从上表可以看出，</w:t>
      </w:r>
      <w:r>
        <w:rPr>
          <w:rFonts w:hint="eastAsia" w:cs="Times New Roman"/>
          <w:color w:val="auto"/>
          <w:sz w:val="24"/>
          <w:highlight w:val="none"/>
          <w:lang w:val="en-US" w:eastAsia="zh-CN"/>
        </w:rPr>
        <w:t>非</w:t>
      </w:r>
      <w:r>
        <w:rPr>
          <w:rFonts w:hint="eastAsia" w:ascii="Times New Roman" w:hAnsi="Times New Roman" w:cs="Times New Roman"/>
          <w:color w:val="auto"/>
          <w:sz w:val="24"/>
          <w:highlight w:val="none"/>
          <w:lang w:val="en-US" w:eastAsia="zh-CN"/>
        </w:rPr>
        <w:t>正常情况下，</w:t>
      </w:r>
      <w:r>
        <w:rPr>
          <w:rFonts w:hint="eastAsia" w:cs="Times New Roman"/>
          <w:color w:val="auto"/>
          <w:sz w:val="24"/>
          <w:highlight w:val="none"/>
          <w:lang w:val="en-US" w:eastAsia="zh-CN"/>
        </w:rPr>
        <w:t>项目尾水排入</w:t>
      </w:r>
      <w:r>
        <w:rPr>
          <w:rFonts w:hint="eastAsia"/>
          <w:color w:val="auto"/>
          <w:sz w:val="24"/>
          <w:highlight w:val="none"/>
          <w:lang w:val="en-US" w:eastAsia="zh-CN"/>
        </w:rPr>
        <w:t>排水渠</w:t>
      </w:r>
      <w:r>
        <w:rPr>
          <w:rFonts w:hint="eastAsia" w:ascii="Times New Roman" w:hAnsi="Times New Roman" w:cs="Times New Roman"/>
          <w:color w:val="auto"/>
          <w:sz w:val="24"/>
          <w:highlight w:val="none"/>
          <w:lang w:val="en-US" w:eastAsia="zh-CN"/>
        </w:rPr>
        <w:t>下游</w:t>
      </w:r>
      <w:r>
        <w:rPr>
          <w:rFonts w:hint="eastAsia" w:cs="Times New Roman"/>
          <w:color w:val="auto"/>
          <w:sz w:val="24"/>
          <w:highlight w:val="none"/>
          <w:lang w:val="en-US" w:eastAsia="zh-CN"/>
        </w:rPr>
        <w:t>5</w:t>
      </w:r>
      <w:r>
        <w:rPr>
          <w:rFonts w:hint="default" w:ascii="Times New Roman" w:hAnsi="Times New Roman" w:cs="Times New Roman"/>
          <w:color w:val="auto"/>
          <w:sz w:val="24"/>
          <w:highlight w:val="none"/>
          <w:lang w:val="en-US" w:eastAsia="zh-CN"/>
        </w:rPr>
        <w:t>0m</w:t>
      </w:r>
      <w:r>
        <w:rPr>
          <w:rFonts w:hint="eastAsia" w:ascii="Times New Roman" w:hAnsi="Times New Roman" w:cs="Times New Roman"/>
          <w:color w:val="auto"/>
          <w:sz w:val="24"/>
          <w:highlight w:val="none"/>
          <w:lang w:val="en-US" w:eastAsia="zh-CN"/>
        </w:rPr>
        <w:t>位置</w:t>
      </w:r>
      <w:r>
        <w:rPr>
          <w:rFonts w:hint="eastAsia" w:cs="Times New Roman"/>
          <w:color w:val="auto"/>
          <w:sz w:val="24"/>
          <w:highlight w:val="none"/>
          <w:lang w:val="en-US" w:eastAsia="zh-CN"/>
        </w:rPr>
        <w:t>时，在叠加背景值情况下</w:t>
      </w:r>
      <w:r>
        <w:rPr>
          <w:rFonts w:hint="default" w:ascii="Times New Roman" w:hAnsi="Times New Roman" w:cs="Times New Roman"/>
          <w:color w:val="auto"/>
          <w:sz w:val="24"/>
          <w:highlight w:val="none"/>
          <w:lang w:val="en-US" w:eastAsia="zh-CN"/>
        </w:rPr>
        <w:t>COD</w:t>
      </w:r>
      <w:r>
        <w:rPr>
          <w:rFonts w:hint="default" w:ascii="Times New Roman" w:hAnsi="Times New Roman" w:cs="Times New Roman"/>
          <w:color w:val="auto"/>
          <w:sz w:val="24"/>
          <w:highlight w:val="none"/>
          <w:vertAlign w:val="subscript"/>
          <w:lang w:val="en-US" w:eastAsia="zh-CN"/>
        </w:rPr>
        <w:t>Cr</w:t>
      </w:r>
      <w:r>
        <w:rPr>
          <w:rFonts w:hint="eastAsia" w:ascii="Times New Roman" w:hAnsi="Times New Roman" w:cs="Times New Roman"/>
          <w:color w:val="auto"/>
          <w:sz w:val="24"/>
          <w:highlight w:val="none"/>
          <w:lang w:val="en-US" w:eastAsia="zh-CN"/>
        </w:rPr>
        <w:t>最大</w:t>
      </w:r>
      <w:r>
        <w:rPr>
          <w:rFonts w:hint="eastAsia" w:cs="Times New Roman"/>
          <w:color w:val="auto"/>
          <w:sz w:val="24"/>
          <w:highlight w:val="none"/>
          <w:lang w:val="en-US" w:eastAsia="zh-CN"/>
        </w:rPr>
        <w:t>预测</w:t>
      </w:r>
      <w:r>
        <w:rPr>
          <w:rFonts w:hint="eastAsia" w:ascii="Times New Roman" w:hAnsi="Times New Roman" w:cs="Times New Roman"/>
          <w:color w:val="auto"/>
          <w:sz w:val="24"/>
          <w:highlight w:val="none"/>
          <w:lang w:val="en-US" w:eastAsia="zh-CN"/>
        </w:rPr>
        <w:t>值为</w:t>
      </w:r>
      <w:r>
        <w:rPr>
          <w:rFonts w:hint="eastAsia" w:cs="Times New Roman"/>
          <w:color w:val="auto"/>
          <w:sz w:val="24"/>
          <w:highlight w:val="none"/>
          <w:lang w:val="en-US" w:eastAsia="zh-CN"/>
        </w:rPr>
        <w:t xml:space="preserve">44.4005 </w:t>
      </w:r>
      <w:r>
        <w:rPr>
          <w:rFonts w:hint="default" w:ascii="Times New Roman" w:hAnsi="Times New Roman" w:cs="Times New Roman"/>
          <w:color w:val="auto"/>
          <w:sz w:val="24"/>
          <w:highlight w:val="none"/>
          <w:lang w:val="en-US" w:eastAsia="zh-CN"/>
        </w:rPr>
        <w:t>mg/L</w:t>
      </w:r>
      <w:r>
        <w:rPr>
          <w:rFonts w:hint="eastAsia" w:cs="Times New Roman"/>
          <w:color w:val="auto"/>
          <w:sz w:val="24"/>
          <w:highlight w:val="none"/>
          <w:lang w:val="en-US" w:eastAsia="zh-CN"/>
        </w:rPr>
        <w:t>，但经过稀释作用后，在排水渠下游500m之后均满足</w:t>
      </w:r>
      <w:r>
        <w:rPr>
          <w:rFonts w:ascii="Times New Roman" w:hAnsi="Times New Roman" w:eastAsia="宋体" w:cs="Times New Roman"/>
          <w:color w:val="auto"/>
          <w:kern w:val="24"/>
          <w:sz w:val="24"/>
        </w:rPr>
        <w:t>《地表水环境质量标准》</w:t>
      </w:r>
      <w:r>
        <w:rPr>
          <w:rFonts w:hint="eastAsia" w:cs="宋体"/>
          <w:color w:val="auto"/>
          <w:kern w:val="0"/>
          <w:sz w:val="24"/>
          <w:szCs w:val="24"/>
        </w:rPr>
        <w:t>III</w:t>
      </w:r>
      <w:r>
        <w:rPr>
          <w:rFonts w:ascii="Times New Roman" w:hAnsi="Times New Roman" w:eastAsia="宋体" w:cs="Times New Roman"/>
          <w:color w:val="auto"/>
          <w:kern w:val="24"/>
          <w:sz w:val="24"/>
        </w:rPr>
        <w:t>类标准</w:t>
      </w:r>
      <w:r>
        <w:rPr>
          <w:rFonts w:hint="eastAsia" w:cs="Times New Roman"/>
          <w:color w:val="auto"/>
          <w:sz w:val="24"/>
          <w:highlight w:val="none"/>
          <w:lang w:val="en-US" w:eastAsia="zh-CN"/>
        </w:rPr>
        <w:t>。</w:t>
      </w:r>
    </w:p>
    <w:p w14:paraId="63B444E5">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cs="Times New Roman"/>
          <w:color w:val="auto"/>
          <w:sz w:val="24"/>
          <w:highlight w:val="none"/>
          <w:lang w:val="en-US" w:eastAsia="zh-CN"/>
        </w:rPr>
        <w:fldChar w:fldCharType="begin"/>
      </w:r>
      <w:r>
        <w:rPr>
          <w:rFonts w:hint="eastAsia" w:cs="Times New Roman"/>
          <w:color w:val="auto"/>
          <w:sz w:val="24"/>
          <w:highlight w:val="none"/>
          <w:lang w:val="en-US" w:eastAsia="zh-CN"/>
        </w:rPr>
        <w:instrText xml:space="preserve"> EQ \o\ac(</w:instrText>
      </w:r>
      <w:r>
        <w:rPr>
          <w:rFonts w:hint="eastAsia" w:ascii="Times New Roman" w:hAnsi="Times New Roman" w:eastAsia="宋体" w:cs="Times New Roman"/>
          <w:color w:val="auto"/>
          <w:kern w:val="2"/>
          <w:position w:val="-4"/>
          <w:sz w:val="36"/>
          <w:szCs w:val="21"/>
          <w:highlight w:val="none"/>
          <w:lang w:val="en-US" w:eastAsia="zh-CN" w:bidi="ar-SA"/>
        </w:rPr>
        <w:instrText xml:space="preserve">○</w:instrText>
      </w:r>
      <w:r>
        <w:rPr>
          <w:rFonts w:hint="eastAsia" w:cs="Times New Roman"/>
          <w:color w:val="auto"/>
          <w:sz w:val="24"/>
          <w:highlight w:val="none"/>
          <w:lang w:val="en-US" w:eastAsia="zh-CN"/>
        </w:rPr>
        <w:instrText xml:space="preserve">,2)</w:instrText>
      </w:r>
      <w:r>
        <w:rPr>
          <w:rFonts w:hint="eastAsia" w:cs="Times New Roman"/>
          <w:color w:val="auto"/>
          <w:sz w:val="24"/>
          <w:highlight w:val="none"/>
          <w:lang w:val="en-US" w:eastAsia="zh-CN"/>
        </w:rPr>
        <w:fldChar w:fldCharType="end"/>
      </w:r>
      <w:r>
        <w:rPr>
          <w:rFonts w:hint="eastAsia" w:cs="Times New Roman"/>
          <w:color w:val="auto"/>
          <w:sz w:val="24"/>
          <w:highlight w:val="none"/>
          <w:lang w:val="en-US" w:eastAsia="zh-CN"/>
        </w:rPr>
        <w:t>氨氮</w:t>
      </w:r>
      <w:r>
        <w:rPr>
          <w:rFonts w:hint="eastAsia" w:ascii="Times New Roman" w:hAnsi="Times New Roman" w:cs="Times New Roman"/>
          <w:color w:val="auto"/>
          <w:sz w:val="24"/>
          <w:highlight w:val="none"/>
          <w:lang w:val="en-US" w:eastAsia="zh-CN"/>
        </w:rPr>
        <w:t>预测结果分析</w:t>
      </w:r>
    </w:p>
    <w:p w14:paraId="09DB13BD">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cs="Times New Roman"/>
          <w:color w:val="auto"/>
          <w:sz w:val="24"/>
          <w:highlight w:val="none"/>
          <w:lang w:val="en-US" w:eastAsia="zh-CN"/>
        </w:rPr>
        <w:t>非</w:t>
      </w:r>
      <w:r>
        <w:rPr>
          <w:rFonts w:hint="eastAsia" w:ascii="Times New Roman" w:hAnsi="Times New Roman" w:cs="Times New Roman"/>
          <w:color w:val="auto"/>
          <w:sz w:val="24"/>
          <w:highlight w:val="none"/>
          <w:lang w:val="en-US" w:eastAsia="zh-CN"/>
        </w:rPr>
        <w:t>正常工况下，项目</w:t>
      </w:r>
      <w:r>
        <w:rPr>
          <w:rFonts w:hint="eastAsia" w:cs="Times New Roman"/>
          <w:color w:val="auto"/>
          <w:sz w:val="24"/>
          <w:highlight w:val="none"/>
          <w:lang w:val="en-US" w:eastAsia="zh-CN"/>
        </w:rPr>
        <w:t>污水处理厂排放尾水中污染物氨氮</w:t>
      </w:r>
      <w:r>
        <w:rPr>
          <w:rFonts w:hint="eastAsia" w:ascii="Times New Roman" w:hAnsi="Times New Roman" w:cs="Times New Roman"/>
          <w:color w:val="auto"/>
          <w:sz w:val="24"/>
          <w:highlight w:val="none"/>
          <w:lang w:val="en-US" w:eastAsia="zh-CN"/>
        </w:rPr>
        <w:t>对</w:t>
      </w:r>
      <w:r>
        <w:rPr>
          <w:rFonts w:hint="eastAsia"/>
          <w:color w:val="auto"/>
          <w:sz w:val="24"/>
          <w:highlight w:val="none"/>
          <w:lang w:val="en-US" w:eastAsia="zh-CN"/>
        </w:rPr>
        <w:t>排水渠</w:t>
      </w:r>
      <w:r>
        <w:rPr>
          <w:rFonts w:hint="eastAsia" w:ascii="Times New Roman" w:hAnsi="Times New Roman" w:cs="Times New Roman"/>
          <w:color w:val="auto"/>
          <w:sz w:val="24"/>
          <w:highlight w:val="none"/>
          <w:lang w:val="en-US" w:eastAsia="zh-CN"/>
        </w:rPr>
        <w:t>影响预测结果见</w:t>
      </w:r>
      <w:r>
        <w:rPr>
          <w:rFonts w:hint="eastAsia" w:cs="Times New Roman"/>
          <w:color w:val="auto"/>
          <w:sz w:val="24"/>
          <w:highlight w:val="none"/>
          <w:lang w:val="en-US" w:eastAsia="zh-CN"/>
        </w:rPr>
        <w:t>下</w:t>
      </w:r>
      <w:r>
        <w:rPr>
          <w:rFonts w:hint="eastAsia" w:ascii="Times New Roman" w:hAnsi="Times New Roman" w:cs="Times New Roman"/>
          <w:color w:val="auto"/>
          <w:sz w:val="24"/>
          <w:highlight w:val="none"/>
          <w:lang w:val="en-US" w:eastAsia="zh-CN"/>
        </w:rPr>
        <w:t xml:space="preserve">表。 </w:t>
      </w:r>
    </w:p>
    <w:p w14:paraId="77E8A617">
      <w:pPr>
        <w:pStyle w:val="7"/>
        <w:numPr>
          <w:ilvl w:val="3"/>
          <w:numId w:val="11"/>
        </w:numPr>
        <w:tabs>
          <w:tab w:val="left" w:pos="0"/>
        </w:tabs>
        <w:bidi w:val="0"/>
        <w:rPr>
          <w:color w:val="auto"/>
        </w:rPr>
      </w:pPr>
      <w:r>
        <w:rPr>
          <w:rFonts w:hint="eastAsia"/>
          <w:color w:val="auto"/>
        </w:rPr>
        <w:t>尾水</w:t>
      </w:r>
      <w:r>
        <w:rPr>
          <w:rFonts w:hint="eastAsia"/>
          <w:color w:val="auto"/>
          <w:lang w:eastAsia="zh-CN"/>
        </w:rPr>
        <w:t>非</w:t>
      </w:r>
      <w:r>
        <w:rPr>
          <w:rFonts w:hint="eastAsia"/>
          <w:color w:val="auto"/>
        </w:rPr>
        <w:t>正常排放对</w:t>
      </w:r>
      <w:r>
        <w:rPr>
          <w:rFonts w:hint="eastAsia"/>
          <w:color w:val="auto"/>
          <w:lang w:val="en-US" w:eastAsia="zh-CN"/>
        </w:rPr>
        <w:t>排水渠</w:t>
      </w:r>
      <w:r>
        <w:rPr>
          <w:rFonts w:hint="eastAsia"/>
          <w:color w:val="auto"/>
        </w:rPr>
        <w:t>下游河段预测结果（</w:t>
      </w:r>
      <w:r>
        <w:rPr>
          <w:rFonts w:hint="eastAsia"/>
          <w:color w:val="auto"/>
          <w:lang w:eastAsia="zh-CN"/>
        </w:rPr>
        <w:t>氨氮</w:t>
      </w:r>
      <w:r>
        <w:rPr>
          <w:rFonts w:hint="eastAsia"/>
          <w:color w:val="auto"/>
        </w:rPr>
        <w:t>）</w:t>
      </w:r>
      <w:r>
        <w:rPr>
          <w:color w:val="auto"/>
        </w:rPr>
        <w:t xml:space="preserve"> 单位：mg/L</w:t>
      </w:r>
    </w:p>
    <w:tbl>
      <w:tblPr>
        <w:tblStyle w:val="31"/>
        <w:tblW w:w="4455" w:type="pct"/>
        <w:jc w:val="center"/>
        <w:tblLayout w:type="autofit"/>
        <w:tblCellMar>
          <w:top w:w="0" w:type="dxa"/>
          <w:left w:w="108" w:type="dxa"/>
          <w:bottom w:w="0" w:type="dxa"/>
          <w:right w:w="108" w:type="dxa"/>
        </w:tblCellMar>
      </w:tblPr>
      <w:tblGrid>
        <w:gridCol w:w="1137"/>
        <w:gridCol w:w="992"/>
        <w:gridCol w:w="992"/>
        <w:gridCol w:w="992"/>
        <w:gridCol w:w="992"/>
        <w:gridCol w:w="1010"/>
        <w:gridCol w:w="2120"/>
      </w:tblGrid>
      <w:tr w14:paraId="322F475E">
        <w:tblPrEx>
          <w:tblCellMar>
            <w:top w:w="0" w:type="dxa"/>
            <w:left w:w="108" w:type="dxa"/>
            <w:bottom w:w="0" w:type="dxa"/>
            <w:right w:w="108" w:type="dxa"/>
          </w:tblCellMar>
        </w:tblPrEx>
        <w:trPr>
          <w:trHeight w:val="354" w:hRule="atLeast"/>
          <w:jc w:val="center"/>
        </w:trPr>
        <w:tc>
          <w:tcPr>
            <w:tcW w:w="691" w:type="pct"/>
            <w:tcBorders>
              <w:top w:val="single" w:color="auto" w:sz="4" w:space="0"/>
              <w:left w:val="single" w:color="auto" w:sz="4" w:space="0"/>
              <w:bottom w:val="single" w:color="auto" w:sz="4" w:space="0"/>
              <w:right w:val="single" w:color="auto" w:sz="4" w:space="0"/>
            </w:tcBorders>
            <w:noWrap w:val="0"/>
            <w:vAlign w:val="center"/>
          </w:tcPr>
          <w:p w14:paraId="64C80514">
            <w:pPr>
              <w:widowControl/>
              <w:jc w:val="center"/>
              <w:rPr>
                <w:rFonts w:ascii="Times New Roman" w:hAnsi="Times New Roman" w:eastAsia="宋体" w:cs="Times New Roman"/>
                <w:b/>
                <w:bCs/>
                <w:color w:val="auto"/>
                <w:kern w:val="0"/>
                <w:szCs w:val="21"/>
              </w:rPr>
            </w:pPr>
            <w:r>
              <w:rPr>
                <w:rFonts w:ascii="Times New Roman" w:hAnsi="Times New Roman" w:eastAsia="宋体" w:cs="Times New Roman"/>
                <w:b/>
                <w:bCs/>
                <w:color w:val="auto"/>
                <w:kern w:val="0"/>
                <w:szCs w:val="21"/>
              </w:rPr>
              <w:t>X\c/Y　</w:t>
            </w:r>
          </w:p>
        </w:tc>
        <w:tc>
          <w:tcPr>
            <w:tcW w:w="602" w:type="pct"/>
            <w:tcBorders>
              <w:top w:val="single" w:color="auto" w:sz="4" w:space="0"/>
              <w:left w:val="nil"/>
              <w:bottom w:val="single" w:color="auto" w:sz="4" w:space="0"/>
              <w:right w:val="single" w:color="auto" w:sz="4" w:space="0"/>
            </w:tcBorders>
            <w:noWrap w:val="0"/>
            <w:vAlign w:val="center"/>
          </w:tcPr>
          <w:p w14:paraId="00486ECB">
            <w:pPr>
              <w:widowControl/>
              <w:jc w:val="center"/>
              <w:rPr>
                <w:rFonts w:hint="eastAsia" w:ascii="Times New Roman" w:hAnsi="Times New Roman" w:eastAsia="宋体" w:cs="Times New Roman"/>
                <w:b/>
                <w:bCs/>
                <w:color w:val="auto"/>
                <w:kern w:val="0"/>
                <w:szCs w:val="21"/>
                <w:lang w:eastAsia="zh-CN"/>
              </w:rPr>
            </w:pPr>
            <w:r>
              <w:rPr>
                <w:rFonts w:hint="eastAsia" w:cs="Times New Roman"/>
                <w:b/>
                <w:bCs/>
                <w:color w:val="auto"/>
                <w:kern w:val="0"/>
                <w:szCs w:val="21"/>
                <w:lang w:val="en-US" w:eastAsia="zh-CN"/>
              </w:rPr>
              <w:t>1</w:t>
            </w:r>
          </w:p>
        </w:tc>
        <w:tc>
          <w:tcPr>
            <w:tcW w:w="602" w:type="pct"/>
            <w:tcBorders>
              <w:top w:val="single" w:color="auto" w:sz="4" w:space="0"/>
              <w:left w:val="nil"/>
              <w:bottom w:val="single" w:color="auto" w:sz="4" w:space="0"/>
              <w:right w:val="single" w:color="auto" w:sz="4" w:space="0"/>
            </w:tcBorders>
            <w:noWrap w:val="0"/>
            <w:vAlign w:val="center"/>
          </w:tcPr>
          <w:p w14:paraId="3CA27EE2">
            <w:pPr>
              <w:widowControl/>
              <w:jc w:val="center"/>
              <w:rPr>
                <w:rFonts w:hint="default" w:ascii="Times New Roman" w:hAnsi="Times New Roman" w:eastAsia="宋体" w:cs="Times New Roman"/>
                <w:b/>
                <w:bCs/>
                <w:color w:val="auto"/>
                <w:kern w:val="0"/>
                <w:szCs w:val="21"/>
                <w:lang w:val="en-US" w:eastAsia="zh-CN"/>
              </w:rPr>
            </w:pPr>
            <w:r>
              <w:rPr>
                <w:rFonts w:hint="eastAsia" w:ascii="Times New Roman" w:hAnsi="Times New Roman" w:eastAsia="宋体" w:cs="Times New Roman"/>
                <w:b/>
                <w:bCs/>
                <w:color w:val="auto"/>
                <w:kern w:val="0"/>
                <w:szCs w:val="21"/>
                <w:lang w:val="en-US" w:eastAsia="zh-CN"/>
              </w:rPr>
              <w:t>2</w:t>
            </w:r>
          </w:p>
        </w:tc>
        <w:tc>
          <w:tcPr>
            <w:tcW w:w="602" w:type="pct"/>
            <w:tcBorders>
              <w:top w:val="single" w:color="auto" w:sz="4" w:space="0"/>
              <w:left w:val="nil"/>
              <w:bottom w:val="single" w:color="auto" w:sz="4" w:space="0"/>
              <w:right w:val="single" w:color="auto" w:sz="4" w:space="0"/>
            </w:tcBorders>
            <w:noWrap w:val="0"/>
            <w:vAlign w:val="center"/>
          </w:tcPr>
          <w:p w14:paraId="1FC66F2E">
            <w:pPr>
              <w:widowControl/>
              <w:jc w:val="center"/>
              <w:rPr>
                <w:rFonts w:hint="default" w:ascii="Times New Roman" w:hAnsi="Times New Roman" w:eastAsia="宋体" w:cs="Times New Roman"/>
                <w:b/>
                <w:bCs/>
                <w:color w:val="auto"/>
                <w:kern w:val="0"/>
                <w:szCs w:val="21"/>
                <w:lang w:val="en-US" w:eastAsia="zh-CN"/>
              </w:rPr>
            </w:pPr>
            <w:r>
              <w:rPr>
                <w:rFonts w:hint="eastAsia" w:cs="Times New Roman"/>
                <w:b/>
                <w:bCs/>
                <w:color w:val="auto"/>
                <w:kern w:val="0"/>
                <w:szCs w:val="21"/>
                <w:lang w:val="en-US" w:eastAsia="zh-CN"/>
              </w:rPr>
              <w:t>3</w:t>
            </w:r>
          </w:p>
        </w:tc>
        <w:tc>
          <w:tcPr>
            <w:tcW w:w="602" w:type="pct"/>
            <w:tcBorders>
              <w:top w:val="single" w:color="auto" w:sz="4" w:space="0"/>
              <w:left w:val="nil"/>
              <w:bottom w:val="single" w:color="auto" w:sz="4" w:space="0"/>
              <w:right w:val="single" w:color="auto" w:sz="4" w:space="0"/>
            </w:tcBorders>
            <w:noWrap w:val="0"/>
            <w:vAlign w:val="center"/>
          </w:tcPr>
          <w:p w14:paraId="3730DF02">
            <w:pPr>
              <w:widowControl/>
              <w:jc w:val="center"/>
              <w:rPr>
                <w:rFonts w:hint="eastAsia" w:cs="Times New Roman"/>
                <w:b/>
                <w:bCs/>
                <w:color w:val="auto"/>
                <w:kern w:val="0"/>
                <w:szCs w:val="21"/>
                <w:lang w:val="en-US" w:eastAsia="zh-CN"/>
              </w:rPr>
            </w:pPr>
            <w:r>
              <w:rPr>
                <w:rFonts w:hint="eastAsia" w:cs="Times New Roman"/>
                <w:b/>
                <w:bCs/>
                <w:color w:val="auto"/>
                <w:kern w:val="0"/>
                <w:szCs w:val="21"/>
                <w:lang w:val="en-US" w:eastAsia="zh-CN"/>
              </w:rPr>
              <w:t>4</w:t>
            </w:r>
          </w:p>
        </w:tc>
        <w:tc>
          <w:tcPr>
            <w:tcW w:w="612" w:type="pct"/>
            <w:tcBorders>
              <w:top w:val="single" w:color="auto" w:sz="4" w:space="0"/>
              <w:left w:val="nil"/>
              <w:bottom w:val="single" w:color="auto" w:sz="4" w:space="0"/>
              <w:right w:val="single" w:color="auto" w:sz="4" w:space="0"/>
            </w:tcBorders>
            <w:noWrap w:val="0"/>
            <w:vAlign w:val="center"/>
          </w:tcPr>
          <w:p w14:paraId="7C5435E8">
            <w:pPr>
              <w:widowControl/>
              <w:jc w:val="center"/>
              <w:rPr>
                <w:rFonts w:hint="default" w:ascii="Times New Roman" w:hAnsi="Times New Roman" w:eastAsia="宋体" w:cs="Times New Roman"/>
                <w:b/>
                <w:bCs/>
                <w:color w:val="auto"/>
                <w:kern w:val="0"/>
                <w:szCs w:val="21"/>
                <w:lang w:val="en-US" w:eastAsia="zh-CN"/>
              </w:rPr>
            </w:pPr>
            <w:r>
              <w:rPr>
                <w:rFonts w:hint="eastAsia" w:cs="Times New Roman"/>
                <w:b/>
                <w:bCs/>
                <w:color w:val="auto"/>
                <w:kern w:val="0"/>
                <w:szCs w:val="21"/>
                <w:lang w:val="en-US" w:eastAsia="zh-CN"/>
              </w:rPr>
              <w:t>5</w:t>
            </w:r>
          </w:p>
        </w:tc>
        <w:tc>
          <w:tcPr>
            <w:tcW w:w="1287" w:type="pct"/>
            <w:tcBorders>
              <w:top w:val="single" w:color="auto" w:sz="4" w:space="0"/>
              <w:left w:val="nil"/>
              <w:bottom w:val="single" w:color="auto" w:sz="4" w:space="0"/>
              <w:right w:val="single" w:color="auto" w:sz="4" w:space="0"/>
            </w:tcBorders>
            <w:noWrap w:val="0"/>
            <w:vAlign w:val="center"/>
          </w:tcPr>
          <w:p w14:paraId="3FC05A16">
            <w:pPr>
              <w:widowControl/>
              <w:jc w:val="center"/>
              <w:rPr>
                <w:rFonts w:ascii="Times New Roman" w:hAnsi="Times New Roman" w:eastAsia="宋体" w:cs="Times New Roman"/>
                <w:b/>
                <w:bCs/>
                <w:color w:val="auto"/>
                <w:kern w:val="0"/>
                <w:szCs w:val="21"/>
              </w:rPr>
            </w:pPr>
            <w:r>
              <w:rPr>
                <w:rFonts w:ascii="Times New Roman" w:hAnsi="Times New Roman" w:eastAsia="宋体" w:cs="Times New Roman"/>
                <w:b/>
                <w:bCs/>
                <w:color w:val="auto"/>
                <w:kern w:val="0"/>
                <w:szCs w:val="21"/>
              </w:rPr>
              <w:t>备注</w:t>
            </w:r>
          </w:p>
        </w:tc>
      </w:tr>
      <w:tr w14:paraId="46567353">
        <w:tblPrEx>
          <w:tblCellMar>
            <w:top w:w="0" w:type="dxa"/>
            <w:left w:w="108" w:type="dxa"/>
            <w:bottom w:w="0" w:type="dxa"/>
            <w:right w:w="108" w:type="dxa"/>
          </w:tblCellMar>
        </w:tblPrEx>
        <w:trPr>
          <w:trHeight w:val="354" w:hRule="atLeast"/>
          <w:jc w:val="center"/>
        </w:trPr>
        <w:tc>
          <w:tcPr>
            <w:tcW w:w="691" w:type="pct"/>
            <w:tcBorders>
              <w:top w:val="single" w:color="auto" w:sz="4" w:space="0"/>
              <w:left w:val="single" w:color="auto" w:sz="4" w:space="0"/>
              <w:bottom w:val="single" w:color="auto" w:sz="4" w:space="0"/>
              <w:right w:val="single" w:color="auto" w:sz="4" w:space="0"/>
            </w:tcBorders>
            <w:noWrap w:val="0"/>
            <w:vAlign w:val="center"/>
          </w:tcPr>
          <w:p w14:paraId="44D62D93">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w:t>
            </w:r>
          </w:p>
        </w:tc>
        <w:tc>
          <w:tcPr>
            <w:tcW w:w="602" w:type="pct"/>
            <w:tcBorders>
              <w:top w:val="single" w:color="auto" w:sz="4" w:space="0"/>
              <w:left w:val="nil"/>
              <w:bottom w:val="single" w:color="auto" w:sz="4" w:space="0"/>
              <w:right w:val="single" w:color="auto" w:sz="4" w:space="0"/>
            </w:tcBorders>
            <w:noWrap w:val="0"/>
            <w:vAlign w:val="center"/>
          </w:tcPr>
          <w:p w14:paraId="62BCDB3D">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0.3420 </w:t>
            </w:r>
          </w:p>
        </w:tc>
        <w:tc>
          <w:tcPr>
            <w:tcW w:w="602" w:type="pct"/>
            <w:tcBorders>
              <w:top w:val="single" w:color="auto" w:sz="4" w:space="0"/>
              <w:left w:val="nil"/>
              <w:bottom w:val="single" w:color="auto" w:sz="4" w:space="0"/>
              <w:right w:val="single" w:color="auto" w:sz="4" w:space="0"/>
            </w:tcBorders>
            <w:noWrap w:val="0"/>
            <w:vAlign w:val="center"/>
          </w:tcPr>
          <w:p w14:paraId="69B14B73">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0.3420 </w:t>
            </w:r>
          </w:p>
        </w:tc>
        <w:tc>
          <w:tcPr>
            <w:tcW w:w="602" w:type="pct"/>
            <w:tcBorders>
              <w:top w:val="single" w:color="auto" w:sz="4" w:space="0"/>
              <w:left w:val="nil"/>
              <w:bottom w:val="single" w:color="auto" w:sz="4" w:space="0"/>
              <w:right w:val="single" w:color="auto" w:sz="4" w:space="0"/>
            </w:tcBorders>
            <w:noWrap w:val="0"/>
            <w:vAlign w:val="center"/>
          </w:tcPr>
          <w:p w14:paraId="38F4C3CC">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0.3420 </w:t>
            </w:r>
          </w:p>
        </w:tc>
        <w:tc>
          <w:tcPr>
            <w:tcW w:w="602" w:type="pct"/>
            <w:tcBorders>
              <w:top w:val="single" w:color="auto" w:sz="4" w:space="0"/>
              <w:left w:val="nil"/>
              <w:bottom w:val="single" w:color="auto" w:sz="4" w:space="0"/>
              <w:right w:val="single" w:color="auto" w:sz="4" w:space="0"/>
            </w:tcBorders>
            <w:noWrap w:val="0"/>
            <w:vAlign w:val="center"/>
          </w:tcPr>
          <w:p w14:paraId="712DA22D">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0.3420 </w:t>
            </w:r>
          </w:p>
        </w:tc>
        <w:tc>
          <w:tcPr>
            <w:tcW w:w="612" w:type="pct"/>
            <w:tcBorders>
              <w:top w:val="single" w:color="auto" w:sz="4" w:space="0"/>
              <w:left w:val="nil"/>
              <w:bottom w:val="single" w:color="auto" w:sz="4" w:space="0"/>
              <w:right w:val="single" w:color="auto" w:sz="4" w:space="0"/>
            </w:tcBorders>
            <w:noWrap w:val="0"/>
            <w:vAlign w:val="center"/>
          </w:tcPr>
          <w:p w14:paraId="00BE3871">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0.3420 </w:t>
            </w:r>
          </w:p>
        </w:tc>
        <w:tc>
          <w:tcPr>
            <w:tcW w:w="1287" w:type="pct"/>
            <w:vMerge w:val="restart"/>
            <w:tcBorders>
              <w:top w:val="single" w:color="auto" w:sz="4" w:space="0"/>
              <w:left w:val="nil"/>
              <w:right w:val="single" w:color="auto" w:sz="4" w:space="0"/>
            </w:tcBorders>
            <w:noWrap w:val="0"/>
            <w:vAlign w:val="center"/>
          </w:tcPr>
          <w:p w14:paraId="18C65488">
            <w:pPr>
              <w:widowControl/>
              <w:jc w:val="center"/>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混合过程段</w:t>
            </w:r>
          </w:p>
        </w:tc>
      </w:tr>
      <w:tr w14:paraId="0BEEF636">
        <w:tblPrEx>
          <w:tblCellMar>
            <w:top w:w="0" w:type="dxa"/>
            <w:left w:w="108" w:type="dxa"/>
            <w:bottom w:w="0" w:type="dxa"/>
            <w:right w:w="108" w:type="dxa"/>
          </w:tblCellMar>
        </w:tblPrEx>
        <w:trPr>
          <w:trHeight w:val="354" w:hRule="atLeast"/>
          <w:jc w:val="center"/>
        </w:trPr>
        <w:tc>
          <w:tcPr>
            <w:tcW w:w="691" w:type="pct"/>
            <w:tcBorders>
              <w:top w:val="nil"/>
              <w:left w:val="single" w:color="auto" w:sz="4" w:space="0"/>
              <w:bottom w:val="single" w:color="auto" w:sz="4" w:space="0"/>
              <w:right w:val="single" w:color="auto" w:sz="4" w:space="0"/>
            </w:tcBorders>
            <w:noWrap w:val="0"/>
            <w:vAlign w:val="center"/>
          </w:tcPr>
          <w:p w14:paraId="49D4A794">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10</w:t>
            </w:r>
          </w:p>
        </w:tc>
        <w:tc>
          <w:tcPr>
            <w:tcW w:w="602" w:type="pct"/>
            <w:tcBorders>
              <w:top w:val="nil"/>
              <w:left w:val="nil"/>
              <w:bottom w:val="single" w:color="auto" w:sz="4" w:space="0"/>
              <w:right w:val="single" w:color="auto" w:sz="4" w:space="0"/>
            </w:tcBorders>
            <w:noWrap w:val="0"/>
            <w:vAlign w:val="center"/>
          </w:tcPr>
          <w:p w14:paraId="46FF3672">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1.9603 </w:t>
            </w:r>
          </w:p>
        </w:tc>
        <w:tc>
          <w:tcPr>
            <w:tcW w:w="602" w:type="pct"/>
            <w:tcBorders>
              <w:top w:val="nil"/>
              <w:left w:val="nil"/>
              <w:bottom w:val="single" w:color="auto" w:sz="4" w:space="0"/>
              <w:right w:val="single" w:color="auto" w:sz="4" w:space="0"/>
            </w:tcBorders>
            <w:noWrap w:val="0"/>
            <w:vAlign w:val="center"/>
          </w:tcPr>
          <w:p w14:paraId="5F80B493">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0.3523 </w:t>
            </w:r>
          </w:p>
        </w:tc>
        <w:tc>
          <w:tcPr>
            <w:tcW w:w="602" w:type="pct"/>
            <w:tcBorders>
              <w:top w:val="nil"/>
              <w:left w:val="nil"/>
              <w:bottom w:val="single" w:color="auto" w:sz="4" w:space="0"/>
              <w:right w:val="single" w:color="auto" w:sz="4" w:space="0"/>
            </w:tcBorders>
            <w:noWrap w:val="0"/>
            <w:vAlign w:val="center"/>
          </w:tcPr>
          <w:p w14:paraId="3F7143D6">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0.3420 </w:t>
            </w:r>
          </w:p>
        </w:tc>
        <w:tc>
          <w:tcPr>
            <w:tcW w:w="602" w:type="pct"/>
            <w:tcBorders>
              <w:top w:val="nil"/>
              <w:left w:val="nil"/>
              <w:bottom w:val="single" w:color="auto" w:sz="4" w:space="0"/>
              <w:right w:val="single" w:color="auto" w:sz="4" w:space="0"/>
            </w:tcBorders>
            <w:noWrap w:val="0"/>
            <w:vAlign w:val="center"/>
          </w:tcPr>
          <w:p w14:paraId="547D1440">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0.3420 </w:t>
            </w:r>
          </w:p>
        </w:tc>
        <w:tc>
          <w:tcPr>
            <w:tcW w:w="612" w:type="pct"/>
            <w:tcBorders>
              <w:top w:val="nil"/>
              <w:left w:val="nil"/>
              <w:bottom w:val="single" w:color="auto" w:sz="4" w:space="0"/>
              <w:right w:val="single" w:color="auto" w:sz="4" w:space="0"/>
            </w:tcBorders>
            <w:noWrap w:val="0"/>
            <w:vAlign w:val="center"/>
          </w:tcPr>
          <w:p w14:paraId="6A6B53D9">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0.3420 </w:t>
            </w:r>
          </w:p>
        </w:tc>
        <w:tc>
          <w:tcPr>
            <w:tcW w:w="1287" w:type="pct"/>
            <w:vMerge w:val="continue"/>
            <w:tcBorders>
              <w:left w:val="nil"/>
              <w:right w:val="single" w:color="auto" w:sz="4" w:space="0"/>
            </w:tcBorders>
            <w:noWrap w:val="0"/>
            <w:vAlign w:val="center"/>
          </w:tcPr>
          <w:p w14:paraId="0640DC3F">
            <w:pPr>
              <w:widowControl/>
              <w:jc w:val="center"/>
              <w:rPr>
                <w:rFonts w:ascii="Times New Roman" w:hAnsi="Times New Roman" w:eastAsia="宋体" w:cs="Times New Roman"/>
                <w:color w:val="auto"/>
                <w:kern w:val="0"/>
                <w:sz w:val="21"/>
                <w:szCs w:val="21"/>
              </w:rPr>
            </w:pPr>
          </w:p>
        </w:tc>
      </w:tr>
      <w:tr w14:paraId="4EA02292">
        <w:tblPrEx>
          <w:tblCellMar>
            <w:top w:w="0" w:type="dxa"/>
            <w:left w:w="108" w:type="dxa"/>
            <w:bottom w:w="0" w:type="dxa"/>
            <w:right w:w="108" w:type="dxa"/>
          </w:tblCellMar>
        </w:tblPrEx>
        <w:trPr>
          <w:trHeight w:val="354" w:hRule="atLeast"/>
          <w:jc w:val="center"/>
        </w:trPr>
        <w:tc>
          <w:tcPr>
            <w:tcW w:w="691" w:type="pct"/>
            <w:tcBorders>
              <w:top w:val="nil"/>
              <w:left w:val="single" w:color="auto" w:sz="4" w:space="0"/>
              <w:bottom w:val="single" w:color="auto" w:sz="4" w:space="0"/>
              <w:right w:val="single" w:color="auto" w:sz="4" w:space="0"/>
            </w:tcBorders>
            <w:noWrap w:val="0"/>
            <w:vAlign w:val="center"/>
          </w:tcPr>
          <w:p w14:paraId="24A6BD74">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50</w:t>
            </w:r>
          </w:p>
        </w:tc>
        <w:tc>
          <w:tcPr>
            <w:tcW w:w="602" w:type="pct"/>
            <w:tcBorders>
              <w:top w:val="nil"/>
              <w:left w:val="nil"/>
              <w:bottom w:val="single" w:color="auto" w:sz="4" w:space="0"/>
              <w:right w:val="single" w:color="auto" w:sz="4" w:space="0"/>
            </w:tcBorders>
            <w:noWrap w:val="0"/>
            <w:vAlign w:val="center"/>
          </w:tcPr>
          <w:p w14:paraId="2F6561C3">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3.0728 </w:t>
            </w:r>
          </w:p>
        </w:tc>
        <w:tc>
          <w:tcPr>
            <w:tcW w:w="602" w:type="pct"/>
            <w:tcBorders>
              <w:top w:val="nil"/>
              <w:left w:val="nil"/>
              <w:bottom w:val="single" w:color="auto" w:sz="4" w:space="0"/>
              <w:right w:val="single" w:color="auto" w:sz="4" w:space="0"/>
            </w:tcBorders>
            <w:noWrap w:val="0"/>
            <w:vAlign w:val="center"/>
          </w:tcPr>
          <w:p w14:paraId="7755FCDD">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1.3362 </w:t>
            </w:r>
          </w:p>
        </w:tc>
        <w:tc>
          <w:tcPr>
            <w:tcW w:w="602" w:type="pct"/>
            <w:tcBorders>
              <w:top w:val="nil"/>
              <w:left w:val="nil"/>
              <w:bottom w:val="single" w:color="auto" w:sz="4" w:space="0"/>
              <w:right w:val="single" w:color="auto" w:sz="4" w:space="0"/>
            </w:tcBorders>
            <w:noWrap w:val="0"/>
            <w:vAlign w:val="center"/>
          </w:tcPr>
          <w:p w14:paraId="483DC2C8">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0.5265 </w:t>
            </w:r>
          </w:p>
        </w:tc>
        <w:tc>
          <w:tcPr>
            <w:tcW w:w="602" w:type="pct"/>
            <w:tcBorders>
              <w:top w:val="nil"/>
              <w:left w:val="nil"/>
              <w:bottom w:val="single" w:color="auto" w:sz="4" w:space="0"/>
              <w:right w:val="single" w:color="auto" w:sz="4" w:space="0"/>
            </w:tcBorders>
            <w:noWrap w:val="0"/>
            <w:vAlign w:val="center"/>
          </w:tcPr>
          <w:p w14:paraId="75A3EB60">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0.3595 </w:t>
            </w:r>
          </w:p>
        </w:tc>
        <w:tc>
          <w:tcPr>
            <w:tcW w:w="612" w:type="pct"/>
            <w:tcBorders>
              <w:top w:val="nil"/>
              <w:left w:val="nil"/>
              <w:bottom w:val="single" w:color="auto" w:sz="4" w:space="0"/>
              <w:right w:val="single" w:color="auto" w:sz="4" w:space="0"/>
            </w:tcBorders>
            <w:noWrap w:val="0"/>
            <w:vAlign w:val="center"/>
          </w:tcPr>
          <w:p w14:paraId="7BA95C1F">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0.3428 </w:t>
            </w:r>
          </w:p>
        </w:tc>
        <w:tc>
          <w:tcPr>
            <w:tcW w:w="1287" w:type="pct"/>
            <w:vMerge w:val="continue"/>
            <w:tcBorders>
              <w:left w:val="nil"/>
              <w:right w:val="single" w:color="auto" w:sz="4" w:space="0"/>
            </w:tcBorders>
            <w:noWrap w:val="0"/>
            <w:vAlign w:val="center"/>
          </w:tcPr>
          <w:p w14:paraId="703A1350">
            <w:pPr>
              <w:widowControl/>
              <w:jc w:val="center"/>
              <w:rPr>
                <w:rFonts w:ascii="Times New Roman" w:hAnsi="Times New Roman" w:eastAsia="宋体" w:cs="Times New Roman"/>
                <w:color w:val="auto"/>
                <w:kern w:val="0"/>
                <w:sz w:val="21"/>
                <w:szCs w:val="21"/>
              </w:rPr>
            </w:pPr>
          </w:p>
        </w:tc>
      </w:tr>
      <w:tr w14:paraId="7F69C2EC">
        <w:tblPrEx>
          <w:tblCellMar>
            <w:top w:w="0" w:type="dxa"/>
            <w:left w:w="108" w:type="dxa"/>
            <w:bottom w:w="0" w:type="dxa"/>
            <w:right w:w="108" w:type="dxa"/>
          </w:tblCellMar>
        </w:tblPrEx>
        <w:trPr>
          <w:trHeight w:val="354" w:hRule="atLeast"/>
          <w:jc w:val="center"/>
        </w:trPr>
        <w:tc>
          <w:tcPr>
            <w:tcW w:w="691" w:type="pct"/>
            <w:tcBorders>
              <w:top w:val="nil"/>
              <w:left w:val="single" w:color="auto" w:sz="4" w:space="0"/>
              <w:bottom w:val="single" w:color="auto" w:sz="4" w:space="0"/>
              <w:right w:val="single" w:color="auto" w:sz="4" w:space="0"/>
            </w:tcBorders>
            <w:noWrap w:val="0"/>
            <w:vAlign w:val="center"/>
          </w:tcPr>
          <w:p w14:paraId="586726E2">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100</w:t>
            </w:r>
          </w:p>
        </w:tc>
        <w:tc>
          <w:tcPr>
            <w:tcW w:w="602" w:type="pct"/>
            <w:tcBorders>
              <w:top w:val="nil"/>
              <w:left w:val="nil"/>
              <w:bottom w:val="single" w:color="auto" w:sz="4" w:space="0"/>
              <w:right w:val="single" w:color="auto" w:sz="4" w:space="0"/>
            </w:tcBorders>
            <w:noWrap w:val="0"/>
            <w:vAlign w:val="center"/>
          </w:tcPr>
          <w:p w14:paraId="4B80B703">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2.5727 </w:t>
            </w:r>
          </w:p>
        </w:tc>
        <w:tc>
          <w:tcPr>
            <w:tcW w:w="602" w:type="pct"/>
            <w:tcBorders>
              <w:top w:val="nil"/>
              <w:left w:val="nil"/>
              <w:bottom w:val="single" w:color="auto" w:sz="4" w:space="0"/>
              <w:right w:val="single" w:color="auto" w:sz="4" w:space="0"/>
            </w:tcBorders>
            <w:noWrap w:val="0"/>
            <w:vAlign w:val="center"/>
          </w:tcPr>
          <w:p w14:paraId="77488C56">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1.6879 </w:t>
            </w:r>
          </w:p>
        </w:tc>
        <w:tc>
          <w:tcPr>
            <w:tcW w:w="602" w:type="pct"/>
            <w:tcBorders>
              <w:top w:val="nil"/>
              <w:left w:val="nil"/>
              <w:bottom w:val="single" w:color="auto" w:sz="4" w:space="0"/>
              <w:right w:val="single" w:color="auto" w:sz="4" w:space="0"/>
            </w:tcBorders>
            <w:noWrap w:val="0"/>
            <w:vAlign w:val="center"/>
          </w:tcPr>
          <w:p w14:paraId="7AC03F1E">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0.9219 </w:t>
            </w:r>
          </w:p>
        </w:tc>
        <w:tc>
          <w:tcPr>
            <w:tcW w:w="602" w:type="pct"/>
            <w:tcBorders>
              <w:top w:val="nil"/>
              <w:left w:val="nil"/>
              <w:bottom w:val="single" w:color="auto" w:sz="4" w:space="0"/>
              <w:right w:val="single" w:color="auto" w:sz="4" w:space="0"/>
            </w:tcBorders>
            <w:noWrap w:val="0"/>
            <w:vAlign w:val="center"/>
          </w:tcPr>
          <w:p w14:paraId="06A2365F">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0.5204 </w:t>
            </w:r>
          </w:p>
        </w:tc>
        <w:tc>
          <w:tcPr>
            <w:tcW w:w="612" w:type="pct"/>
            <w:tcBorders>
              <w:top w:val="nil"/>
              <w:left w:val="nil"/>
              <w:bottom w:val="single" w:color="auto" w:sz="4" w:space="0"/>
              <w:right w:val="single" w:color="auto" w:sz="4" w:space="0"/>
            </w:tcBorders>
            <w:noWrap w:val="0"/>
            <w:vAlign w:val="center"/>
          </w:tcPr>
          <w:p w14:paraId="587E6F09">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0.3812 </w:t>
            </w:r>
          </w:p>
        </w:tc>
        <w:tc>
          <w:tcPr>
            <w:tcW w:w="1287" w:type="pct"/>
            <w:vMerge w:val="continue"/>
            <w:tcBorders>
              <w:left w:val="nil"/>
              <w:right w:val="single" w:color="auto" w:sz="4" w:space="0"/>
            </w:tcBorders>
            <w:noWrap w:val="0"/>
            <w:vAlign w:val="center"/>
          </w:tcPr>
          <w:p w14:paraId="6C53C933">
            <w:pPr>
              <w:widowControl/>
              <w:jc w:val="center"/>
              <w:rPr>
                <w:rFonts w:ascii="Times New Roman" w:hAnsi="Times New Roman" w:eastAsia="宋体" w:cs="Times New Roman"/>
                <w:color w:val="auto"/>
                <w:kern w:val="0"/>
                <w:sz w:val="21"/>
                <w:szCs w:val="21"/>
              </w:rPr>
            </w:pPr>
          </w:p>
        </w:tc>
      </w:tr>
      <w:tr w14:paraId="74C789F9">
        <w:tblPrEx>
          <w:tblCellMar>
            <w:top w:w="0" w:type="dxa"/>
            <w:left w:w="108" w:type="dxa"/>
            <w:bottom w:w="0" w:type="dxa"/>
            <w:right w:w="108" w:type="dxa"/>
          </w:tblCellMar>
        </w:tblPrEx>
        <w:trPr>
          <w:trHeight w:val="354" w:hRule="atLeast"/>
          <w:jc w:val="center"/>
        </w:trPr>
        <w:tc>
          <w:tcPr>
            <w:tcW w:w="691" w:type="pct"/>
            <w:tcBorders>
              <w:top w:val="nil"/>
              <w:left w:val="single" w:color="auto" w:sz="4" w:space="0"/>
              <w:bottom w:val="single" w:color="auto" w:sz="4" w:space="0"/>
              <w:right w:val="single" w:color="auto" w:sz="4" w:space="0"/>
            </w:tcBorders>
            <w:shd w:val="clear" w:color="auto" w:fill="auto"/>
            <w:noWrap w:val="0"/>
            <w:vAlign w:val="center"/>
          </w:tcPr>
          <w:p w14:paraId="293ABC28">
            <w:pPr>
              <w:widowControl/>
              <w:shd w:val="clear" w:color="auto" w:fill="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200</w:t>
            </w:r>
          </w:p>
        </w:tc>
        <w:tc>
          <w:tcPr>
            <w:tcW w:w="602" w:type="pct"/>
            <w:tcBorders>
              <w:top w:val="nil"/>
              <w:left w:val="nil"/>
              <w:bottom w:val="single" w:color="auto" w:sz="4" w:space="0"/>
              <w:right w:val="single" w:color="auto" w:sz="4" w:space="0"/>
            </w:tcBorders>
            <w:shd w:val="clear" w:color="auto" w:fill="auto"/>
            <w:noWrap w:val="0"/>
            <w:vAlign w:val="center"/>
          </w:tcPr>
          <w:p w14:paraId="439891BE">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1.6120 </w:t>
            </w:r>
          </w:p>
        </w:tc>
        <w:tc>
          <w:tcPr>
            <w:tcW w:w="602" w:type="pct"/>
            <w:tcBorders>
              <w:top w:val="nil"/>
              <w:left w:val="nil"/>
              <w:bottom w:val="single" w:color="auto" w:sz="4" w:space="0"/>
              <w:right w:val="single" w:color="auto" w:sz="4" w:space="0"/>
            </w:tcBorders>
            <w:shd w:val="clear" w:color="auto" w:fill="auto"/>
            <w:noWrap w:val="0"/>
            <w:vAlign w:val="center"/>
          </w:tcPr>
          <w:p w14:paraId="19F92FFF">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1.1756 </w:t>
            </w:r>
          </w:p>
        </w:tc>
        <w:tc>
          <w:tcPr>
            <w:tcW w:w="602" w:type="pct"/>
            <w:tcBorders>
              <w:top w:val="nil"/>
              <w:left w:val="nil"/>
              <w:bottom w:val="single" w:color="auto" w:sz="4" w:space="0"/>
              <w:right w:val="single" w:color="auto" w:sz="4" w:space="0"/>
            </w:tcBorders>
            <w:shd w:val="clear" w:color="auto" w:fill="auto"/>
            <w:noWrap w:val="0"/>
            <w:vAlign w:val="center"/>
          </w:tcPr>
          <w:p w14:paraId="26E71747">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0.8044 </w:t>
            </w:r>
          </w:p>
        </w:tc>
        <w:tc>
          <w:tcPr>
            <w:tcW w:w="602" w:type="pct"/>
            <w:tcBorders>
              <w:top w:val="nil"/>
              <w:left w:val="nil"/>
              <w:bottom w:val="single" w:color="auto" w:sz="4" w:space="0"/>
              <w:right w:val="single" w:color="auto" w:sz="4" w:space="0"/>
            </w:tcBorders>
            <w:shd w:val="clear" w:color="auto" w:fill="auto"/>
            <w:noWrap w:val="0"/>
            <w:vAlign w:val="center"/>
          </w:tcPr>
          <w:p w14:paraId="55EF17D2">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0.</w:t>
            </w:r>
            <w:r>
              <w:rPr>
                <w:rFonts w:hint="eastAsia" w:cs="Times New Roman"/>
                <w:color w:val="auto"/>
                <w:kern w:val="0"/>
                <w:szCs w:val="21"/>
                <w:lang w:val="en-US" w:eastAsia="zh-CN"/>
              </w:rPr>
              <w:t>6</w:t>
            </w:r>
            <w:r>
              <w:rPr>
                <w:rFonts w:hint="eastAsia" w:ascii="Times New Roman" w:hAnsi="Times New Roman" w:eastAsia="宋体" w:cs="Times New Roman"/>
                <w:color w:val="auto"/>
                <w:kern w:val="0"/>
                <w:szCs w:val="21"/>
                <w:lang w:val="en-US" w:eastAsia="zh-CN"/>
              </w:rPr>
              <w:t xml:space="preserve">587 </w:t>
            </w:r>
          </w:p>
        </w:tc>
        <w:tc>
          <w:tcPr>
            <w:tcW w:w="612" w:type="pct"/>
            <w:tcBorders>
              <w:top w:val="nil"/>
              <w:left w:val="nil"/>
              <w:bottom w:val="single" w:color="auto" w:sz="4" w:space="0"/>
              <w:right w:val="single" w:color="auto" w:sz="4" w:space="0"/>
            </w:tcBorders>
            <w:noWrap w:val="0"/>
            <w:vAlign w:val="center"/>
          </w:tcPr>
          <w:p w14:paraId="4CEF1251">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0.</w:t>
            </w:r>
            <w:r>
              <w:rPr>
                <w:rFonts w:hint="eastAsia" w:cs="Times New Roman"/>
                <w:color w:val="auto"/>
                <w:kern w:val="0"/>
                <w:szCs w:val="21"/>
                <w:lang w:val="en-US" w:eastAsia="zh-CN"/>
              </w:rPr>
              <w:t>5584</w:t>
            </w:r>
          </w:p>
        </w:tc>
        <w:tc>
          <w:tcPr>
            <w:tcW w:w="1287" w:type="pct"/>
            <w:vMerge w:val="continue"/>
            <w:tcBorders>
              <w:left w:val="nil"/>
              <w:bottom w:val="single" w:color="auto" w:sz="4" w:space="0"/>
              <w:right w:val="single" w:color="auto" w:sz="4" w:space="0"/>
            </w:tcBorders>
            <w:noWrap w:val="0"/>
            <w:vAlign w:val="center"/>
          </w:tcPr>
          <w:p w14:paraId="60A6C4CF">
            <w:pPr>
              <w:widowControl/>
              <w:jc w:val="center"/>
              <w:rPr>
                <w:rFonts w:ascii="Times New Roman" w:hAnsi="Times New Roman" w:eastAsia="宋体" w:cs="Times New Roman"/>
                <w:color w:val="auto"/>
                <w:kern w:val="0"/>
                <w:sz w:val="21"/>
                <w:szCs w:val="21"/>
              </w:rPr>
            </w:pPr>
          </w:p>
        </w:tc>
      </w:tr>
      <w:tr w14:paraId="7F04BB73">
        <w:tblPrEx>
          <w:tblCellMar>
            <w:top w:w="0" w:type="dxa"/>
            <w:left w:w="108" w:type="dxa"/>
            <w:bottom w:w="0" w:type="dxa"/>
            <w:right w:w="108" w:type="dxa"/>
          </w:tblCellMar>
        </w:tblPrEx>
        <w:trPr>
          <w:trHeight w:val="354" w:hRule="atLeast"/>
          <w:jc w:val="center"/>
        </w:trPr>
        <w:tc>
          <w:tcPr>
            <w:tcW w:w="69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F29AF75">
            <w:pPr>
              <w:widowControl/>
              <w:shd w:val="clear" w:color="auto" w:fill="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300</w:t>
            </w:r>
          </w:p>
        </w:tc>
        <w:tc>
          <w:tcPr>
            <w:tcW w:w="60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C47AFA9">
            <w:pPr>
              <w:widowControl/>
              <w:shd w:val="clear" w:color="auto" w:fill="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1.4475 </w:t>
            </w:r>
          </w:p>
        </w:tc>
        <w:tc>
          <w:tcPr>
            <w:tcW w:w="60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BA4C80E">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1.1770 </w:t>
            </w:r>
          </w:p>
        </w:tc>
        <w:tc>
          <w:tcPr>
            <w:tcW w:w="60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4B78E8B">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0.9056 </w:t>
            </w:r>
          </w:p>
        </w:tc>
        <w:tc>
          <w:tcPr>
            <w:tcW w:w="60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22E7C77">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0.</w:t>
            </w:r>
            <w:r>
              <w:rPr>
                <w:rFonts w:hint="eastAsia" w:cs="Times New Roman"/>
                <w:color w:val="auto"/>
                <w:kern w:val="0"/>
                <w:szCs w:val="21"/>
                <w:lang w:val="en-US" w:eastAsia="zh-CN"/>
              </w:rPr>
              <w:t>7</w:t>
            </w:r>
            <w:r>
              <w:rPr>
                <w:rFonts w:hint="eastAsia" w:ascii="Times New Roman" w:hAnsi="Times New Roman" w:eastAsia="宋体" w:cs="Times New Roman"/>
                <w:color w:val="auto"/>
                <w:kern w:val="0"/>
                <w:szCs w:val="21"/>
                <w:lang w:val="en-US" w:eastAsia="zh-CN"/>
              </w:rPr>
              <w:t xml:space="preserve">821 </w:t>
            </w:r>
          </w:p>
        </w:tc>
        <w:tc>
          <w:tcPr>
            <w:tcW w:w="612" w:type="pct"/>
            <w:tcBorders>
              <w:top w:val="single" w:color="auto" w:sz="4" w:space="0"/>
              <w:left w:val="single" w:color="auto" w:sz="4" w:space="0"/>
              <w:bottom w:val="single" w:color="auto" w:sz="4" w:space="0"/>
              <w:right w:val="single" w:color="auto" w:sz="4" w:space="0"/>
            </w:tcBorders>
            <w:noWrap w:val="0"/>
            <w:vAlign w:val="center"/>
          </w:tcPr>
          <w:p w14:paraId="78A4A3D4">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0.</w:t>
            </w:r>
            <w:r>
              <w:rPr>
                <w:rFonts w:hint="eastAsia" w:cs="Times New Roman"/>
                <w:color w:val="auto"/>
                <w:kern w:val="0"/>
                <w:szCs w:val="21"/>
                <w:lang w:val="en-US" w:eastAsia="zh-CN"/>
              </w:rPr>
              <w:t>73</w:t>
            </w:r>
            <w:r>
              <w:rPr>
                <w:rFonts w:hint="eastAsia" w:ascii="Times New Roman" w:hAnsi="Times New Roman" w:eastAsia="宋体" w:cs="Times New Roman"/>
                <w:color w:val="auto"/>
                <w:kern w:val="0"/>
                <w:szCs w:val="21"/>
                <w:lang w:val="en-US" w:eastAsia="zh-CN"/>
              </w:rPr>
              <w:t>21</w:t>
            </w:r>
          </w:p>
        </w:tc>
        <w:tc>
          <w:tcPr>
            <w:tcW w:w="1287" w:type="pct"/>
            <w:vMerge w:val="restart"/>
            <w:tcBorders>
              <w:top w:val="single" w:color="auto" w:sz="4" w:space="0"/>
              <w:left w:val="single" w:color="auto" w:sz="4" w:space="0"/>
              <w:right w:val="single" w:color="auto" w:sz="4" w:space="0"/>
            </w:tcBorders>
            <w:noWrap w:val="0"/>
            <w:vAlign w:val="center"/>
          </w:tcPr>
          <w:p w14:paraId="110124B3">
            <w:pPr>
              <w:widowControl/>
              <w:jc w:val="center"/>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完全混合段</w:t>
            </w:r>
          </w:p>
        </w:tc>
      </w:tr>
      <w:tr w14:paraId="7FC5350C">
        <w:tblPrEx>
          <w:tblCellMar>
            <w:top w:w="0" w:type="dxa"/>
            <w:left w:w="108" w:type="dxa"/>
            <w:bottom w:w="0" w:type="dxa"/>
            <w:right w:w="108" w:type="dxa"/>
          </w:tblCellMar>
        </w:tblPrEx>
        <w:trPr>
          <w:trHeight w:val="354" w:hRule="atLeast"/>
          <w:jc w:val="center"/>
        </w:trPr>
        <w:tc>
          <w:tcPr>
            <w:tcW w:w="69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4EAA46C">
            <w:pPr>
              <w:widowControl/>
              <w:shd w:val="clear" w:color="auto" w:fill="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400</w:t>
            </w:r>
          </w:p>
        </w:tc>
        <w:tc>
          <w:tcPr>
            <w:tcW w:w="60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94746C0">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1.3070 </w:t>
            </w:r>
          </w:p>
        </w:tc>
        <w:tc>
          <w:tcPr>
            <w:tcW w:w="60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D34072F">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1.1238 </w:t>
            </w:r>
          </w:p>
        </w:tc>
        <w:tc>
          <w:tcPr>
            <w:tcW w:w="60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759C916">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0.9242 </w:t>
            </w:r>
          </w:p>
        </w:tc>
        <w:tc>
          <w:tcPr>
            <w:tcW w:w="60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57CF499">
            <w:pPr>
              <w:widowControl/>
              <w:shd w:val="clear" w:color="auto" w:fill="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0.</w:t>
            </w:r>
            <w:r>
              <w:rPr>
                <w:rFonts w:hint="eastAsia" w:cs="Times New Roman"/>
                <w:color w:val="auto"/>
                <w:kern w:val="0"/>
                <w:szCs w:val="21"/>
                <w:lang w:val="en-US" w:eastAsia="zh-CN"/>
              </w:rPr>
              <w:t>8017</w:t>
            </w:r>
          </w:p>
        </w:tc>
        <w:tc>
          <w:tcPr>
            <w:tcW w:w="612" w:type="pct"/>
            <w:tcBorders>
              <w:top w:val="single" w:color="auto" w:sz="4" w:space="0"/>
              <w:left w:val="single" w:color="auto" w:sz="4" w:space="0"/>
              <w:bottom w:val="single" w:color="auto" w:sz="4" w:space="0"/>
              <w:right w:val="single" w:color="auto" w:sz="4" w:space="0"/>
            </w:tcBorders>
            <w:noWrap w:val="0"/>
            <w:vAlign w:val="center"/>
          </w:tcPr>
          <w:p w14:paraId="64C972A9">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0.</w:t>
            </w:r>
            <w:r>
              <w:rPr>
                <w:rFonts w:hint="eastAsia" w:cs="Times New Roman"/>
                <w:color w:val="auto"/>
                <w:kern w:val="0"/>
                <w:szCs w:val="21"/>
                <w:lang w:val="en-US" w:eastAsia="zh-CN"/>
              </w:rPr>
              <w:t>74</w:t>
            </w:r>
            <w:r>
              <w:rPr>
                <w:rFonts w:hint="eastAsia" w:ascii="Times New Roman" w:hAnsi="Times New Roman" w:eastAsia="宋体" w:cs="Times New Roman"/>
                <w:color w:val="auto"/>
                <w:kern w:val="0"/>
                <w:szCs w:val="21"/>
                <w:lang w:val="en-US" w:eastAsia="zh-CN"/>
              </w:rPr>
              <w:t>0</w:t>
            </w:r>
            <w:r>
              <w:rPr>
                <w:rFonts w:hint="eastAsia" w:cs="Times New Roman"/>
                <w:color w:val="auto"/>
                <w:kern w:val="0"/>
                <w:szCs w:val="21"/>
                <w:lang w:val="en-US" w:eastAsia="zh-CN"/>
              </w:rPr>
              <w:t>7</w:t>
            </w:r>
          </w:p>
        </w:tc>
        <w:tc>
          <w:tcPr>
            <w:tcW w:w="1287" w:type="pct"/>
            <w:vMerge w:val="continue"/>
            <w:tcBorders>
              <w:left w:val="single" w:color="auto" w:sz="4" w:space="0"/>
              <w:right w:val="single" w:color="auto" w:sz="4" w:space="0"/>
            </w:tcBorders>
            <w:noWrap w:val="0"/>
            <w:vAlign w:val="center"/>
          </w:tcPr>
          <w:p w14:paraId="674485E8">
            <w:pPr>
              <w:widowControl/>
              <w:jc w:val="center"/>
              <w:rPr>
                <w:rFonts w:ascii="Times New Roman" w:hAnsi="Times New Roman" w:eastAsia="宋体" w:cs="Times New Roman"/>
                <w:color w:val="auto"/>
                <w:kern w:val="0"/>
                <w:szCs w:val="21"/>
              </w:rPr>
            </w:pPr>
          </w:p>
        </w:tc>
      </w:tr>
      <w:tr w14:paraId="6148099D">
        <w:tblPrEx>
          <w:tblCellMar>
            <w:top w:w="0" w:type="dxa"/>
            <w:left w:w="108" w:type="dxa"/>
            <w:bottom w:w="0" w:type="dxa"/>
            <w:right w:w="108" w:type="dxa"/>
          </w:tblCellMar>
        </w:tblPrEx>
        <w:trPr>
          <w:trHeight w:val="354" w:hRule="atLeast"/>
          <w:jc w:val="center"/>
        </w:trPr>
        <w:tc>
          <w:tcPr>
            <w:tcW w:w="691" w:type="pct"/>
            <w:tcBorders>
              <w:top w:val="single" w:color="auto" w:sz="4" w:space="0"/>
              <w:left w:val="single" w:color="auto" w:sz="4" w:space="0"/>
              <w:bottom w:val="single" w:color="auto" w:sz="4" w:space="0"/>
              <w:right w:val="single" w:color="auto" w:sz="4" w:space="0"/>
            </w:tcBorders>
            <w:noWrap w:val="0"/>
            <w:vAlign w:val="center"/>
          </w:tcPr>
          <w:p w14:paraId="3C065298">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cs="Times New Roman"/>
                <w:color w:val="auto"/>
                <w:kern w:val="0"/>
                <w:szCs w:val="21"/>
                <w:lang w:val="en-US" w:eastAsia="zh-CN"/>
              </w:rPr>
              <w:t>480</w:t>
            </w:r>
          </w:p>
        </w:tc>
        <w:tc>
          <w:tcPr>
            <w:tcW w:w="4976" w:type="dxa"/>
            <w:gridSpan w:val="5"/>
            <w:tcBorders>
              <w:top w:val="single" w:color="auto" w:sz="4" w:space="0"/>
              <w:left w:val="single" w:color="auto" w:sz="4" w:space="0"/>
              <w:bottom w:val="single" w:color="auto" w:sz="4" w:space="0"/>
              <w:right w:val="single" w:color="auto" w:sz="4" w:space="0"/>
            </w:tcBorders>
            <w:noWrap w:val="0"/>
            <w:vAlign w:val="center"/>
          </w:tcPr>
          <w:p w14:paraId="09F120A6">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0.7633 </w:t>
            </w:r>
          </w:p>
        </w:tc>
        <w:tc>
          <w:tcPr>
            <w:tcW w:w="1287" w:type="pct"/>
            <w:vMerge w:val="continue"/>
            <w:tcBorders>
              <w:left w:val="single" w:color="auto" w:sz="4" w:space="0"/>
              <w:right w:val="single" w:color="auto" w:sz="4" w:space="0"/>
            </w:tcBorders>
            <w:noWrap w:val="0"/>
            <w:vAlign w:val="center"/>
          </w:tcPr>
          <w:p w14:paraId="6FAAF521">
            <w:pPr>
              <w:widowControl/>
              <w:jc w:val="center"/>
              <w:rPr>
                <w:rFonts w:ascii="Times New Roman" w:hAnsi="Times New Roman" w:eastAsia="宋体" w:cs="Times New Roman"/>
                <w:color w:val="auto"/>
                <w:kern w:val="0"/>
                <w:szCs w:val="21"/>
              </w:rPr>
            </w:pPr>
          </w:p>
        </w:tc>
      </w:tr>
      <w:tr w14:paraId="22331949">
        <w:tblPrEx>
          <w:tblCellMar>
            <w:top w:w="0" w:type="dxa"/>
            <w:left w:w="108" w:type="dxa"/>
            <w:bottom w:w="0" w:type="dxa"/>
            <w:right w:w="108" w:type="dxa"/>
          </w:tblCellMar>
        </w:tblPrEx>
        <w:trPr>
          <w:trHeight w:val="90" w:hRule="atLeast"/>
          <w:jc w:val="center"/>
        </w:trPr>
        <w:tc>
          <w:tcPr>
            <w:tcW w:w="691" w:type="pct"/>
            <w:tcBorders>
              <w:top w:val="single" w:color="auto" w:sz="4" w:space="0"/>
              <w:left w:val="single" w:color="auto" w:sz="4" w:space="0"/>
              <w:bottom w:val="single" w:color="auto" w:sz="4" w:space="0"/>
              <w:right w:val="single" w:color="auto" w:sz="4" w:space="0"/>
            </w:tcBorders>
            <w:noWrap w:val="0"/>
            <w:vAlign w:val="center"/>
          </w:tcPr>
          <w:p w14:paraId="7D7B8A4D">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500</w:t>
            </w:r>
          </w:p>
        </w:tc>
        <w:tc>
          <w:tcPr>
            <w:tcW w:w="4976" w:type="dxa"/>
            <w:gridSpan w:val="5"/>
            <w:tcBorders>
              <w:top w:val="single" w:color="auto" w:sz="4" w:space="0"/>
              <w:left w:val="single" w:color="auto" w:sz="4" w:space="0"/>
              <w:bottom w:val="single" w:color="auto" w:sz="4" w:space="0"/>
              <w:right w:val="single" w:color="auto" w:sz="4" w:space="0"/>
            </w:tcBorders>
            <w:noWrap w:val="0"/>
            <w:vAlign w:val="center"/>
          </w:tcPr>
          <w:p w14:paraId="4BB3759E">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0.7353 </w:t>
            </w:r>
          </w:p>
        </w:tc>
        <w:tc>
          <w:tcPr>
            <w:tcW w:w="1287" w:type="pct"/>
            <w:vMerge w:val="continue"/>
            <w:tcBorders>
              <w:left w:val="single" w:color="auto" w:sz="4" w:space="0"/>
              <w:right w:val="single" w:color="auto" w:sz="4" w:space="0"/>
            </w:tcBorders>
            <w:noWrap w:val="0"/>
            <w:vAlign w:val="center"/>
          </w:tcPr>
          <w:p w14:paraId="31D14DB1">
            <w:pPr>
              <w:widowControl/>
              <w:jc w:val="center"/>
              <w:rPr>
                <w:rFonts w:ascii="Times New Roman" w:hAnsi="Times New Roman" w:eastAsia="宋体" w:cs="Times New Roman"/>
                <w:color w:val="auto"/>
                <w:kern w:val="0"/>
                <w:szCs w:val="21"/>
              </w:rPr>
            </w:pPr>
          </w:p>
        </w:tc>
      </w:tr>
      <w:tr w14:paraId="7DC73421">
        <w:tblPrEx>
          <w:tblCellMar>
            <w:top w:w="0" w:type="dxa"/>
            <w:left w:w="108" w:type="dxa"/>
            <w:bottom w:w="0" w:type="dxa"/>
            <w:right w:w="108" w:type="dxa"/>
          </w:tblCellMar>
        </w:tblPrEx>
        <w:trPr>
          <w:trHeight w:val="354" w:hRule="atLeast"/>
          <w:jc w:val="center"/>
        </w:trPr>
        <w:tc>
          <w:tcPr>
            <w:tcW w:w="691" w:type="pct"/>
            <w:tcBorders>
              <w:top w:val="single" w:color="auto" w:sz="4" w:space="0"/>
              <w:left w:val="single" w:color="auto" w:sz="4" w:space="0"/>
              <w:bottom w:val="single" w:color="auto" w:sz="4" w:space="0"/>
              <w:right w:val="single" w:color="auto" w:sz="4" w:space="0"/>
            </w:tcBorders>
            <w:noWrap w:val="0"/>
            <w:vAlign w:val="center"/>
          </w:tcPr>
          <w:p w14:paraId="450111F4">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550</w:t>
            </w:r>
          </w:p>
        </w:tc>
        <w:tc>
          <w:tcPr>
            <w:tcW w:w="4976" w:type="dxa"/>
            <w:gridSpan w:val="5"/>
            <w:tcBorders>
              <w:top w:val="single" w:color="auto" w:sz="4" w:space="0"/>
              <w:left w:val="single" w:color="auto" w:sz="4" w:space="0"/>
              <w:bottom w:val="single" w:color="auto" w:sz="4" w:space="0"/>
              <w:right w:val="single" w:color="auto" w:sz="4" w:space="0"/>
            </w:tcBorders>
            <w:noWrap w:val="0"/>
            <w:vAlign w:val="center"/>
          </w:tcPr>
          <w:p w14:paraId="0F824B9A">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0.7166 </w:t>
            </w:r>
          </w:p>
        </w:tc>
        <w:tc>
          <w:tcPr>
            <w:tcW w:w="1287" w:type="pct"/>
            <w:vMerge w:val="continue"/>
            <w:tcBorders>
              <w:left w:val="single" w:color="auto" w:sz="4" w:space="0"/>
              <w:bottom w:val="single" w:color="auto" w:sz="4" w:space="0"/>
              <w:right w:val="single" w:color="auto" w:sz="4" w:space="0"/>
            </w:tcBorders>
            <w:noWrap w:val="0"/>
            <w:vAlign w:val="center"/>
          </w:tcPr>
          <w:p w14:paraId="21791F92">
            <w:pPr>
              <w:widowControl/>
              <w:jc w:val="center"/>
              <w:rPr>
                <w:rFonts w:ascii="Times New Roman" w:hAnsi="Times New Roman" w:eastAsia="宋体" w:cs="Times New Roman"/>
                <w:color w:val="auto"/>
                <w:kern w:val="0"/>
                <w:szCs w:val="21"/>
              </w:rPr>
            </w:pPr>
          </w:p>
        </w:tc>
      </w:tr>
      <w:tr w14:paraId="2FB0C5AD">
        <w:tblPrEx>
          <w:tblCellMar>
            <w:top w:w="0" w:type="dxa"/>
            <w:left w:w="108" w:type="dxa"/>
            <w:bottom w:w="0" w:type="dxa"/>
            <w:right w:w="108" w:type="dxa"/>
          </w:tblCellMar>
        </w:tblPrEx>
        <w:trPr>
          <w:trHeight w:val="353" w:hRule="atLeast"/>
          <w:jc w:val="center"/>
        </w:trPr>
        <w:tc>
          <w:tcPr>
            <w:tcW w:w="691" w:type="pct"/>
            <w:tcBorders>
              <w:top w:val="single" w:color="auto" w:sz="4" w:space="0"/>
              <w:left w:val="single" w:color="auto" w:sz="4" w:space="0"/>
              <w:bottom w:val="single" w:color="auto" w:sz="4" w:space="0"/>
              <w:right w:val="single" w:color="auto" w:sz="4" w:space="0"/>
            </w:tcBorders>
            <w:noWrap w:val="0"/>
            <w:vAlign w:val="center"/>
          </w:tcPr>
          <w:p w14:paraId="6CF730B1">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标准限值</w:t>
            </w:r>
          </w:p>
        </w:tc>
        <w:tc>
          <w:tcPr>
            <w:tcW w:w="3021" w:type="pct"/>
            <w:gridSpan w:val="5"/>
            <w:tcBorders>
              <w:top w:val="single" w:color="auto" w:sz="4" w:space="0"/>
              <w:left w:val="single" w:color="auto" w:sz="4" w:space="0"/>
              <w:bottom w:val="single" w:color="auto" w:sz="4" w:space="0"/>
              <w:right w:val="single" w:color="auto" w:sz="4" w:space="0"/>
            </w:tcBorders>
            <w:noWrap w:val="0"/>
            <w:vAlign w:val="center"/>
          </w:tcPr>
          <w:p w14:paraId="4AD7E627">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highlight w:val="none"/>
                <w:lang w:val="en-US" w:eastAsia="zh-CN"/>
              </w:rPr>
              <w:t>≦1</w:t>
            </w:r>
          </w:p>
        </w:tc>
        <w:tc>
          <w:tcPr>
            <w:tcW w:w="1287" w:type="pct"/>
            <w:tcBorders>
              <w:top w:val="single" w:color="auto" w:sz="4" w:space="0"/>
              <w:left w:val="single" w:color="auto" w:sz="4" w:space="0"/>
              <w:bottom w:val="single" w:color="auto" w:sz="4" w:space="0"/>
              <w:right w:val="single" w:color="auto" w:sz="4" w:space="0"/>
            </w:tcBorders>
            <w:noWrap w:val="0"/>
            <w:vAlign w:val="center"/>
          </w:tcPr>
          <w:p w14:paraId="04976539">
            <w:pPr>
              <w:widowControl/>
              <w:jc w:val="center"/>
              <w:rPr>
                <w:rFonts w:hint="eastAsia" w:ascii="Times New Roman" w:hAnsi="Times New Roman" w:eastAsia="宋体" w:cs="Times New Roman"/>
                <w:color w:val="auto"/>
                <w:kern w:val="0"/>
                <w:szCs w:val="21"/>
                <w:lang w:val="en-US" w:eastAsia="zh-CN"/>
              </w:rPr>
            </w:pPr>
            <w:r>
              <w:rPr>
                <w:rFonts w:hint="eastAsia" w:cs="Times New Roman"/>
                <w:color w:val="auto"/>
                <w:kern w:val="0"/>
                <w:szCs w:val="21"/>
                <w:lang w:val="en-US" w:eastAsia="zh-CN"/>
              </w:rPr>
              <w:t>/</w:t>
            </w:r>
          </w:p>
        </w:tc>
      </w:tr>
    </w:tbl>
    <w:p w14:paraId="08FAB59A">
      <w:pPr>
        <w:spacing w:line="360" w:lineRule="auto"/>
        <w:ind w:firstLine="480" w:firstLineChars="200"/>
        <w:rPr>
          <w:rFonts w:hint="eastAsia" w:cs="Times New Roman"/>
          <w:color w:val="auto"/>
          <w:kern w:val="24"/>
          <w:sz w:val="24"/>
          <w:lang w:eastAsia="zh-CN"/>
        </w:rPr>
      </w:pPr>
      <w:r>
        <w:rPr>
          <w:rFonts w:hint="eastAsia" w:ascii="Times New Roman" w:hAnsi="Times New Roman" w:cs="Times New Roman"/>
          <w:color w:val="auto"/>
          <w:sz w:val="24"/>
          <w:highlight w:val="none"/>
          <w:lang w:val="en-US" w:eastAsia="zh-CN"/>
        </w:rPr>
        <w:t>从上表可以看出，</w:t>
      </w:r>
      <w:r>
        <w:rPr>
          <w:rFonts w:hint="eastAsia" w:cs="Times New Roman"/>
          <w:color w:val="auto"/>
          <w:sz w:val="24"/>
          <w:highlight w:val="none"/>
          <w:lang w:val="en-US" w:eastAsia="zh-CN"/>
        </w:rPr>
        <w:t>非</w:t>
      </w:r>
      <w:r>
        <w:rPr>
          <w:rFonts w:hint="eastAsia" w:ascii="Times New Roman" w:hAnsi="Times New Roman" w:cs="Times New Roman"/>
          <w:color w:val="auto"/>
          <w:sz w:val="24"/>
          <w:highlight w:val="none"/>
          <w:lang w:val="en-US" w:eastAsia="zh-CN"/>
        </w:rPr>
        <w:t>正常情况下，</w:t>
      </w:r>
      <w:r>
        <w:rPr>
          <w:rFonts w:hint="eastAsia" w:cs="Times New Roman"/>
          <w:color w:val="auto"/>
          <w:sz w:val="24"/>
          <w:highlight w:val="none"/>
          <w:lang w:val="en-US" w:eastAsia="zh-CN"/>
        </w:rPr>
        <w:t>项目尾水排入</w:t>
      </w:r>
      <w:r>
        <w:rPr>
          <w:rFonts w:hint="eastAsia"/>
          <w:color w:val="auto"/>
          <w:sz w:val="24"/>
          <w:highlight w:val="none"/>
          <w:lang w:val="en-US" w:eastAsia="zh-CN"/>
        </w:rPr>
        <w:t>排水渠</w:t>
      </w:r>
      <w:r>
        <w:rPr>
          <w:rFonts w:hint="eastAsia" w:ascii="Times New Roman" w:hAnsi="Times New Roman" w:cs="Times New Roman"/>
          <w:color w:val="auto"/>
          <w:sz w:val="24"/>
          <w:highlight w:val="none"/>
          <w:lang w:val="en-US" w:eastAsia="zh-CN"/>
        </w:rPr>
        <w:t>下游</w:t>
      </w:r>
      <w:r>
        <w:rPr>
          <w:rFonts w:hint="default" w:ascii="Times New Roman" w:hAnsi="Times New Roman" w:cs="Times New Roman"/>
          <w:color w:val="auto"/>
          <w:sz w:val="24"/>
          <w:highlight w:val="none"/>
          <w:lang w:val="en-US" w:eastAsia="zh-CN"/>
        </w:rPr>
        <w:t>10m</w:t>
      </w:r>
      <w:r>
        <w:rPr>
          <w:rFonts w:hint="eastAsia" w:ascii="Times New Roman" w:hAnsi="Times New Roman" w:cs="Times New Roman"/>
          <w:color w:val="auto"/>
          <w:sz w:val="24"/>
          <w:highlight w:val="none"/>
          <w:lang w:val="en-US" w:eastAsia="zh-CN"/>
        </w:rPr>
        <w:t>位置</w:t>
      </w:r>
      <w:r>
        <w:rPr>
          <w:rFonts w:hint="eastAsia" w:cs="Times New Roman"/>
          <w:color w:val="auto"/>
          <w:sz w:val="24"/>
          <w:highlight w:val="none"/>
          <w:lang w:val="en-US" w:eastAsia="zh-CN"/>
        </w:rPr>
        <w:t>时，在叠加背景值情况下氨氮</w:t>
      </w:r>
      <w:r>
        <w:rPr>
          <w:rFonts w:hint="eastAsia" w:ascii="Times New Roman" w:hAnsi="Times New Roman" w:cs="Times New Roman"/>
          <w:color w:val="auto"/>
          <w:sz w:val="24"/>
          <w:highlight w:val="none"/>
          <w:lang w:val="en-US" w:eastAsia="zh-CN"/>
        </w:rPr>
        <w:t>最大</w:t>
      </w:r>
      <w:r>
        <w:rPr>
          <w:rFonts w:hint="eastAsia" w:cs="Times New Roman"/>
          <w:color w:val="auto"/>
          <w:sz w:val="24"/>
          <w:highlight w:val="none"/>
          <w:lang w:val="en-US" w:eastAsia="zh-CN"/>
        </w:rPr>
        <w:t>预测</w:t>
      </w:r>
      <w:r>
        <w:rPr>
          <w:rFonts w:hint="eastAsia" w:ascii="Times New Roman" w:hAnsi="Times New Roman" w:cs="Times New Roman"/>
          <w:color w:val="auto"/>
          <w:sz w:val="24"/>
          <w:highlight w:val="none"/>
          <w:lang w:val="en-US" w:eastAsia="zh-CN"/>
        </w:rPr>
        <w:t>值为</w:t>
      </w:r>
      <w:r>
        <w:rPr>
          <w:rFonts w:hint="eastAsia" w:cs="Times New Roman"/>
          <w:color w:val="auto"/>
          <w:sz w:val="24"/>
          <w:highlight w:val="none"/>
          <w:lang w:val="en-US" w:eastAsia="zh-CN"/>
        </w:rPr>
        <w:t xml:space="preserve">3.0728 </w:t>
      </w:r>
      <w:r>
        <w:rPr>
          <w:rFonts w:hint="default" w:ascii="Times New Roman" w:hAnsi="Times New Roman" w:cs="Times New Roman"/>
          <w:color w:val="auto"/>
          <w:sz w:val="24"/>
          <w:highlight w:val="none"/>
          <w:lang w:val="en-US" w:eastAsia="zh-CN"/>
        </w:rPr>
        <w:t>mg/L</w:t>
      </w:r>
      <w:r>
        <w:rPr>
          <w:rFonts w:hint="eastAsia" w:cs="Times New Roman"/>
          <w:color w:val="auto"/>
          <w:sz w:val="24"/>
          <w:highlight w:val="none"/>
          <w:lang w:val="en-US" w:eastAsia="zh-CN"/>
        </w:rPr>
        <w:t>，但经过稀释作用后，在排水渠下</w:t>
      </w:r>
      <w:r>
        <w:rPr>
          <w:rFonts w:hint="eastAsia" w:cs="宋体"/>
          <w:color w:val="auto"/>
          <w:kern w:val="0"/>
          <w:sz w:val="24"/>
          <w:szCs w:val="24"/>
          <w:lang w:val="en-US" w:eastAsia="zh-CN"/>
        </w:rPr>
        <w:t>游480</w:t>
      </w:r>
      <w:r>
        <w:rPr>
          <w:rFonts w:hint="eastAsia" w:cs="Times New Roman"/>
          <w:color w:val="auto"/>
          <w:sz w:val="24"/>
          <w:highlight w:val="none"/>
          <w:lang w:val="en-US" w:eastAsia="zh-CN"/>
        </w:rPr>
        <w:t>m之后均满足</w:t>
      </w:r>
      <w:r>
        <w:rPr>
          <w:rFonts w:ascii="Times New Roman" w:hAnsi="Times New Roman" w:eastAsia="宋体" w:cs="Times New Roman"/>
          <w:color w:val="auto"/>
          <w:kern w:val="24"/>
          <w:sz w:val="24"/>
        </w:rPr>
        <w:t>《地表水环境质量标准》</w:t>
      </w:r>
      <w:r>
        <w:rPr>
          <w:rFonts w:hint="eastAsia" w:cs="宋体"/>
          <w:color w:val="auto"/>
          <w:kern w:val="0"/>
          <w:sz w:val="24"/>
          <w:szCs w:val="24"/>
        </w:rPr>
        <w:t>III</w:t>
      </w:r>
      <w:r>
        <w:rPr>
          <w:rFonts w:ascii="Times New Roman" w:hAnsi="Times New Roman" w:eastAsia="宋体" w:cs="Times New Roman"/>
          <w:color w:val="auto"/>
          <w:kern w:val="24"/>
          <w:sz w:val="24"/>
        </w:rPr>
        <w:t>类标准</w:t>
      </w:r>
      <w:r>
        <w:rPr>
          <w:rFonts w:hint="eastAsia" w:cs="Times New Roman"/>
          <w:color w:val="auto"/>
          <w:kern w:val="24"/>
          <w:sz w:val="24"/>
          <w:lang w:eastAsia="zh-CN"/>
        </w:rPr>
        <w:t>。</w:t>
      </w:r>
    </w:p>
    <w:p w14:paraId="59A52017">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cs="Times New Roman"/>
          <w:color w:val="auto"/>
          <w:sz w:val="24"/>
          <w:highlight w:val="none"/>
          <w:lang w:val="en-US" w:eastAsia="zh-CN"/>
        </w:rPr>
        <w:fldChar w:fldCharType="begin"/>
      </w:r>
      <w:r>
        <w:rPr>
          <w:rFonts w:hint="eastAsia" w:cs="Times New Roman"/>
          <w:color w:val="auto"/>
          <w:sz w:val="24"/>
          <w:highlight w:val="none"/>
          <w:lang w:val="en-US" w:eastAsia="zh-CN"/>
        </w:rPr>
        <w:instrText xml:space="preserve"> = 3 \* GB3 \* MERGEFORMAT </w:instrText>
      </w:r>
      <w:r>
        <w:rPr>
          <w:rFonts w:hint="eastAsia" w:cs="Times New Roman"/>
          <w:color w:val="auto"/>
          <w:sz w:val="24"/>
          <w:highlight w:val="none"/>
          <w:lang w:val="en-US" w:eastAsia="zh-CN"/>
        </w:rPr>
        <w:fldChar w:fldCharType="separate"/>
      </w:r>
      <w:r>
        <w:rPr>
          <w:color w:val="auto"/>
          <w:highlight w:val="none"/>
        </w:rPr>
        <w:t>③</w:t>
      </w:r>
      <w:r>
        <w:rPr>
          <w:rFonts w:hint="eastAsia" w:cs="Times New Roman"/>
          <w:color w:val="auto"/>
          <w:sz w:val="24"/>
          <w:highlight w:val="none"/>
          <w:lang w:val="en-US" w:eastAsia="zh-CN"/>
        </w:rPr>
        <w:fldChar w:fldCharType="end"/>
      </w:r>
      <w:r>
        <w:rPr>
          <w:rFonts w:hint="eastAsia" w:cs="Times New Roman"/>
          <w:color w:val="auto"/>
          <w:sz w:val="24"/>
          <w:highlight w:val="none"/>
          <w:lang w:val="en-US" w:eastAsia="zh-CN"/>
        </w:rPr>
        <w:t>总磷</w:t>
      </w:r>
      <w:r>
        <w:rPr>
          <w:rFonts w:hint="eastAsia" w:ascii="Times New Roman" w:hAnsi="Times New Roman" w:cs="Times New Roman"/>
          <w:color w:val="auto"/>
          <w:sz w:val="24"/>
          <w:highlight w:val="none"/>
          <w:lang w:val="en-US" w:eastAsia="zh-CN"/>
        </w:rPr>
        <w:t>预测结果分析</w:t>
      </w:r>
    </w:p>
    <w:p w14:paraId="2BE6C247">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cs="Times New Roman"/>
          <w:color w:val="auto"/>
          <w:sz w:val="24"/>
          <w:highlight w:val="none"/>
          <w:lang w:val="en-US" w:eastAsia="zh-CN"/>
        </w:rPr>
        <w:t>非</w:t>
      </w:r>
      <w:r>
        <w:rPr>
          <w:rFonts w:hint="eastAsia" w:ascii="Times New Roman" w:hAnsi="Times New Roman" w:cs="Times New Roman"/>
          <w:color w:val="auto"/>
          <w:sz w:val="24"/>
          <w:highlight w:val="none"/>
          <w:lang w:val="en-US" w:eastAsia="zh-CN"/>
        </w:rPr>
        <w:t>正常工况下，项目</w:t>
      </w:r>
      <w:r>
        <w:rPr>
          <w:rFonts w:hint="eastAsia" w:cs="Times New Roman"/>
          <w:color w:val="auto"/>
          <w:sz w:val="24"/>
          <w:highlight w:val="none"/>
          <w:lang w:val="en-US" w:eastAsia="zh-CN"/>
        </w:rPr>
        <w:t>污水处理厂排放尾水中污染物总磷</w:t>
      </w:r>
      <w:r>
        <w:rPr>
          <w:rFonts w:hint="eastAsia" w:ascii="Times New Roman" w:hAnsi="Times New Roman" w:cs="Times New Roman"/>
          <w:color w:val="auto"/>
          <w:sz w:val="24"/>
          <w:highlight w:val="none"/>
          <w:lang w:val="en-US" w:eastAsia="zh-CN"/>
        </w:rPr>
        <w:t>对</w:t>
      </w:r>
      <w:r>
        <w:rPr>
          <w:rFonts w:hint="eastAsia"/>
          <w:color w:val="auto"/>
          <w:sz w:val="24"/>
          <w:highlight w:val="none"/>
          <w:lang w:val="en-US" w:eastAsia="zh-CN"/>
        </w:rPr>
        <w:t>排水渠</w:t>
      </w:r>
      <w:r>
        <w:rPr>
          <w:rFonts w:hint="eastAsia" w:ascii="Times New Roman" w:hAnsi="Times New Roman" w:cs="Times New Roman"/>
          <w:color w:val="auto"/>
          <w:sz w:val="24"/>
          <w:highlight w:val="none"/>
          <w:lang w:val="en-US" w:eastAsia="zh-CN"/>
        </w:rPr>
        <w:t>影响预测结果见</w:t>
      </w:r>
      <w:r>
        <w:rPr>
          <w:rFonts w:hint="eastAsia" w:cs="Times New Roman"/>
          <w:color w:val="auto"/>
          <w:sz w:val="24"/>
          <w:highlight w:val="none"/>
          <w:lang w:val="en-US" w:eastAsia="zh-CN"/>
        </w:rPr>
        <w:t>下</w:t>
      </w:r>
      <w:r>
        <w:rPr>
          <w:rFonts w:hint="eastAsia" w:ascii="Times New Roman" w:hAnsi="Times New Roman" w:cs="Times New Roman"/>
          <w:color w:val="auto"/>
          <w:sz w:val="24"/>
          <w:highlight w:val="none"/>
          <w:lang w:val="en-US" w:eastAsia="zh-CN"/>
        </w:rPr>
        <w:t xml:space="preserve">表。 </w:t>
      </w:r>
    </w:p>
    <w:p w14:paraId="6BA91087">
      <w:pPr>
        <w:pStyle w:val="7"/>
        <w:bidi w:val="0"/>
        <w:rPr>
          <w:color w:val="auto"/>
        </w:rPr>
      </w:pPr>
      <w:r>
        <w:rPr>
          <w:rFonts w:hint="eastAsia"/>
          <w:color w:val="auto"/>
        </w:rPr>
        <w:t>尾水正常排放对</w:t>
      </w:r>
      <w:r>
        <w:rPr>
          <w:rFonts w:hint="eastAsia"/>
          <w:color w:val="auto"/>
          <w:lang w:val="en-US" w:eastAsia="zh-CN"/>
        </w:rPr>
        <w:t>排水渠</w:t>
      </w:r>
      <w:r>
        <w:rPr>
          <w:rFonts w:hint="eastAsia"/>
          <w:color w:val="auto"/>
        </w:rPr>
        <w:t>下游河段预测结果（</w:t>
      </w:r>
      <w:r>
        <w:rPr>
          <w:rFonts w:hint="eastAsia"/>
          <w:color w:val="auto"/>
          <w:lang w:eastAsia="zh-CN"/>
        </w:rPr>
        <w:t>氨氮</w:t>
      </w:r>
      <w:r>
        <w:rPr>
          <w:rFonts w:hint="eastAsia"/>
          <w:color w:val="auto"/>
        </w:rPr>
        <w:t>）</w:t>
      </w:r>
      <w:r>
        <w:rPr>
          <w:color w:val="auto"/>
        </w:rPr>
        <w:t xml:space="preserve"> 单位：mg/L</w:t>
      </w:r>
    </w:p>
    <w:tbl>
      <w:tblPr>
        <w:tblStyle w:val="31"/>
        <w:tblW w:w="4455" w:type="pct"/>
        <w:jc w:val="center"/>
        <w:tblLayout w:type="autofit"/>
        <w:tblCellMar>
          <w:top w:w="0" w:type="dxa"/>
          <w:left w:w="108" w:type="dxa"/>
          <w:bottom w:w="0" w:type="dxa"/>
          <w:right w:w="108" w:type="dxa"/>
        </w:tblCellMar>
      </w:tblPr>
      <w:tblGrid>
        <w:gridCol w:w="1137"/>
        <w:gridCol w:w="992"/>
        <w:gridCol w:w="992"/>
        <w:gridCol w:w="992"/>
        <w:gridCol w:w="992"/>
        <w:gridCol w:w="1010"/>
        <w:gridCol w:w="2120"/>
      </w:tblGrid>
      <w:tr w14:paraId="4062C3AB">
        <w:tblPrEx>
          <w:tblCellMar>
            <w:top w:w="0" w:type="dxa"/>
            <w:left w:w="108" w:type="dxa"/>
            <w:bottom w:w="0" w:type="dxa"/>
            <w:right w:w="108" w:type="dxa"/>
          </w:tblCellMar>
        </w:tblPrEx>
        <w:trPr>
          <w:trHeight w:val="354" w:hRule="atLeast"/>
          <w:jc w:val="center"/>
        </w:trPr>
        <w:tc>
          <w:tcPr>
            <w:tcW w:w="691" w:type="pct"/>
            <w:tcBorders>
              <w:top w:val="single" w:color="auto" w:sz="4" w:space="0"/>
              <w:left w:val="single" w:color="auto" w:sz="4" w:space="0"/>
              <w:bottom w:val="single" w:color="auto" w:sz="4" w:space="0"/>
              <w:right w:val="single" w:color="auto" w:sz="4" w:space="0"/>
            </w:tcBorders>
            <w:noWrap w:val="0"/>
            <w:vAlign w:val="center"/>
          </w:tcPr>
          <w:p w14:paraId="7DF752A1">
            <w:pPr>
              <w:widowControl/>
              <w:jc w:val="center"/>
              <w:rPr>
                <w:rFonts w:ascii="Times New Roman" w:hAnsi="Times New Roman" w:eastAsia="宋体" w:cs="Times New Roman"/>
                <w:b/>
                <w:bCs/>
                <w:color w:val="auto"/>
                <w:kern w:val="0"/>
                <w:szCs w:val="21"/>
              </w:rPr>
            </w:pPr>
            <w:r>
              <w:rPr>
                <w:rFonts w:ascii="Times New Roman" w:hAnsi="Times New Roman" w:eastAsia="宋体" w:cs="Times New Roman"/>
                <w:b/>
                <w:bCs/>
                <w:color w:val="auto"/>
                <w:kern w:val="0"/>
                <w:szCs w:val="21"/>
              </w:rPr>
              <w:t>X\c/Y　</w:t>
            </w:r>
          </w:p>
        </w:tc>
        <w:tc>
          <w:tcPr>
            <w:tcW w:w="602" w:type="pct"/>
            <w:tcBorders>
              <w:top w:val="single" w:color="auto" w:sz="4" w:space="0"/>
              <w:left w:val="nil"/>
              <w:bottom w:val="single" w:color="auto" w:sz="4" w:space="0"/>
              <w:right w:val="single" w:color="auto" w:sz="4" w:space="0"/>
            </w:tcBorders>
            <w:noWrap w:val="0"/>
            <w:vAlign w:val="center"/>
          </w:tcPr>
          <w:p w14:paraId="7CAD6645">
            <w:pPr>
              <w:widowControl/>
              <w:jc w:val="center"/>
              <w:rPr>
                <w:rFonts w:hint="eastAsia" w:ascii="Times New Roman" w:hAnsi="Times New Roman" w:eastAsia="宋体" w:cs="Times New Roman"/>
                <w:b/>
                <w:bCs/>
                <w:color w:val="auto"/>
                <w:kern w:val="0"/>
                <w:szCs w:val="21"/>
                <w:lang w:eastAsia="zh-CN"/>
              </w:rPr>
            </w:pPr>
            <w:r>
              <w:rPr>
                <w:rFonts w:hint="eastAsia" w:cs="Times New Roman"/>
                <w:b/>
                <w:bCs/>
                <w:color w:val="auto"/>
                <w:kern w:val="0"/>
                <w:szCs w:val="21"/>
                <w:lang w:val="en-US" w:eastAsia="zh-CN"/>
              </w:rPr>
              <w:t>1</w:t>
            </w:r>
          </w:p>
        </w:tc>
        <w:tc>
          <w:tcPr>
            <w:tcW w:w="602" w:type="pct"/>
            <w:tcBorders>
              <w:top w:val="single" w:color="auto" w:sz="4" w:space="0"/>
              <w:left w:val="nil"/>
              <w:bottom w:val="single" w:color="auto" w:sz="4" w:space="0"/>
              <w:right w:val="single" w:color="auto" w:sz="4" w:space="0"/>
            </w:tcBorders>
            <w:noWrap w:val="0"/>
            <w:vAlign w:val="center"/>
          </w:tcPr>
          <w:p w14:paraId="083E6A81">
            <w:pPr>
              <w:widowControl/>
              <w:jc w:val="center"/>
              <w:rPr>
                <w:rFonts w:hint="default" w:ascii="Times New Roman" w:hAnsi="Times New Roman" w:eastAsia="宋体" w:cs="Times New Roman"/>
                <w:b/>
                <w:bCs/>
                <w:color w:val="auto"/>
                <w:kern w:val="0"/>
                <w:szCs w:val="21"/>
                <w:lang w:val="en-US" w:eastAsia="zh-CN"/>
              </w:rPr>
            </w:pPr>
            <w:r>
              <w:rPr>
                <w:rFonts w:hint="eastAsia" w:ascii="Times New Roman" w:hAnsi="Times New Roman" w:eastAsia="宋体" w:cs="Times New Roman"/>
                <w:b/>
                <w:bCs/>
                <w:color w:val="auto"/>
                <w:kern w:val="0"/>
                <w:szCs w:val="21"/>
                <w:lang w:val="en-US" w:eastAsia="zh-CN"/>
              </w:rPr>
              <w:t>2</w:t>
            </w:r>
          </w:p>
        </w:tc>
        <w:tc>
          <w:tcPr>
            <w:tcW w:w="602" w:type="pct"/>
            <w:tcBorders>
              <w:top w:val="single" w:color="auto" w:sz="4" w:space="0"/>
              <w:left w:val="nil"/>
              <w:bottom w:val="single" w:color="auto" w:sz="4" w:space="0"/>
              <w:right w:val="single" w:color="auto" w:sz="4" w:space="0"/>
            </w:tcBorders>
            <w:noWrap w:val="0"/>
            <w:vAlign w:val="center"/>
          </w:tcPr>
          <w:p w14:paraId="424F057C">
            <w:pPr>
              <w:widowControl/>
              <w:jc w:val="center"/>
              <w:rPr>
                <w:rFonts w:hint="default" w:ascii="Times New Roman" w:hAnsi="Times New Roman" w:eastAsia="宋体" w:cs="Times New Roman"/>
                <w:b/>
                <w:bCs/>
                <w:color w:val="auto"/>
                <w:kern w:val="0"/>
                <w:szCs w:val="21"/>
                <w:lang w:val="en-US" w:eastAsia="zh-CN"/>
              </w:rPr>
            </w:pPr>
            <w:r>
              <w:rPr>
                <w:rFonts w:hint="eastAsia" w:cs="Times New Roman"/>
                <w:b/>
                <w:bCs/>
                <w:color w:val="auto"/>
                <w:kern w:val="0"/>
                <w:szCs w:val="21"/>
                <w:lang w:val="en-US" w:eastAsia="zh-CN"/>
              </w:rPr>
              <w:t>3</w:t>
            </w:r>
          </w:p>
        </w:tc>
        <w:tc>
          <w:tcPr>
            <w:tcW w:w="602" w:type="pct"/>
            <w:tcBorders>
              <w:top w:val="single" w:color="auto" w:sz="4" w:space="0"/>
              <w:left w:val="nil"/>
              <w:bottom w:val="single" w:color="auto" w:sz="4" w:space="0"/>
              <w:right w:val="single" w:color="auto" w:sz="4" w:space="0"/>
            </w:tcBorders>
            <w:noWrap w:val="0"/>
            <w:vAlign w:val="center"/>
          </w:tcPr>
          <w:p w14:paraId="49C4584C">
            <w:pPr>
              <w:widowControl/>
              <w:jc w:val="center"/>
              <w:rPr>
                <w:rFonts w:hint="eastAsia" w:cs="Times New Roman"/>
                <w:b/>
                <w:bCs/>
                <w:color w:val="auto"/>
                <w:kern w:val="0"/>
                <w:szCs w:val="21"/>
                <w:lang w:val="en-US" w:eastAsia="zh-CN"/>
              </w:rPr>
            </w:pPr>
            <w:r>
              <w:rPr>
                <w:rFonts w:hint="eastAsia" w:cs="Times New Roman"/>
                <w:b/>
                <w:bCs/>
                <w:color w:val="auto"/>
                <w:kern w:val="0"/>
                <w:szCs w:val="21"/>
                <w:lang w:val="en-US" w:eastAsia="zh-CN"/>
              </w:rPr>
              <w:t>4</w:t>
            </w:r>
          </w:p>
        </w:tc>
        <w:tc>
          <w:tcPr>
            <w:tcW w:w="612" w:type="pct"/>
            <w:tcBorders>
              <w:top w:val="single" w:color="auto" w:sz="4" w:space="0"/>
              <w:left w:val="nil"/>
              <w:bottom w:val="single" w:color="auto" w:sz="4" w:space="0"/>
              <w:right w:val="single" w:color="auto" w:sz="4" w:space="0"/>
            </w:tcBorders>
            <w:noWrap w:val="0"/>
            <w:vAlign w:val="center"/>
          </w:tcPr>
          <w:p w14:paraId="1C0FF4D2">
            <w:pPr>
              <w:widowControl/>
              <w:jc w:val="center"/>
              <w:rPr>
                <w:rFonts w:hint="default" w:ascii="Times New Roman" w:hAnsi="Times New Roman" w:eastAsia="宋体" w:cs="Times New Roman"/>
                <w:b/>
                <w:bCs/>
                <w:color w:val="auto"/>
                <w:kern w:val="0"/>
                <w:szCs w:val="21"/>
                <w:lang w:val="en-US" w:eastAsia="zh-CN"/>
              </w:rPr>
            </w:pPr>
            <w:r>
              <w:rPr>
                <w:rFonts w:hint="eastAsia" w:cs="Times New Roman"/>
                <w:b/>
                <w:bCs/>
                <w:color w:val="auto"/>
                <w:kern w:val="0"/>
                <w:szCs w:val="21"/>
                <w:lang w:val="en-US" w:eastAsia="zh-CN"/>
              </w:rPr>
              <w:t>5</w:t>
            </w:r>
          </w:p>
        </w:tc>
        <w:tc>
          <w:tcPr>
            <w:tcW w:w="1287" w:type="pct"/>
            <w:tcBorders>
              <w:top w:val="single" w:color="auto" w:sz="4" w:space="0"/>
              <w:left w:val="nil"/>
              <w:bottom w:val="single" w:color="auto" w:sz="4" w:space="0"/>
              <w:right w:val="single" w:color="auto" w:sz="4" w:space="0"/>
            </w:tcBorders>
            <w:noWrap w:val="0"/>
            <w:vAlign w:val="center"/>
          </w:tcPr>
          <w:p w14:paraId="77EDC2B6">
            <w:pPr>
              <w:widowControl/>
              <w:jc w:val="center"/>
              <w:rPr>
                <w:rFonts w:ascii="Times New Roman" w:hAnsi="Times New Roman" w:eastAsia="宋体" w:cs="Times New Roman"/>
                <w:b/>
                <w:bCs/>
                <w:color w:val="auto"/>
                <w:kern w:val="0"/>
                <w:szCs w:val="21"/>
              </w:rPr>
            </w:pPr>
            <w:r>
              <w:rPr>
                <w:rFonts w:ascii="Times New Roman" w:hAnsi="Times New Roman" w:eastAsia="宋体" w:cs="Times New Roman"/>
                <w:b/>
                <w:bCs/>
                <w:color w:val="auto"/>
                <w:kern w:val="0"/>
                <w:szCs w:val="21"/>
              </w:rPr>
              <w:t>备注</w:t>
            </w:r>
          </w:p>
        </w:tc>
      </w:tr>
      <w:tr w14:paraId="743E746B">
        <w:tblPrEx>
          <w:tblCellMar>
            <w:top w:w="0" w:type="dxa"/>
            <w:left w:w="108" w:type="dxa"/>
            <w:bottom w:w="0" w:type="dxa"/>
            <w:right w:w="108" w:type="dxa"/>
          </w:tblCellMar>
        </w:tblPrEx>
        <w:trPr>
          <w:trHeight w:val="354" w:hRule="atLeast"/>
          <w:jc w:val="center"/>
        </w:trPr>
        <w:tc>
          <w:tcPr>
            <w:tcW w:w="691" w:type="pct"/>
            <w:tcBorders>
              <w:top w:val="single" w:color="auto" w:sz="4" w:space="0"/>
              <w:left w:val="single" w:color="auto" w:sz="4" w:space="0"/>
              <w:bottom w:val="single" w:color="auto" w:sz="4" w:space="0"/>
              <w:right w:val="single" w:color="auto" w:sz="4" w:space="0"/>
            </w:tcBorders>
            <w:noWrap w:val="0"/>
            <w:vAlign w:val="center"/>
          </w:tcPr>
          <w:p w14:paraId="373CA64B">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w:t>
            </w:r>
          </w:p>
        </w:tc>
        <w:tc>
          <w:tcPr>
            <w:tcW w:w="602" w:type="pct"/>
            <w:tcBorders>
              <w:top w:val="single" w:color="auto" w:sz="4" w:space="0"/>
              <w:left w:val="nil"/>
              <w:bottom w:val="single" w:color="auto" w:sz="4" w:space="0"/>
              <w:right w:val="single" w:color="auto" w:sz="4" w:space="0"/>
            </w:tcBorders>
            <w:noWrap w:val="0"/>
            <w:vAlign w:val="center"/>
          </w:tcPr>
          <w:p w14:paraId="73033374">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0.0800 </w:t>
            </w:r>
          </w:p>
        </w:tc>
        <w:tc>
          <w:tcPr>
            <w:tcW w:w="602" w:type="pct"/>
            <w:tcBorders>
              <w:top w:val="single" w:color="auto" w:sz="4" w:space="0"/>
              <w:left w:val="nil"/>
              <w:bottom w:val="single" w:color="auto" w:sz="4" w:space="0"/>
              <w:right w:val="single" w:color="auto" w:sz="4" w:space="0"/>
            </w:tcBorders>
            <w:noWrap w:val="0"/>
            <w:vAlign w:val="center"/>
          </w:tcPr>
          <w:p w14:paraId="5213AF41">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0.0800 </w:t>
            </w:r>
          </w:p>
        </w:tc>
        <w:tc>
          <w:tcPr>
            <w:tcW w:w="602" w:type="pct"/>
            <w:tcBorders>
              <w:top w:val="single" w:color="auto" w:sz="4" w:space="0"/>
              <w:left w:val="nil"/>
              <w:bottom w:val="single" w:color="auto" w:sz="4" w:space="0"/>
              <w:right w:val="single" w:color="auto" w:sz="4" w:space="0"/>
            </w:tcBorders>
            <w:noWrap w:val="0"/>
            <w:vAlign w:val="center"/>
          </w:tcPr>
          <w:p w14:paraId="0645C9F1">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0.0800 </w:t>
            </w:r>
          </w:p>
        </w:tc>
        <w:tc>
          <w:tcPr>
            <w:tcW w:w="602" w:type="pct"/>
            <w:tcBorders>
              <w:top w:val="single" w:color="auto" w:sz="4" w:space="0"/>
              <w:left w:val="nil"/>
              <w:bottom w:val="single" w:color="auto" w:sz="4" w:space="0"/>
              <w:right w:val="single" w:color="auto" w:sz="4" w:space="0"/>
            </w:tcBorders>
            <w:noWrap w:val="0"/>
            <w:vAlign w:val="center"/>
          </w:tcPr>
          <w:p w14:paraId="0B17668D">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0.0800 </w:t>
            </w:r>
          </w:p>
        </w:tc>
        <w:tc>
          <w:tcPr>
            <w:tcW w:w="612" w:type="pct"/>
            <w:tcBorders>
              <w:top w:val="single" w:color="auto" w:sz="4" w:space="0"/>
              <w:left w:val="nil"/>
              <w:bottom w:val="single" w:color="auto" w:sz="4" w:space="0"/>
              <w:right w:val="single" w:color="auto" w:sz="4" w:space="0"/>
            </w:tcBorders>
            <w:noWrap w:val="0"/>
            <w:vAlign w:val="center"/>
          </w:tcPr>
          <w:p w14:paraId="51B88F1D">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0.0800 </w:t>
            </w:r>
          </w:p>
        </w:tc>
        <w:tc>
          <w:tcPr>
            <w:tcW w:w="1287" w:type="pct"/>
            <w:vMerge w:val="restart"/>
            <w:tcBorders>
              <w:top w:val="single" w:color="auto" w:sz="4" w:space="0"/>
              <w:left w:val="nil"/>
              <w:right w:val="single" w:color="auto" w:sz="4" w:space="0"/>
            </w:tcBorders>
            <w:noWrap w:val="0"/>
            <w:vAlign w:val="center"/>
          </w:tcPr>
          <w:p w14:paraId="273B8715">
            <w:pPr>
              <w:widowControl/>
              <w:jc w:val="center"/>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混合过程段</w:t>
            </w:r>
          </w:p>
        </w:tc>
      </w:tr>
      <w:tr w14:paraId="597419C4">
        <w:tblPrEx>
          <w:tblCellMar>
            <w:top w:w="0" w:type="dxa"/>
            <w:left w:w="108" w:type="dxa"/>
            <w:bottom w:w="0" w:type="dxa"/>
            <w:right w:w="108" w:type="dxa"/>
          </w:tblCellMar>
        </w:tblPrEx>
        <w:trPr>
          <w:trHeight w:val="354" w:hRule="atLeast"/>
          <w:jc w:val="center"/>
        </w:trPr>
        <w:tc>
          <w:tcPr>
            <w:tcW w:w="691" w:type="pct"/>
            <w:tcBorders>
              <w:top w:val="nil"/>
              <w:left w:val="single" w:color="auto" w:sz="4" w:space="0"/>
              <w:bottom w:val="single" w:color="auto" w:sz="4" w:space="0"/>
              <w:right w:val="single" w:color="auto" w:sz="4" w:space="0"/>
            </w:tcBorders>
            <w:noWrap w:val="0"/>
            <w:vAlign w:val="center"/>
          </w:tcPr>
          <w:p w14:paraId="576EFE05">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10</w:t>
            </w:r>
          </w:p>
        </w:tc>
        <w:tc>
          <w:tcPr>
            <w:tcW w:w="602" w:type="pct"/>
            <w:tcBorders>
              <w:top w:val="nil"/>
              <w:left w:val="nil"/>
              <w:bottom w:val="single" w:color="auto" w:sz="4" w:space="0"/>
              <w:right w:val="single" w:color="auto" w:sz="4" w:space="0"/>
            </w:tcBorders>
            <w:noWrap w:val="0"/>
            <w:vAlign w:val="center"/>
          </w:tcPr>
          <w:p w14:paraId="793BB119">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0.2742 </w:t>
            </w:r>
          </w:p>
        </w:tc>
        <w:tc>
          <w:tcPr>
            <w:tcW w:w="602" w:type="pct"/>
            <w:tcBorders>
              <w:top w:val="nil"/>
              <w:left w:val="nil"/>
              <w:bottom w:val="single" w:color="auto" w:sz="4" w:space="0"/>
              <w:right w:val="single" w:color="auto" w:sz="4" w:space="0"/>
            </w:tcBorders>
            <w:noWrap w:val="0"/>
            <w:vAlign w:val="center"/>
          </w:tcPr>
          <w:p w14:paraId="4113C228">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0.0812 </w:t>
            </w:r>
          </w:p>
        </w:tc>
        <w:tc>
          <w:tcPr>
            <w:tcW w:w="602" w:type="pct"/>
            <w:tcBorders>
              <w:top w:val="nil"/>
              <w:left w:val="nil"/>
              <w:bottom w:val="single" w:color="auto" w:sz="4" w:space="0"/>
              <w:right w:val="single" w:color="auto" w:sz="4" w:space="0"/>
            </w:tcBorders>
            <w:noWrap w:val="0"/>
            <w:vAlign w:val="center"/>
          </w:tcPr>
          <w:p w14:paraId="64600276">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0.0800 </w:t>
            </w:r>
          </w:p>
        </w:tc>
        <w:tc>
          <w:tcPr>
            <w:tcW w:w="602" w:type="pct"/>
            <w:tcBorders>
              <w:top w:val="nil"/>
              <w:left w:val="nil"/>
              <w:bottom w:val="single" w:color="auto" w:sz="4" w:space="0"/>
              <w:right w:val="single" w:color="auto" w:sz="4" w:space="0"/>
            </w:tcBorders>
            <w:noWrap w:val="0"/>
            <w:vAlign w:val="center"/>
          </w:tcPr>
          <w:p w14:paraId="460D65A3">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0.0800 </w:t>
            </w:r>
          </w:p>
        </w:tc>
        <w:tc>
          <w:tcPr>
            <w:tcW w:w="612" w:type="pct"/>
            <w:tcBorders>
              <w:top w:val="nil"/>
              <w:left w:val="nil"/>
              <w:bottom w:val="single" w:color="auto" w:sz="4" w:space="0"/>
              <w:right w:val="single" w:color="auto" w:sz="4" w:space="0"/>
            </w:tcBorders>
            <w:noWrap w:val="0"/>
            <w:vAlign w:val="center"/>
          </w:tcPr>
          <w:p w14:paraId="70CCD1F6">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0.0800 </w:t>
            </w:r>
          </w:p>
        </w:tc>
        <w:tc>
          <w:tcPr>
            <w:tcW w:w="1287" w:type="pct"/>
            <w:vMerge w:val="continue"/>
            <w:tcBorders>
              <w:left w:val="nil"/>
              <w:right w:val="single" w:color="auto" w:sz="4" w:space="0"/>
            </w:tcBorders>
            <w:noWrap w:val="0"/>
            <w:vAlign w:val="center"/>
          </w:tcPr>
          <w:p w14:paraId="6693C6E6">
            <w:pPr>
              <w:widowControl/>
              <w:jc w:val="center"/>
              <w:rPr>
                <w:rFonts w:ascii="Times New Roman" w:hAnsi="Times New Roman" w:eastAsia="宋体" w:cs="Times New Roman"/>
                <w:color w:val="auto"/>
                <w:kern w:val="0"/>
                <w:sz w:val="21"/>
                <w:szCs w:val="21"/>
              </w:rPr>
            </w:pPr>
          </w:p>
        </w:tc>
      </w:tr>
      <w:tr w14:paraId="694029A4">
        <w:trPr>
          <w:trHeight w:val="354" w:hRule="atLeast"/>
          <w:jc w:val="center"/>
        </w:trPr>
        <w:tc>
          <w:tcPr>
            <w:tcW w:w="691" w:type="pct"/>
            <w:tcBorders>
              <w:top w:val="nil"/>
              <w:left w:val="single" w:color="auto" w:sz="4" w:space="0"/>
              <w:bottom w:val="single" w:color="auto" w:sz="4" w:space="0"/>
              <w:right w:val="single" w:color="auto" w:sz="4" w:space="0"/>
            </w:tcBorders>
            <w:noWrap w:val="0"/>
            <w:vAlign w:val="center"/>
          </w:tcPr>
          <w:p w14:paraId="23E83BB5">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50</w:t>
            </w:r>
          </w:p>
        </w:tc>
        <w:tc>
          <w:tcPr>
            <w:tcW w:w="602" w:type="pct"/>
            <w:tcBorders>
              <w:top w:val="nil"/>
              <w:left w:val="nil"/>
              <w:bottom w:val="single" w:color="auto" w:sz="4" w:space="0"/>
              <w:right w:val="single" w:color="auto" w:sz="4" w:space="0"/>
            </w:tcBorders>
            <w:noWrap w:val="0"/>
            <w:vAlign w:val="center"/>
          </w:tcPr>
          <w:p w14:paraId="72CC2D69">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0.4077 </w:t>
            </w:r>
          </w:p>
        </w:tc>
        <w:tc>
          <w:tcPr>
            <w:tcW w:w="602" w:type="pct"/>
            <w:tcBorders>
              <w:top w:val="nil"/>
              <w:left w:val="nil"/>
              <w:bottom w:val="single" w:color="auto" w:sz="4" w:space="0"/>
              <w:right w:val="single" w:color="auto" w:sz="4" w:space="0"/>
            </w:tcBorders>
            <w:noWrap w:val="0"/>
            <w:vAlign w:val="center"/>
          </w:tcPr>
          <w:p w14:paraId="1C545B27">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0.1993 </w:t>
            </w:r>
          </w:p>
        </w:tc>
        <w:tc>
          <w:tcPr>
            <w:tcW w:w="602" w:type="pct"/>
            <w:tcBorders>
              <w:top w:val="nil"/>
              <w:left w:val="nil"/>
              <w:bottom w:val="single" w:color="auto" w:sz="4" w:space="0"/>
              <w:right w:val="single" w:color="auto" w:sz="4" w:space="0"/>
            </w:tcBorders>
            <w:noWrap w:val="0"/>
            <w:vAlign w:val="center"/>
          </w:tcPr>
          <w:p w14:paraId="6705146E">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0.1021 </w:t>
            </w:r>
          </w:p>
        </w:tc>
        <w:tc>
          <w:tcPr>
            <w:tcW w:w="602" w:type="pct"/>
            <w:tcBorders>
              <w:top w:val="nil"/>
              <w:left w:val="nil"/>
              <w:bottom w:val="single" w:color="auto" w:sz="4" w:space="0"/>
              <w:right w:val="single" w:color="auto" w:sz="4" w:space="0"/>
            </w:tcBorders>
            <w:noWrap w:val="0"/>
            <w:vAlign w:val="center"/>
          </w:tcPr>
          <w:p w14:paraId="295187D6">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0.0821 </w:t>
            </w:r>
          </w:p>
        </w:tc>
        <w:tc>
          <w:tcPr>
            <w:tcW w:w="612" w:type="pct"/>
            <w:tcBorders>
              <w:top w:val="nil"/>
              <w:left w:val="nil"/>
              <w:bottom w:val="single" w:color="auto" w:sz="4" w:space="0"/>
              <w:right w:val="single" w:color="auto" w:sz="4" w:space="0"/>
            </w:tcBorders>
            <w:noWrap w:val="0"/>
            <w:vAlign w:val="center"/>
          </w:tcPr>
          <w:p w14:paraId="2F4628AE">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0.0801 </w:t>
            </w:r>
          </w:p>
        </w:tc>
        <w:tc>
          <w:tcPr>
            <w:tcW w:w="1287" w:type="pct"/>
            <w:vMerge w:val="continue"/>
            <w:tcBorders>
              <w:left w:val="nil"/>
              <w:right w:val="single" w:color="auto" w:sz="4" w:space="0"/>
            </w:tcBorders>
            <w:noWrap w:val="0"/>
            <w:vAlign w:val="center"/>
          </w:tcPr>
          <w:p w14:paraId="2BDAEAEB">
            <w:pPr>
              <w:widowControl/>
              <w:jc w:val="center"/>
              <w:rPr>
                <w:rFonts w:ascii="Times New Roman" w:hAnsi="Times New Roman" w:eastAsia="宋体" w:cs="Times New Roman"/>
                <w:color w:val="auto"/>
                <w:kern w:val="0"/>
                <w:sz w:val="21"/>
                <w:szCs w:val="21"/>
              </w:rPr>
            </w:pPr>
          </w:p>
        </w:tc>
      </w:tr>
      <w:tr w14:paraId="55530F9C">
        <w:tblPrEx>
          <w:tblCellMar>
            <w:top w:w="0" w:type="dxa"/>
            <w:left w:w="108" w:type="dxa"/>
            <w:bottom w:w="0" w:type="dxa"/>
            <w:right w:w="108" w:type="dxa"/>
          </w:tblCellMar>
        </w:tblPrEx>
        <w:trPr>
          <w:trHeight w:val="354" w:hRule="atLeast"/>
          <w:jc w:val="center"/>
        </w:trPr>
        <w:tc>
          <w:tcPr>
            <w:tcW w:w="691" w:type="pct"/>
            <w:tcBorders>
              <w:top w:val="nil"/>
              <w:left w:val="single" w:color="auto" w:sz="4" w:space="0"/>
              <w:bottom w:val="single" w:color="auto" w:sz="4" w:space="0"/>
              <w:right w:val="single" w:color="auto" w:sz="4" w:space="0"/>
            </w:tcBorders>
            <w:noWrap w:val="0"/>
            <w:vAlign w:val="center"/>
          </w:tcPr>
          <w:p w14:paraId="7195A903">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100</w:t>
            </w:r>
          </w:p>
        </w:tc>
        <w:tc>
          <w:tcPr>
            <w:tcW w:w="602" w:type="pct"/>
            <w:tcBorders>
              <w:top w:val="nil"/>
              <w:left w:val="nil"/>
              <w:bottom w:val="single" w:color="auto" w:sz="4" w:space="0"/>
              <w:right w:val="single" w:color="auto" w:sz="4" w:space="0"/>
            </w:tcBorders>
            <w:noWrap w:val="0"/>
            <w:vAlign w:val="center"/>
          </w:tcPr>
          <w:p w14:paraId="1E17D09B">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0.3477 </w:t>
            </w:r>
          </w:p>
        </w:tc>
        <w:tc>
          <w:tcPr>
            <w:tcW w:w="602" w:type="pct"/>
            <w:tcBorders>
              <w:top w:val="nil"/>
              <w:left w:val="nil"/>
              <w:bottom w:val="single" w:color="auto" w:sz="4" w:space="0"/>
              <w:right w:val="single" w:color="auto" w:sz="4" w:space="0"/>
            </w:tcBorders>
            <w:noWrap w:val="0"/>
            <w:vAlign w:val="center"/>
          </w:tcPr>
          <w:p w14:paraId="106E2242">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0.2415 </w:t>
            </w:r>
          </w:p>
        </w:tc>
        <w:tc>
          <w:tcPr>
            <w:tcW w:w="602" w:type="pct"/>
            <w:tcBorders>
              <w:top w:val="nil"/>
              <w:left w:val="nil"/>
              <w:bottom w:val="single" w:color="auto" w:sz="4" w:space="0"/>
              <w:right w:val="single" w:color="auto" w:sz="4" w:space="0"/>
            </w:tcBorders>
            <w:noWrap w:val="0"/>
            <w:vAlign w:val="center"/>
          </w:tcPr>
          <w:p w14:paraId="2113DC8B">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0.1496 </w:t>
            </w:r>
          </w:p>
        </w:tc>
        <w:tc>
          <w:tcPr>
            <w:tcW w:w="602" w:type="pct"/>
            <w:tcBorders>
              <w:top w:val="nil"/>
              <w:left w:val="nil"/>
              <w:bottom w:val="single" w:color="auto" w:sz="4" w:space="0"/>
              <w:right w:val="single" w:color="auto" w:sz="4" w:space="0"/>
            </w:tcBorders>
            <w:noWrap w:val="0"/>
            <w:vAlign w:val="center"/>
          </w:tcPr>
          <w:p w14:paraId="523863D3">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0.1014 </w:t>
            </w:r>
          </w:p>
        </w:tc>
        <w:tc>
          <w:tcPr>
            <w:tcW w:w="612" w:type="pct"/>
            <w:tcBorders>
              <w:top w:val="nil"/>
              <w:left w:val="nil"/>
              <w:bottom w:val="single" w:color="auto" w:sz="4" w:space="0"/>
              <w:right w:val="single" w:color="auto" w:sz="4" w:space="0"/>
            </w:tcBorders>
            <w:noWrap w:val="0"/>
            <w:vAlign w:val="center"/>
          </w:tcPr>
          <w:p w14:paraId="3DBD53A1">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0.0847 </w:t>
            </w:r>
          </w:p>
        </w:tc>
        <w:tc>
          <w:tcPr>
            <w:tcW w:w="1287" w:type="pct"/>
            <w:vMerge w:val="continue"/>
            <w:tcBorders>
              <w:left w:val="nil"/>
              <w:right w:val="single" w:color="auto" w:sz="4" w:space="0"/>
            </w:tcBorders>
            <w:noWrap w:val="0"/>
            <w:vAlign w:val="center"/>
          </w:tcPr>
          <w:p w14:paraId="499FCC64">
            <w:pPr>
              <w:widowControl/>
              <w:jc w:val="center"/>
              <w:rPr>
                <w:rFonts w:ascii="Times New Roman" w:hAnsi="Times New Roman" w:eastAsia="宋体" w:cs="Times New Roman"/>
                <w:color w:val="auto"/>
                <w:kern w:val="0"/>
                <w:sz w:val="21"/>
                <w:szCs w:val="21"/>
              </w:rPr>
            </w:pPr>
          </w:p>
        </w:tc>
      </w:tr>
      <w:tr w14:paraId="58BCABA9">
        <w:trPr>
          <w:trHeight w:val="354" w:hRule="atLeast"/>
          <w:jc w:val="center"/>
        </w:trPr>
        <w:tc>
          <w:tcPr>
            <w:tcW w:w="691" w:type="pct"/>
            <w:tcBorders>
              <w:top w:val="nil"/>
              <w:left w:val="single" w:color="auto" w:sz="4" w:space="0"/>
              <w:bottom w:val="single" w:color="auto" w:sz="4" w:space="0"/>
              <w:right w:val="single" w:color="auto" w:sz="4" w:space="0"/>
            </w:tcBorders>
            <w:shd w:val="clear" w:color="auto" w:fill="auto"/>
            <w:noWrap w:val="0"/>
            <w:vAlign w:val="center"/>
          </w:tcPr>
          <w:p w14:paraId="23869396">
            <w:pPr>
              <w:widowControl/>
              <w:shd w:val="clear" w:color="auto" w:fill="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200</w:t>
            </w:r>
          </w:p>
        </w:tc>
        <w:tc>
          <w:tcPr>
            <w:tcW w:w="602" w:type="pct"/>
            <w:tcBorders>
              <w:top w:val="nil"/>
              <w:left w:val="nil"/>
              <w:bottom w:val="single" w:color="auto" w:sz="4" w:space="0"/>
              <w:right w:val="single" w:color="auto" w:sz="4" w:space="0"/>
            </w:tcBorders>
            <w:shd w:val="clear" w:color="auto" w:fill="auto"/>
            <w:noWrap w:val="0"/>
            <w:vAlign w:val="center"/>
          </w:tcPr>
          <w:p w14:paraId="54372B25">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0.2324 </w:t>
            </w:r>
          </w:p>
        </w:tc>
        <w:tc>
          <w:tcPr>
            <w:tcW w:w="602" w:type="pct"/>
            <w:tcBorders>
              <w:top w:val="nil"/>
              <w:left w:val="nil"/>
              <w:bottom w:val="single" w:color="auto" w:sz="4" w:space="0"/>
              <w:right w:val="single" w:color="auto" w:sz="4" w:space="0"/>
            </w:tcBorders>
            <w:shd w:val="clear" w:color="auto" w:fill="auto"/>
            <w:noWrap w:val="0"/>
            <w:vAlign w:val="center"/>
          </w:tcPr>
          <w:p w14:paraId="47C711DB">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0.1800 </w:t>
            </w:r>
          </w:p>
        </w:tc>
        <w:tc>
          <w:tcPr>
            <w:tcW w:w="602" w:type="pct"/>
            <w:tcBorders>
              <w:top w:val="nil"/>
              <w:left w:val="nil"/>
              <w:bottom w:val="single" w:color="auto" w:sz="4" w:space="0"/>
              <w:right w:val="single" w:color="auto" w:sz="4" w:space="0"/>
            </w:tcBorders>
            <w:shd w:val="clear" w:color="auto" w:fill="auto"/>
            <w:noWrap w:val="0"/>
            <w:vAlign w:val="center"/>
          </w:tcPr>
          <w:p w14:paraId="3A440B2E">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0.1355 </w:t>
            </w:r>
          </w:p>
        </w:tc>
        <w:tc>
          <w:tcPr>
            <w:tcW w:w="602" w:type="pct"/>
            <w:tcBorders>
              <w:top w:val="nil"/>
              <w:left w:val="nil"/>
              <w:bottom w:val="single" w:color="auto" w:sz="4" w:space="0"/>
              <w:right w:val="single" w:color="auto" w:sz="4" w:space="0"/>
            </w:tcBorders>
            <w:shd w:val="clear" w:color="auto" w:fill="auto"/>
            <w:noWrap w:val="0"/>
            <w:vAlign w:val="center"/>
          </w:tcPr>
          <w:p w14:paraId="1E560209">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0.1</w:t>
            </w:r>
            <w:r>
              <w:rPr>
                <w:rFonts w:hint="eastAsia" w:cs="Times New Roman"/>
                <w:color w:val="auto"/>
                <w:kern w:val="0"/>
                <w:szCs w:val="21"/>
                <w:lang w:val="en-US" w:eastAsia="zh-CN"/>
              </w:rPr>
              <w:t>2</w:t>
            </w:r>
            <w:r>
              <w:rPr>
                <w:rFonts w:hint="eastAsia" w:ascii="Times New Roman" w:hAnsi="Times New Roman" w:eastAsia="宋体" w:cs="Times New Roman"/>
                <w:color w:val="auto"/>
                <w:kern w:val="0"/>
                <w:szCs w:val="21"/>
                <w:lang w:val="en-US" w:eastAsia="zh-CN"/>
              </w:rPr>
              <w:t xml:space="preserve">60 </w:t>
            </w:r>
          </w:p>
        </w:tc>
        <w:tc>
          <w:tcPr>
            <w:tcW w:w="612" w:type="pct"/>
            <w:tcBorders>
              <w:top w:val="nil"/>
              <w:left w:val="nil"/>
              <w:bottom w:val="single" w:color="auto" w:sz="4" w:space="0"/>
              <w:right w:val="single" w:color="auto" w:sz="4" w:space="0"/>
            </w:tcBorders>
            <w:noWrap w:val="0"/>
            <w:vAlign w:val="center"/>
          </w:tcPr>
          <w:p w14:paraId="6774D05B">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cs="Times New Roman"/>
                <w:color w:val="auto"/>
                <w:kern w:val="0"/>
                <w:szCs w:val="21"/>
                <w:lang w:val="en-US" w:eastAsia="zh-CN"/>
              </w:rPr>
              <w:t>0.1152</w:t>
            </w:r>
          </w:p>
        </w:tc>
        <w:tc>
          <w:tcPr>
            <w:tcW w:w="1287" w:type="pct"/>
            <w:vMerge w:val="continue"/>
            <w:tcBorders>
              <w:left w:val="nil"/>
              <w:bottom w:val="single" w:color="auto" w:sz="4" w:space="0"/>
              <w:right w:val="single" w:color="auto" w:sz="4" w:space="0"/>
            </w:tcBorders>
            <w:noWrap w:val="0"/>
            <w:vAlign w:val="center"/>
          </w:tcPr>
          <w:p w14:paraId="7650F50E">
            <w:pPr>
              <w:widowControl/>
              <w:jc w:val="center"/>
              <w:rPr>
                <w:rFonts w:ascii="Times New Roman" w:hAnsi="Times New Roman" w:eastAsia="宋体" w:cs="Times New Roman"/>
                <w:color w:val="auto"/>
                <w:kern w:val="0"/>
                <w:sz w:val="21"/>
                <w:szCs w:val="21"/>
              </w:rPr>
            </w:pPr>
          </w:p>
        </w:tc>
      </w:tr>
      <w:tr w14:paraId="0C1F5250">
        <w:tblPrEx>
          <w:tblCellMar>
            <w:top w:w="0" w:type="dxa"/>
            <w:left w:w="108" w:type="dxa"/>
            <w:bottom w:w="0" w:type="dxa"/>
            <w:right w:w="108" w:type="dxa"/>
          </w:tblCellMar>
        </w:tblPrEx>
        <w:trPr>
          <w:trHeight w:val="354" w:hRule="atLeast"/>
          <w:jc w:val="center"/>
        </w:trPr>
        <w:tc>
          <w:tcPr>
            <w:tcW w:w="69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2077927D">
            <w:pPr>
              <w:widowControl/>
              <w:shd w:val="clear" w:color="auto" w:fill="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300</w:t>
            </w:r>
          </w:p>
        </w:tc>
        <w:tc>
          <w:tcPr>
            <w:tcW w:w="60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A6D0717">
            <w:pPr>
              <w:widowControl/>
              <w:shd w:val="clear" w:color="auto" w:fill="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0.2127 </w:t>
            </w:r>
          </w:p>
        </w:tc>
        <w:tc>
          <w:tcPr>
            <w:tcW w:w="60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23C2763E">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0.1802 </w:t>
            </w:r>
          </w:p>
        </w:tc>
        <w:tc>
          <w:tcPr>
            <w:tcW w:w="60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D9C0EE5">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0.1476 </w:t>
            </w:r>
          </w:p>
        </w:tc>
        <w:tc>
          <w:tcPr>
            <w:tcW w:w="60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8C37AA0">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0.1</w:t>
            </w:r>
            <w:r>
              <w:rPr>
                <w:rFonts w:hint="eastAsia" w:cs="Times New Roman"/>
                <w:color w:val="auto"/>
                <w:kern w:val="0"/>
                <w:szCs w:val="21"/>
                <w:lang w:val="en-US" w:eastAsia="zh-CN"/>
              </w:rPr>
              <w:t>3</w:t>
            </w:r>
            <w:r>
              <w:rPr>
                <w:rFonts w:hint="eastAsia" w:ascii="Times New Roman" w:hAnsi="Times New Roman" w:eastAsia="宋体" w:cs="Times New Roman"/>
                <w:color w:val="auto"/>
                <w:kern w:val="0"/>
                <w:szCs w:val="21"/>
                <w:lang w:val="en-US" w:eastAsia="zh-CN"/>
              </w:rPr>
              <w:t xml:space="preserve">08 </w:t>
            </w:r>
          </w:p>
        </w:tc>
        <w:tc>
          <w:tcPr>
            <w:tcW w:w="612" w:type="pct"/>
            <w:tcBorders>
              <w:top w:val="single" w:color="auto" w:sz="4" w:space="0"/>
              <w:left w:val="single" w:color="auto" w:sz="4" w:space="0"/>
              <w:bottom w:val="single" w:color="auto" w:sz="4" w:space="0"/>
              <w:right w:val="single" w:color="auto" w:sz="4" w:space="0"/>
            </w:tcBorders>
            <w:noWrap w:val="0"/>
            <w:vAlign w:val="center"/>
          </w:tcPr>
          <w:p w14:paraId="2F50DCF2">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cs="Times New Roman"/>
                <w:color w:val="auto"/>
                <w:kern w:val="0"/>
                <w:szCs w:val="21"/>
                <w:lang w:val="en-US" w:eastAsia="zh-CN"/>
              </w:rPr>
              <w:t>0.1205</w:t>
            </w:r>
          </w:p>
        </w:tc>
        <w:tc>
          <w:tcPr>
            <w:tcW w:w="1287" w:type="pct"/>
            <w:vMerge w:val="restart"/>
            <w:tcBorders>
              <w:top w:val="single" w:color="auto" w:sz="4" w:space="0"/>
              <w:left w:val="single" w:color="auto" w:sz="4" w:space="0"/>
              <w:right w:val="single" w:color="auto" w:sz="4" w:space="0"/>
            </w:tcBorders>
            <w:noWrap w:val="0"/>
            <w:vAlign w:val="center"/>
          </w:tcPr>
          <w:p w14:paraId="58E6B58A">
            <w:pPr>
              <w:widowControl/>
              <w:jc w:val="center"/>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完全混合段</w:t>
            </w:r>
          </w:p>
        </w:tc>
      </w:tr>
      <w:tr w14:paraId="134046C9">
        <w:tblPrEx>
          <w:tblCellMar>
            <w:top w:w="0" w:type="dxa"/>
            <w:left w:w="108" w:type="dxa"/>
            <w:bottom w:w="0" w:type="dxa"/>
            <w:right w:w="108" w:type="dxa"/>
          </w:tblCellMar>
        </w:tblPrEx>
        <w:trPr>
          <w:trHeight w:val="354" w:hRule="atLeast"/>
          <w:jc w:val="center"/>
        </w:trPr>
        <w:tc>
          <w:tcPr>
            <w:tcW w:w="69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631C3B4">
            <w:pPr>
              <w:widowControl/>
              <w:shd w:val="clear" w:color="auto" w:fill="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400</w:t>
            </w:r>
          </w:p>
        </w:tc>
        <w:tc>
          <w:tcPr>
            <w:tcW w:w="60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E75A0E1">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0.1958 </w:t>
            </w:r>
          </w:p>
        </w:tc>
        <w:tc>
          <w:tcPr>
            <w:tcW w:w="60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22A01890">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0.1738 </w:t>
            </w:r>
          </w:p>
        </w:tc>
        <w:tc>
          <w:tcPr>
            <w:tcW w:w="60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CBA54A0">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 xml:space="preserve">0.1499 </w:t>
            </w:r>
          </w:p>
        </w:tc>
        <w:tc>
          <w:tcPr>
            <w:tcW w:w="60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210444D">
            <w:pPr>
              <w:widowControl/>
              <w:shd w:val="clear" w:color="auto" w:fill="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0.1</w:t>
            </w:r>
            <w:r>
              <w:rPr>
                <w:rFonts w:hint="eastAsia" w:cs="Times New Roman"/>
                <w:color w:val="auto"/>
                <w:kern w:val="0"/>
                <w:szCs w:val="21"/>
                <w:lang w:val="en-US" w:eastAsia="zh-CN"/>
              </w:rPr>
              <w:t>32</w:t>
            </w:r>
            <w:r>
              <w:rPr>
                <w:rFonts w:hint="eastAsia" w:ascii="Times New Roman" w:hAnsi="Times New Roman" w:eastAsia="宋体" w:cs="Times New Roman"/>
                <w:color w:val="auto"/>
                <w:kern w:val="0"/>
                <w:szCs w:val="21"/>
                <w:lang w:val="en-US" w:eastAsia="zh-CN"/>
              </w:rPr>
              <w:t xml:space="preserve">8 </w:t>
            </w:r>
          </w:p>
        </w:tc>
        <w:tc>
          <w:tcPr>
            <w:tcW w:w="612" w:type="pct"/>
            <w:tcBorders>
              <w:top w:val="single" w:color="auto" w:sz="4" w:space="0"/>
              <w:left w:val="single" w:color="auto" w:sz="4" w:space="0"/>
              <w:bottom w:val="single" w:color="auto" w:sz="4" w:space="0"/>
              <w:right w:val="single" w:color="auto" w:sz="4" w:space="0"/>
            </w:tcBorders>
            <w:noWrap w:val="0"/>
            <w:vAlign w:val="center"/>
          </w:tcPr>
          <w:p w14:paraId="6BD17897">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cs="Times New Roman"/>
                <w:color w:val="auto"/>
                <w:kern w:val="0"/>
                <w:szCs w:val="21"/>
                <w:lang w:val="en-US" w:eastAsia="zh-CN"/>
              </w:rPr>
              <w:t>0.1283</w:t>
            </w:r>
          </w:p>
        </w:tc>
        <w:tc>
          <w:tcPr>
            <w:tcW w:w="1287" w:type="pct"/>
            <w:vMerge w:val="continue"/>
            <w:tcBorders>
              <w:left w:val="single" w:color="auto" w:sz="4" w:space="0"/>
              <w:right w:val="single" w:color="auto" w:sz="4" w:space="0"/>
            </w:tcBorders>
            <w:noWrap w:val="0"/>
            <w:vAlign w:val="center"/>
          </w:tcPr>
          <w:p w14:paraId="0BBE2A90">
            <w:pPr>
              <w:widowControl/>
              <w:jc w:val="center"/>
              <w:rPr>
                <w:rFonts w:ascii="Times New Roman" w:hAnsi="Times New Roman" w:eastAsia="宋体" w:cs="Times New Roman"/>
                <w:color w:val="auto"/>
                <w:kern w:val="0"/>
                <w:szCs w:val="21"/>
              </w:rPr>
            </w:pPr>
          </w:p>
        </w:tc>
      </w:tr>
      <w:tr w14:paraId="54902AE1">
        <w:tblPrEx>
          <w:tblCellMar>
            <w:top w:w="0" w:type="dxa"/>
            <w:left w:w="108" w:type="dxa"/>
            <w:bottom w:w="0" w:type="dxa"/>
            <w:right w:w="108" w:type="dxa"/>
          </w:tblCellMar>
        </w:tblPrEx>
        <w:trPr>
          <w:trHeight w:val="354" w:hRule="atLeast"/>
          <w:jc w:val="center"/>
        </w:trPr>
        <w:tc>
          <w:tcPr>
            <w:tcW w:w="691" w:type="pct"/>
            <w:tcBorders>
              <w:top w:val="single" w:color="auto" w:sz="4" w:space="0"/>
              <w:left w:val="single" w:color="auto" w:sz="4" w:space="0"/>
              <w:bottom w:val="single" w:color="auto" w:sz="4" w:space="0"/>
              <w:right w:val="single" w:color="auto" w:sz="4" w:space="0"/>
            </w:tcBorders>
            <w:noWrap w:val="0"/>
            <w:vAlign w:val="center"/>
          </w:tcPr>
          <w:p w14:paraId="148D0E75">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cs="Times New Roman"/>
                <w:color w:val="auto"/>
                <w:kern w:val="0"/>
                <w:szCs w:val="21"/>
                <w:lang w:val="en-US" w:eastAsia="zh-CN"/>
              </w:rPr>
              <w:t>480</w:t>
            </w:r>
          </w:p>
        </w:tc>
        <w:tc>
          <w:tcPr>
            <w:tcW w:w="4976" w:type="dxa"/>
            <w:gridSpan w:val="5"/>
            <w:tcBorders>
              <w:top w:val="single" w:color="auto" w:sz="4" w:space="0"/>
              <w:left w:val="single" w:color="auto" w:sz="4" w:space="0"/>
              <w:bottom w:val="single" w:color="auto" w:sz="4" w:space="0"/>
              <w:right w:val="single" w:color="auto" w:sz="4" w:space="0"/>
            </w:tcBorders>
            <w:noWrap w:val="0"/>
            <w:vAlign w:val="center"/>
          </w:tcPr>
          <w:p w14:paraId="7C73736C">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0.1</w:t>
            </w:r>
            <w:r>
              <w:rPr>
                <w:rFonts w:hint="eastAsia" w:cs="Times New Roman"/>
                <w:color w:val="auto"/>
                <w:kern w:val="0"/>
                <w:szCs w:val="21"/>
                <w:lang w:val="en-US" w:eastAsia="zh-CN"/>
              </w:rPr>
              <w:t>3</w:t>
            </w:r>
            <w:r>
              <w:rPr>
                <w:rFonts w:hint="eastAsia" w:ascii="Times New Roman" w:hAnsi="Times New Roman" w:eastAsia="宋体" w:cs="Times New Roman"/>
                <w:color w:val="auto"/>
                <w:kern w:val="0"/>
                <w:szCs w:val="21"/>
                <w:lang w:val="en-US" w:eastAsia="zh-CN"/>
              </w:rPr>
              <w:t xml:space="preserve">61 </w:t>
            </w:r>
          </w:p>
        </w:tc>
        <w:tc>
          <w:tcPr>
            <w:tcW w:w="1287" w:type="pct"/>
            <w:vMerge w:val="continue"/>
            <w:tcBorders>
              <w:left w:val="single" w:color="auto" w:sz="4" w:space="0"/>
              <w:right w:val="single" w:color="auto" w:sz="4" w:space="0"/>
            </w:tcBorders>
            <w:noWrap w:val="0"/>
            <w:vAlign w:val="center"/>
          </w:tcPr>
          <w:p w14:paraId="22B9DCC2">
            <w:pPr>
              <w:widowControl/>
              <w:jc w:val="center"/>
              <w:rPr>
                <w:rFonts w:ascii="Times New Roman" w:hAnsi="Times New Roman" w:eastAsia="宋体" w:cs="Times New Roman"/>
                <w:color w:val="auto"/>
                <w:kern w:val="0"/>
                <w:szCs w:val="21"/>
              </w:rPr>
            </w:pPr>
          </w:p>
        </w:tc>
      </w:tr>
      <w:tr w14:paraId="6B9490FD">
        <w:tblPrEx>
          <w:tblCellMar>
            <w:top w:w="0" w:type="dxa"/>
            <w:left w:w="108" w:type="dxa"/>
            <w:bottom w:w="0" w:type="dxa"/>
            <w:right w:w="108" w:type="dxa"/>
          </w:tblCellMar>
        </w:tblPrEx>
        <w:trPr>
          <w:trHeight w:val="90" w:hRule="atLeast"/>
          <w:jc w:val="center"/>
        </w:trPr>
        <w:tc>
          <w:tcPr>
            <w:tcW w:w="691" w:type="pct"/>
            <w:tcBorders>
              <w:top w:val="single" w:color="auto" w:sz="4" w:space="0"/>
              <w:left w:val="single" w:color="auto" w:sz="4" w:space="0"/>
              <w:bottom w:val="single" w:color="auto" w:sz="4" w:space="0"/>
              <w:right w:val="single" w:color="auto" w:sz="4" w:space="0"/>
            </w:tcBorders>
            <w:noWrap w:val="0"/>
            <w:vAlign w:val="center"/>
          </w:tcPr>
          <w:p w14:paraId="117633A8">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500</w:t>
            </w:r>
          </w:p>
        </w:tc>
        <w:tc>
          <w:tcPr>
            <w:tcW w:w="4976" w:type="dxa"/>
            <w:gridSpan w:val="5"/>
            <w:tcBorders>
              <w:top w:val="single" w:color="auto" w:sz="4" w:space="0"/>
              <w:left w:val="single" w:color="auto" w:sz="4" w:space="0"/>
              <w:bottom w:val="single" w:color="auto" w:sz="4" w:space="0"/>
              <w:right w:val="single" w:color="auto" w:sz="4" w:space="0"/>
            </w:tcBorders>
            <w:noWrap w:val="0"/>
            <w:vAlign w:val="center"/>
          </w:tcPr>
          <w:p w14:paraId="27AEB294">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0.1</w:t>
            </w:r>
            <w:r>
              <w:rPr>
                <w:rFonts w:hint="eastAsia" w:cs="Times New Roman"/>
                <w:color w:val="auto"/>
                <w:kern w:val="0"/>
                <w:szCs w:val="21"/>
                <w:lang w:val="en-US" w:eastAsia="zh-CN"/>
              </w:rPr>
              <w:t>33</w:t>
            </w:r>
            <w:r>
              <w:rPr>
                <w:rFonts w:hint="eastAsia" w:ascii="Times New Roman" w:hAnsi="Times New Roman" w:eastAsia="宋体" w:cs="Times New Roman"/>
                <w:color w:val="auto"/>
                <w:kern w:val="0"/>
                <w:szCs w:val="21"/>
                <w:lang w:val="en-US" w:eastAsia="zh-CN"/>
              </w:rPr>
              <w:t xml:space="preserve">6 </w:t>
            </w:r>
          </w:p>
        </w:tc>
        <w:tc>
          <w:tcPr>
            <w:tcW w:w="1287" w:type="pct"/>
            <w:vMerge w:val="continue"/>
            <w:tcBorders>
              <w:left w:val="single" w:color="auto" w:sz="4" w:space="0"/>
              <w:right w:val="single" w:color="auto" w:sz="4" w:space="0"/>
            </w:tcBorders>
            <w:noWrap w:val="0"/>
            <w:vAlign w:val="center"/>
          </w:tcPr>
          <w:p w14:paraId="2ECD932B">
            <w:pPr>
              <w:widowControl/>
              <w:jc w:val="center"/>
              <w:rPr>
                <w:rFonts w:ascii="Times New Roman" w:hAnsi="Times New Roman" w:eastAsia="宋体" w:cs="Times New Roman"/>
                <w:color w:val="auto"/>
                <w:kern w:val="0"/>
                <w:szCs w:val="21"/>
              </w:rPr>
            </w:pPr>
          </w:p>
        </w:tc>
      </w:tr>
      <w:tr w14:paraId="7457B676">
        <w:tblPrEx>
          <w:tblCellMar>
            <w:top w:w="0" w:type="dxa"/>
            <w:left w:w="108" w:type="dxa"/>
            <w:bottom w:w="0" w:type="dxa"/>
            <w:right w:w="108" w:type="dxa"/>
          </w:tblCellMar>
        </w:tblPrEx>
        <w:trPr>
          <w:trHeight w:val="354" w:hRule="atLeast"/>
          <w:jc w:val="center"/>
        </w:trPr>
        <w:tc>
          <w:tcPr>
            <w:tcW w:w="691" w:type="pct"/>
            <w:tcBorders>
              <w:top w:val="single" w:color="auto" w:sz="4" w:space="0"/>
              <w:left w:val="single" w:color="auto" w:sz="4" w:space="0"/>
              <w:bottom w:val="single" w:color="auto" w:sz="4" w:space="0"/>
              <w:right w:val="single" w:color="auto" w:sz="4" w:space="0"/>
            </w:tcBorders>
            <w:noWrap w:val="0"/>
            <w:vAlign w:val="center"/>
          </w:tcPr>
          <w:p w14:paraId="4AAD865A">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550</w:t>
            </w:r>
          </w:p>
        </w:tc>
        <w:tc>
          <w:tcPr>
            <w:tcW w:w="4976" w:type="dxa"/>
            <w:gridSpan w:val="5"/>
            <w:tcBorders>
              <w:top w:val="single" w:color="auto" w:sz="4" w:space="0"/>
              <w:left w:val="single" w:color="auto" w:sz="4" w:space="0"/>
              <w:bottom w:val="single" w:color="auto" w:sz="4" w:space="0"/>
              <w:right w:val="single" w:color="auto" w:sz="4" w:space="0"/>
            </w:tcBorders>
            <w:noWrap w:val="0"/>
            <w:vAlign w:val="center"/>
          </w:tcPr>
          <w:p w14:paraId="02319A39">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 xml:space="preserve">0.1314 </w:t>
            </w:r>
          </w:p>
        </w:tc>
        <w:tc>
          <w:tcPr>
            <w:tcW w:w="1287" w:type="pct"/>
            <w:vMerge w:val="continue"/>
            <w:tcBorders>
              <w:left w:val="single" w:color="auto" w:sz="4" w:space="0"/>
              <w:bottom w:val="single" w:color="auto" w:sz="4" w:space="0"/>
              <w:right w:val="single" w:color="auto" w:sz="4" w:space="0"/>
            </w:tcBorders>
            <w:noWrap w:val="0"/>
            <w:vAlign w:val="center"/>
          </w:tcPr>
          <w:p w14:paraId="2DFA6C3A">
            <w:pPr>
              <w:widowControl/>
              <w:jc w:val="center"/>
              <w:rPr>
                <w:rFonts w:ascii="Times New Roman" w:hAnsi="Times New Roman" w:eastAsia="宋体" w:cs="Times New Roman"/>
                <w:color w:val="auto"/>
                <w:kern w:val="0"/>
                <w:szCs w:val="21"/>
              </w:rPr>
            </w:pPr>
          </w:p>
        </w:tc>
      </w:tr>
      <w:tr w14:paraId="51ED83FE">
        <w:tblPrEx>
          <w:tblCellMar>
            <w:top w:w="0" w:type="dxa"/>
            <w:left w:w="108" w:type="dxa"/>
            <w:bottom w:w="0" w:type="dxa"/>
            <w:right w:w="108" w:type="dxa"/>
          </w:tblCellMar>
        </w:tblPrEx>
        <w:trPr>
          <w:trHeight w:val="353" w:hRule="atLeast"/>
          <w:jc w:val="center"/>
        </w:trPr>
        <w:tc>
          <w:tcPr>
            <w:tcW w:w="691" w:type="pct"/>
            <w:tcBorders>
              <w:top w:val="single" w:color="auto" w:sz="4" w:space="0"/>
              <w:left w:val="single" w:color="auto" w:sz="4" w:space="0"/>
              <w:bottom w:val="single" w:color="auto" w:sz="4" w:space="0"/>
              <w:right w:val="single" w:color="auto" w:sz="4" w:space="0"/>
            </w:tcBorders>
            <w:noWrap w:val="0"/>
            <w:vAlign w:val="center"/>
          </w:tcPr>
          <w:p w14:paraId="2322FE88">
            <w:pPr>
              <w:widowControl/>
              <w:shd w:val="clear" w:color="auto" w:fill="auto"/>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标准限值</w:t>
            </w:r>
          </w:p>
        </w:tc>
        <w:tc>
          <w:tcPr>
            <w:tcW w:w="3021" w:type="pct"/>
            <w:gridSpan w:val="5"/>
            <w:tcBorders>
              <w:top w:val="single" w:color="auto" w:sz="4" w:space="0"/>
              <w:left w:val="single" w:color="auto" w:sz="4" w:space="0"/>
              <w:bottom w:val="single" w:color="auto" w:sz="4" w:space="0"/>
              <w:right w:val="single" w:color="auto" w:sz="4" w:space="0"/>
            </w:tcBorders>
            <w:noWrap w:val="0"/>
            <w:vAlign w:val="center"/>
          </w:tcPr>
          <w:p w14:paraId="17BFF87F">
            <w:pPr>
              <w:widowControl/>
              <w:shd w:val="clear" w:color="auto" w:fill="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highlight w:val="none"/>
                <w:lang w:val="en-US" w:eastAsia="zh-CN"/>
              </w:rPr>
              <w:t>≦1</w:t>
            </w:r>
          </w:p>
        </w:tc>
        <w:tc>
          <w:tcPr>
            <w:tcW w:w="1287" w:type="pct"/>
            <w:tcBorders>
              <w:top w:val="single" w:color="auto" w:sz="4" w:space="0"/>
              <w:left w:val="single" w:color="auto" w:sz="4" w:space="0"/>
              <w:bottom w:val="single" w:color="auto" w:sz="4" w:space="0"/>
              <w:right w:val="single" w:color="auto" w:sz="4" w:space="0"/>
            </w:tcBorders>
            <w:noWrap w:val="0"/>
            <w:vAlign w:val="center"/>
          </w:tcPr>
          <w:p w14:paraId="3E26230B">
            <w:pPr>
              <w:widowControl/>
              <w:jc w:val="center"/>
              <w:rPr>
                <w:rFonts w:hint="eastAsia" w:ascii="Times New Roman" w:hAnsi="Times New Roman" w:eastAsia="宋体" w:cs="Times New Roman"/>
                <w:color w:val="auto"/>
                <w:kern w:val="0"/>
                <w:szCs w:val="21"/>
                <w:lang w:val="en-US" w:eastAsia="zh-CN"/>
              </w:rPr>
            </w:pPr>
            <w:r>
              <w:rPr>
                <w:rFonts w:hint="eastAsia" w:cs="Times New Roman"/>
                <w:color w:val="auto"/>
                <w:kern w:val="0"/>
                <w:szCs w:val="21"/>
                <w:lang w:val="en-US" w:eastAsia="zh-CN"/>
              </w:rPr>
              <w:t>/</w:t>
            </w:r>
          </w:p>
        </w:tc>
      </w:tr>
    </w:tbl>
    <w:p w14:paraId="0B45940A">
      <w:pPr>
        <w:spacing w:line="360" w:lineRule="auto"/>
        <w:ind w:firstLine="480" w:firstLineChars="200"/>
        <w:rPr>
          <w:rFonts w:hint="eastAsia" w:cs="Times New Roman"/>
          <w:color w:val="auto"/>
          <w:kern w:val="24"/>
          <w:sz w:val="24"/>
          <w:highlight w:val="none"/>
          <w:lang w:eastAsia="zh-CN"/>
        </w:rPr>
      </w:pPr>
      <w:r>
        <w:rPr>
          <w:rFonts w:hint="eastAsia" w:ascii="Times New Roman" w:hAnsi="Times New Roman" w:cs="Times New Roman"/>
          <w:color w:val="auto"/>
          <w:sz w:val="24"/>
          <w:highlight w:val="none"/>
          <w:lang w:val="en-US" w:eastAsia="zh-CN"/>
        </w:rPr>
        <w:t>从上表可以看出，</w:t>
      </w:r>
      <w:r>
        <w:rPr>
          <w:rFonts w:hint="eastAsia" w:cs="Times New Roman"/>
          <w:color w:val="auto"/>
          <w:sz w:val="24"/>
          <w:highlight w:val="none"/>
          <w:lang w:val="en-US" w:eastAsia="zh-CN"/>
        </w:rPr>
        <w:t>非</w:t>
      </w:r>
      <w:r>
        <w:rPr>
          <w:rFonts w:hint="eastAsia" w:ascii="Times New Roman" w:hAnsi="Times New Roman" w:cs="Times New Roman"/>
          <w:color w:val="auto"/>
          <w:sz w:val="24"/>
          <w:highlight w:val="none"/>
          <w:lang w:val="en-US" w:eastAsia="zh-CN"/>
        </w:rPr>
        <w:t>正常情况下，</w:t>
      </w:r>
      <w:r>
        <w:rPr>
          <w:rFonts w:hint="eastAsia" w:cs="Times New Roman"/>
          <w:color w:val="auto"/>
          <w:sz w:val="24"/>
          <w:highlight w:val="none"/>
          <w:lang w:val="en-US" w:eastAsia="zh-CN"/>
        </w:rPr>
        <w:t>项目尾水排入</w:t>
      </w:r>
      <w:r>
        <w:rPr>
          <w:rFonts w:hint="eastAsia"/>
          <w:color w:val="auto"/>
          <w:sz w:val="24"/>
          <w:highlight w:val="none"/>
          <w:lang w:val="en-US" w:eastAsia="zh-CN"/>
        </w:rPr>
        <w:t>排水渠</w:t>
      </w:r>
      <w:r>
        <w:rPr>
          <w:rFonts w:hint="eastAsia" w:ascii="Times New Roman" w:hAnsi="Times New Roman" w:cs="Times New Roman"/>
          <w:color w:val="auto"/>
          <w:sz w:val="24"/>
          <w:highlight w:val="none"/>
          <w:lang w:val="en-US" w:eastAsia="zh-CN"/>
        </w:rPr>
        <w:t>下游</w:t>
      </w:r>
      <w:r>
        <w:rPr>
          <w:rFonts w:hint="eastAsia" w:cs="Times New Roman"/>
          <w:color w:val="auto"/>
          <w:sz w:val="24"/>
          <w:highlight w:val="none"/>
          <w:lang w:val="en-US" w:eastAsia="zh-CN"/>
        </w:rPr>
        <w:t>5</w:t>
      </w:r>
      <w:r>
        <w:rPr>
          <w:rFonts w:hint="default" w:ascii="Times New Roman" w:hAnsi="Times New Roman" w:cs="Times New Roman"/>
          <w:color w:val="auto"/>
          <w:sz w:val="24"/>
          <w:highlight w:val="none"/>
          <w:lang w:val="en-US" w:eastAsia="zh-CN"/>
        </w:rPr>
        <w:t>0m</w:t>
      </w:r>
      <w:r>
        <w:rPr>
          <w:rFonts w:hint="eastAsia" w:ascii="Times New Roman" w:hAnsi="Times New Roman" w:cs="Times New Roman"/>
          <w:color w:val="auto"/>
          <w:sz w:val="24"/>
          <w:highlight w:val="none"/>
          <w:lang w:val="en-US" w:eastAsia="zh-CN"/>
        </w:rPr>
        <w:t>位置</w:t>
      </w:r>
      <w:r>
        <w:rPr>
          <w:rFonts w:hint="eastAsia" w:cs="Times New Roman"/>
          <w:color w:val="auto"/>
          <w:sz w:val="24"/>
          <w:highlight w:val="none"/>
          <w:lang w:val="en-US" w:eastAsia="zh-CN"/>
        </w:rPr>
        <w:t>时，在叠加背景值情况下总磷</w:t>
      </w:r>
      <w:r>
        <w:rPr>
          <w:rFonts w:hint="eastAsia" w:ascii="Times New Roman" w:hAnsi="Times New Roman" w:cs="Times New Roman"/>
          <w:color w:val="auto"/>
          <w:sz w:val="24"/>
          <w:highlight w:val="none"/>
          <w:lang w:val="en-US" w:eastAsia="zh-CN"/>
        </w:rPr>
        <w:t>最大</w:t>
      </w:r>
      <w:r>
        <w:rPr>
          <w:rFonts w:hint="eastAsia" w:cs="Times New Roman"/>
          <w:color w:val="auto"/>
          <w:sz w:val="24"/>
          <w:highlight w:val="none"/>
          <w:lang w:val="en-US" w:eastAsia="zh-CN"/>
        </w:rPr>
        <w:t>预测</w:t>
      </w:r>
      <w:r>
        <w:rPr>
          <w:rFonts w:hint="eastAsia" w:ascii="Times New Roman" w:hAnsi="Times New Roman" w:cs="Times New Roman"/>
          <w:color w:val="auto"/>
          <w:sz w:val="24"/>
          <w:highlight w:val="none"/>
          <w:lang w:val="en-US" w:eastAsia="zh-CN"/>
        </w:rPr>
        <w:t>值为</w:t>
      </w:r>
      <w:r>
        <w:rPr>
          <w:rFonts w:hint="eastAsia" w:cs="Times New Roman"/>
          <w:color w:val="auto"/>
          <w:sz w:val="24"/>
          <w:highlight w:val="none"/>
          <w:lang w:val="en-US" w:eastAsia="zh-CN"/>
        </w:rPr>
        <w:t>0.4077</w:t>
      </w:r>
      <w:r>
        <w:rPr>
          <w:rFonts w:hint="default" w:ascii="Times New Roman" w:hAnsi="Times New Roman" w:cs="Times New Roman"/>
          <w:color w:val="auto"/>
          <w:sz w:val="24"/>
          <w:highlight w:val="none"/>
          <w:lang w:val="en-US" w:eastAsia="zh-CN"/>
        </w:rPr>
        <w:t>mg/L</w:t>
      </w:r>
      <w:r>
        <w:rPr>
          <w:rFonts w:hint="eastAsia" w:cs="Times New Roman"/>
          <w:color w:val="auto"/>
          <w:sz w:val="24"/>
          <w:highlight w:val="none"/>
          <w:lang w:val="en-US" w:eastAsia="zh-CN"/>
        </w:rPr>
        <w:t>，由于非事故排放量较小，事故排放的情况下排水渠下</w:t>
      </w:r>
      <w:r>
        <w:rPr>
          <w:rFonts w:hint="eastAsia" w:cs="宋体"/>
          <w:color w:val="auto"/>
          <w:kern w:val="0"/>
          <w:sz w:val="24"/>
          <w:szCs w:val="24"/>
          <w:highlight w:val="none"/>
          <w:lang w:val="en-US" w:eastAsia="zh-CN"/>
        </w:rPr>
        <w:t>游</w:t>
      </w:r>
      <w:r>
        <w:rPr>
          <w:rFonts w:hint="eastAsia" w:cs="Times New Roman"/>
          <w:color w:val="auto"/>
          <w:sz w:val="24"/>
          <w:highlight w:val="none"/>
          <w:lang w:val="en-US" w:eastAsia="zh-CN"/>
        </w:rPr>
        <w:t>总磷</w:t>
      </w:r>
      <w:r>
        <w:rPr>
          <w:rFonts w:hint="eastAsia" w:cs="宋体"/>
          <w:color w:val="auto"/>
          <w:kern w:val="0"/>
          <w:sz w:val="24"/>
          <w:szCs w:val="24"/>
          <w:highlight w:val="none"/>
          <w:lang w:val="en-US" w:eastAsia="zh-CN"/>
        </w:rPr>
        <w:t>也</w:t>
      </w:r>
      <w:r>
        <w:rPr>
          <w:rFonts w:hint="eastAsia" w:cs="Times New Roman"/>
          <w:color w:val="auto"/>
          <w:sz w:val="24"/>
          <w:highlight w:val="none"/>
          <w:lang w:val="en-US" w:eastAsia="zh-CN"/>
        </w:rPr>
        <w:t>均满足</w:t>
      </w:r>
      <w:r>
        <w:rPr>
          <w:rFonts w:ascii="Times New Roman" w:hAnsi="Times New Roman" w:eastAsia="宋体" w:cs="Times New Roman"/>
          <w:color w:val="auto"/>
          <w:kern w:val="24"/>
          <w:sz w:val="24"/>
          <w:highlight w:val="none"/>
        </w:rPr>
        <w:t>《地表水环境质量标准》</w:t>
      </w:r>
      <w:r>
        <w:rPr>
          <w:rFonts w:hint="eastAsia" w:cs="宋体"/>
          <w:color w:val="auto"/>
          <w:kern w:val="0"/>
          <w:sz w:val="24"/>
          <w:szCs w:val="24"/>
          <w:highlight w:val="none"/>
        </w:rPr>
        <w:t>III</w:t>
      </w:r>
      <w:r>
        <w:rPr>
          <w:rFonts w:ascii="Times New Roman" w:hAnsi="Times New Roman" w:eastAsia="宋体" w:cs="Times New Roman"/>
          <w:color w:val="auto"/>
          <w:kern w:val="24"/>
          <w:sz w:val="24"/>
          <w:highlight w:val="none"/>
        </w:rPr>
        <w:t>类标准</w:t>
      </w:r>
      <w:r>
        <w:rPr>
          <w:rFonts w:hint="eastAsia" w:cs="Times New Roman"/>
          <w:color w:val="auto"/>
          <w:kern w:val="24"/>
          <w:sz w:val="24"/>
          <w:highlight w:val="none"/>
          <w:lang w:eastAsia="zh-CN"/>
        </w:rPr>
        <w:t>。</w:t>
      </w:r>
    </w:p>
    <w:p w14:paraId="22C15482">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预测结果分析</w:t>
      </w:r>
    </w:p>
    <w:p w14:paraId="67CA4B4D">
      <w:pPr>
        <w:spacing w:line="360" w:lineRule="auto"/>
        <w:ind w:firstLine="480" w:firstLineChars="200"/>
        <w:rPr>
          <w:rFonts w:hint="eastAsia" w:cs="宋体"/>
          <w:color w:val="auto"/>
          <w:kern w:val="0"/>
          <w:sz w:val="24"/>
          <w:szCs w:val="24"/>
          <w:lang w:val="en-US" w:eastAsia="zh-CN"/>
        </w:rPr>
      </w:pPr>
      <w:bookmarkStart w:id="77" w:name="_Toc27353"/>
      <w:r>
        <w:rPr>
          <w:rFonts w:hint="eastAsia" w:cs="宋体"/>
          <w:color w:val="auto"/>
          <w:kern w:val="0"/>
          <w:sz w:val="24"/>
          <w:szCs w:val="24"/>
          <w:lang w:val="en-US" w:eastAsia="zh-CN"/>
        </w:rPr>
        <w:t>项目正常排放条件下，在叠加背景值情况下，项目</w:t>
      </w:r>
      <w:r>
        <w:rPr>
          <w:rFonts w:hint="default" w:ascii="Times New Roman" w:hAnsi="Times New Roman" w:cs="Times New Roman"/>
          <w:color w:val="auto"/>
          <w:sz w:val="24"/>
          <w:highlight w:val="none"/>
          <w:lang w:val="en-US" w:eastAsia="zh-CN"/>
        </w:rPr>
        <w:t>COD</w:t>
      </w:r>
      <w:r>
        <w:rPr>
          <w:rFonts w:hint="default" w:ascii="Times New Roman" w:hAnsi="Times New Roman" w:cs="Times New Roman"/>
          <w:color w:val="auto"/>
          <w:sz w:val="24"/>
          <w:highlight w:val="none"/>
          <w:vertAlign w:val="subscript"/>
          <w:lang w:val="en-US" w:eastAsia="zh-CN"/>
        </w:rPr>
        <w:t>Cr</w:t>
      </w:r>
      <w:r>
        <w:rPr>
          <w:rFonts w:hint="eastAsia" w:cs="宋体"/>
          <w:color w:val="auto"/>
          <w:kern w:val="0"/>
          <w:sz w:val="24"/>
          <w:szCs w:val="24"/>
          <w:highlight w:val="none"/>
          <w:lang w:val="en-US" w:eastAsia="zh-CN"/>
        </w:rPr>
        <w:t>、氨氮和</w:t>
      </w:r>
      <w:r>
        <w:rPr>
          <w:rFonts w:hint="eastAsia" w:cs="Times New Roman"/>
          <w:color w:val="auto"/>
          <w:sz w:val="24"/>
          <w:highlight w:val="none"/>
          <w:lang w:val="en-US" w:eastAsia="zh-CN"/>
        </w:rPr>
        <w:t>总磷</w:t>
      </w:r>
      <w:r>
        <w:rPr>
          <w:rFonts w:hint="eastAsia" w:cs="宋体"/>
          <w:color w:val="auto"/>
          <w:kern w:val="0"/>
          <w:sz w:val="24"/>
          <w:szCs w:val="24"/>
          <w:lang w:val="en-US" w:eastAsia="zh-CN"/>
        </w:rPr>
        <w:t>预测浓度</w:t>
      </w:r>
      <w:r>
        <w:rPr>
          <w:rFonts w:hint="eastAsia" w:cs="宋体"/>
          <w:color w:val="auto"/>
          <w:kern w:val="0"/>
          <w:sz w:val="24"/>
          <w:szCs w:val="24"/>
        </w:rPr>
        <w:t>能够满足《地表水环境质量标准》III类</w:t>
      </w:r>
      <w:r>
        <w:rPr>
          <w:rFonts w:hint="eastAsia" w:cs="宋体"/>
          <w:color w:val="auto"/>
          <w:kern w:val="0"/>
          <w:sz w:val="24"/>
          <w:szCs w:val="24"/>
          <w:lang w:eastAsia="zh-CN"/>
        </w:rPr>
        <w:t>和</w:t>
      </w:r>
      <w:r>
        <w:rPr>
          <w:rFonts w:hint="default" w:ascii="Times New Roman" w:hAnsi="Times New Roman" w:cs="Times New Roman"/>
          <w:color w:val="auto"/>
          <w:kern w:val="0"/>
          <w:sz w:val="24"/>
          <w:szCs w:val="24"/>
        </w:rPr>
        <w:t>Ⅱ</w:t>
      </w:r>
      <w:r>
        <w:rPr>
          <w:rFonts w:hint="eastAsia" w:cs="宋体"/>
          <w:color w:val="auto"/>
          <w:kern w:val="0"/>
          <w:sz w:val="24"/>
          <w:szCs w:val="24"/>
        </w:rPr>
        <w:t>类标准</w:t>
      </w:r>
      <w:r>
        <w:rPr>
          <w:rFonts w:hint="eastAsia" w:cs="宋体"/>
          <w:color w:val="auto"/>
          <w:kern w:val="0"/>
          <w:sz w:val="24"/>
          <w:szCs w:val="24"/>
          <w:lang w:eastAsia="zh-CN"/>
        </w:rPr>
        <w:t>，</w:t>
      </w:r>
      <w:r>
        <w:rPr>
          <w:rFonts w:hint="eastAsia" w:cs="宋体"/>
          <w:color w:val="auto"/>
          <w:kern w:val="0"/>
          <w:sz w:val="24"/>
          <w:szCs w:val="24"/>
        </w:rPr>
        <w:t>不会改变下游水体</w:t>
      </w:r>
      <w:r>
        <w:rPr>
          <w:rFonts w:hint="eastAsia" w:cs="宋体"/>
          <w:color w:val="auto"/>
          <w:kern w:val="0"/>
          <w:sz w:val="24"/>
          <w:szCs w:val="24"/>
          <w:lang w:eastAsia="zh-CN"/>
        </w:rPr>
        <w:t>现状</w:t>
      </w:r>
      <w:r>
        <w:rPr>
          <w:rFonts w:hint="eastAsia" w:cs="宋体"/>
          <w:color w:val="auto"/>
          <w:kern w:val="0"/>
          <w:sz w:val="24"/>
          <w:szCs w:val="24"/>
        </w:rPr>
        <w:t>功能</w:t>
      </w:r>
      <w:r>
        <w:rPr>
          <w:rFonts w:hint="eastAsia" w:cs="宋体"/>
          <w:color w:val="auto"/>
          <w:kern w:val="0"/>
          <w:sz w:val="24"/>
          <w:szCs w:val="24"/>
          <w:lang w:val="en-US" w:eastAsia="zh-CN"/>
        </w:rPr>
        <w:t>。因此，项目正常排放时，对</w:t>
      </w:r>
      <w:r>
        <w:rPr>
          <w:rFonts w:hint="eastAsia" w:cs="Times New Roman"/>
          <w:color w:val="auto"/>
          <w:sz w:val="24"/>
          <w:highlight w:val="none"/>
          <w:lang w:val="en-US" w:eastAsia="zh-CN"/>
        </w:rPr>
        <w:t>排水渠</w:t>
      </w:r>
      <w:r>
        <w:rPr>
          <w:rFonts w:hint="eastAsia"/>
          <w:color w:val="auto"/>
          <w:sz w:val="24"/>
          <w:highlight w:val="none"/>
          <w:lang w:val="en-US" w:eastAsia="zh-CN"/>
        </w:rPr>
        <w:t>及大八河</w:t>
      </w:r>
      <w:r>
        <w:rPr>
          <w:rFonts w:hint="eastAsia" w:cs="宋体"/>
          <w:color w:val="auto"/>
          <w:kern w:val="0"/>
          <w:sz w:val="24"/>
          <w:szCs w:val="24"/>
          <w:lang w:val="en-US" w:eastAsia="zh-CN"/>
        </w:rPr>
        <w:t>水质影响很小，水环境影响可以接受，说明项目设置排污口在排水渠是可行的。</w:t>
      </w:r>
    </w:p>
    <w:p w14:paraId="71B292A3">
      <w:pPr>
        <w:spacing w:line="360" w:lineRule="auto"/>
        <w:ind w:firstLine="480" w:firstLineChars="200"/>
        <w:rPr>
          <w:rFonts w:hint="eastAsia" w:cs="宋体"/>
          <w:color w:val="auto"/>
          <w:kern w:val="0"/>
          <w:sz w:val="24"/>
          <w:szCs w:val="24"/>
          <w:lang w:val="en-US" w:eastAsia="zh-CN"/>
        </w:rPr>
      </w:pPr>
      <w:r>
        <w:rPr>
          <w:rFonts w:hint="eastAsia" w:cs="宋体"/>
          <w:color w:val="auto"/>
          <w:kern w:val="0"/>
          <w:sz w:val="24"/>
          <w:szCs w:val="24"/>
          <w:lang w:val="en-US" w:eastAsia="zh-CN"/>
        </w:rPr>
        <w:t>非正常排放时，在叠加背景值情况下，</w:t>
      </w:r>
      <w:r>
        <w:rPr>
          <w:rFonts w:hint="default" w:ascii="Times New Roman" w:hAnsi="Times New Roman" w:cs="Times New Roman"/>
          <w:color w:val="auto"/>
          <w:sz w:val="24"/>
          <w:highlight w:val="none"/>
          <w:lang w:val="en-US" w:eastAsia="zh-CN"/>
        </w:rPr>
        <w:t>COD</w:t>
      </w:r>
      <w:r>
        <w:rPr>
          <w:rFonts w:hint="default" w:ascii="Times New Roman" w:hAnsi="Times New Roman" w:cs="Times New Roman"/>
          <w:color w:val="auto"/>
          <w:sz w:val="24"/>
          <w:highlight w:val="none"/>
          <w:vertAlign w:val="subscript"/>
          <w:lang w:val="en-US" w:eastAsia="zh-CN"/>
        </w:rPr>
        <w:t>Cr</w:t>
      </w:r>
      <w:r>
        <w:rPr>
          <w:rFonts w:hint="eastAsia" w:cs="宋体"/>
          <w:color w:val="auto"/>
          <w:kern w:val="0"/>
          <w:sz w:val="24"/>
          <w:szCs w:val="24"/>
          <w:highlight w:val="none"/>
          <w:lang w:val="en-US" w:eastAsia="zh-CN"/>
        </w:rPr>
        <w:t>、氨氮和</w:t>
      </w:r>
      <w:r>
        <w:rPr>
          <w:rFonts w:hint="eastAsia" w:cs="Times New Roman"/>
          <w:color w:val="auto"/>
          <w:sz w:val="24"/>
          <w:highlight w:val="none"/>
          <w:lang w:val="en-US" w:eastAsia="zh-CN"/>
        </w:rPr>
        <w:t>总磷</w:t>
      </w:r>
      <w:r>
        <w:rPr>
          <w:rFonts w:hint="eastAsia" w:cs="宋体"/>
          <w:color w:val="auto"/>
          <w:kern w:val="0"/>
          <w:sz w:val="24"/>
          <w:szCs w:val="24"/>
          <w:lang w:val="en-US" w:eastAsia="zh-CN"/>
        </w:rPr>
        <w:t>预测浓度在</w:t>
      </w:r>
      <w:r>
        <w:rPr>
          <w:rFonts w:hint="eastAsia" w:cs="Times New Roman"/>
          <w:color w:val="auto"/>
          <w:sz w:val="24"/>
          <w:highlight w:val="none"/>
          <w:lang w:val="en-US" w:eastAsia="zh-CN"/>
        </w:rPr>
        <w:t>排水渠</w:t>
      </w:r>
      <w:r>
        <w:rPr>
          <w:rFonts w:hint="eastAsia" w:cs="宋体"/>
          <w:color w:val="auto"/>
          <w:kern w:val="0"/>
          <w:sz w:val="24"/>
          <w:szCs w:val="24"/>
          <w:lang w:val="en-US" w:eastAsia="zh-CN"/>
        </w:rPr>
        <w:t>下游0~400m范围内有超标现象，对</w:t>
      </w:r>
      <w:r>
        <w:rPr>
          <w:rFonts w:hint="eastAsia"/>
          <w:color w:val="auto"/>
          <w:sz w:val="24"/>
          <w:highlight w:val="none"/>
          <w:lang w:val="en-US" w:eastAsia="zh-CN"/>
        </w:rPr>
        <w:t>排水渠</w:t>
      </w:r>
      <w:r>
        <w:rPr>
          <w:rFonts w:hint="eastAsia" w:cs="宋体"/>
          <w:color w:val="auto"/>
          <w:kern w:val="0"/>
          <w:sz w:val="24"/>
          <w:szCs w:val="24"/>
          <w:lang w:val="en-US" w:eastAsia="zh-CN"/>
        </w:rPr>
        <w:t>水质影响范围较小，且经过稀释作用后，在</w:t>
      </w:r>
      <w:r>
        <w:rPr>
          <w:rFonts w:hint="eastAsia"/>
          <w:color w:val="auto"/>
          <w:sz w:val="24"/>
          <w:highlight w:val="none"/>
          <w:lang w:val="en-US" w:eastAsia="zh-CN"/>
        </w:rPr>
        <w:t>排水渠</w:t>
      </w:r>
      <w:r>
        <w:rPr>
          <w:rFonts w:hint="eastAsia" w:cs="宋体"/>
          <w:color w:val="auto"/>
          <w:kern w:val="0"/>
          <w:sz w:val="24"/>
          <w:szCs w:val="24"/>
          <w:lang w:val="en-US" w:eastAsia="zh-CN"/>
        </w:rPr>
        <w:t>下游480m之后均满足《地表水环境质量标准》</w:t>
      </w:r>
      <w:r>
        <w:rPr>
          <w:rFonts w:hint="eastAsia" w:cs="宋体"/>
          <w:color w:val="auto"/>
          <w:kern w:val="0"/>
          <w:sz w:val="24"/>
          <w:szCs w:val="24"/>
        </w:rPr>
        <w:t>III</w:t>
      </w:r>
      <w:r>
        <w:rPr>
          <w:rFonts w:hint="eastAsia" w:cs="宋体"/>
          <w:color w:val="auto"/>
          <w:kern w:val="0"/>
          <w:sz w:val="24"/>
          <w:szCs w:val="24"/>
          <w:lang w:val="en-US" w:eastAsia="zh-CN"/>
        </w:rPr>
        <w:t>类标准，项目建设应采取有效的污染防治措施，防止废水事故排放（即非正常排放）。</w:t>
      </w:r>
    </w:p>
    <w:p w14:paraId="36102353">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bookmarkStart w:id="78" w:name="_Toc16996"/>
      <w:r>
        <w:rPr>
          <w:rFonts w:hint="eastAsia"/>
          <w:color w:val="auto"/>
          <w:lang w:val="en-US" w:eastAsia="zh-CN"/>
        </w:rPr>
        <w:t>对水功能区水质影响分析</w:t>
      </w:r>
      <w:bookmarkEnd w:id="77"/>
      <w:bookmarkEnd w:id="78"/>
    </w:p>
    <w:p w14:paraId="1F8236F4">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据7.3节的分析结果看，本项目废水排放对周围地表水影响较小。项目的建设运行削减了大量污染物入河量，对排水渠和大八河周边水系水质产生有利影响，能改善周边水系水质。大八镇污水处理厂处理后达标排放的尾水水质可以作为大八河和吉水河的生态补水，增加河道水量，同时缓减污染。</w:t>
      </w:r>
    </w:p>
    <w:p w14:paraId="4599CA4D">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bookmarkStart w:id="79" w:name="_Toc59405458"/>
      <w:bookmarkStart w:id="80" w:name="_Toc59413493"/>
      <w:bookmarkStart w:id="81" w:name="_Toc28003"/>
      <w:bookmarkStart w:id="82" w:name="_Toc30208"/>
      <w:r>
        <w:rPr>
          <w:rFonts w:hint="eastAsia"/>
          <w:color w:val="auto"/>
          <w:lang w:val="en-US" w:eastAsia="zh-CN"/>
        </w:rPr>
        <w:t>对水生态环境影响分析</w:t>
      </w:r>
      <w:bookmarkEnd w:id="79"/>
      <w:bookmarkEnd w:id="80"/>
      <w:bookmarkEnd w:id="81"/>
      <w:bookmarkEnd w:id="82"/>
    </w:p>
    <w:p w14:paraId="1E3AEBAE">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阳东区大八镇污水处理厂纳污范围为大八镇镇区及周边部分村庄，目前，大八镇镇区内没有污水处理厂和完善的污水系统管道，雨水和污水通过部分暗渠就近排入河沟，再汇入自然水体。</w:t>
      </w:r>
    </w:p>
    <w:p w14:paraId="41EAEC59">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阳东区大八镇污水处理厂的建设本身是一个环保公益工程，对排水渠、吉水河和大八河流域的可持续发展将起到重要作用。且本项目建成后，纳污片区管网进一步完善，居民生活污水通过管网进入市政污水管网，遏制了污水排入附近河涌，响应国家、省的涉水治污政策，为阳东区大八镇打响治水攻坚战作出贡献。</w:t>
      </w:r>
    </w:p>
    <w:p w14:paraId="5759C0E2">
      <w:pPr>
        <w:spacing w:line="360" w:lineRule="auto"/>
        <w:ind w:firstLine="480" w:firstLineChars="200"/>
        <w:rPr>
          <w:color w:val="auto"/>
          <w:sz w:val="24"/>
        </w:rPr>
      </w:pPr>
      <w:r>
        <w:rPr>
          <w:rFonts w:hint="eastAsia"/>
          <w:color w:val="auto"/>
          <w:sz w:val="24"/>
        </w:rPr>
        <w:t>根据水质预测浓度结果显示，</w:t>
      </w:r>
      <w:r>
        <w:rPr>
          <w:rFonts w:hint="eastAsia"/>
          <w:color w:val="auto"/>
          <w:sz w:val="24"/>
          <w:highlight w:val="none"/>
          <w:lang w:val="en-US" w:eastAsia="zh-CN"/>
        </w:rPr>
        <w:t>排水渠</w:t>
      </w:r>
      <w:r>
        <w:rPr>
          <w:rFonts w:hint="eastAsia"/>
          <w:color w:val="auto"/>
          <w:sz w:val="24"/>
        </w:rPr>
        <w:t>总体上能满足《地表水环境质量标准》（</w:t>
      </w:r>
      <w:r>
        <w:rPr>
          <w:color w:val="auto"/>
          <w:sz w:val="24"/>
        </w:rPr>
        <w:t>GB3838-2002</w:t>
      </w:r>
      <w:r>
        <w:rPr>
          <w:rFonts w:hint="eastAsia"/>
          <w:color w:val="auto"/>
          <w:sz w:val="24"/>
        </w:rPr>
        <w:t>）</w:t>
      </w:r>
      <w:r>
        <w:rPr>
          <w:rFonts w:hint="eastAsia"/>
          <w:color w:val="auto"/>
          <w:kern w:val="0"/>
          <w:sz w:val="21"/>
          <w:lang w:val="en-US" w:eastAsia="zh-CN"/>
        </w:rPr>
        <w:t>Ⅲ</w:t>
      </w:r>
      <w:r>
        <w:rPr>
          <w:rFonts w:hint="eastAsia"/>
          <w:color w:val="auto"/>
          <w:sz w:val="24"/>
        </w:rPr>
        <w:t>类标准要求。</w:t>
      </w:r>
    </w:p>
    <w:p w14:paraId="2937BF27">
      <w:pPr>
        <w:spacing w:line="360" w:lineRule="auto"/>
        <w:ind w:firstLine="480" w:firstLineChars="200"/>
        <w:rPr>
          <w:color w:val="auto"/>
          <w:sz w:val="24"/>
        </w:rPr>
      </w:pPr>
      <w:r>
        <w:rPr>
          <w:rFonts w:hint="eastAsia"/>
          <w:color w:val="auto"/>
          <w:sz w:val="24"/>
        </w:rPr>
        <w:t>本项目废污水排放水域不涉及自然保护区、风景名胜区、鱼类</w:t>
      </w:r>
      <w:r>
        <w:rPr>
          <w:color w:val="auto"/>
          <w:sz w:val="24"/>
        </w:rPr>
        <w:t>“</w:t>
      </w:r>
      <w:r>
        <w:rPr>
          <w:rFonts w:hint="eastAsia"/>
          <w:color w:val="auto"/>
          <w:sz w:val="24"/>
        </w:rPr>
        <w:t>三场</w:t>
      </w:r>
      <w:r>
        <w:rPr>
          <w:color w:val="auto"/>
          <w:sz w:val="24"/>
        </w:rPr>
        <w:t>”</w:t>
      </w:r>
      <w:r>
        <w:rPr>
          <w:rFonts w:hint="eastAsia"/>
          <w:color w:val="auto"/>
          <w:sz w:val="24"/>
        </w:rPr>
        <w:t>等需要特别保护的水环境，不属于生态敏感与脆弱地区，没有重要水域生态保护目标，因此，本项目尾水排放总体上不会对评价范围内的水生生态造成较大负面影响。</w:t>
      </w:r>
    </w:p>
    <w:p w14:paraId="46C2C33C">
      <w:pPr>
        <w:spacing w:line="360" w:lineRule="auto"/>
        <w:ind w:firstLine="480" w:firstLineChars="200"/>
        <w:rPr>
          <w:color w:val="auto"/>
          <w:sz w:val="24"/>
        </w:rPr>
      </w:pPr>
      <w:r>
        <w:rPr>
          <w:rFonts w:hint="eastAsia"/>
          <w:color w:val="auto"/>
          <w:sz w:val="24"/>
        </w:rPr>
        <w:t>水体富营养化是指在人类活动的影响下，氮、磷等营养物质大量进入湖泊、河口、海湾等缓流水体，引起藻类及其他浮游生物迅速繁殖，水体溶解氧量下降，水质恶化，鱼类及其他生物大量死亡的现象。富营养化会影响水体的水质，会造成水的透明度降低，使得阳光难以穿透水层，水下生物得不到充足的阳光而影响了生存和繁殖。因富营养化水中含有硝酸盐和亚硝酸盐，人畜长期饮用这些物质含量超过一定标准的水，也会中毒致病。富营养水体分泌或产生黏液，黏附于鱼类等水生动物的腮上，妨碍呼吸，导致窒息而死。</w:t>
      </w:r>
    </w:p>
    <w:p w14:paraId="08BD3C0C">
      <w:pPr>
        <w:spacing w:line="360" w:lineRule="auto"/>
        <w:ind w:firstLine="480" w:firstLineChars="200"/>
        <w:rPr>
          <w:color w:val="auto"/>
          <w:sz w:val="24"/>
        </w:rPr>
      </w:pPr>
      <w:r>
        <w:rPr>
          <w:rFonts w:hint="eastAsia"/>
          <w:color w:val="auto"/>
          <w:sz w:val="24"/>
        </w:rPr>
        <w:t>本项目建设之前，大八镇没有污水处理厂，镇区居民产生的生活污水经化粪池处理后，直接排入附近的水体。化粪池对生活污水中污染物的处理效率很低，达不到污水排放标准，严重影响了周边水体水质，随着大八镇的进一步开发，更多的生活污水的排放会加剧污染，周边水体富营养化的风险将加大。本项目兴建后，镇区居民生活污水经处理后再排入周围水体，生活污水排放带来的水体富营养化的风险随之消失。</w:t>
      </w:r>
    </w:p>
    <w:p w14:paraId="61E99FFB">
      <w:pPr>
        <w:spacing w:line="360" w:lineRule="auto"/>
        <w:ind w:firstLine="480" w:firstLineChars="200"/>
        <w:rPr>
          <w:color w:val="auto"/>
          <w:sz w:val="24"/>
        </w:rPr>
      </w:pPr>
      <w:r>
        <w:rPr>
          <w:rFonts w:hint="eastAsia"/>
          <w:color w:val="auto"/>
          <w:sz w:val="24"/>
        </w:rPr>
        <w:t>综上所述，本项目的建设对</w:t>
      </w:r>
      <w:r>
        <w:rPr>
          <w:rFonts w:hint="eastAsia"/>
          <w:color w:val="auto"/>
          <w:sz w:val="24"/>
          <w:lang w:eastAsia="zh-CN"/>
        </w:rPr>
        <w:t>排水渠</w:t>
      </w:r>
      <w:r>
        <w:rPr>
          <w:rFonts w:hint="eastAsia"/>
          <w:color w:val="auto"/>
          <w:sz w:val="24"/>
        </w:rPr>
        <w:t>及大八河水生生态改善是积极正面的。</w:t>
      </w:r>
    </w:p>
    <w:p w14:paraId="410CD01E">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bookmarkStart w:id="83" w:name="_Toc8163"/>
      <w:bookmarkStart w:id="84" w:name="_Toc9976"/>
      <w:r>
        <w:rPr>
          <w:rFonts w:hint="eastAsia"/>
          <w:color w:val="auto"/>
          <w:lang w:val="en-US" w:eastAsia="zh-CN"/>
        </w:rPr>
        <w:t>对地下水影响分析</w:t>
      </w:r>
      <w:bookmarkEnd w:id="83"/>
      <w:bookmarkEnd w:id="84"/>
    </w:p>
    <w:p w14:paraId="7B186308">
      <w:pPr>
        <w:spacing w:line="360" w:lineRule="auto"/>
        <w:ind w:firstLine="480" w:firstLineChars="200"/>
        <w:rPr>
          <w:rFonts w:hint="default"/>
          <w:color w:val="auto"/>
          <w:sz w:val="24"/>
          <w:highlight w:val="none"/>
          <w:lang w:val="en-US" w:eastAsia="zh-CN"/>
        </w:rPr>
      </w:pPr>
      <w:r>
        <w:rPr>
          <w:rFonts w:hint="eastAsia"/>
          <w:color w:val="auto"/>
          <w:sz w:val="24"/>
          <w:highlight w:val="none"/>
          <w:lang w:val="en-US" w:eastAsia="zh-CN"/>
        </w:rPr>
        <w:t>根据《阳江市水资源综合规划修编（2019-2035年）》，经分析计算，阳</w:t>
      </w:r>
      <w:r>
        <w:rPr>
          <w:rFonts w:hint="default"/>
          <w:color w:val="auto"/>
          <w:sz w:val="24"/>
          <w:highlight w:val="none"/>
          <w:lang w:val="en-US" w:eastAsia="zh-CN"/>
        </w:rPr>
        <w:t>江市多年平均浅层地下水资源量为23.0亿m</w:t>
      </w:r>
      <w:r>
        <w:rPr>
          <w:rFonts w:hint="default"/>
          <w:color w:val="auto"/>
          <w:sz w:val="24"/>
          <w:highlight w:val="none"/>
          <w:vertAlign w:val="superscript"/>
          <w:lang w:val="en-US" w:eastAsia="zh-CN"/>
        </w:rPr>
        <w:t>3</w:t>
      </w:r>
      <w:r>
        <w:rPr>
          <w:rFonts w:hint="default"/>
          <w:color w:val="auto"/>
          <w:sz w:val="24"/>
          <w:highlight w:val="none"/>
          <w:lang w:val="en-US" w:eastAsia="zh-CN"/>
        </w:rPr>
        <w:t>，平均地下水产水模数为29.2万m</w:t>
      </w:r>
      <w:r>
        <w:rPr>
          <w:rFonts w:hint="default"/>
          <w:color w:val="auto"/>
          <w:sz w:val="24"/>
          <w:highlight w:val="none"/>
          <w:vertAlign w:val="superscript"/>
          <w:lang w:val="en-US" w:eastAsia="zh-CN"/>
        </w:rPr>
        <w:t>3</w:t>
      </w:r>
      <w:r>
        <w:rPr>
          <w:rFonts w:hint="default"/>
          <w:color w:val="auto"/>
          <w:sz w:val="24"/>
          <w:highlight w:val="none"/>
          <w:lang w:val="en-US" w:eastAsia="zh-CN"/>
        </w:rPr>
        <w:t>/km</w:t>
      </w:r>
      <w:r>
        <w:rPr>
          <w:rFonts w:hint="default"/>
          <w:color w:val="auto"/>
          <w:sz w:val="24"/>
          <w:highlight w:val="none"/>
          <w:vertAlign w:val="superscript"/>
          <w:lang w:val="en-US" w:eastAsia="zh-CN"/>
        </w:rPr>
        <w:t>2</w:t>
      </w:r>
      <w:r>
        <w:rPr>
          <w:rFonts w:hint="default"/>
          <w:color w:val="auto"/>
          <w:sz w:val="24"/>
          <w:highlight w:val="none"/>
          <w:lang w:val="en-US" w:eastAsia="zh-CN"/>
        </w:rPr>
        <w:t>，为河川径流量的重复水量。</w:t>
      </w:r>
      <w:r>
        <w:rPr>
          <w:rFonts w:hint="eastAsia"/>
          <w:color w:val="auto"/>
          <w:sz w:val="24"/>
          <w:highlight w:val="none"/>
          <w:lang w:val="en-US" w:eastAsia="zh-CN"/>
        </w:rPr>
        <w:t>阳东区多年地下水资源量为4.89</w:t>
      </w:r>
      <w:r>
        <w:rPr>
          <w:rFonts w:hint="default"/>
          <w:color w:val="auto"/>
          <w:sz w:val="24"/>
          <w:highlight w:val="none"/>
          <w:lang w:val="en-US" w:eastAsia="zh-CN"/>
        </w:rPr>
        <w:t>亿m</w:t>
      </w:r>
      <w:r>
        <w:rPr>
          <w:rFonts w:hint="default"/>
          <w:color w:val="auto"/>
          <w:sz w:val="24"/>
          <w:highlight w:val="none"/>
          <w:vertAlign w:val="superscript"/>
          <w:lang w:val="en-US" w:eastAsia="zh-CN"/>
        </w:rPr>
        <w:t>3</w:t>
      </w:r>
      <w:r>
        <w:rPr>
          <w:rFonts w:hint="default"/>
          <w:color w:val="auto"/>
          <w:sz w:val="24"/>
          <w:highlight w:val="none"/>
          <w:lang w:val="en-US" w:eastAsia="zh-CN"/>
        </w:rPr>
        <w:t>，</w:t>
      </w:r>
    </w:p>
    <w:p w14:paraId="1669E66D">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地下水主要污染途径为污水或有害物质经淋溶、流失、渗入地下，可通过包气带进入含水层导致对地下水的污染。本项目建成后运营期污水处理区、污泥处理区等区域若发生污水、污泥渗滤液以及化学品的渗漏，可能会造成土壤、地下水污染。本项目运营期可能造成地下水污染的区域包括粗格栅及进水泵房、细格棚及沉砂池、配水井、生物池、沉淀池、过滤池、消毒池、污泥浓缩池、污泥脱水机房等。</w:t>
      </w:r>
    </w:p>
    <w:p w14:paraId="7B10C2F4">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一般情况下，污水处理厂的建构筑物做好抗浮、抗渗、防腐和缝处理，防渗层不会出现裂缝；污水管道接口规范密封，加强维护，也不会发生跑冒滴漏现象，不会对地下水环境产生影响；污泥脱水机房等均为水泥硬质地面，化学品和固体废物置于相应的贮存容器和收集装置内，不直接与土壤接触，不会对地下水环境产生影响。考虑到若施工质量不能满足相应标准的要求，污水和污泥处理建构筑物、污水管道等长期使用有可能发生裂缝和管道破裂等现象，污水或污泥渗漏液可能会造成土壤和地下水的污染。本工程污水和污泥渗滤液中含有的污染物主要有为COD</w:t>
      </w:r>
      <w:r>
        <w:rPr>
          <w:rFonts w:hint="eastAsia" w:ascii="Times New Roman" w:hAnsi="Times New Roman" w:eastAsia="宋体" w:cs="Times New Roman"/>
          <w:b/>
          <w:bCs/>
          <w:color w:val="auto"/>
          <w:kern w:val="2"/>
          <w:sz w:val="21"/>
          <w:szCs w:val="21"/>
          <w:vertAlign w:val="subscript"/>
          <w:lang w:val="en-US" w:eastAsia="zh-CN" w:bidi="ar-SA"/>
        </w:rPr>
        <w:t>Cr</w:t>
      </w:r>
      <w:r>
        <w:rPr>
          <w:rFonts w:hint="eastAsia"/>
          <w:color w:val="auto"/>
          <w:sz w:val="24"/>
          <w:highlight w:val="none"/>
          <w:lang w:val="en-US" w:eastAsia="zh-CN"/>
        </w:rPr>
        <w:t>、BOD</w:t>
      </w:r>
      <w:r>
        <w:rPr>
          <w:rFonts w:hint="eastAsia" w:ascii="Times New Roman" w:hAnsi="Times New Roman" w:eastAsia="宋体" w:cs="Times New Roman"/>
          <w:b/>
          <w:bCs/>
          <w:color w:val="auto"/>
          <w:kern w:val="2"/>
          <w:sz w:val="21"/>
          <w:szCs w:val="21"/>
          <w:vertAlign w:val="subscript"/>
          <w:lang w:val="en-US" w:eastAsia="zh-CN" w:bidi="ar-SA"/>
        </w:rPr>
        <w:t>5</w:t>
      </w:r>
      <w:r>
        <w:rPr>
          <w:rFonts w:hint="eastAsia"/>
          <w:color w:val="auto"/>
          <w:sz w:val="24"/>
          <w:highlight w:val="none"/>
          <w:lang w:val="en-US" w:eastAsia="zh-CN"/>
        </w:rPr>
        <w:t>、SS、氨氮等多种污染因子，如果渗漏下排，一部分污染物经过土壤颗粒的吸附作用（包括物理吸附、化学吸附和离子交換吸附）以及有机物在厌氧条件下经过微生物分解等作用使污水中一些物质得到去除，一部分污染物在土壤自浄能力饱和的情況下，在包气带迁移、转化之后达到地下水面，污染地下水。</w:t>
      </w:r>
    </w:p>
    <w:p w14:paraId="5DB1EE1D">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因此，要严格保证施工质量，做好防腐、防渗和缝处理，运营期加强日常维护和管理，避免污水下渗对地下水造成污染。</w:t>
      </w:r>
    </w:p>
    <w:p w14:paraId="413599DE">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本项目为环保工程项目，所建设的大八镇污水处理厂对提升区域河道水质起很大作用，使得大八河及区域内支流的污染物排放大幅度削减，污染物浓度大大降低，由于区域水系地表水质的大幅改善，使得水系周围地下水污染物质大幅度减少，对地下水水质产生积极的影响，长期来看，项目的实施可以改善周围地下水水质。</w:t>
      </w:r>
    </w:p>
    <w:p w14:paraId="738F191D">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另外，大八镇污水处理厂也有可能成为地下水污染源， 需要做好污水处理站防渗措施，建议污水处理站内采用抗渗等级不低于P1级的抗渗混凝土，厚度不低于 20cm 硬化地面（渗透系数≤0.4×10</w:t>
      </w:r>
      <w:r>
        <w:rPr>
          <w:rFonts w:hint="eastAsia"/>
          <w:color w:val="auto"/>
          <w:sz w:val="24"/>
          <w:highlight w:val="none"/>
          <w:vertAlign w:val="superscript"/>
          <w:lang w:val="en-US" w:eastAsia="zh-CN"/>
        </w:rPr>
        <w:t>-7</w:t>
      </w:r>
      <w:r>
        <w:rPr>
          <w:rFonts w:hint="eastAsia"/>
          <w:color w:val="auto"/>
          <w:sz w:val="24"/>
          <w:highlight w:val="none"/>
          <w:lang w:val="en-US" w:eastAsia="zh-CN"/>
        </w:rPr>
        <w:t xml:space="preserve"> cm/s），防止污水处理站污水下渗污染地下水。</w:t>
      </w:r>
    </w:p>
    <w:p w14:paraId="74953B95">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因此，在做好防渗措施后，项目的实施可以使得河道周围地下水污染物质大幅度减少，从而改善周围地下水水质，对地下水水质产生积极的影响。</w:t>
      </w:r>
    </w:p>
    <w:p w14:paraId="74DD9770">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bookmarkStart w:id="85" w:name="_Toc4284"/>
      <w:bookmarkStart w:id="86" w:name="_Toc32092"/>
      <w:r>
        <w:rPr>
          <w:rFonts w:hint="eastAsia"/>
          <w:color w:val="auto"/>
          <w:lang w:val="en-US" w:eastAsia="zh-CN"/>
        </w:rPr>
        <w:t>对第三者影响分析</w:t>
      </w:r>
      <w:bookmarkEnd w:id="85"/>
      <w:bookmarkEnd w:id="86"/>
    </w:p>
    <w:p w14:paraId="21C0E563">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对社会环境影响评价</w:t>
      </w:r>
    </w:p>
    <w:p w14:paraId="75CCC53D">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生活污水处理厂以改善和治理水环境污染为目的，属于公益性、非赢利性的环境污染治理工程项目，但在其建设和营运过程中也会产生一些环境问题， 若处理处置不当，极有可能对环境造成严重的二次污染，引发新的污染纠纷事件。</w:t>
      </w:r>
    </w:p>
    <w:p w14:paraId="31D18215">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对居民生活质量影响分析</w:t>
      </w:r>
    </w:p>
    <w:p w14:paraId="45B865EE">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在环境保护已成为一项基本国策的今天，水污染所引发的各种问题日益受到全社会的关注与重视，甚至对社会的安定、国民经济的持续稳定发展产生重要影响。本工程的实施，对阳江市阳东区的城市发展战略，具有深远的意义和影响。</w:t>
      </w:r>
    </w:p>
    <w:p w14:paraId="12C5FE07">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工程的实施可解决大八镇区生活污水排放问题，使居民生活污水有去向，而不是随意排入周边地表水体。可进一步改善排水渠和大八河水质，改善大八镇镇容镇貌，为居民营造良好的生活环境。</w:t>
      </w:r>
    </w:p>
    <w:p w14:paraId="5D8A3C24">
      <w:pPr>
        <w:pStyle w:val="5"/>
        <w:keepNext/>
        <w:keepLines/>
        <w:pageBreakBefore w:val="0"/>
        <w:widowControl w:val="0"/>
        <w:numPr>
          <w:ilvl w:val="2"/>
          <w:numId w:val="6"/>
        </w:numPr>
        <w:tabs>
          <w:tab w:val="left" w:pos="420"/>
        </w:tabs>
        <w:kinsoku/>
        <w:wordWrap/>
        <w:overflowPunct/>
        <w:topLinePunct w:val="0"/>
        <w:autoSpaceDE/>
        <w:autoSpaceDN/>
        <w:bidi w:val="0"/>
        <w:adjustRightInd/>
        <w:snapToGrid/>
        <w:spacing w:before="156" w:beforeLines="0" w:after="156" w:afterLines="0"/>
        <w:ind w:left="425"/>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对第三者影响分析</w:t>
      </w:r>
    </w:p>
    <w:p w14:paraId="4F167DBF">
      <w:pPr>
        <w:spacing w:line="360" w:lineRule="auto"/>
        <w:ind w:firstLine="480" w:firstLineChars="200"/>
        <w:rPr>
          <w:bCs/>
          <w:color w:val="auto"/>
          <w:sz w:val="24"/>
        </w:rPr>
      </w:pPr>
      <w:r>
        <w:rPr>
          <w:rFonts w:hint="eastAsia"/>
          <w:bCs/>
          <w:color w:val="auto"/>
          <w:sz w:val="24"/>
        </w:rPr>
        <w:t>根据《入河排污口设置论证基本要求》中的相关规定，入河排污口设置对下游主要取水口影响分析应重点分析论证排污口排污对水功能区（水域）内主要集中城市生活饮用水水源的影响。</w:t>
      </w:r>
    </w:p>
    <w:p w14:paraId="004984C0">
      <w:pPr>
        <w:pStyle w:val="7"/>
        <w:keepNext/>
        <w:keepLines/>
        <w:pageBreakBefore w:val="0"/>
        <w:widowControl w:val="0"/>
        <w:numPr>
          <w:ilvl w:val="3"/>
          <w:numId w:val="0"/>
        </w:numPr>
        <w:kinsoku/>
        <w:wordWrap/>
        <w:overflowPunct/>
        <w:topLinePunct w:val="0"/>
        <w:autoSpaceDE/>
        <w:autoSpaceDN/>
        <w:bidi w:val="0"/>
        <w:adjustRightInd/>
        <w:snapToGrid/>
        <w:spacing w:after="0" w:afterLines="50" w:line="360" w:lineRule="auto"/>
        <w:ind w:left="-57" w:leftChars="0" w:firstLine="482"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7.7.3.1对下游自来水厂的影响</w:t>
      </w:r>
    </w:p>
    <w:p w14:paraId="30281737">
      <w:pPr>
        <w:spacing w:line="360" w:lineRule="auto"/>
        <w:ind w:firstLine="480" w:firstLineChars="200"/>
        <w:jc w:val="both"/>
        <w:rPr>
          <w:rFonts w:hint="default" w:hAnsi="宋体"/>
          <w:bCs/>
          <w:color w:val="auto"/>
          <w:sz w:val="24"/>
          <w:lang w:val="en-US" w:eastAsia="zh-CN"/>
        </w:rPr>
      </w:pPr>
      <w:r>
        <w:rPr>
          <w:rFonts w:hint="eastAsia" w:hAnsi="宋体"/>
          <w:bCs/>
          <w:color w:val="auto"/>
          <w:sz w:val="24"/>
          <w:lang w:val="en-US" w:eastAsia="zh-CN"/>
        </w:rPr>
        <w:t>1、饮用水水源保护区划分</w:t>
      </w:r>
    </w:p>
    <w:p w14:paraId="74E6A872">
      <w:pPr>
        <w:spacing w:line="360" w:lineRule="auto"/>
        <w:ind w:firstLine="480" w:firstLineChars="200"/>
        <w:jc w:val="both"/>
        <w:rPr>
          <w:rFonts w:hint="eastAsia" w:hAnsi="宋体"/>
          <w:bCs/>
          <w:color w:val="auto"/>
          <w:sz w:val="24"/>
          <w:lang w:val="en-US" w:eastAsia="zh-CN"/>
        </w:rPr>
      </w:pPr>
      <w:r>
        <w:rPr>
          <w:rFonts w:hint="eastAsia" w:hAnsi="宋体"/>
          <w:bCs/>
          <w:color w:val="auto"/>
          <w:sz w:val="24"/>
          <w:lang w:val="en-US" w:eastAsia="zh-CN"/>
        </w:rPr>
        <w:t>根据《中华人民共和国水污染防治法实施细则》和《饮用水水源保护区划分技术规范》规定，地表水饮用 水源保护区的划分方法包括河流型和湖泊、水库饮用水源保护区的划分。本报告采用类比经验法，确定一级保护区和二级保护区水域范围。河流型饮用水源保护区具体划分方法如下：</w:t>
      </w:r>
    </w:p>
    <w:p w14:paraId="217C7C93">
      <w:pPr>
        <w:spacing w:line="360" w:lineRule="auto"/>
        <w:ind w:firstLine="480" w:firstLineChars="200"/>
        <w:jc w:val="both"/>
        <w:rPr>
          <w:rFonts w:hint="default" w:eastAsia="宋体"/>
          <w:bCs/>
          <w:color w:val="auto"/>
          <w:sz w:val="24"/>
          <w:lang w:val="en-US" w:eastAsia="zh-CN"/>
        </w:rPr>
      </w:pPr>
      <w:r>
        <w:rPr>
          <w:rFonts w:hint="eastAsia" w:hAnsi="宋体"/>
          <w:bCs/>
          <w:color w:val="auto"/>
          <w:sz w:val="24"/>
          <w:lang w:val="en-US" w:eastAsia="zh-CN"/>
        </w:rPr>
        <w:t>（1）二级保护区为：</w:t>
      </w:r>
    </w:p>
    <w:p w14:paraId="55D7DE6D">
      <w:pPr>
        <w:spacing w:line="360" w:lineRule="auto"/>
        <w:ind w:firstLine="480" w:firstLineChars="200"/>
        <w:jc w:val="both"/>
        <w:rPr>
          <w:rFonts w:hint="default" w:ascii="Times New Roman" w:hAnsi="宋体" w:cs="Times New Roman"/>
          <w:bCs/>
          <w:color w:val="auto"/>
          <w:sz w:val="24"/>
          <w:lang w:val="en-US" w:eastAsia="zh-CN"/>
        </w:rPr>
      </w:pPr>
      <w:r>
        <w:rPr>
          <w:rFonts w:hint="default" w:ascii="Times New Roman" w:hAnsi="宋体" w:cs="Times New Roman"/>
          <w:bCs/>
          <w:color w:val="auto"/>
          <w:sz w:val="24"/>
          <w:lang w:val="en-US" w:eastAsia="zh-CN"/>
        </w:rPr>
        <w:t>①水域范围：一般河流水源地，二级保护区水域长度从一级保护区的上游边界向上游（ 包括汇入的上游支流）延伸不得小于2000米，下游侧外边界距一级保护区边界不得小于200米；水域宽度为一级保护区水域向外10年一遇洪水所能淹没的区域，有防洪堤的河段二级保护区的水域宽度为防洪堤内的水域。</w:t>
      </w:r>
    </w:p>
    <w:p w14:paraId="6FE1203C">
      <w:pPr>
        <w:spacing w:line="360" w:lineRule="auto"/>
        <w:ind w:firstLine="480" w:firstLineChars="200"/>
        <w:jc w:val="both"/>
        <w:rPr>
          <w:rFonts w:hint="default" w:ascii="Times New Roman" w:hAnsi="宋体" w:cs="Times New Roman"/>
          <w:bCs/>
          <w:color w:val="auto"/>
          <w:sz w:val="24"/>
          <w:lang w:val="en-US" w:eastAsia="zh-CN"/>
        </w:rPr>
      </w:pPr>
      <w:r>
        <w:rPr>
          <w:rFonts w:hint="default" w:ascii="Times New Roman" w:hAnsi="宋体" w:cs="Times New Roman"/>
          <w:bCs/>
          <w:color w:val="auto"/>
          <w:sz w:val="24"/>
          <w:lang w:val="en-US" w:eastAsia="zh-CN"/>
        </w:rPr>
        <w:t>②陆域范围：二级保护区陆域范围的确定 以确保水源保护区水域水质为目标。二级保护区陆域沿岸长度不小于二级保护区水域河长；二级保护区沿岸纵深范围不小于1000米；当面源污染为主要水质影响因素时，二级保护沿岸纵深范围，主要依据自然地理、环境特征和环境管理需要，通过分析地形、植被、土地利用、地面径流的集水汇流特征、集水域范围等确定；当水源地水质受保护区附近点污染源影响严重时，应将污染源集中分布的区域划入二级保护区管理范围。</w:t>
      </w:r>
    </w:p>
    <w:p w14:paraId="065050C6">
      <w:pPr>
        <w:spacing w:line="360" w:lineRule="auto"/>
        <w:ind w:firstLine="480" w:firstLineChars="200"/>
        <w:jc w:val="both"/>
        <w:rPr>
          <w:rFonts w:hint="default"/>
          <w:bCs/>
          <w:color w:val="auto"/>
          <w:sz w:val="24"/>
          <w:lang w:val="en-US" w:eastAsia="zh-CN"/>
        </w:rPr>
      </w:pPr>
      <w:r>
        <w:rPr>
          <w:rFonts w:hint="eastAsia"/>
          <w:bCs/>
          <w:color w:val="auto"/>
          <w:sz w:val="24"/>
          <w:lang w:val="en-US" w:eastAsia="zh-CN"/>
        </w:rPr>
        <w:t>2、取水口位置</w:t>
      </w:r>
    </w:p>
    <w:p w14:paraId="766B0D5D">
      <w:pPr>
        <w:spacing w:line="360" w:lineRule="auto"/>
        <w:ind w:firstLine="480" w:firstLineChars="200"/>
        <w:jc w:val="both"/>
        <w:rPr>
          <w:rFonts w:hint="eastAsia" w:hAnsi="宋体"/>
          <w:bCs/>
          <w:color w:val="auto"/>
          <w:sz w:val="24"/>
          <w:lang w:val="en-US" w:eastAsia="zh-CN"/>
        </w:rPr>
      </w:pPr>
      <w:r>
        <w:rPr>
          <w:rFonts w:hint="eastAsia"/>
          <w:bCs/>
          <w:color w:val="auto"/>
          <w:sz w:val="24"/>
          <w:lang w:val="en-US" w:eastAsia="zh-CN"/>
        </w:rPr>
        <w:t>根据调查可知，本项目</w:t>
      </w:r>
      <w:r>
        <w:rPr>
          <w:rFonts w:hint="eastAsia"/>
          <w:bCs/>
          <w:color w:val="auto"/>
          <w:sz w:val="24"/>
        </w:rPr>
        <w:t>入河排污口</w:t>
      </w:r>
      <w:r>
        <w:rPr>
          <w:rFonts w:hint="eastAsia" w:hAnsi="宋体"/>
          <w:bCs/>
          <w:color w:val="auto"/>
          <w:sz w:val="24"/>
          <w:lang w:val="en-US" w:eastAsia="zh-CN"/>
        </w:rPr>
        <w:t>距离大八河下游塘坪镇饮用水源取水口有5.6km。</w:t>
      </w:r>
    </w:p>
    <w:p w14:paraId="5CD384B7">
      <w:pPr>
        <w:spacing w:line="360" w:lineRule="auto"/>
        <w:ind w:firstLine="480" w:firstLineChars="200"/>
        <w:jc w:val="both"/>
        <w:rPr>
          <w:rFonts w:hint="default"/>
          <w:bCs/>
          <w:color w:val="auto"/>
          <w:sz w:val="24"/>
          <w:lang w:val="en-US" w:eastAsia="zh-CN"/>
        </w:rPr>
      </w:pPr>
      <w:r>
        <w:rPr>
          <w:rFonts w:hint="eastAsia"/>
          <w:bCs/>
          <w:color w:val="auto"/>
          <w:sz w:val="24"/>
          <w:lang w:val="en-US" w:eastAsia="zh-CN"/>
        </w:rPr>
        <w:t>3、对饮用水源保护区位置的影响</w:t>
      </w:r>
    </w:p>
    <w:p w14:paraId="30FB2595">
      <w:pPr>
        <w:spacing w:line="360" w:lineRule="auto"/>
        <w:ind w:firstLine="480" w:firstLineChars="200"/>
        <w:jc w:val="both"/>
        <w:rPr>
          <w:rFonts w:hint="default"/>
          <w:color w:val="auto"/>
          <w:lang w:val="en-US" w:eastAsia="zh-CN"/>
        </w:rPr>
      </w:pPr>
      <w:r>
        <w:rPr>
          <w:rFonts w:hint="eastAsia"/>
          <w:bCs/>
          <w:color w:val="auto"/>
          <w:sz w:val="24"/>
          <w:lang w:val="en-US" w:eastAsia="zh-CN"/>
        </w:rPr>
        <w:t>根据本章节对水功能区水质影响分析可知，大八镇污水处理厂达标排放尾水经排水渠进入大八河，</w:t>
      </w:r>
      <w:r>
        <w:rPr>
          <w:rFonts w:hint="eastAsia" w:hAnsi="宋体"/>
          <w:bCs/>
          <w:color w:val="auto"/>
          <w:sz w:val="24"/>
          <w:lang w:val="en-US" w:eastAsia="zh-CN"/>
        </w:rPr>
        <w:t>经大八河稀释及降解以后，在排污口下游300m水质满足</w:t>
      </w:r>
      <w:r>
        <w:rPr>
          <w:rFonts w:hint="eastAsia" w:ascii="Times New Roman" w:hAnsi="宋体" w:cs="Times New Roman"/>
          <w:bCs/>
          <w:color w:val="auto"/>
          <w:sz w:val="24"/>
          <w:lang w:val="en-US" w:eastAsia="zh-CN"/>
        </w:rPr>
        <w:t>Ⅲ类</w:t>
      </w:r>
      <w:r>
        <w:rPr>
          <w:rFonts w:hint="eastAsia" w:hAnsi="宋体"/>
          <w:bCs/>
          <w:color w:val="auto"/>
          <w:sz w:val="24"/>
          <w:lang w:val="en-US" w:eastAsia="zh-CN"/>
        </w:rPr>
        <w:t>水质要求，影响较小；同时塘坪镇饮用水源取水口距离本项目</w:t>
      </w:r>
      <w:r>
        <w:rPr>
          <w:rFonts w:hint="eastAsia"/>
          <w:bCs/>
          <w:color w:val="auto"/>
          <w:sz w:val="24"/>
        </w:rPr>
        <w:t>入河排污口</w:t>
      </w:r>
      <w:r>
        <w:rPr>
          <w:rFonts w:hint="eastAsia"/>
          <w:bCs/>
          <w:color w:val="auto"/>
          <w:sz w:val="24"/>
          <w:lang w:val="en-US" w:eastAsia="zh-CN"/>
        </w:rPr>
        <w:t>下游5.6km，因此，</w:t>
      </w:r>
      <w:r>
        <w:rPr>
          <w:rFonts w:hint="eastAsia" w:hAnsi="宋体"/>
          <w:bCs/>
          <w:color w:val="auto"/>
          <w:sz w:val="24"/>
          <w:lang w:val="en-US" w:eastAsia="zh-CN"/>
        </w:rPr>
        <w:t>本项目</w:t>
      </w:r>
      <w:r>
        <w:rPr>
          <w:rFonts w:hint="eastAsia"/>
          <w:bCs/>
          <w:color w:val="auto"/>
          <w:sz w:val="24"/>
        </w:rPr>
        <w:t>入河排污口</w:t>
      </w:r>
      <w:r>
        <w:rPr>
          <w:rFonts w:hint="eastAsia"/>
          <w:bCs/>
          <w:color w:val="auto"/>
          <w:sz w:val="24"/>
          <w:lang w:val="en-US" w:eastAsia="zh-CN"/>
        </w:rPr>
        <w:t>位置不在</w:t>
      </w:r>
      <w:r>
        <w:rPr>
          <w:rFonts w:hint="eastAsia" w:hAnsi="宋体"/>
          <w:bCs/>
          <w:color w:val="auto"/>
          <w:sz w:val="24"/>
          <w:lang w:val="en-US" w:eastAsia="zh-CN"/>
        </w:rPr>
        <w:t>塘坪镇自来水水厂取水口二级保护区范围内。位置关系图见下图</w:t>
      </w:r>
    </w:p>
    <w:p w14:paraId="0B05B6F0">
      <w:pPr>
        <w:spacing w:line="360" w:lineRule="auto"/>
        <w:ind w:firstLine="480" w:firstLineChars="200"/>
        <w:jc w:val="both"/>
        <w:rPr>
          <w:rFonts w:hint="eastAsia" w:hAnsi="宋体"/>
          <w:bCs/>
          <w:color w:val="auto"/>
          <w:sz w:val="24"/>
          <w:lang w:val="en-US" w:eastAsia="zh-CN"/>
        </w:rPr>
      </w:pPr>
    </w:p>
    <w:p w14:paraId="338EAFBE">
      <w:pPr>
        <w:pStyle w:val="2"/>
        <w:rPr>
          <w:rFonts w:hint="eastAsia"/>
          <w:color w:val="auto"/>
          <w:lang w:val="en-US" w:eastAsia="zh-CN"/>
        </w:rPr>
      </w:pPr>
      <w:r>
        <w:rPr>
          <w:color w:val="auto"/>
        </w:rPr>
        <mc:AlternateContent>
          <mc:Choice Requires="wps">
            <w:drawing>
              <wp:anchor distT="0" distB="0" distL="114300" distR="114300" simplePos="0" relativeHeight="251685888" behindDoc="0" locked="0" layoutInCell="1" allowOverlap="1">
                <wp:simplePos x="0" y="0"/>
                <wp:positionH relativeFrom="column">
                  <wp:posOffset>4412615</wp:posOffset>
                </wp:positionH>
                <wp:positionV relativeFrom="paragraph">
                  <wp:posOffset>1682750</wp:posOffset>
                </wp:positionV>
                <wp:extent cx="1256665" cy="487045"/>
                <wp:effectExtent l="5080" t="468630" r="8255" b="9525"/>
                <wp:wrapNone/>
                <wp:docPr id="41" name="矩形标注 41"/>
                <wp:cNvGraphicFramePr/>
                <a:graphic xmlns:a="http://schemas.openxmlformats.org/drawingml/2006/main">
                  <a:graphicData uri="http://schemas.microsoft.com/office/word/2010/wordprocessingShape">
                    <wps:wsp>
                      <wps:cNvSpPr/>
                      <wps:spPr>
                        <a:xfrm>
                          <a:off x="0" y="0"/>
                          <a:ext cx="1256665" cy="487045"/>
                        </a:xfrm>
                        <a:prstGeom prst="wedgeRectCallout">
                          <a:avLst>
                            <a:gd name="adj1" fmla="val -19078"/>
                            <a:gd name="adj2" fmla="val -143220"/>
                          </a:avLst>
                        </a:prstGeom>
                        <a:noFill/>
                        <a:ln w="6350" cap="flat" cmpd="sng">
                          <a:solidFill>
                            <a:srgbClr val="FF0000"/>
                          </a:solidFill>
                          <a:prstDash val="solid"/>
                          <a:miter/>
                          <a:headEnd type="none" w="med" len="med"/>
                          <a:tailEnd type="none" w="med" len="med"/>
                        </a:ln>
                        <a:effectLst/>
                      </wps:spPr>
                      <wps:txbx>
                        <w:txbxContent>
                          <w:p w14:paraId="4EDBA502">
                            <w:pPr>
                              <w:rPr>
                                <w:rFonts w:hint="eastAsia"/>
                                <w:lang w:val="en-US" w:eastAsia="zh-CN"/>
                              </w:rPr>
                            </w:pPr>
                            <w:r>
                              <w:rPr>
                                <w:rFonts w:hint="eastAsia"/>
                                <w:lang w:val="en-US" w:eastAsia="zh-CN"/>
                              </w:rPr>
                              <w:t>大八镇污水处理厂</w:t>
                            </w:r>
                          </w:p>
                          <w:p w14:paraId="26DD7298">
                            <w:pPr>
                              <w:rPr>
                                <w:rFonts w:hint="default" w:eastAsia="宋体"/>
                                <w:lang w:val="en-US" w:eastAsia="zh-CN"/>
                              </w:rPr>
                            </w:pPr>
                            <w:r>
                              <w:rPr>
                                <w:rFonts w:hint="eastAsia"/>
                                <w:lang w:val="en-US" w:eastAsia="zh-CN"/>
                              </w:rPr>
                              <w:t>入河排污口</w:t>
                            </w:r>
                          </w:p>
                        </w:txbxContent>
                      </wps:txbx>
                      <wps:bodyPr upright="1"/>
                    </wps:wsp>
                  </a:graphicData>
                </a:graphic>
              </wp:anchor>
            </w:drawing>
          </mc:Choice>
          <mc:Fallback>
            <w:pict>
              <v:shape id="_x0000_s1026" o:spid="_x0000_s1026" o:spt="61" type="#_x0000_t61" style="position:absolute;left:0pt;margin-left:347.45pt;margin-top:132.5pt;height:38.35pt;width:98.95pt;z-index:251685888;mso-width-relative:page;mso-height-relative:page;" filled="f" stroked="t" coordsize="21600,21600" o:gfxdata="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8LBgh3AAAAAsBAAAPAAAAAAAAAAEAIAAAACIA&#10;AABkcnMvZG93bnJldi54bWxQSwECFAAUAAAACACHTuJAR32S1z4CAAB2BAAADgAAAAAAAAABACAA&#10;AAArAQAAZHJzL2Uyb0RvYy54bWxQSwUGAAAAAAYABgBZAQAA2wUAAAAA&#10;" adj="6679,-20136">
                <v:fill on="f" focussize="0,0"/>
                <v:stroke weight="0.5pt" color="#FF0000" joinstyle="miter"/>
                <v:imagedata o:title=""/>
                <o:lock v:ext="edit" aspectratio="f"/>
                <v:textbox>
                  <w:txbxContent>
                    <w:p w14:paraId="4EDBA502">
                      <w:pPr>
                        <w:rPr>
                          <w:rFonts w:hint="eastAsia"/>
                          <w:lang w:val="en-US" w:eastAsia="zh-CN"/>
                        </w:rPr>
                      </w:pPr>
                      <w:r>
                        <w:rPr>
                          <w:rFonts w:hint="eastAsia"/>
                          <w:lang w:val="en-US" w:eastAsia="zh-CN"/>
                        </w:rPr>
                        <w:t>大八镇污水处理厂</w:t>
                      </w:r>
                    </w:p>
                    <w:p w14:paraId="26DD7298">
                      <w:pPr>
                        <w:rPr>
                          <w:rFonts w:hint="default" w:eastAsia="宋体"/>
                          <w:lang w:val="en-US" w:eastAsia="zh-CN"/>
                        </w:rPr>
                      </w:pPr>
                      <w:r>
                        <w:rPr>
                          <w:rFonts w:hint="eastAsia"/>
                          <w:lang w:val="en-US" w:eastAsia="zh-CN"/>
                        </w:rPr>
                        <w:t>入河排污口</w:t>
                      </w:r>
                    </w:p>
                  </w:txbxContent>
                </v:textbox>
              </v:shape>
            </w:pict>
          </mc:Fallback>
        </mc:AlternateContent>
      </w:r>
      <w:r>
        <w:rPr>
          <w:color w:val="auto"/>
        </w:rPr>
        <mc:AlternateContent>
          <mc:Choice Requires="wps">
            <w:drawing>
              <wp:anchor distT="0" distB="0" distL="114300" distR="114300" simplePos="0" relativeHeight="251686912" behindDoc="0" locked="0" layoutInCell="1" allowOverlap="1">
                <wp:simplePos x="0" y="0"/>
                <wp:positionH relativeFrom="column">
                  <wp:posOffset>4754880</wp:posOffset>
                </wp:positionH>
                <wp:positionV relativeFrom="paragraph">
                  <wp:posOffset>1146810</wp:posOffset>
                </wp:positionV>
                <wp:extent cx="76200" cy="76200"/>
                <wp:effectExtent l="4445" t="4445" r="14605" b="14605"/>
                <wp:wrapNone/>
                <wp:docPr id="14" name="矩形 14"/>
                <wp:cNvGraphicFramePr/>
                <a:graphic xmlns:a="http://schemas.openxmlformats.org/drawingml/2006/main">
                  <a:graphicData uri="http://schemas.microsoft.com/office/word/2010/wordprocessingShape">
                    <wps:wsp>
                      <wps:cNvSpPr/>
                      <wps:spPr>
                        <a:xfrm>
                          <a:off x="0" y="0"/>
                          <a:ext cx="76200" cy="76200"/>
                        </a:xfrm>
                        <a:prstGeom prst="rect">
                          <a:avLst/>
                        </a:prstGeom>
                        <a:solidFill>
                          <a:srgbClr val="FF0000"/>
                        </a:solidFill>
                        <a:ln w="6350" cap="flat" cmpd="sng">
                          <a:solidFill>
                            <a:srgbClr val="000000"/>
                          </a:solidFill>
                          <a:prstDash val="solid"/>
                          <a:miter/>
                          <a:headEnd type="none" w="med" len="med"/>
                          <a:tailEnd type="none" w="med" len="med"/>
                        </a:ln>
                        <a:effectLst/>
                      </wps:spPr>
                      <wps:txbx>
                        <w:txbxContent>
                          <w:p w14:paraId="37CC122E"/>
                        </w:txbxContent>
                      </wps:txbx>
                      <wps:bodyPr upright="1"/>
                    </wps:wsp>
                  </a:graphicData>
                </a:graphic>
              </wp:anchor>
            </w:drawing>
          </mc:Choice>
          <mc:Fallback>
            <w:pict>
              <v:rect id="_x0000_s1026" o:spid="_x0000_s1026" o:spt="1" style="position:absolute;left:0pt;margin-left:374.4pt;margin-top:90.3pt;height:6pt;width:6pt;z-index:251686912;mso-width-relative:page;mso-height-relative:page;" fillcolor="#FF0000" filled="t" stroked="t" coordsize="21600,21600" o:gfxdata="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Hbgm53ZAAAACwEAAA8AAAAAAAAAAQAgAAAAIgAAAGRycy9k&#10;b3ducmV2LnhtbFBLAQIUABQAAAAIAIdO4kAm7dmSAQIAADYEAAAOAAAAAAAAAAEAIAAAACgBAABk&#10;cnMvZTJvRG9jLnhtbFBLBQYAAAAABgAGAFkBAACbBQAAAAA=&#10;">
                <v:fill on="t" focussize="0,0"/>
                <v:stroke weight="0.5pt" color="#000000" joinstyle="miter"/>
                <v:imagedata o:title=""/>
                <o:lock v:ext="edit" aspectratio="f"/>
                <v:textbox>
                  <w:txbxContent>
                    <w:p w14:paraId="37CC122E"/>
                  </w:txbxContent>
                </v:textbox>
              </v:rect>
            </w:pict>
          </mc:Fallback>
        </mc:AlternateContent>
      </w:r>
      <w:r>
        <w:rPr>
          <w:color w:val="auto"/>
        </w:rPr>
        <mc:AlternateContent>
          <mc:Choice Requires="wps">
            <w:drawing>
              <wp:anchor distT="0" distB="0" distL="114300" distR="114300" simplePos="0" relativeHeight="251687936" behindDoc="0" locked="0" layoutInCell="1" allowOverlap="1">
                <wp:simplePos x="0" y="0"/>
                <wp:positionH relativeFrom="column">
                  <wp:posOffset>1978025</wp:posOffset>
                </wp:positionH>
                <wp:positionV relativeFrom="paragraph">
                  <wp:posOffset>3708400</wp:posOffset>
                </wp:positionV>
                <wp:extent cx="1677035" cy="344170"/>
                <wp:effectExtent l="465455" t="5080" r="10160" b="260350"/>
                <wp:wrapNone/>
                <wp:docPr id="42" name="矩形标注 42"/>
                <wp:cNvGraphicFramePr/>
                <a:graphic xmlns:a="http://schemas.openxmlformats.org/drawingml/2006/main">
                  <a:graphicData uri="http://schemas.microsoft.com/office/word/2010/wordprocessingShape">
                    <wps:wsp>
                      <wps:cNvSpPr/>
                      <wps:spPr>
                        <a:xfrm>
                          <a:off x="0" y="0"/>
                          <a:ext cx="1677035" cy="344170"/>
                        </a:xfrm>
                        <a:prstGeom prst="wedgeRectCallout">
                          <a:avLst>
                            <a:gd name="adj1" fmla="val -75516"/>
                            <a:gd name="adj2" fmla="val 121771"/>
                          </a:avLst>
                        </a:prstGeom>
                        <a:noFill/>
                        <a:ln w="6350" cap="flat" cmpd="sng">
                          <a:solidFill>
                            <a:srgbClr val="FF0000"/>
                          </a:solidFill>
                          <a:prstDash val="solid"/>
                          <a:miter/>
                          <a:headEnd type="none" w="med" len="med"/>
                          <a:tailEnd type="none" w="med" len="med"/>
                        </a:ln>
                        <a:effectLst/>
                      </wps:spPr>
                      <wps:txbx>
                        <w:txbxContent>
                          <w:p w14:paraId="0C095D2F">
                            <w:pPr>
                              <w:rPr>
                                <w:rFonts w:hint="default" w:eastAsia="宋体"/>
                                <w:lang w:val="en-US" w:eastAsia="zh-CN"/>
                              </w:rPr>
                            </w:pPr>
                            <w:r>
                              <w:rPr>
                                <w:rFonts w:hint="eastAsia"/>
                                <w:lang w:val="en-US" w:eastAsia="zh-CN"/>
                              </w:rPr>
                              <w:t>塘坪镇自来水水厂取水口</w:t>
                            </w:r>
                          </w:p>
                        </w:txbxContent>
                      </wps:txbx>
                      <wps:bodyPr upright="1"/>
                    </wps:wsp>
                  </a:graphicData>
                </a:graphic>
              </wp:anchor>
            </w:drawing>
          </mc:Choice>
          <mc:Fallback>
            <w:pict>
              <v:shape id="_x0000_s1026" o:spid="_x0000_s1026" o:spt="61" type="#_x0000_t61" style="position:absolute;left:0pt;margin-left:155.75pt;margin-top:292pt;height:27.1pt;width:132.05pt;z-index:251687936;mso-width-relative:page;mso-height-relative:page;" filled="f" stroked="t" coordsize="21600,21600" o:gfxdata="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4XTOd3AAAAAsBAAAPAAAAAAAAAAEAIAAAACIA&#10;AABkcnMvZG93bnJldi54bWxQSwECFAAUAAAACACHTuJAPdynMD4CAAB1BAAADgAAAAAAAAABACAA&#10;AAArAQAAZHJzL2Uyb0RvYy54bWxQSwUGAAAAAAYABgBZAQAA2wUAAAAA&#10;" adj="-5511,37103">
                <v:fill on="f" focussize="0,0"/>
                <v:stroke weight="0.5pt" color="#FF0000" joinstyle="miter"/>
                <v:imagedata o:title=""/>
                <o:lock v:ext="edit" aspectratio="f"/>
                <v:textbox>
                  <w:txbxContent>
                    <w:p w14:paraId="0C095D2F">
                      <w:pPr>
                        <w:rPr>
                          <w:rFonts w:hint="default" w:eastAsia="宋体"/>
                          <w:lang w:val="en-US" w:eastAsia="zh-CN"/>
                        </w:rPr>
                      </w:pPr>
                      <w:r>
                        <w:rPr>
                          <w:rFonts w:hint="eastAsia"/>
                          <w:lang w:val="en-US" w:eastAsia="zh-CN"/>
                        </w:rPr>
                        <w:t>塘坪镇自来水水厂取水口</w:t>
                      </w:r>
                    </w:p>
                  </w:txbxContent>
                </v:textbox>
              </v:shape>
            </w:pict>
          </mc:Fallback>
        </mc:AlternateContent>
      </w:r>
      <w:r>
        <w:rPr>
          <w:color w:val="auto"/>
        </w:rPr>
        <mc:AlternateContent>
          <mc:Choice Requires="wps">
            <w:drawing>
              <wp:anchor distT="0" distB="0" distL="114300" distR="114300" simplePos="0" relativeHeight="251683840" behindDoc="0" locked="0" layoutInCell="1" allowOverlap="1">
                <wp:simplePos x="0" y="0"/>
                <wp:positionH relativeFrom="column">
                  <wp:posOffset>1470660</wp:posOffset>
                </wp:positionH>
                <wp:positionV relativeFrom="paragraph">
                  <wp:posOffset>4254500</wp:posOffset>
                </wp:positionV>
                <wp:extent cx="76200" cy="76200"/>
                <wp:effectExtent l="4445" t="4445" r="14605" b="14605"/>
                <wp:wrapNone/>
                <wp:docPr id="10" name="矩形 10"/>
                <wp:cNvGraphicFramePr/>
                <a:graphic xmlns:a="http://schemas.openxmlformats.org/drawingml/2006/main">
                  <a:graphicData uri="http://schemas.microsoft.com/office/word/2010/wordprocessingShape">
                    <wps:wsp>
                      <wps:cNvSpPr/>
                      <wps:spPr>
                        <a:xfrm>
                          <a:off x="0" y="0"/>
                          <a:ext cx="76200" cy="76200"/>
                        </a:xfrm>
                        <a:prstGeom prst="rect">
                          <a:avLst/>
                        </a:prstGeom>
                        <a:solidFill>
                          <a:srgbClr val="FF0000"/>
                        </a:solidFill>
                        <a:ln w="6350" cap="flat" cmpd="sng">
                          <a:solidFill>
                            <a:srgbClr val="000000"/>
                          </a:solidFill>
                          <a:prstDash val="solid"/>
                          <a:miter/>
                          <a:headEnd type="none" w="med" len="med"/>
                          <a:tailEnd type="none" w="med" len="med"/>
                        </a:ln>
                        <a:effectLst/>
                      </wps:spPr>
                      <wps:txbx>
                        <w:txbxContent>
                          <w:p w14:paraId="6FB4EDA0"/>
                        </w:txbxContent>
                      </wps:txbx>
                      <wps:bodyPr upright="1"/>
                    </wps:wsp>
                  </a:graphicData>
                </a:graphic>
              </wp:anchor>
            </w:drawing>
          </mc:Choice>
          <mc:Fallback>
            <w:pict>
              <v:rect id="_x0000_s1026" o:spid="_x0000_s1026" o:spt="1" style="position:absolute;left:0pt;margin-left:115.8pt;margin-top:335pt;height:6pt;width:6pt;z-index:251683840;mso-width-relative:page;mso-height-relative:page;" fillcolor="#FF0000" filled="t" stroked="t" coordsize="21600,21600" o:gfxdata="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AdIsX2AAAAAsBAAAPAAAAAAAAAAEAIAAAACIAAABkcnMvZG93&#10;bnJldi54bWxQSwECFAAUAAAACACHTuJAseXVCQACAAA2BAAADgAAAAAAAAABACAAAAAnAQAAZHJz&#10;L2Uyb0RvYy54bWxQSwUGAAAAAAYABgBZAQAAmQUAAAAA&#10;">
                <v:fill on="t" focussize="0,0"/>
                <v:stroke weight="0.5pt" color="#000000" joinstyle="miter"/>
                <v:imagedata o:title=""/>
                <o:lock v:ext="edit" aspectratio="f"/>
                <v:textbox>
                  <w:txbxContent>
                    <w:p w14:paraId="6FB4EDA0"/>
                  </w:txbxContent>
                </v:textbox>
              </v:rect>
            </w:pict>
          </mc:Fallback>
        </mc:AlternateContent>
      </w:r>
      <w:r>
        <w:rPr>
          <w:rFonts w:hint="eastAsia"/>
          <w:color w:val="auto"/>
          <w:lang w:val="en-US" w:eastAsia="zh-CN"/>
        </w:rPr>
        <w:drawing>
          <wp:inline distT="0" distB="0" distL="114300" distR="114300">
            <wp:extent cx="5729605" cy="5753100"/>
            <wp:effectExtent l="0" t="0" r="4445" b="0"/>
            <wp:docPr id="9" name="图片 9" descr="1659195440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659195440186"/>
                    <pic:cNvPicPr>
                      <a:picLocks noChangeAspect="1"/>
                    </pic:cNvPicPr>
                  </pic:nvPicPr>
                  <pic:blipFill>
                    <a:blip r:embed="rId37"/>
                    <a:stretch>
                      <a:fillRect/>
                    </a:stretch>
                  </pic:blipFill>
                  <pic:spPr>
                    <a:xfrm>
                      <a:off x="0" y="0"/>
                      <a:ext cx="5729605" cy="5753100"/>
                    </a:xfrm>
                    <a:prstGeom prst="rect">
                      <a:avLst/>
                    </a:prstGeom>
                  </pic:spPr>
                </pic:pic>
              </a:graphicData>
            </a:graphic>
          </wp:inline>
        </w:drawing>
      </w:r>
    </w:p>
    <w:p w14:paraId="7679ECDE">
      <w:pPr>
        <w:jc w:val="center"/>
        <w:rPr>
          <w:rFonts w:hint="eastAsia"/>
          <w:color w:val="auto"/>
          <w:lang w:val="en-US" w:eastAsia="zh-CN"/>
        </w:rPr>
      </w:pPr>
      <w:r>
        <w:rPr>
          <w:rFonts w:hint="eastAsia"/>
          <w:color w:val="auto"/>
          <w:lang w:val="en-US" w:eastAsia="zh-CN"/>
        </w:rPr>
        <w:t>图</w:t>
      </w:r>
      <w:r>
        <w:rPr>
          <w:rFonts w:hint="eastAsia"/>
          <w:color w:val="auto"/>
          <w:sz w:val="24"/>
          <w:szCs w:val="24"/>
          <w:lang w:val="en-US" w:eastAsia="zh-CN"/>
        </w:rPr>
        <w:t>7.7-1大八镇污水处理厂入河排污口与塘坪镇自来水厂取水口位置图</w:t>
      </w:r>
    </w:p>
    <w:p w14:paraId="3652C636">
      <w:pPr>
        <w:pStyle w:val="7"/>
        <w:keepNext/>
        <w:keepLines/>
        <w:pageBreakBefore w:val="0"/>
        <w:widowControl w:val="0"/>
        <w:numPr>
          <w:ilvl w:val="3"/>
          <w:numId w:val="0"/>
        </w:numPr>
        <w:kinsoku/>
        <w:wordWrap/>
        <w:overflowPunct/>
        <w:topLinePunct w:val="0"/>
        <w:autoSpaceDE/>
        <w:autoSpaceDN/>
        <w:bidi w:val="0"/>
        <w:adjustRightInd/>
        <w:snapToGrid/>
        <w:spacing w:after="0" w:afterLines="50" w:line="360" w:lineRule="auto"/>
        <w:ind w:left="-57" w:leftChars="0" w:firstLine="482"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7.7.3.2对周边农业用水的影响</w:t>
      </w:r>
    </w:p>
    <w:p w14:paraId="119EDFD1">
      <w:pPr>
        <w:spacing w:line="360" w:lineRule="auto"/>
        <w:ind w:firstLine="480" w:firstLineChars="200"/>
        <w:rPr>
          <w:bCs/>
          <w:color w:val="auto"/>
          <w:sz w:val="24"/>
        </w:rPr>
      </w:pPr>
      <w:r>
        <w:rPr>
          <w:rFonts w:hint="eastAsia" w:hAnsi="宋体"/>
          <w:bCs/>
          <w:color w:val="auto"/>
          <w:sz w:val="24"/>
        </w:rPr>
        <w:t>根据论证区域内取排水情况调查结果显示，目前论证区域内</w:t>
      </w:r>
      <w:r>
        <w:rPr>
          <w:rFonts w:hint="eastAsia" w:hAnsi="宋体"/>
          <w:bCs/>
          <w:color w:val="auto"/>
          <w:sz w:val="24"/>
          <w:lang w:eastAsia="zh-CN"/>
        </w:rPr>
        <w:t>排水渠、吉水河和大八河</w:t>
      </w:r>
      <w:r>
        <w:rPr>
          <w:rFonts w:hint="eastAsia" w:hAnsi="宋体"/>
          <w:bCs/>
          <w:color w:val="auto"/>
          <w:sz w:val="24"/>
        </w:rPr>
        <w:t>上既没有较大的取水口（取水流量大于</w:t>
      </w:r>
      <w:r>
        <w:rPr>
          <w:bCs/>
          <w:color w:val="auto"/>
          <w:sz w:val="24"/>
        </w:rPr>
        <w:t>0.1m</w:t>
      </w:r>
      <w:r>
        <w:rPr>
          <w:bCs/>
          <w:color w:val="auto"/>
          <w:sz w:val="24"/>
          <w:vertAlign w:val="superscript"/>
        </w:rPr>
        <w:t>3</w:t>
      </w:r>
      <w:r>
        <w:rPr>
          <w:bCs/>
          <w:color w:val="auto"/>
          <w:sz w:val="24"/>
        </w:rPr>
        <w:t>/s</w:t>
      </w:r>
      <w:r>
        <w:rPr>
          <w:rFonts w:hint="eastAsia" w:hAnsi="宋体"/>
          <w:bCs/>
          <w:color w:val="auto"/>
          <w:sz w:val="24"/>
        </w:rPr>
        <w:t>），也没有较大排水口（排水流量大于</w:t>
      </w:r>
      <w:r>
        <w:rPr>
          <w:bCs/>
          <w:color w:val="auto"/>
          <w:sz w:val="24"/>
        </w:rPr>
        <w:t>0.1m</w:t>
      </w:r>
      <w:r>
        <w:rPr>
          <w:bCs/>
          <w:color w:val="auto"/>
          <w:sz w:val="24"/>
          <w:vertAlign w:val="superscript"/>
        </w:rPr>
        <w:t>3</w:t>
      </w:r>
      <w:r>
        <w:rPr>
          <w:bCs/>
          <w:color w:val="auto"/>
          <w:sz w:val="24"/>
        </w:rPr>
        <w:t>/s</w:t>
      </w:r>
      <w:r>
        <w:rPr>
          <w:rFonts w:hint="eastAsia" w:hAnsi="宋体"/>
          <w:bCs/>
          <w:color w:val="auto"/>
          <w:sz w:val="24"/>
        </w:rPr>
        <w:t>）。</w:t>
      </w:r>
    </w:p>
    <w:p w14:paraId="5ED41D4F">
      <w:pPr>
        <w:spacing w:line="360" w:lineRule="auto"/>
        <w:ind w:firstLine="480" w:firstLineChars="200"/>
        <w:rPr>
          <w:bCs/>
          <w:color w:val="auto"/>
          <w:sz w:val="24"/>
        </w:rPr>
      </w:pPr>
      <w:r>
        <w:rPr>
          <w:rFonts w:hint="eastAsia" w:hAnsi="宋体"/>
          <w:bCs/>
          <w:color w:val="auto"/>
          <w:sz w:val="24"/>
        </w:rPr>
        <w:t>论证区域水体的主要用途为农业用水，水质目标为Ⅱ、</w:t>
      </w:r>
      <w:r>
        <w:rPr>
          <w:rFonts w:hint="eastAsia" w:ascii="宋体" w:hAnsi="宋体"/>
          <w:bCs/>
          <w:color w:val="auto"/>
          <w:sz w:val="24"/>
        </w:rPr>
        <w:t>Ⅲ</w:t>
      </w:r>
      <w:r>
        <w:rPr>
          <w:rFonts w:hint="eastAsia" w:hAnsi="宋体"/>
          <w:bCs/>
          <w:color w:val="auto"/>
          <w:sz w:val="24"/>
        </w:rPr>
        <w:t>类。在这个区域内无集中饮用水取水口，该河段现状主要供周边农业灌溉用水。农田灌溉用水的水质要求为《农田灌溉水质标准》（</w:t>
      </w:r>
      <w:r>
        <w:rPr>
          <w:bCs/>
          <w:color w:val="auto"/>
          <w:sz w:val="24"/>
        </w:rPr>
        <w:t>GB5084-2005</w:t>
      </w:r>
      <w:r>
        <w:rPr>
          <w:rFonts w:hint="eastAsia" w:hAnsi="宋体"/>
          <w:bCs/>
          <w:color w:val="auto"/>
          <w:sz w:val="24"/>
        </w:rPr>
        <w:t>）蔬菜类别的标准：</w:t>
      </w:r>
      <w:r>
        <w:rPr>
          <w:bCs/>
          <w:color w:val="auto"/>
          <w:sz w:val="24"/>
        </w:rPr>
        <w:t>pH</w:t>
      </w:r>
      <w:r>
        <w:rPr>
          <w:rFonts w:hint="eastAsia" w:hAnsi="宋体"/>
          <w:bCs/>
          <w:color w:val="auto"/>
          <w:sz w:val="24"/>
        </w:rPr>
        <w:t>（无量纲）</w:t>
      </w:r>
      <w:r>
        <w:rPr>
          <w:bCs/>
          <w:color w:val="auto"/>
          <w:sz w:val="24"/>
        </w:rPr>
        <w:t>5.5</w:t>
      </w:r>
      <w:r>
        <w:rPr>
          <w:rFonts w:hint="eastAsia" w:hAnsi="宋体"/>
          <w:bCs/>
          <w:color w:val="auto"/>
          <w:sz w:val="24"/>
        </w:rPr>
        <w:t>～</w:t>
      </w:r>
      <w:r>
        <w:rPr>
          <w:bCs/>
          <w:color w:val="auto"/>
          <w:sz w:val="24"/>
        </w:rPr>
        <w:t>8.5</w:t>
      </w:r>
      <w:r>
        <w:rPr>
          <w:rFonts w:hint="eastAsia" w:hAnsi="宋体"/>
          <w:bCs/>
          <w:color w:val="auto"/>
          <w:sz w:val="24"/>
        </w:rPr>
        <w:t>、</w:t>
      </w:r>
      <w:r>
        <w:rPr>
          <w:bCs/>
          <w:color w:val="auto"/>
          <w:sz w:val="24"/>
        </w:rPr>
        <w:t>COD</w:t>
      </w:r>
      <w:r>
        <w:rPr>
          <w:bCs/>
          <w:color w:val="auto"/>
          <w:sz w:val="24"/>
          <w:vertAlign w:val="subscript"/>
        </w:rPr>
        <w:t>Cr</w:t>
      </w:r>
      <w:r>
        <w:rPr>
          <w:bCs/>
          <w:color w:val="auto"/>
          <w:sz w:val="24"/>
        </w:rPr>
        <w:t>≤100mg/L</w:t>
      </w:r>
      <w:r>
        <w:rPr>
          <w:rFonts w:hint="eastAsia" w:hAnsi="宋体"/>
          <w:bCs/>
          <w:color w:val="auto"/>
          <w:sz w:val="24"/>
        </w:rPr>
        <w:t>、</w:t>
      </w:r>
      <w:r>
        <w:rPr>
          <w:bCs/>
          <w:color w:val="auto"/>
          <w:sz w:val="24"/>
        </w:rPr>
        <w:t>BOD</w:t>
      </w:r>
      <w:r>
        <w:rPr>
          <w:bCs/>
          <w:color w:val="auto"/>
          <w:sz w:val="24"/>
          <w:vertAlign w:val="subscript"/>
        </w:rPr>
        <w:t>5</w:t>
      </w:r>
      <w:r>
        <w:rPr>
          <w:bCs/>
          <w:color w:val="auto"/>
          <w:sz w:val="24"/>
        </w:rPr>
        <w:t>≤40mg/L</w:t>
      </w:r>
      <w:r>
        <w:rPr>
          <w:rFonts w:hint="eastAsia" w:hAnsi="宋体"/>
          <w:bCs/>
          <w:color w:val="auto"/>
          <w:sz w:val="24"/>
        </w:rPr>
        <w:t>、</w:t>
      </w:r>
      <w:r>
        <w:rPr>
          <w:bCs/>
          <w:color w:val="auto"/>
          <w:sz w:val="24"/>
        </w:rPr>
        <w:t>SS≤60mg/L</w:t>
      </w:r>
      <w:r>
        <w:rPr>
          <w:rFonts w:hint="eastAsia" w:hAnsi="宋体"/>
          <w:bCs/>
          <w:color w:val="auto"/>
          <w:sz w:val="24"/>
        </w:rPr>
        <w:t>。本项目污水排放的浓度（</w:t>
      </w:r>
      <w:r>
        <w:rPr>
          <w:bCs/>
          <w:color w:val="auto"/>
          <w:sz w:val="24"/>
        </w:rPr>
        <w:t>COD</w:t>
      </w:r>
      <w:r>
        <w:rPr>
          <w:bCs/>
          <w:color w:val="auto"/>
          <w:sz w:val="24"/>
          <w:vertAlign w:val="subscript"/>
        </w:rPr>
        <w:t>Cr</w:t>
      </w:r>
      <w:r>
        <w:rPr>
          <w:bCs/>
          <w:color w:val="auto"/>
          <w:sz w:val="24"/>
        </w:rPr>
        <w:t>≤40mg/L</w:t>
      </w:r>
      <w:r>
        <w:rPr>
          <w:rFonts w:hint="eastAsia" w:hAnsi="宋体"/>
          <w:bCs/>
          <w:color w:val="auto"/>
          <w:sz w:val="24"/>
        </w:rPr>
        <w:t>、</w:t>
      </w:r>
      <w:r>
        <w:rPr>
          <w:bCs/>
          <w:color w:val="auto"/>
          <w:sz w:val="24"/>
        </w:rPr>
        <w:t>BOD</w:t>
      </w:r>
      <w:r>
        <w:rPr>
          <w:bCs/>
          <w:color w:val="auto"/>
          <w:sz w:val="24"/>
          <w:vertAlign w:val="subscript"/>
        </w:rPr>
        <w:t>5</w:t>
      </w:r>
      <w:r>
        <w:rPr>
          <w:bCs/>
          <w:color w:val="auto"/>
          <w:sz w:val="24"/>
        </w:rPr>
        <w:t>≤10mg/L</w:t>
      </w:r>
      <w:r>
        <w:rPr>
          <w:rFonts w:hint="eastAsia" w:hAnsi="宋体"/>
          <w:bCs/>
          <w:color w:val="auto"/>
          <w:sz w:val="24"/>
        </w:rPr>
        <w:t>、</w:t>
      </w:r>
      <w:r>
        <w:rPr>
          <w:bCs/>
          <w:color w:val="auto"/>
          <w:sz w:val="24"/>
        </w:rPr>
        <w:t>SS≤10mg/L</w:t>
      </w:r>
      <w:r>
        <w:rPr>
          <w:rFonts w:hint="eastAsia" w:hAnsi="宋体"/>
          <w:bCs/>
          <w:color w:val="auto"/>
          <w:sz w:val="24"/>
        </w:rPr>
        <w:t>、氨氮</w:t>
      </w:r>
      <w:r>
        <w:rPr>
          <w:bCs/>
          <w:color w:val="auto"/>
          <w:sz w:val="24"/>
        </w:rPr>
        <w:t>≤5mg/L</w:t>
      </w:r>
      <w:r>
        <w:rPr>
          <w:rFonts w:hint="eastAsia" w:hAnsi="宋体"/>
          <w:bCs/>
          <w:color w:val="auto"/>
          <w:sz w:val="24"/>
        </w:rPr>
        <w:t>、总磷</w:t>
      </w:r>
      <w:r>
        <w:rPr>
          <w:bCs/>
          <w:color w:val="auto"/>
          <w:sz w:val="24"/>
        </w:rPr>
        <w:t>≤0.5mg/L</w:t>
      </w:r>
      <w:r>
        <w:rPr>
          <w:rFonts w:hint="eastAsia" w:hAnsi="宋体"/>
          <w:bCs/>
          <w:color w:val="auto"/>
          <w:sz w:val="24"/>
        </w:rPr>
        <w:t>）等低于农田灌溉水质标准的排放限值要求。</w:t>
      </w:r>
    </w:p>
    <w:p w14:paraId="05943135">
      <w:pPr>
        <w:spacing w:line="360" w:lineRule="auto"/>
        <w:ind w:firstLine="480" w:firstLineChars="200"/>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根据上述预测结果正常和非正常排放的预测结果，距离本项目排放的尾水中的COD</w:t>
      </w:r>
      <w:r>
        <w:rPr>
          <w:rFonts w:hint="default" w:ascii="Times New Roman" w:hAnsi="Times New Roman" w:cs="Times New Roman"/>
          <w:bCs/>
          <w:color w:val="auto"/>
          <w:sz w:val="24"/>
          <w:szCs w:val="24"/>
          <w:highlight w:val="none"/>
          <w:vertAlign w:val="subscript"/>
        </w:rPr>
        <w:t>Cr</w:t>
      </w:r>
      <w:r>
        <w:rPr>
          <w:rFonts w:hint="default" w:ascii="Times New Roman" w:hAnsi="Times New Roman" w:cs="Times New Roman"/>
          <w:bCs/>
          <w:color w:val="auto"/>
          <w:sz w:val="24"/>
          <w:szCs w:val="24"/>
          <w:highlight w:val="none"/>
        </w:rPr>
        <w:t>和氨氮叠加背景值后均可达到《地表水环境质量标准》（GB3838-2002）</w:t>
      </w:r>
      <w:r>
        <w:rPr>
          <w:rFonts w:hint="default" w:ascii="Times New Roman" w:hAnsi="Times New Roman" w:cs="Times New Roman"/>
          <w:bCs/>
          <w:color w:val="auto"/>
          <w:sz w:val="24"/>
          <w:szCs w:val="24"/>
          <w:highlight w:val="none"/>
          <w:lang w:val="en-US" w:eastAsia="zh-CN"/>
        </w:rPr>
        <w:fldChar w:fldCharType="begin"/>
      </w:r>
      <w:r>
        <w:rPr>
          <w:rFonts w:hint="default" w:ascii="Times New Roman" w:hAnsi="Times New Roman" w:cs="Times New Roman"/>
          <w:bCs/>
          <w:color w:val="auto"/>
          <w:sz w:val="24"/>
          <w:szCs w:val="24"/>
          <w:highlight w:val="none"/>
          <w:lang w:val="en-US" w:eastAsia="zh-CN"/>
        </w:rPr>
        <w:instrText xml:space="preserve"> = 3 \* ROMAN \* MERGEFORMAT </w:instrText>
      </w:r>
      <w:r>
        <w:rPr>
          <w:rFonts w:hint="default" w:ascii="Times New Roman" w:hAnsi="Times New Roman" w:cs="Times New Roman"/>
          <w:bCs/>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III</w:t>
      </w:r>
      <w:r>
        <w:rPr>
          <w:rFonts w:hint="default" w:ascii="Times New Roman" w:hAnsi="Times New Roman" w:cs="Times New Roman"/>
          <w:bCs/>
          <w:color w:val="auto"/>
          <w:sz w:val="24"/>
          <w:szCs w:val="24"/>
          <w:highlight w:val="none"/>
          <w:lang w:val="en-US" w:eastAsia="zh-CN"/>
        </w:rPr>
        <w:fldChar w:fldCharType="end"/>
      </w:r>
      <w:r>
        <w:rPr>
          <w:rFonts w:hint="default" w:ascii="Times New Roman" w:hAnsi="Times New Roman" w:cs="Times New Roman"/>
          <w:bCs/>
          <w:color w:val="auto"/>
          <w:sz w:val="24"/>
          <w:szCs w:val="24"/>
          <w:highlight w:val="none"/>
        </w:rPr>
        <w:t>类水质的要求。因此本项目排放的污水对其下游的农田和养殖场影响很少，排污口对水质的影响范围较小，对养殖的水生生物的影响较小。</w:t>
      </w:r>
    </w:p>
    <w:p w14:paraId="53F13C3E">
      <w:pPr>
        <w:spacing w:line="360" w:lineRule="auto"/>
        <w:ind w:firstLine="480" w:firstLineChars="200"/>
        <w:jc w:val="both"/>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bCs/>
          <w:color w:val="auto"/>
          <w:sz w:val="24"/>
          <w:szCs w:val="24"/>
          <w:highlight w:val="none"/>
        </w:rPr>
        <w:t>因此，本项目处理尾水外排不对第三方产生明显的影响</w:t>
      </w:r>
      <w:r>
        <w:rPr>
          <w:rFonts w:hint="default" w:ascii="Times New Roman" w:hAnsi="Times New Roman" w:cs="Times New Roman"/>
          <w:color w:val="auto"/>
          <w:sz w:val="24"/>
          <w:szCs w:val="24"/>
          <w:highlight w:val="none"/>
        </w:rPr>
        <w:t>。</w:t>
      </w:r>
    </w:p>
    <w:p w14:paraId="2C1F73ED">
      <w:pPr>
        <w:spacing w:line="360" w:lineRule="auto"/>
        <w:ind w:firstLine="480" w:firstLineChars="200"/>
        <w:rPr>
          <w:rFonts w:hint="eastAsia"/>
          <w:color w:val="auto"/>
          <w:sz w:val="24"/>
          <w:highlight w:val="none"/>
          <w:lang w:val="en-US" w:eastAsia="zh-CN"/>
        </w:rPr>
      </w:pPr>
    </w:p>
    <w:p w14:paraId="4CD634E5">
      <w:pPr>
        <w:pStyle w:val="3"/>
        <w:bidi w:val="0"/>
        <w:rPr>
          <w:color w:val="auto"/>
        </w:rPr>
        <w:sectPr>
          <w:footerReference r:id="rId12" w:type="default"/>
          <w:pgSz w:w="11906" w:h="16838"/>
          <w:pgMar w:top="1080" w:right="1440" w:bottom="1080" w:left="1440" w:header="624" w:footer="992" w:gutter="0"/>
          <w:pgNumType w:fmt="decimal"/>
          <w:cols w:space="425" w:num="1"/>
          <w:docGrid w:type="lines" w:linePitch="312" w:charSpace="0"/>
        </w:sectPr>
      </w:pPr>
    </w:p>
    <w:p w14:paraId="76701092">
      <w:pPr>
        <w:rPr>
          <w:color w:val="auto"/>
        </w:rPr>
      </w:pPr>
    </w:p>
    <w:p w14:paraId="655CCFCF">
      <w:pPr>
        <w:pStyle w:val="3"/>
        <w:bidi w:val="0"/>
        <w:rPr>
          <w:rFonts w:hint="eastAsia"/>
          <w:color w:val="auto"/>
          <w:lang w:val="en-US" w:eastAsia="zh-CN"/>
        </w:rPr>
      </w:pPr>
      <w:bookmarkStart w:id="87" w:name="_Toc15176"/>
      <w:bookmarkStart w:id="88" w:name="_Toc30686"/>
      <w:r>
        <w:rPr>
          <w:rFonts w:hint="eastAsia"/>
          <w:color w:val="auto"/>
          <w:lang w:val="en-US" w:eastAsia="zh-CN"/>
        </w:rPr>
        <w:t>水环境保护措施</w:t>
      </w:r>
      <w:bookmarkEnd w:id="87"/>
      <w:bookmarkEnd w:id="88"/>
    </w:p>
    <w:p w14:paraId="53057A46">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bookmarkStart w:id="89" w:name="_Toc6118"/>
      <w:bookmarkStart w:id="90" w:name="_Toc28"/>
      <w:r>
        <w:rPr>
          <w:rFonts w:hint="eastAsia"/>
          <w:color w:val="auto"/>
          <w:lang w:val="en-US" w:eastAsia="zh-CN"/>
        </w:rPr>
        <w:t>水生态保护措施</w:t>
      </w:r>
      <w:bookmarkEnd w:id="89"/>
      <w:bookmarkEnd w:id="90"/>
      <w:r>
        <w:rPr>
          <w:rFonts w:hint="eastAsia"/>
          <w:color w:val="auto"/>
          <w:lang w:val="en-US" w:eastAsia="zh-CN"/>
        </w:rPr>
        <w:t xml:space="preserve"> </w:t>
      </w:r>
    </w:p>
    <w:p w14:paraId="37F42E3D">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本项目所建设的大八镇污水处理厂及配套截污管道对提升区域水系的水质起很大作用，使得项目附近区域水系的污染物排放大幅度削减，河道内内污染物浓度大大降低，从整个区域来看，项目的实施对减少整个区域的排污总量具有积极意义的。</w:t>
      </w:r>
    </w:p>
    <w:p w14:paraId="3A7EB4BF">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由于项目通过截污等将污水收集到大八镇污水处理厂处理后集中排放，在入河排污口附近水生生物种群结构可能发生一定变化，如清水种减少，耐污种增加，但范围较小，因此，对生态影响较小。污水处理站运行方应尽量维持污水站正常运行，避免事故排放。</w:t>
      </w:r>
    </w:p>
    <w:p w14:paraId="0EF5FCAB">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bookmarkStart w:id="91" w:name="_Toc3707"/>
      <w:bookmarkStart w:id="92" w:name="_Toc27755"/>
      <w:r>
        <w:rPr>
          <w:rFonts w:hint="eastAsia"/>
          <w:color w:val="auto"/>
          <w:lang w:val="en-US" w:eastAsia="zh-CN"/>
        </w:rPr>
        <w:t>水环境风险及其防范措施与应急预案</w:t>
      </w:r>
      <w:bookmarkEnd w:id="91"/>
      <w:bookmarkEnd w:id="92"/>
    </w:p>
    <w:p w14:paraId="62E4CE04">
      <w:pPr>
        <w:pStyle w:val="5"/>
        <w:numPr>
          <w:ilvl w:val="2"/>
          <w:numId w:val="6"/>
        </w:numPr>
        <w:tabs>
          <w:tab w:val="left" w:pos="420"/>
        </w:tabs>
        <w:bidi w:val="0"/>
        <w:rPr>
          <w:rFonts w:hint="eastAsia"/>
          <w:color w:val="auto"/>
          <w:lang w:val="en-US" w:eastAsia="zh-CN"/>
        </w:rPr>
      </w:pPr>
      <w:r>
        <w:rPr>
          <w:rFonts w:hint="eastAsia"/>
          <w:color w:val="auto"/>
          <w:lang w:val="en-US" w:eastAsia="zh-CN"/>
        </w:rPr>
        <w:t>生产过程中潜在的风险识别</w:t>
      </w:r>
    </w:p>
    <w:p w14:paraId="6DB444F5">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风险识别是风险评价的基础，它是通过定性分析及经验判断，识别评价系统的危险源或事故源、危险类型和可能的危险程度及确定其主要危险源。</w:t>
      </w:r>
    </w:p>
    <w:p w14:paraId="3BE89A4F">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通过对本项目所选用的污水处理工艺、整个污水处理厂所建设施分析，风险污染事故的类型主要反映在污水处理厂事故运行状况可能发生的原污水排放或不达标污水排放引起的环境问题。水环境风险污染事故发生的主要环节有以下几方面：</w:t>
      </w:r>
    </w:p>
    <w:p w14:paraId="2EBECE2E">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（1）污水处理厂由于停电、设备损坏、污水处理设施运行不正常、停车检修等造成大量污水未经处理直接排入大沟沽 造成事故污染。</w:t>
      </w:r>
    </w:p>
    <w:p w14:paraId="0FC1FFB5">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（2）活性污泥变质，发生污泥膨胀或污泥解体等异常情况，使污泥流失，处理效果降低。</w:t>
      </w:r>
    </w:p>
    <w:p w14:paraId="68BAD3B6">
      <w:pPr>
        <w:pStyle w:val="5"/>
        <w:numPr>
          <w:ilvl w:val="2"/>
          <w:numId w:val="6"/>
        </w:numPr>
        <w:tabs>
          <w:tab w:val="left" w:pos="420"/>
        </w:tabs>
        <w:bidi w:val="0"/>
        <w:rPr>
          <w:rFonts w:hint="eastAsia"/>
          <w:color w:val="auto"/>
          <w:lang w:val="en-US" w:eastAsia="zh-CN"/>
        </w:rPr>
      </w:pPr>
      <w:r>
        <w:rPr>
          <w:rFonts w:hint="eastAsia"/>
          <w:color w:val="auto"/>
          <w:lang w:val="en-US" w:eastAsia="zh-CN"/>
        </w:rPr>
        <w:t>环境风险事故类型</w:t>
      </w:r>
    </w:p>
    <w:p w14:paraId="5EE57A92">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污水处理厂发生事故的原因较多，设计、设备、管理等原因都可能导致污水处理厂运转不正常。但一般发生污水直排事故的可能性较小且容易处理和恢复。</w:t>
      </w:r>
    </w:p>
    <w:p w14:paraId="34170E32">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（1）电力及机械故障</w:t>
      </w:r>
    </w:p>
    <w:p w14:paraId="5AA8C25C">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污水处理厂建成运行后，一旦出现机械设施或电力故障即会造成污水处理设施不能正常运行，污水事故排放。本污水处理厂设计中供电采用双电源设计，电力有保障。机械设备选型采用国外先进产品，其自控水平很高，因此由于电力机械故障造成的事故几率很低。</w:t>
      </w:r>
    </w:p>
    <w:p w14:paraId="7697C628">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（2）污泥膨胀、污泥解体</w:t>
      </w:r>
    </w:p>
    <w:p w14:paraId="1F9240D6">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正常活性污泥沉降性能良好，含水率在 99%左右，当污泥变质时污泥不易沉淀， 污泥指数增高，污泥结构松散，体积膨胀，含水率上升，澄清液稀少，颜色异变，这就是“污泥膨胀”。这主要是丝状菌大量繁殖所引起，也有由于污泥中结合水异常增多导致的污泥膨胀般污水中碳水化合物较多 缺乏N、P、Fe等养料，溶解氧不足，水温高或 pH较低都容易引起丝状菌大量繁殖，导致污泥膨胀。此外超负荷、污泥龄过长或有机物浓度小等，也会引起污泥膨胀，排泥不畅引起结合水污泥膨胀。</w:t>
      </w:r>
    </w:p>
    <w:p w14:paraId="73D398E7">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处理水质浑浊，污泥絮凝提微细化，处理效果变坏是污泥解体的现象。导致该异常现象的原因可能是运行中的问题，也可能是污水中混入有毒物质：①运行不当，例如曝气过量会使活性污泥生物——营养的平衡遭到破坏，使微生物减少而失去活性，吸附能力降低，絮凝伸缩小质密。一部分则成为不易沉淀的羽毛洑污泥，处理水质浑浊，污泥指数降低等。②当污水中存在有毒物质时，微生物水受到抵制或伤害，净化能力下降，从而使污泥失去活性。</w:t>
      </w:r>
    </w:p>
    <w:p w14:paraId="4272B5C9">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事故状态下，考虑到最不利情况，即由于设备故障对处理设施检修时导致全厂污水处理设施不能正常运转，此时，排水浓度为进水浓度。应杜绝超标废水直接外排的现象发生，避免对纳污水体造成明显不良影响。</w:t>
      </w:r>
    </w:p>
    <w:p w14:paraId="60437AE5">
      <w:pPr>
        <w:pStyle w:val="5"/>
        <w:numPr>
          <w:ilvl w:val="2"/>
          <w:numId w:val="6"/>
        </w:numPr>
        <w:tabs>
          <w:tab w:val="left" w:pos="420"/>
        </w:tabs>
        <w:bidi w:val="0"/>
        <w:rPr>
          <w:rFonts w:hint="eastAsia"/>
          <w:color w:val="auto"/>
          <w:lang w:val="en-US" w:eastAsia="zh-CN"/>
        </w:rPr>
      </w:pPr>
      <w:r>
        <w:rPr>
          <w:rFonts w:hint="eastAsia"/>
          <w:color w:val="auto"/>
          <w:lang w:val="en-US" w:eastAsia="zh-CN"/>
        </w:rPr>
        <w:t>水环境保护措施</w:t>
      </w:r>
    </w:p>
    <w:p w14:paraId="292BFF63">
      <w:pPr>
        <w:pStyle w:val="7"/>
        <w:numPr>
          <w:ilvl w:val="3"/>
          <w:numId w:val="0"/>
        </w:numPr>
        <w:bidi w:val="0"/>
        <w:ind w:left="-54" w:leftChars="0" w:firstLine="482" w:firstLineChars="200"/>
        <w:jc w:val="both"/>
        <w:rPr>
          <w:rFonts w:hint="eastAsia"/>
          <w:color w:val="auto"/>
          <w:sz w:val="24"/>
          <w:szCs w:val="24"/>
          <w:lang w:val="en-US" w:eastAsia="zh-CN"/>
        </w:rPr>
      </w:pPr>
      <w:r>
        <w:rPr>
          <w:rFonts w:hint="eastAsia"/>
          <w:color w:val="auto"/>
          <w:sz w:val="24"/>
          <w:szCs w:val="24"/>
          <w:lang w:val="en-US" w:eastAsia="zh-CN"/>
        </w:rPr>
        <w:t>8.2.3.1工程措施</w:t>
      </w:r>
    </w:p>
    <w:p w14:paraId="12569B75">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为了防止地面雨水、污水对既有水域产生不利影响，既要提高污水处理设施设计标准，又要高标准、严要求地组织建设，同时加强运行期运行维护、管理，把大八镇建设与水生态保护全方位融合，做到水环境保护、开发和管理三位一体，保障大八镇健康、有序、繁荣地持续发展。</w:t>
      </w:r>
    </w:p>
    <w:p w14:paraId="5959498D">
      <w:pPr>
        <w:pStyle w:val="7"/>
        <w:numPr>
          <w:ilvl w:val="3"/>
          <w:numId w:val="0"/>
        </w:numPr>
        <w:bidi w:val="0"/>
        <w:ind w:left="-54" w:leftChars="0" w:firstLine="482" w:firstLineChars="200"/>
        <w:jc w:val="both"/>
        <w:rPr>
          <w:rFonts w:hint="eastAsia"/>
          <w:color w:val="auto"/>
          <w:sz w:val="24"/>
          <w:szCs w:val="24"/>
          <w:lang w:val="en-US" w:eastAsia="zh-CN"/>
        </w:rPr>
      </w:pPr>
      <w:r>
        <w:rPr>
          <w:rFonts w:hint="eastAsia"/>
          <w:color w:val="auto"/>
          <w:sz w:val="24"/>
          <w:szCs w:val="24"/>
          <w:lang w:val="en-US" w:eastAsia="zh-CN"/>
        </w:rPr>
        <w:t>8.2.3.2 非工程措施</w:t>
      </w:r>
    </w:p>
    <w:p w14:paraId="731872D1">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（1）进一步明确污水处理厂环境管理机构职责</w:t>
      </w:r>
    </w:p>
    <w:p w14:paraId="715C8445">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建议污水处理厂设立环境管理机构，其主要职责为：</w:t>
      </w:r>
    </w:p>
    <w:p w14:paraId="06A868D7">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①制订和完善全厂环境管理制度；</w:t>
      </w:r>
    </w:p>
    <w:p w14:paraId="44ACFA60">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②组织、制定实施全厂环保工作计划；</w:t>
      </w:r>
    </w:p>
    <w:p w14:paraId="55CB5388">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③组织实施全厂环境监测计划；</w:t>
      </w:r>
    </w:p>
    <w:p w14:paraId="4D8F75E2">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④组织检查、修理、改进环保设施；</w:t>
      </w:r>
    </w:p>
    <w:p w14:paraId="02FEA752">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⑤管理固体废弃物处理、全厂绿化工作；</w:t>
      </w:r>
    </w:p>
    <w:p w14:paraId="1D2D1174">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⑥定期与地方水行政主管部门、环保执法部门进行协调、沟通，按时完成信息上报工作；</w:t>
      </w:r>
    </w:p>
    <w:p w14:paraId="6F14771C">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⑦处理环境问题纠纷；</w:t>
      </w:r>
    </w:p>
    <w:p w14:paraId="46EEB3DA">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⑧组织实施全厂的环境教育和培训；</w:t>
      </w:r>
    </w:p>
    <w:p w14:paraId="22B8D441">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⑨实施事故状态下防止污染发生和扩散的应急反应措施；</w:t>
      </w:r>
    </w:p>
    <w:p w14:paraId="13E7249A">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⑩建立和运行全厂环境文件、数据和资料管理系统；</w:t>
      </w:r>
    </w:p>
    <w:p w14:paraId="1051CF47">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⑪制订和完善原料林基地生态防护计划和规划。</w:t>
      </w:r>
    </w:p>
    <w:p w14:paraId="43D6B188">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（2）完善环境监测体系和管理体系</w:t>
      </w:r>
    </w:p>
    <w:p w14:paraId="649ED5C6">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①制定环境监测年度计划和规划，建立健全各项规章制度；</w:t>
      </w:r>
    </w:p>
    <w:p w14:paraId="61BDCF84">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②完成项目环境监测计划规定的各项监测任务，按有关规定编制各种报告与报表，并负责呈报工作；</w:t>
      </w:r>
    </w:p>
    <w:p w14:paraId="5220A305">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③参与项目污染事故的调查分析；</w:t>
      </w:r>
    </w:p>
    <w:p w14:paraId="2EE89591">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④参加项目的环境质量评价工作；</w:t>
      </w:r>
    </w:p>
    <w:p w14:paraId="1CF60C91">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⑤做好监测仪器调试维修保养和保险工作，确保监测工作的正常进行；</w:t>
      </w:r>
    </w:p>
    <w:p w14:paraId="4ED2675C">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⑥通过技术改造，不断提高污染防治对策的水平和操作性。</w:t>
      </w:r>
    </w:p>
    <w:p w14:paraId="6444C54C">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（3）排污口规范化建设</w:t>
      </w:r>
    </w:p>
    <w:p w14:paraId="44E951BA">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在管道前设置监测采样口，满足“便于采集样品、便于计量监测、便于日常现场监督检查”管理要求；排污口入河处建标识牌，标识内容完整，符合入河排污口标识化管理要求。</w:t>
      </w:r>
    </w:p>
    <w:p w14:paraId="6E07E696">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（4） 排污口建档管理</w:t>
      </w:r>
    </w:p>
    <w:p w14:paraId="43A7B582">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污水处理厂运营方应每年度将主要污染物种类、数量、浓度、排放去向、立标情况及设施运行情况记录于档案。</w:t>
      </w:r>
    </w:p>
    <w:p w14:paraId="515C7560">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（5） 加强在线监控系统运行与管理</w:t>
      </w:r>
    </w:p>
    <w:p w14:paraId="36C36A95">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污水处理厂在线监控系统应与主体工程同时建设、同时验收、同时投入使用。在日常运行中，积极配合相关部门对在线监控系统进行管护。出现设备故障或运行异常，应及时与管理部门联系，及时检修，保障设备运行正常。</w:t>
      </w:r>
    </w:p>
    <w:p w14:paraId="10FAA5D9">
      <w:pPr>
        <w:pStyle w:val="7"/>
        <w:numPr>
          <w:ilvl w:val="3"/>
          <w:numId w:val="0"/>
        </w:numPr>
        <w:bidi w:val="0"/>
        <w:spacing w:line="360" w:lineRule="auto"/>
        <w:ind w:left="-54" w:leftChars="0" w:firstLine="482" w:firstLineChars="200"/>
        <w:jc w:val="both"/>
        <w:rPr>
          <w:rFonts w:hint="eastAsia"/>
          <w:color w:val="auto"/>
          <w:sz w:val="24"/>
          <w:szCs w:val="24"/>
          <w:lang w:val="en-US" w:eastAsia="zh-CN"/>
        </w:rPr>
      </w:pPr>
      <w:r>
        <w:rPr>
          <w:rFonts w:hint="eastAsia"/>
          <w:color w:val="auto"/>
          <w:sz w:val="24"/>
          <w:szCs w:val="24"/>
          <w:lang w:val="en-US" w:eastAsia="zh-CN"/>
        </w:rPr>
        <w:t>8.2.3.3 管理措施</w:t>
      </w:r>
    </w:p>
    <w:p w14:paraId="3B03BDC2">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1、入河排污口规范化建设</w:t>
      </w:r>
    </w:p>
    <w:p w14:paraId="43C117DE">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根据《入河入海排污口监督管理技术指南 入河排污口规范化建设》（HJ 1309-2023）及相关标准要求，大八镇污水处理厂入河排污口的规范化建设应包含以下内容：</w:t>
      </w:r>
    </w:p>
    <w:p w14:paraId="16C7CC89">
      <w:pPr>
        <w:spacing w:line="360" w:lineRule="auto"/>
        <w:ind w:firstLine="482" w:firstLineChars="200"/>
        <w:rPr>
          <w:rFonts w:hint="eastAsia"/>
          <w:b/>
          <w:bCs/>
          <w:color w:val="auto"/>
          <w:sz w:val="24"/>
          <w:highlight w:val="none"/>
          <w:lang w:val="en-US" w:eastAsia="zh-CN"/>
        </w:rPr>
      </w:pPr>
      <w:r>
        <w:rPr>
          <w:rFonts w:hint="eastAsia"/>
          <w:b/>
          <w:bCs/>
          <w:color w:val="auto"/>
          <w:sz w:val="24"/>
          <w:highlight w:val="none"/>
          <w:lang w:val="en-US" w:eastAsia="zh-CN"/>
        </w:rPr>
        <w:fldChar w:fldCharType="begin"/>
      </w:r>
      <w:r>
        <w:rPr>
          <w:rFonts w:hint="eastAsia"/>
          <w:b/>
          <w:bCs/>
          <w:color w:val="auto"/>
          <w:sz w:val="24"/>
          <w:highlight w:val="none"/>
          <w:lang w:val="en-US" w:eastAsia="zh-CN"/>
        </w:rPr>
        <w:instrText xml:space="preserve"> = 1 \* GB3 \* MERGEFORMAT </w:instrText>
      </w:r>
      <w:r>
        <w:rPr>
          <w:rFonts w:hint="eastAsia"/>
          <w:b/>
          <w:bCs/>
          <w:color w:val="auto"/>
          <w:sz w:val="24"/>
          <w:highlight w:val="none"/>
          <w:lang w:val="en-US" w:eastAsia="zh-CN"/>
        </w:rPr>
        <w:fldChar w:fldCharType="separate"/>
      </w:r>
      <w:r>
        <w:rPr>
          <w:b/>
          <w:bCs/>
          <w:color w:val="auto"/>
        </w:rPr>
        <w:t>①</w:t>
      </w:r>
      <w:r>
        <w:rPr>
          <w:rFonts w:hint="eastAsia"/>
          <w:b/>
          <w:bCs/>
          <w:color w:val="auto"/>
          <w:sz w:val="24"/>
          <w:highlight w:val="none"/>
          <w:lang w:val="en-US" w:eastAsia="zh-CN"/>
        </w:rPr>
        <w:fldChar w:fldCharType="end"/>
      </w:r>
      <w:r>
        <w:rPr>
          <w:rFonts w:hint="eastAsia"/>
          <w:b/>
          <w:bCs/>
          <w:color w:val="auto"/>
          <w:sz w:val="24"/>
          <w:highlight w:val="none"/>
          <w:lang w:val="en-US" w:eastAsia="zh-CN"/>
        </w:rPr>
        <w:t>监测采样点设置</w:t>
      </w:r>
    </w:p>
    <w:p w14:paraId="69C87DA2">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监测采样点应设置在大八镇污水处理厂厂区外、尾水入河前的位置。根据本项目的排污口入河方式和设计处理规模（3000m³/d），监测采样点的设置应充分考虑实际采样的可行性和便利性。污水排放管道或渠道的监测断面应采用矩形、圆形或梯形等规则形状，测流段水流应保持平直、稳定，并具有一定水位高度，以满足流量监测和样品采集的技术要求。</w:t>
      </w:r>
    </w:p>
    <w:p w14:paraId="7696F63B">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本项目为城镇污水处理厂排污口，按照HJ 1309-2023的规定，应设置监测采样点，并安装流量计量装置和在线监测设备。监测采样点处应同步安装水质在线监测系统和流量在线监测系统，安装、验收、运行及数据有效性判别等要求严格按照HJ 353、HJ 354、HJ 355、HJ 356等系列标准执行。监测指标包括流量、pH值、水温、化学需氧量、氨氮、总磷、总氮等，实行自动监测并实时与地方生态环境主管部门污染源自动监控系统平台联网。</w:t>
      </w:r>
    </w:p>
    <w:p w14:paraId="4AB64C35">
      <w:pPr>
        <w:spacing w:line="360" w:lineRule="auto"/>
        <w:ind w:firstLine="482" w:firstLineChars="200"/>
        <w:rPr>
          <w:rFonts w:hint="eastAsia"/>
          <w:b/>
          <w:bCs/>
          <w:color w:val="auto"/>
          <w:sz w:val="24"/>
          <w:highlight w:val="none"/>
          <w:lang w:val="en-US" w:eastAsia="zh-CN"/>
        </w:rPr>
      </w:pPr>
      <w:r>
        <w:rPr>
          <w:rFonts w:hint="eastAsia"/>
          <w:b/>
          <w:bCs/>
          <w:color w:val="auto"/>
          <w:sz w:val="24"/>
          <w:highlight w:val="none"/>
          <w:lang w:val="en-US" w:eastAsia="zh-CN"/>
        </w:rPr>
        <w:fldChar w:fldCharType="begin"/>
      </w:r>
      <w:r>
        <w:rPr>
          <w:rFonts w:hint="eastAsia"/>
          <w:b/>
          <w:bCs/>
          <w:color w:val="auto"/>
          <w:sz w:val="24"/>
          <w:highlight w:val="none"/>
          <w:lang w:val="en-US" w:eastAsia="zh-CN"/>
        </w:rPr>
        <w:instrText xml:space="preserve"> = 2 \* GB3 \* MERGEFORMAT </w:instrText>
      </w:r>
      <w:r>
        <w:rPr>
          <w:rFonts w:hint="eastAsia"/>
          <w:b/>
          <w:bCs/>
          <w:color w:val="auto"/>
          <w:sz w:val="24"/>
          <w:highlight w:val="none"/>
          <w:lang w:val="en-US" w:eastAsia="zh-CN"/>
        </w:rPr>
        <w:fldChar w:fldCharType="separate"/>
      </w:r>
      <w:r>
        <w:rPr>
          <w:b/>
          <w:bCs/>
          <w:color w:val="auto"/>
        </w:rPr>
        <w:t>②</w:t>
      </w:r>
      <w:r>
        <w:rPr>
          <w:rFonts w:hint="eastAsia"/>
          <w:b/>
          <w:bCs/>
          <w:color w:val="auto"/>
          <w:sz w:val="24"/>
          <w:highlight w:val="none"/>
          <w:lang w:val="en-US" w:eastAsia="zh-CN"/>
        </w:rPr>
        <w:fldChar w:fldCharType="end"/>
      </w:r>
      <w:r>
        <w:rPr>
          <w:rFonts w:hint="eastAsia"/>
          <w:b/>
          <w:bCs/>
          <w:color w:val="auto"/>
          <w:sz w:val="24"/>
          <w:highlight w:val="none"/>
          <w:lang w:val="en-US" w:eastAsia="zh-CN"/>
        </w:rPr>
        <w:t>检查井设置</w:t>
      </w:r>
    </w:p>
    <w:p w14:paraId="161838B5">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由于本项目采用管道形式排污，且管道需要进行日常检修维护，因此在口门附近应设置检查井。检查井的具体位置与污水入河处的最大间距应按照GB 50014《室外排水设计标准》的规定，结合管道疏通方法等实际情况合理确定。检查井的各部分构造尺寸以及安全防护要求均参照GB 50014的规定执行，确保能够满足排污口检修维护工作的实际需求。</w:t>
      </w:r>
    </w:p>
    <w:p w14:paraId="28C5A02B">
      <w:pPr>
        <w:spacing w:line="360" w:lineRule="auto"/>
        <w:ind w:firstLine="482" w:firstLineChars="200"/>
        <w:rPr>
          <w:rFonts w:hint="eastAsia"/>
          <w:b/>
          <w:bCs/>
          <w:color w:val="auto"/>
          <w:sz w:val="24"/>
          <w:highlight w:val="none"/>
          <w:lang w:val="en-US" w:eastAsia="zh-CN"/>
        </w:rPr>
      </w:pPr>
      <w:r>
        <w:rPr>
          <w:rFonts w:hint="eastAsia"/>
          <w:b/>
          <w:bCs/>
          <w:color w:val="auto"/>
          <w:sz w:val="24"/>
          <w:highlight w:val="none"/>
          <w:lang w:val="en-US" w:eastAsia="zh-CN"/>
        </w:rPr>
        <w:fldChar w:fldCharType="begin"/>
      </w:r>
      <w:r>
        <w:rPr>
          <w:rFonts w:hint="eastAsia"/>
          <w:b/>
          <w:bCs/>
          <w:color w:val="auto"/>
          <w:sz w:val="24"/>
          <w:highlight w:val="none"/>
          <w:lang w:val="en-US" w:eastAsia="zh-CN"/>
        </w:rPr>
        <w:instrText xml:space="preserve"> = 3 \* GB3 \* MERGEFORMAT </w:instrText>
      </w:r>
      <w:r>
        <w:rPr>
          <w:rFonts w:hint="eastAsia"/>
          <w:b/>
          <w:bCs/>
          <w:color w:val="auto"/>
          <w:sz w:val="24"/>
          <w:highlight w:val="none"/>
          <w:lang w:val="en-US" w:eastAsia="zh-CN"/>
        </w:rPr>
        <w:fldChar w:fldCharType="separate"/>
      </w:r>
      <w:r>
        <w:rPr>
          <w:b/>
          <w:bCs/>
          <w:color w:val="auto"/>
        </w:rPr>
        <w:t>③</w:t>
      </w:r>
      <w:r>
        <w:rPr>
          <w:rFonts w:hint="eastAsia"/>
          <w:b/>
          <w:bCs/>
          <w:color w:val="auto"/>
          <w:sz w:val="24"/>
          <w:highlight w:val="none"/>
          <w:lang w:val="en-US" w:eastAsia="zh-CN"/>
        </w:rPr>
        <w:fldChar w:fldCharType="end"/>
      </w:r>
      <w:r>
        <w:rPr>
          <w:rFonts w:hint="eastAsia"/>
          <w:b/>
          <w:bCs/>
          <w:color w:val="auto"/>
          <w:sz w:val="24"/>
          <w:highlight w:val="none"/>
          <w:lang w:val="en-US" w:eastAsia="zh-CN"/>
        </w:rPr>
        <w:t>标识牌设置</w:t>
      </w:r>
    </w:p>
    <w:p w14:paraId="7AC6B243">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标识牌应设置在大八镇污水处理厂尾水入河处或监测采样点附近的醒目位置，以便于公众参与监督。标识牌可采用立柱式或平面固定式安装，应具有耐候、耐腐蚀等理化性能，保证一定的使用寿命，能够长久保留。</w:t>
      </w:r>
    </w:p>
    <w:p w14:paraId="594A167C">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标识牌公示的信息应至少包含以下内容：排污口名称、排污口编码、排污口类型、管理单位、责任主体（阳江市阳东区住房和城乡建设局）、监督电话等信息，可根据实际需要采用文字或二维码等形式进行展示。如标识牌公示信息发生变化，责任主体应及时更新或更换标识牌。</w:t>
      </w:r>
    </w:p>
    <w:p w14:paraId="3144A06D">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入河排污口编码应严格按照HJ 1235《入河排污口命名与编码规则》的要求进行统一编码，确保排污口在全国入河排污口监督管理信息化平台中的唯一性和可追溯性。</w:t>
      </w:r>
    </w:p>
    <w:p w14:paraId="5B5C6CD0">
      <w:pPr>
        <w:spacing w:line="360" w:lineRule="auto"/>
        <w:ind w:firstLine="482" w:firstLineChars="200"/>
        <w:rPr>
          <w:rFonts w:hint="eastAsia"/>
          <w:b/>
          <w:bCs/>
          <w:color w:val="auto"/>
          <w:sz w:val="24"/>
          <w:highlight w:val="none"/>
          <w:lang w:val="en-US" w:eastAsia="zh-CN"/>
        </w:rPr>
      </w:pPr>
      <w:r>
        <w:rPr>
          <w:rFonts w:hint="eastAsia"/>
          <w:b/>
          <w:bCs/>
          <w:color w:val="auto"/>
          <w:sz w:val="24"/>
          <w:highlight w:val="none"/>
          <w:lang w:val="en-US" w:eastAsia="zh-CN"/>
        </w:rPr>
        <w:fldChar w:fldCharType="begin"/>
      </w:r>
      <w:r>
        <w:rPr>
          <w:rFonts w:hint="eastAsia"/>
          <w:b/>
          <w:bCs/>
          <w:color w:val="auto"/>
          <w:sz w:val="24"/>
          <w:highlight w:val="none"/>
          <w:lang w:val="en-US" w:eastAsia="zh-CN"/>
        </w:rPr>
        <w:instrText xml:space="preserve"> = 4 \* GB3 \* MERGEFORMAT </w:instrText>
      </w:r>
      <w:r>
        <w:rPr>
          <w:rFonts w:hint="eastAsia"/>
          <w:b/>
          <w:bCs/>
          <w:color w:val="auto"/>
          <w:sz w:val="24"/>
          <w:highlight w:val="none"/>
          <w:lang w:val="en-US" w:eastAsia="zh-CN"/>
        </w:rPr>
        <w:fldChar w:fldCharType="separate"/>
      </w:r>
      <w:r>
        <w:rPr>
          <w:b/>
          <w:bCs/>
          <w:color w:val="auto"/>
        </w:rPr>
        <w:t>④</w:t>
      </w:r>
      <w:r>
        <w:rPr>
          <w:rFonts w:hint="eastAsia"/>
          <w:b/>
          <w:bCs/>
          <w:color w:val="auto"/>
          <w:sz w:val="24"/>
          <w:highlight w:val="none"/>
          <w:lang w:val="en-US" w:eastAsia="zh-CN"/>
        </w:rPr>
        <w:fldChar w:fldCharType="end"/>
      </w:r>
      <w:r>
        <w:rPr>
          <w:rFonts w:hint="eastAsia"/>
          <w:b/>
          <w:bCs/>
          <w:color w:val="auto"/>
          <w:sz w:val="24"/>
          <w:highlight w:val="none"/>
          <w:lang w:val="en-US" w:eastAsia="zh-CN"/>
        </w:rPr>
        <w:t>视频监控系统设置</w:t>
      </w:r>
    </w:p>
    <w:p w14:paraId="37A40238">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根据HJ 1309-2023的要求，鼓励规模以上工业企业、工业及其他各类园区污水处理厂、城镇污水处理厂排污口设置视频监控系统。大八镇污水处理厂设计处理规模为3000m³/d，属于应设置视频监控系统的排污口类型。</w:t>
      </w:r>
    </w:p>
    <w:p w14:paraId="472D1A8A">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视频监控系统的建设应符合以下技术要求：基座宜采用混凝土材质，基座的敷设应满足后期线缆敷设需要。基座埋设在基坑内，基坑的开挖深度应满足立杆抗风、抗震等稳定性要求。立杆高度应满足前端视频监控器使用及检修需要，立杆表层应进行防腐防锈处理，底部与基座稳固连接，并设置防雷及接地系统。前端摄像头应采用高清数字摄像头，水平分辨率不低于1080P。网络视频录像机的硬盘容量应满足当前站点不少于90天的视频存储容量要求。设备箱空间尺寸应满足所有箱体内设备的安装布线要求，箱体宜采用不锈钢材质，设置百叶窗散热，并满足防水、防虫、防盗等要求。路由器应支持多种数据采集和视频监控设备，满足4G及以上通信要求，支持全网通信制式。</w:t>
      </w:r>
    </w:p>
    <w:p w14:paraId="21E60239">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供电系统方面，优先采用双路供电，可选供电方式包括太阳能供电、风力供电、有线供电等，以保证设备稳定持续运行。同时应预留远程控制和设备重启功能接口，提高设备的可靠性。</w:t>
      </w:r>
    </w:p>
    <w:p w14:paraId="12CC138F">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视频监控系统应对监测采样点和污水出流状况进行监控和摄录，并应按照国家有关规定开展摄影、摄像等活动，做好安全保密工作。同时，鼓励利用现有公安、交通等视频监控系统开展排污口监控，统筹安装排污口视频监控系统与相关部门的视频监控系统，实现资源共享。</w:t>
      </w:r>
    </w:p>
    <w:p w14:paraId="7041764D">
      <w:pPr>
        <w:spacing w:line="360" w:lineRule="auto"/>
        <w:ind w:firstLine="482" w:firstLineChars="200"/>
        <w:rPr>
          <w:rFonts w:hint="eastAsia"/>
          <w:b/>
          <w:bCs/>
          <w:color w:val="auto"/>
          <w:sz w:val="24"/>
          <w:highlight w:val="none"/>
          <w:lang w:val="en-US" w:eastAsia="zh-CN"/>
        </w:rPr>
      </w:pPr>
      <w:r>
        <w:rPr>
          <w:rFonts w:hint="eastAsia"/>
          <w:b/>
          <w:bCs/>
          <w:color w:val="auto"/>
          <w:sz w:val="24"/>
          <w:highlight w:val="none"/>
          <w:lang w:val="en-US" w:eastAsia="zh-CN"/>
        </w:rPr>
        <w:fldChar w:fldCharType="begin"/>
      </w:r>
      <w:r>
        <w:rPr>
          <w:rFonts w:hint="eastAsia"/>
          <w:b/>
          <w:bCs/>
          <w:color w:val="auto"/>
          <w:sz w:val="24"/>
          <w:highlight w:val="none"/>
          <w:lang w:val="en-US" w:eastAsia="zh-CN"/>
        </w:rPr>
        <w:instrText xml:space="preserve"> = 5 \* GB3 \* MERGEFORMAT </w:instrText>
      </w:r>
      <w:r>
        <w:rPr>
          <w:rFonts w:hint="eastAsia"/>
          <w:b/>
          <w:bCs/>
          <w:color w:val="auto"/>
          <w:sz w:val="24"/>
          <w:highlight w:val="none"/>
          <w:lang w:val="en-US" w:eastAsia="zh-CN"/>
        </w:rPr>
        <w:fldChar w:fldCharType="separate"/>
      </w:r>
      <w:r>
        <w:rPr>
          <w:b/>
          <w:bCs/>
          <w:color w:val="auto"/>
        </w:rPr>
        <w:t>⑤</w:t>
      </w:r>
      <w:r>
        <w:rPr>
          <w:rFonts w:hint="eastAsia"/>
          <w:b/>
          <w:bCs/>
          <w:color w:val="auto"/>
          <w:sz w:val="24"/>
          <w:highlight w:val="none"/>
          <w:lang w:val="en-US" w:eastAsia="zh-CN"/>
        </w:rPr>
        <w:fldChar w:fldCharType="end"/>
      </w:r>
      <w:r>
        <w:rPr>
          <w:rFonts w:hint="eastAsia"/>
          <w:b/>
          <w:bCs/>
          <w:color w:val="auto"/>
          <w:sz w:val="24"/>
          <w:highlight w:val="none"/>
          <w:lang w:val="en-US" w:eastAsia="zh-CN"/>
        </w:rPr>
        <w:t>档案建设</w:t>
      </w:r>
    </w:p>
    <w:p w14:paraId="52EB4B8E">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大八镇污水处理厂入河排污口应建立完整、真实、规范的档案资料，档案建设应参照HJ/T 8.4的规定执行。</w:t>
      </w:r>
    </w:p>
    <w:p w14:paraId="5CB08018">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档案归档范围应包括但不限于以下文件和资料：</w:t>
      </w:r>
    </w:p>
    <w:p w14:paraId="3B97044F">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排污口基本信息资料，包括排污口名称、编码、类型、地理位置坐标、排放方式、入河方式等基础信息；排污口设置审批相关文件，包括设置申请文件、同意设置的行政许可决定书、本入河排污口设置论证报告及其批复文件等；排污口监督检查资料，包括各级生态环境主管部门现场检查记录、整改通知及落实情况等；排污口监测资料，包括在线监测数据、例行监测报告、监督性监测报告等；以及其他有关文件和资料，如标识牌设置照片、视频监控系统验收记录等。</w:t>
      </w:r>
    </w:p>
    <w:p w14:paraId="2CAF3F08">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排污口档案应由责任主体（阳江市阳东区住房和城乡建设局）负责维护并动态更新，确保档案信息的时效性和准确性。同时，应通过全国入河排污口监督管理信息化平台，将排污口设置审批、登记、监测、监督检查等信息纳入统一管理。</w:t>
      </w:r>
    </w:p>
    <w:p w14:paraId="6BE4CD1C">
      <w:pPr>
        <w:spacing w:line="360" w:lineRule="auto"/>
        <w:ind w:firstLine="482" w:firstLineChars="200"/>
        <w:rPr>
          <w:rFonts w:hint="eastAsia"/>
          <w:b/>
          <w:bCs/>
          <w:color w:val="auto"/>
          <w:sz w:val="24"/>
          <w:highlight w:val="none"/>
          <w:lang w:val="en-US" w:eastAsia="zh-CN"/>
        </w:rPr>
      </w:pPr>
      <w:r>
        <w:rPr>
          <w:rFonts w:hint="eastAsia"/>
          <w:b/>
          <w:bCs/>
          <w:color w:val="auto"/>
          <w:sz w:val="24"/>
          <w:highlight w:val="none"/>
          <w:lang w:val="en-US" w:eastAsia="zh-CN"/>
        </w:rPr>
        <w:fldChar w:fldCharType="begin"/>
      </w:r>
      <w:r>
        <w:rPr>
          <w:rFonts w:hint="eastAsia"/>
          <w:b/>
          <w:bCs/>
          <w:color w:val="auto"/>
          <w:sz w:val="24"/>
          <w:highlight w:val="none"/>
          <w:lang w:val="en-US" w:eastAsia="zh-CN"/>
        </w:rPr>
        <w:instrText xml:space="preserve"> = 6 \* GB3 \* MERGEFORMAT </w:instrText>
      </w:r>
      <w:r>
        <w:rPr>
          <w:rFonts w:hint="eastAsia"/>
          <w:b/>
          <w:bCs/>
          <w:color w:val="auto"/>
          <w:sz w:val="24"/>
          <w:highlight w:val="none"/>
          <w:lang w:val="en-US" w:eastAsia="zh-CN"/>
        </w:rPr>
        <w:fldChar w:fldCharType="separate"/>
      </w:r>
      <w:r>
        <w:rPr>
          <w:b/>
          <w:bCs/>
          <w:color w:val="auto"/>
        </w:rPr>
        <w:t>⑥</w:t>
      </w:r>
      <w:r>
        <w:rPr>
          <w:rFonts w:hint="eastAsia"/>
          <w:b/>
          <w:bCs/>
          <w:color w:val="auto"/>
          <w:sz w:val="24"/>
          <w:highlight w:val="none"/>
          <w:lang w:val="en-US" w:eastAsia="zh-CN"/>
        </w:rPr>
        <w:fldChar w:fldCharType="end"/>
      </w:r>
      <w:r>
        <w:rPr>
          <w:rFonts w:hint="eastAsia"/>
          <w:b/>
          <w:bCs/>
          <w:color w:val="auto"/>
          <w:sz w:val="24"/>
          <w:highlight w:val="none"/>
          <w:lang w:val="en-US" w:eastAsia="zh-CN"/>
        </w:rPr>
        <w:t>其他建设要求</w:t>
      </w:r>
    </w:p>
    <w:p w14:paraId="302514DB">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入河排污口的建设应充分考虑安全生产要求，统筹防洪、供水、堤防安全、航运、渔业生产等方面需要，避免破坏周围环境或造成二次污染。排污口宜设置在设计洪水淹没线之上，不应影响河道、堤防、涵闸等水利设施行洪功能。排污口口门不得设暗管通入河道底部。</w:t>
      </w:r>
    </w:p>
    <w:p w14:paraId="4A01A86E">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责任主体应对监测采样点、标识牌、计量设备、视频监控设备等设施开展日常维护，确保各项设施正常运行。同时，在污水处理厂出口安装流量计和在线监测仪，从源头上防止污染物超标排放。</w:t>
      </w:r>
    </w:p>
    <w:p w14:paraId="3CE73E24">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以上规范化建设内容应在大八镇污水处理厂投入运行前全部完成，并经生态环境主管部门验收合格后方可投入使用。建设完成后，大八镇污水处理厂入河排污口将达到便于采集样品、便于计量监测、便于日常现场监督检查、便于公众参与监督管理的规范化建设目标。</w:t>
      </w:r>
    </w:p>
    <w:p w14:paraId="6955A8AF">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2、入河排污口设置验收</w:t>
      </w:r>
    </w:p>
    <w:p w14:paraId="5876110C">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入河排污口设置单位应在入河排污口试运行3个月后，正式投入使用前向入河排污口管理单位提出入河排污口设置验收申请，验收合格后的入河排污口方可投入使用。</w:t>
      </w:r>
    </w:p>
    <w:p w14:paraId="3BBAEA88">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3、在线自动监测与人工监测相结合</w:t>
      </w:r>
    </w:p>
    <w:p w14:paraId="3EB702A2">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对本项目进水水质、出水排放量和主要污染物质的排放浓度应实施自动监测，在本项目进水、出水进出厂处布各设一个在线自动监测体系，实施水质水量同步在线监测。在加强厂区进水、出水在线检测管理的同时，积极配合生态环境部门定期对排污口进行抽查、监测，同时及时掌握排水渠及大八河水质变化，设立临时水质监测断面，定期取样检测，便于及时掌握水质变化。</w:t>
      </w:r>
    </w:p>
    <w:p w14:paraId="335CDFC2">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根据《排污单位自行监测技术指南水处理》（HJ1083-2020），建议对主要污染源的监测制定并实施以下监测方案，主要包括项目进水监测、周边地表水环境质量监测、废水排放监测计划内容可参照表 8.2-1~表 8.2-3。</w:t>
      </w:r>
    </w:p>
    <w:p w14:paraId="386BDCE6">
      <w:pPr>
        <w:pStyle w:val="2"/>
        <w:rPr>
          <w:rFonts w:hint="default"/>
          <w:color w:val="auto"/>
          <w:lang w:val="en-US" w:eastAsia="zh-CN"/>
        </w:rPr>
      </w:pPr>
      <w:r>
        <w:rPr>
          <w:rFonts w:hint="eastAsia"/>
          <w:color w:val="auto"/>
          <w:sz w:val="24"/>
          <w:highlight w:val="none"/>
          <w:lang w:val="en-US" w:eastAsia="zh-CN"/>
        </w:rPr>
        <w:t>表8.2-1 入河排污口水质监测要求</w:t>
      </w:r>
    </w:p>
    <w:p w14:paraId="2C5314A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color w:val="auto"/>
          <w:sz w:val="24"/>
          <w:highlight w:val="none"/>
          <w:lang w:val="en-US" w:eastAsia="zh-CN"/>
        </w:rPr>
      </w:pPr>
      <w:r>
        <w:rPr>
          <w:color w:val="auto"/>
        </w:rPr>
        <w:drawing>
          <wp:inline distT="0" distB="0" distL="114300" distR="114300">
            <wp:extent cx="6045835" cy="1250315"/>
            <wp:effectExtent l="0" t="0" r="12065" b="6985"/>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38"/>
                    <a:stretch>
                      <a:fillRect/>
                    </a:stretch>
                  </pic:blipFill>
                  <pic:spPr>
                    <a:xfrm>
                      <a:off x="0" y="0"/>
                      <a:ext cx="6045835" cy="1250315"/>
                    </a:xfrm>
                    <a:prstGeom prst="rect">
                      <a:avLst/>
                    </a:prstGeom>
                    <a:noFill/>
                    <a:ln>
                      <a:noFill/>
                    </a:ln>
                  </pic:spPr>
                </pic:pic>
              </a:graphicData>
            </a:graphic>
          </wp:inline>
        </w:drawing>
      </w:r>
    </w:p>
    <w:p w14:paraId="051BE033">
      <w:pPr>
        <w:pStyle w:val="2"/>
        <w:rPr>
          <w:rFonts w:hint="eastAsia"/>
          <w:color w:val="auto"/>
          <w:sz w:val="24"/>
          <w:highlight w:val="none"/>
          <w:lang w:val="en-US" w:eastAsia="zh-CN"/>
        </w:rPr>
      </w:pPr>
    </w:p>
    <w:p w14:paraId="1F5A6850">
      <w:pPr>
        <w:pStyle w:val="2"/>
        <w:rPr>
          <w:rFonts w:hint="eastAsia"/>
          <w:color w:val="auto"/>
          <w:sz w:val="24"/>
          <w:highlight w:val="none"/>
          <w:lang w:val="en-US" w:eastAsia="zh-CN"/>
        </w:rPr>
      </w:pPr>
    </w:p>
    <w:p w14:paraId="010BCA12">
      <w:pPr>
        <w:pStyle w:val="2"/>
        <w:rPr>
          <w:rFonts w:hint="eastAsia"/>
          <w:color w:val="auto"/>
          <w:sz w:val="24"/>
          <w:highlight w:val="none"/>
          <w:lang w:val="en-US" w:eastAsia="zh-CN"/>
        </w:rPr>
      </w:pPr>
    </w:p>
    <w:p w14:paraId="12BFCEE1">
      <w:pPr>
        <w:pStyle w:val="2"/>
        <w:rPr>
          <w:rFonts w:hint="eastAsia"/>
          <w:color w:val="auto"/>
          <w:sz w:val="24"/>
          <w:highlight w:val="none"/>
          <w:lang w:val="en-US" w:eastAsia="zh-CN"/>
        </w:rPr>
      </w:pPr>
    </w:p>
    <w:p w14:paraId="7366BA3D">
      <w:pPr>
        <w:pStyle w:val="2"/>
        <w:rPr>
          <w:rFonts w:hint="eastAsia"/>
          <w:color w:val="auto"/>
          <w:sz w:val="24"/>
          <w:highlight w:val="none"/>
          <w:lang w:val="en-US" w:eastAsia="zh-CN"/>
        </w:rPr>
      </w:pPr>
    </w:p>
    <w:p w14:paraId="7643F9D2">
      <w:pPr>
        <w:pStyle w:val="2"/>
        <w:rPr>
          <w:rFonts w:hint="default"/>
          <w:color w:val="auto"/>
          <w:lang w:val="en-US" w:eastAsia="zh-CN"/>
        </w:rPr>
      </w:pPr>
      <w:r>
        <w:rPr>
          <w:rFonts w:hint="eastAsia"/>
          <w:color w:val="auto"/>
          <w:sz w:val="24"/>
          <w:highlight w:val="none"/>
          <w:lang w:val="en-US" w:eastAsia="zh-CN"/>
        </w:rPr>
        <w:t>表8.2-2 项目周边地表水环境质量监测计划表</w:t>
      </w:r>
    </w:p>
    <w:p w14:paraId="64756345">
      <w:pPr>
        <w:spacing w:line="360" w:lineRule="auto"/>
        <w:rPr>
          <w:rFonts w:hint="eastAsia"/>
          <w:color w:val="auto"/>
          <w:sz w:val="24"/>
          <w:highlight w:val="none"/>
          <w:lang w:val="en-US" w:eastAsia="zh-CN"/>
        </w:rPr>
      </w:pPr>
      <w:r>
        <w:rPr>
          <w:color w:val="auto"/>
          <w:sz w:val="21"/>
        </w:rPr>
        <mc:AlternateContent>
          <mc:Choice Requires="wps">
            <w:drawing>
              <wp:anchor distT="0" distB="0" distL="114300" distR="114300" simplePos="0" relativeHeight="251695104" behindDoc="0" locked="0" layoutInCell="1" allowOverlap="1">
                <wp:simplePos x="0" y="0"/>
                <wp:positionH relativeFrom="column">
                  <wp:posOffset>4460240</wp:posOffset>
                </wp:positionH>
                <wp:positionV relativeFrom="paragraph">
                  <wp:posOffset>411480</wp:posOffset>
                </wp:positionV>
                <wp:extent cx="1177290" cy="638175"/>
                <wp:effectExtent l="0" t="0" r="3810" b="9525"/>
                <wp:wrapNone/>
                <wp:docPr id="114" name="文本框 114"/>
                <wp:cNvGraphicFramePr/>
                <a:graphic xmlns:a="http://schemas.openxmlformats.org/drawingml/2006/main">
                  <a:graphicData uri="http://schemas.microsoft.com/office/word/2010/wordprocessingShape">
                    <wps:wsp>
                      <wps:cNvSpPr txBox="1"/>
                      <wps:spPr>
                        <a:xfrm>
                          <a:off x="0" y="0"/>
                          <a:ext cx="1177290" cy="6381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77C76F8">
                            <w:pP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《地表水环境质量</w:t>
                            </w:r>
                          </w:p>
                          <w:p w14:paraId="7E9D5415">
                            <w:pP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标准》（GB3838-20</w:t>
                            </w:r>
                          </w:p>
                          <w:p w14:paraId="449FE6BC">
                            <w:pPr>
                              <w:rPr>
                                <w:rFonts w:hint="default" w:eastAsia="宋体"/>
                                <w:sz w:val="18"/>
                                <w:szCs w:val="18"/>
                                <w:u w:val="single"/>
                                <w:lang w:val="en-US" w:eastAsia="zh-CN"/>
                              </w:rPr>
                            </w:pPr>
                            <w:r>
                              <w:rPr>
                                <w:rFonts w:hint="eastAsia" w:ascii="Times New Roman" w:hAnsi="Times New Roman" w:eastAsia="宋体" w:cs="Times New Roman"/>
                                <w:color w:val="auto"/>
                                <w:sz w:val="18"/>
                                <w:szCs w:val="18"/>
                                <w:highlight w:val="none"/>
                                <w:lang w:val="en-US" w:eastAsia="zh-CN"/>
                              </w:rPr>
                              <w:t>02）</w:t>
                            </w:r>
                            <w:r>
                              <w:rPr>
                                <w:rFonts w:hint="eastAsia" w:cs="Times New Roman"/>
                                <w:color w:val="auto"/>
                                <w:sz w:val="18"/>
                                <w:szCs w:val="18"/>
                                <w:highlight w:val="none"/>
                                <w:lang w:val="en-US" w:eastAsia="zh-CN"/>
                              </w:rPr>
                              <w:t>中</w:t>
                            </w:r>
                            <w:r>
                              <w:rPr>
                                <w:rFonts w:hint="eastAsia" w:ascii="宋体" w:hAnsi="宋体"/>
                                <w:bCs/>
                                <w:sz w:val="18"/>
                                <w:szCs w:val="18"/>
                                <w:u w:val="none"/>
                              </w:rPr>
                              <w:t>Ⅲ</w:t>
                            </w:r>
                            <w:r>
                              <w:rPr>
                                <w:rFonts w:hint="eastAsia" w:ascii="宋体" w:hAnsi="宋体"/>
                                <w:bCs/>
                                <w:sz w:val="18"/>
                                <w:szCs w:val="18"/>
                                <w:u w:val="none"/>
                                <w:lang w:val="en-US" w:eastAsia="zh-CN"/>
                              </w:rPr>
                              <w:t>类标准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1.2pt;margin-top:32.4pt;height:50.25pt;width:92.7pt;z-index:251695104;mso-width-relative:page;mso-height-relative:page;" fillcolor="#FFFFFF [3201]" filled="t" stroked="f" coordsize="21600,21600" o:gfxdata="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2Gx+0NUAAAAKAQAADwAAAAAA&#10;AAABACAAAAAiAAAAZHJzL2Rvd25yZXYueG1sUEsBAhQAFAAAAAgAh07iQOV1AJlPAgAAkwQAAA4A&#10;AAAAAAAAAQAgAAAAJAEAAGRycy9lMm9Eb2MueG1sUEsFBgAAAAAGAAYAWQEAAOUFAAAAAA==&#10;">
                <v:fill on="t" focussize="0,0"/>
                <v:stroke on="f" weight="0.5pt"/>
                <v:imagedata o:title=""/>
                <o:lock v:ext="edit" aspectratio="f"/>
                <v:textbox>
                  <w:txbxContent>
                    <w:p w14:paraId="477C76F8">
                      <w:pP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《地表水环境质量</w:t>
                      </w:r>
                    </w:p>
                    <w:p w14:paraId="7E9D5415">
                      <w:pP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标准》（GB3838-20</w:t>
                      </w:r>
                    </w:p>
                    <w:p w14:paraId="449FE6BC">
                      <w:pPr>
                        <w:rPr>
                          <w:rFonts w:hint="default" w:eastAsia="宋体"/>
                          <w:sz w:val="18"/>
                          <w:szCs w:val="18"/>
                          <w:u w:val="single"/>
                          <w:lang w:val="en-US" w:eastAsia="zh-CN"/>
                        </w:rPr>
                      </w:pPr>
                      <w:r>
                        <w:rPr>
                          <w:rFonts w:hint="eastAsia" w:ascii="Times New Roman" w:hAnsi="Times New Roman" w:eastAsia="宋体" w:cs="Times New Roman"/>
                          <w:color w:val="auto"/>
                          <w:sz w:val="18"/>
                          <w:szCs w:val="18"/>
                          <w:highlight w:val="none"/>
                          <w:lang w:val="en-US" w:eastAsia="zh-CN"/>
                        </w:rPr>
                        <w:t>02）</w:t>
                      </w:r>
                      <w:r>
                        <w:rPr>
                          <w:rFonts w:hint="eastAsia" w:cs="Times New Roman"/>
                          <w:color w:val="auto"/>
                          <w:sz w:val="18"/>
                          <w:szCs w:val="18"/>
                          <w:highlight w:val="none"/>
                          <w:lang w:val="en-US" w:eastAsia="zh-CN"/>
                        </w:rPr>
                        <w:t>中</w:t>
                      </w:r>
                      <w:r>
                        <w:rPr>
                          <w:rFonts w:hint="eastAsia" w:ascii="宋体" w:hAnsi="宋体"/>
                          <w:bCs/>
                          <w:sz w:val="18"/>
                          <w:szCs w:val="18"/>
                          <w:u w:val="none"/>
                        </w:rPr>
                        <w:t>Ⅲ</w:t>
                      </w:r>
                      <w:r>
                        <w:rPr>
                          <w:rFonts w:hint="eastAsia" w:ascii="宋体" w:hAnsi="宋体"/>
                          <w:bCs/>
                          <w:sz w:val="18"/>
                          <w:szCs w:val="18"/>
                          <w:u w:val="none"/>
                          <w:lang w:val="en-US" w:eastAsia="zh-CN"/>
                        </w:rPr>
                        <w:t>类标准</w:t>
                      </w:r>
                    </w:p>
                  </w:txbxContent>
                </v:textbox>
              </v:shape>
            </w:pict>
          </mc:Fallback>
        </mc:AlternateContent>
      </w:r>
      <w:r>
        <w:rPr>
          <w:color w:val="auto"/>
          <w:sz w:val="21"/>
        </w:rPr>
        <mc:AlternateContent>
          <mc:Choice Requires="wps">
            <w:drawing>
              <wp:anchor distT="0" distB="0" distL="114300" distR="114300" simplePos="0" relativeHeight="251694080" behindDoc="0" locked="0" layoutInCell="1" allowOverlap="1">
                <wp:simplePos x="0" y="0"/>
                <wp:positionH relativeFrom="column">
                  <wp:posOffset>3650615</wp:posOffset>
                </wp:positionH>
                <wp:positionV relativeFrom="paragraph">
                  <wp:posOffset>1390650</wp:posOffset>
                </wp:positionV>
                <wp:extent cx="498475" cy="257810"/>
                <wp:effectExtent l="0" t="0" r="15875" b="8890"/>
                <wp:wrapNone/>
                <wp:docPr id="88" name="文本框 88"/>
                <wp:cNvGraphicFramePr/>
                <a:graphic xmlns:a="http://schemas.openxmlformats.org/drawingml/2006/main">
                  <a:graphicData uri="http://schemas.microsoft.com/office/word/2010/wordprocessingShape">
                    <wps:wsp>
                      <wps:cNvSpPr txBox="1"/>
                      <wps:spPr>
                        <a:xfrm>
                          <a:off x="0" y="0"/>
                          <a:ext cx="498475" cy="2578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58D1981">
                            <w:pPr>
                              <w:rPr>
                                <w:rFonts w:hint="default"/>
                                <w:w w:val="90"/>
                                <w:sz w:val="18"/>
                                <w:szCs w:val="18"/>
                                <w:lang w:val="en-US" w:eastAsia="zh-CN"/>
                              </w:rPr>
                            </w:pPr>
                            <w:r>
                              <w:rPr>
                                <w:rFonts w:hint="eastAsia"/>
                                <w:w w:val="90"/>
                                <w:sz w:val="18"/>
                                <w:szCs w:val="18"/>
                                <w:lang w:val="en-US" w:eastAsia="zh-CN"/>
                              </w:rPr>
                              <w:t>紫外线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7.45pt;margin-top:109.5pt;height:20.3pt;width:39.25pt;z-index:251694080;mso-width-relative:page;mso-height-relative:page;" fillcolor="#FFFFFF [3201]" filled="t" stroked="f" coordsize="21600,21600" o:gfxdata="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6up9J9cAAAALAQAA&#10;DwAAAAAAAAABACAAAAAiAAAAZHJzL2Rvd25yZXYueG1sUEsBAhQAFAAAAAgAh07iQCwpV45TAgAA&#10;kAQAAA4AAAAAAAAAAQAgAAAAJgEAAGRycy9lMm9Eb2MueG1sUEsFBgAAAAAGAAYAWQEAAOsFAAAA&#10;AA==&#10;">
                <v:fill on="t" focussize="0,0"/>
                <v:stroke on="f" weight="0.5pt"/>
                <v:imagedata o:title=""/>
                <o:lock v:ext="edit" aspectratio="f"/>
                <v:textbox>
                  <w:txbxContent>
                    <w:p w14:paraId="758D1981">
                      <w:pPr>
                        <w:rPr>
                          <w:rFonts w:hint="default"/>
                          <w:w w:val="90"/>
                          <w:sz w:val="18"/>
                          <w:szCs w:val="18"/>
                          <w:lang w:val="en-US" w:eastAsia="zh-CN"/>
                        </w:rPr>
                      </w:pPr>
                      <w:r>
                        <w:rPr>
                          <w:rFonts w:hint="eastAsia"/>
                          <w:w w:val="90"/>
                          <w:sz w:val="18"/>
                          <w:szCs w:val="18"/>
                          <w:lang w:val="en-US" w:eastAsia="zh-CN"/>
                        </w:rPr>
                        <w:t>紫外线</w:t>
                      </w:r>
                    </w:p>
                  </w:txbxContent>
                </v:textbox>
              </v:shape>
            </w:pict>
          </mc:Fallback>
        </mc:AlternateContent>
      </w:r>
      <w:r>
        <w:rPr>
          <w:color w:val="auto"/>
          <w:sz w:val="21"/>
        </w:rPr>
        <mc:AlternateContent>
          <mc:Choice Requires="wps">
            <w:drawing>
              <wp:anchor distT="0" distB="0" distL="114300" distR="114300" simplePos="0" relativeHeight="251693056" behindDoc="0" locked="0" layoutInCell="1" allowOverlap="1">
                <wp:simplePos x="0" y="0"/>
                <wp:positionH relativeFrom="column">
                  <wp:posOffset>97790</wp:posOffset>
                </wp:positionH>
                <wp:positionV relativeFrom="paragraph">
                  <wp:posOffset>1228725</wp:posOffset>
                </wp:positionV>
                <wp:extent cx="792480" cy="267335"/>
                <wp:effectExtent l="0" t="0" r="7620" b="18415"/>
                <wp:wrapNone/>
                <wp:docPr id="69" name="文本框 69"/>
                <wp:cNvGraphicFramePr/>
                <a:graphic xmlns:a="http://schemas.openxmlformats.org/drawingml/2006/main">
                  <a:graphicData uri="http://schemas.microsoft.com/office/word/2010/wordprocessingShape">
                    <wps:wsp>
                      <wps:cNvSpPr txBox="1"/>
                      <wps:spPr>
                        <a:xfrm>
                          <a:off x="0" y="0"/>
                          <a:ext cx="792480" cy="2673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DDECE98">
                            <w:pPr>
                              <w:rPr>
                                <w:rFonts w:hint="default"/>
                                <w:lang w:val="en-US" w:eastAsia="zh-CN"/>
                              </w:rPr>
                            </w:pPr>
                            <w:r>
                              <w:rPr>
                                <w:rFonts w:hint="eastAsia"/>
                                <w:lang w:val="en-US" w:eastAsia="zh-CN"/>
                              </w:rPr>
                              <w:t>0.3km处；</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7pt;margin-top:96.75pt;height:21.05pt;width:62.4pt;z-index:251693056;mso-width-relative:page;mso-height-relative:page;" fillcolor="#FFFFFF [3201]" filled="t" stroked="f" coordsize="21600,21600" o:gfxdata="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jG2Na1gAAAAoBAAAPAAAA&#10;AAAAAAEAIAAAACIAAABkcnMvZG93bnJldi54bWxQSwECFAAUAAAACACHTuJAS0Si21ACAACQBAAA&#10;DgAAAAAAAAABACAAAAAlAQAAZHJzL2Uyb0RvYy54bWxQSwUGAAAAAAYABgBZAQAA5wUAAAAA&#10;">
                <v:fill on="t" focussize="0,0"/>
                <v:stroke on="f" weight="0.5pt"/>
                <v:imagedata o:title=""/>
                <o:lock v:ext="edit" aspectratio="f"/>
                <v:textbox>
                  <w:txbxContent>
                    <w:p w14:paraId="5DDECE98">
                      <w:pPr>
                        <w:rPr>
                          <w:rFonts w:hint="default"/>
                          <w:lang w:val="en-US" w:eastAsia="zh-CN"/>
                        </w:rPr>
                      </w:pPr>
                      <w:r>
                        <w:rPr>
                          <w:rFonts w:hint="eastAsia"/>
                          <w:lang w:val="en-US" w:eastAsia="zh-CN"/>
                        </w:rPr>
                        <w:t>0.3km处；</w:t>
                      </w:r>
                    </w:p>
                  </w:txbxContent>
                </v:textbox>
              </v:shape>
            </w:pict>
          </mc:Fallback>
        </mc:AlternateContent>
      </w:r>
      <w:r>
        <w:rPr>
          <w:color w:val="auto"/>
          <w:sz w:val="21"/>
        </w:rPr>
        <mc:AlternateContent>
          <mc:Choice Requires="wps">
            <w:drawing>
              <wp:anchor distT="0" distB="0" distL="114300" distR="114300" simplePos="0" relativeHeight="251691008" behindDoc="0" locked="0" layoutInCell="1" allowOverlap="1">
                <wp:simplePos x="0" y="0"/>
                <wp:positionH relativeFrom="column">
                  <wp:posOffset>2793365</wp:posOffset>
                </wp:positionH>
                <wp:positionV relativeFrom="paragraph">
                  <wp:posOffset>1085850</wp:posOffset>
                </wp:positionV>
                <wp:extent cx="2849245" cy="325120"/>
                <wp:effectExtent l="0" t="0" r="8255" b="17780"/>
                <wp:wrapNone/>
                <wp:docPr id="59" name="文本框 59"/>
                <wp:cNvGraphicFramePr/>
                <a:graphic xmlns:a="http://schemas.openxmlformats.org/drawingml/2006/main">
                  <a:graphicData uri="http://schemas.microsoft.com/office/word/2010/wordprocessingShape">
                    <wps:wsp>
                      <wps:cNvSpPr txBox="1"/>
                      <wps:spPr>
                        <a:xfrm>
                          <a:off x="0" y="0"/>
                          <a:ext cx="2849245" cy="32512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9C9F20A">
                            <w:pPr>
                              <w:rPr>
                                <w:rFonts w:hint="default"/>
                                <w:lang w:val="en-US" w:eastAsia="zh-CN"/>
                              </w:rPr>
                            </w:pPr>
                            <w:r>
                              <w:rPr>
                                <w:rFonts w:hint="eastAsia"/>
                                <w:lang w:val="en-US" w:eastAsia="zh-CN"/>
                              </w:rPr>
                              <w:t>建议地表水监测断面设在本入河排污口下游</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9.95pt;margin-top:85.5pt;height:25.6pt;width:224.35pt;z-index:251691008;mso-width-relative:page;mso-height-relative:page;" fillcolor="#FFFFFF [3201]" filled="t" stroked="f" coordsize="21600,21600" o:gfxdata="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Et1BkvVAAAACwEAAA8A&#10;AAAAAAAAAQAgAAAAIgAAAGRycy9kb3ducmV2LnhtbFBLAQIUABQAAAAIAIdO4kBUYdOtUwIAAJEE&#10;AAAOAAAAAAAAAAEAIAAAACQBAABkcnMvZTJvRG9jLnhtbFBLBQYAAAAABgAGAFkBAADpBQAAAAA=&#10;">
                <v:fill on="t" focussize="0,0"/>
                <v:stroke on="f" weight="0.5pt"/>
                <v:imagedata o:title=""/>
                <o:lock v:ext="edit" aspectratio="f"/>
                <v:textbox>
                  <w:txbxContent>
                    <w:p w14:paraId="19C9F20A">
                      <w:pPr>
                        <w:rPr>
                          <w:rFonts w:hint="default"/>
                          <w:lang w:val="en-US" w:eastAsia="zh-CN"/>
                        </w:rPr>
                      </w:pPr>
                      <w:r>
                        <w:rPr>
                          <w:rFonts w:hint="eastAsia"/>
                          <w:lang w:val="en-US" w:eastAsia="zh-CN"/>
                        </w:rPr>
                        <w:t>建议地表水监测断面设在本入河排污口下游</w:t>
                      </w:r>
                    </w:p>
                  </w:txbxContent>
                </v:textbox>
              </v:shape>
            </w:pict>
          </mc:Fallback>
        </mc:AlternateContent>
      </w:r>
      <w:r>
        <w:rPr>
          <w:color w:val="auto"/>
          <w:sz w:val="21"/>
        </w:rPr>
        <mc:AlternateContent>
          <mc:Choice Requires="wps">
            <w:drawing>
              <wp:anchor distT="0" distB="0" distL="114300" distR="114300" simplePos="0" relativeHeight="251684864" behindDoc="0" locked="0" layoutInCell="1" allowOverlap="1">
                <wp:simplePos x="0" y="0"/>
                <wp:positionH relativeFrom="column">
                  <wp:posOffset>40640</wp:posOffset>
                </wp:positionH>
                <wp:positionV relativeFrom="paragraph">
                  <wp:posOffset>400685</wp:posOffset>
                </wp:positionV>
                <wp:extent cx="717550" cy="676910"/>
                <wp:effectExtent l="4445" t="4445" r="20955" b="23495"/>
                <wp:wrapNone/>
                <wp:docPr id="22" name="文本框 22"/>
                <wp:cNvGraphicFramePr/>
                <a:graphic xmlns:a="http://schemas.openxmlformats.org/drawingml/2006/main">
                  <a:graphicData uri="http://schemas.microsoft.com/office/word/2010/wordprocessingShape">
                    <wps:wsp>
                      <wps:cNvSpPr txBox="1"/>
                      <wps:spPr>
                        <a:xfrm>
                          <a:off x="1352550" y="8423910"/>
                          <a:ext cx="717550" cy="67691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0562A42">
                            <w:pPr>
                              <w:jc w:val="center"/>
                              <w:rPr>
                                <w:rFonts w:hint="eastAsia"/>
                                <w:lang w:val="en-US" w:eastAsia="zh-CN"/>
                              </w:rPr>
                            </w:pPr>
                          </w:p>
                          <w:p w14:paraId="37CC1066">
                            <w:pPr>
                              <w:jc w:val="center"/>
                              <w:rPr>
                                <w:rFonts w:hint="default" w:eastAsia="宋体"/>
                                <w:lang w:val="en-US" w:eastAsia="zh-CN"/>
                              </w:rPr>
                            </w:pPr>
                            <w:r>
                              <w:rPr>
                                <w:rFonts w:hint="eastAsia"/>
                                <w:lang w:val="en-US" w:eastAsia="zh-CN"/>
                              </w:rPr>
                              <w:t>排水渠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pt;margin-top:31.55pt;height:53.3pt;width:56.5pt;z-index:251684864;mso-width-relative:page;mso-height-relative:page;" fillcolor="#FFFFFF [3201]" filled="t" stroked="t" coordsize="21600,21600" o:gfxdata="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b&#10;+p6V1QAAAAgBAAAPAAAAAAAAAAEAIAAAACIAAABkcnMvZG93bnJldi54bWxQSwECFAAUAAAACACH&#10;TuJA8hn3dWACAADEBAAADgAAAAAAAAABACAAAAAkAQAAZHJzL2Uyb0RvYy54bWxQSwUGAAAAAAYA&#10;BgBZAQAA9gUAAAAA&#10;">
                <v:fill on="t" focussize="0,0"/>
                <v:stroke weight="0.5pt" color="#000000 [3204]" joinstyle="round"/>
                <v:imagedata o:title=""/>
                <o:lock v:ext="edit" aspectratio="f"/>
                <v:textbox>
                  <w:txbxContent>
                    <w:p w14:paraId="60562A42">
                      <w:pPr>
                        <w:jc w:val="center"/>
                        <w:rPr>
                          <w:rFonts w:hint="eastAsia"/>
                          <w:lang w:val="en-US" w:eastAsia="zh-CN"/>
                        </w:rPr>
                      </w:pPr>
                    </w:p>
                    <w:p w14:paraId="37CC1066">
                      <w:pPr>
                        <w:jc w:val="center"/>
                        <w:rPr>
                          <w:rFonts w:hint="default" w:eastAsia="宋体"/>
                          <w:lang w:val="en-US" w:eastAsia="zh-CN"/>
                        </w:rPr>
                      </w:pPr>
                      <w:r>
                        <w:rPr>
                          <w:rFonts w:hint="eastAsia"/>
                          <w:lang w:val="en-US" w:eastAsia="zh-CN"/>
                        </w:rPr>
                        <w:t>排水渠</w:t>
                      </w:r>
                    </w:p>
                  </w:txbxContent>
                </v:textbox>
              </v:shape>
            </w:pict>
          </mc:Fallback>
        </mc:AlternateContent>
      </w:r>
      <w:r>
        <w:rPr>
          <w:color w:val="auto"/>
          <w:sz w:val="21"/>
        </w:rPr>
        <mc:AlternateContent>
          <mc:Choice Requires="wps">
            <w:drawing>
              <wp:anchor distT="0" distB="0" distL="114300" distR="114300" simplePos="0" relativeHeight="251689984" behindDoc="0" locked="0" layoutInCell="1" allowOverlap="1">
                <wp:simplePos x="0" y="0"/>
                <wp:positionH relativeFrom="column">
                  <wp:posOffset>755015</wp:posOffset>
                </wp:positionH>
                <wp:positionV relativeFrom="paragraph">
                  <wp:posOffset>400050</wp:posOffset>
                </wp:positionV>
                <wp:extent cx="735330" cy="666750"/>
                <wp:effectExtent l="4445" t="4445" r="22225" b="14605"/>
                <wp:wrapNone/>
                <wp:docPr id="58" name="文本框 58"/>
                <wp:cNvGraphicFramePr/>
                <a:graphic xmlns:a="http://schemas.openxmlformats.org/drawingml/2006/main">
                  <a:graphicData uri="http://schemas.microsoft.com/office/word/2010/wordprocessingShape">
                    <wps:wsp>
                      <wps:cNvSpPr txBox="1"/>
                      <wps:spPr>
                        <a:xfrm>
                          <a:off x="0" y="0"/>
                          <a:ext cx="735330" cy="6667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833CB76">
                            <w:pPr>
                              <w:jc w:val="center"/>
                              <w:rPr>
                                <w:rFonts w:hint="default" w:eastAsia="宋体"/>
                                <w:lang w:val="en-US" w:eastAsia="zh-CN"/>
                              </w:rPr>
                            </w:pPr>
                            <w:r>
                              <w:rPr>
                                <w:rFonts w:hint="eastAsia"/>
                                <w:lang w:val="en-US" w:eastAsia="zh-CN"/>
                              </w:rPr>
                              <w:t>本入河排污口下游300m处</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9.45pt;margin-top:31.5pt;height:52.5pt;width:57.9pt;z-index:251689984;mso-width-relative:page;mso-height-relative:page;" fillcolor="#FFFFFF [3201]" filled="t" stroked="t" coordsize="21600,21600" o:gfxdata="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6037z9UAAAAK&#10;AQAADwAAAAAAAAABACAAAAAiAAAAZHJzL2Rvd25yZXYueG1sUEsBAhQAFAAAAAgAh07iQLzB8IpY&#10;AgAAuAQAAA4AAAAAAAAAAQAgAAAAJAEAAGRycy9lMm9Eb2MueG1sUEsFBgAAAAAGAAYAWQEAAO4F&#10;AAAAAA==&#10;">
                <v:fill on="t" focussize="0,0"/>
                <v:stroke weight="0.5pt" color="#000000 [3204]" joinstyle="round"/>
                <v:imagedata o:title=""/>
                <o:lock v:ext="edit" aspectratio="f"/>
                <v:textbox>
                  <w:txbxContent>
                    <w:p w14:paraId="4833CB76">
                      <w:pPr>
                        <w:jc w:val="center"/>
                        <w:rPr>
                          <w:rFonts w:hint="default" w:eastAsia="宋体"/>
                          <w:lang w:val="en-US" w:eastAsia="zh-CN"/>
                        </w:rPr>
                      </w:pPr>
                      <w:r>
                        <w:rPr>
                          <w:rFonts w:hint="eastAsia"/>
                          <w:lang w:val="en-US" w:eastAsia="zh-CN"/>
                        </w:rPr>
                        <w:t>本入河排污口下游300m处</w:t>
                      </w:r>
                    </w:p>
                  </w:txbxContent>
                </v:textbox>
              </v:shape>
            </w:pict>
          </mc:Fallback>
        </mc:AlternateContent>
      </w:r>
      <w:r>
        <w:rPr>
          <w:color w:val="auto"/>
        </w:rPr>
        <w:drawing>
          <wp:inline distT="0" distB="0" distL="114300" distR="114300">
            <wp:extent cx="5730240" cy="1621790"/>
            <wp:effectExtent l="0" t="0" r="3810" b="16510"/>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pic:cNvPicPr>
                  </pic:nvPicPr>
                  <pic:blipFill>
                    <a:blip r:embed="rId39"/>
                    <a:stretch>
                      <a:fillRect/>
                    </a:stretch>
                  </pic:blipFill>
                  <pic:spPr>
                    <a:xfrm>
                      <a:off x="0" y="0"/>
                      <a:ext cx="5730240" cy="1621790"/>
                    </a:xfrm>
                    <a:prstGeom prst="rect">
                      <a:avLst/>
                    </a:prstGeom>
                    <a:noFill/>
                    <a:ln>
                      <a:noFill/>
                    </a:ln>
                  </pic:spPr>
                </pic:pic>
              </a:graphicData>
            </a:graphic>
          </wp:inline>
        </w:drawing>
      </w:r>
    </w:p>
    <w:p w14:paraId="2EAFC686">
      <w:pPr>
        <w:pStyle w:val="2"/>
        <w:rPr>
          <w:rFonts w:hint="default"/>
          <w:color w:val="auto"/>
          <w:lang w:val="en-US" w:eastAsia="zh-CN"/>
        </w:rPr>
      </w:pPr>
      <w:r>
        <w:rPr>
          <w:rFonts w:hint="eastAsia"/>
          <w:color w:val="auto"/>
          <w:sz w:val="24"/>
          <w:highlight w:val="none"/>
          <w:lang w:val="en-US" w:eastAsia="zh-CN"/>
        </w:rPr>
        <w:t>表8.2-3 项目废水排放监测计划表</w:t>
      </w:r>
    </w:p>
    <w:p w14:paraId="259B555E">
      <w:pPr>
        <w:spacing w:line="360" w:lineRule="auto"/>
        <w:ind w:firstLine="420" w:firstLineChars="200"/>
        <w:rPr>
          <w:rFonts w:hint="eastAsia"/>
          <w:color w:val="auto"/>
          <w:sz w:val="24"/>
          <w:highlight w:val="none"/>
          <w:lang w:val="en-US" w:eastAsia="zh-CN"/>
        </w:rPr>
      </w:pPr>
      <w:r>
        <w:rPr>
          <w:color w:val="auto"/>
          <w:sz w:val="21"/>
        </w:rPr>
        <mc:AlternateContent>
          <mc:Choice Requires="wps">
            <w:drawing>
              <wp:anchor distT="0" distB="0" distL="114300" distR="114300" simplePos="0" relativeHeight="251692032" behindDoc="0" locked="0" layoutInCell="1" allowOverlap="1">
                <wp:simplePos x="0" y="0"/>
                <wp:positionH relativeFrom="column">
                  <wp:posOffset>3250565</wp:posOffset>
                </wp:positionH>
                <wp:positionV relativeFrom="paragraph">
                  <wp:posOffset>401320</wp:posOffset>
                </wp:positionV>
                <wp:extent cx="1173480" cy="257175"/>
                <wp:effectExtent l="0" t="0" r="7620" b="9525"/>
                <wp:wrapNone/>
                <wp:docPr id="67" name="文本框 67"/>
                <wp:cNvGraphicFramePr/>
                <a:graphic xmlns:a="http://schemas.openxmlformats.org/drawingml/2006/main">
                  <a:graphicData uri="http://schemas.microsoft.com/office/word/2010/wordprocessingShape">
                    <wps:wsp>
                      <wps:cNvSpPr txBox="1"/>
                      <wps:spPr>
                        <a:xfrm>
                          <a:off x="0" y="0"/>
                          <a:ext cx="1173480" cy="2571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978C88E">
                            <w:pPr>
                              <w:keepNext w:val="0"/>
                              <w:keepLines w:val="0"/>
                              <w:pageBreakBefore w:val="0"/>
                              <w:widowControl w:val="0"/>
                              <w:kinsoku/>
                              <w:wordWrap/>
                              <w:overflowPunct/>
                              <w:topLinePunct w:val="0"/>
                              <w:autoSpaceDE/>
                              <w:autoSpaceDN/>
                              <w:bidi w:val="0"/>
                              <w:adjustRightInd/>
                              <w:snapToGrid/>
                              <w:ind w:left="-420" w:leftChars="-200" w:right="-420" w:rightChars="-200" w:firstLine="180" w:firstLineChars="100"/>
                              <w:jc w:val="center"/>
                              <w:textAlignment w:val="auto"/>
                              <w:rPr>
                                <w:rFonts w:hint="default" w:eastAsia="宋体"/>
                                <w:sz w:val="18"/>
                                <w:szCs w:val="18"/>
                                <w:lang w:val="en-US" w:eastAsia="zh-CN"/>
                              </w:rPr>
                            </w:pPr>
                            <w:r>
                              <w:rPr>
                                <w:rFonts w:hint="eastAsia"/>
                                <w:sz w:val="18"/>
                                <w:szCs w:val="18"/>
                                <w:lang w:val="en-US" w:eastAsia="zh-CN"/>
                              </w:rPr>
                              <w:t>处理量≥0.3万m</w:t>
                            </w:r>
                            <w:r>
                              <w:rPr>
                                <w:rFonts w:hint="eastAsia"/>
                                <w:sz w:val="18"/>
                                <w:szCs w:val="18"/>
                                <w:vertAlign w:val="superscript"/>
                                <w:lang w:val="en-US" w:eastAsia="zh-CN"/>
                              </w:rPr>
                              <w:t>3</w:t>
                            </w:r>
                            <w:r>
                              <w:rPr>
                                <w:rFonts w:hint="eastAsia"/>
                                <w:sz w:val="18"/>
                                <w:szCs w:val="18"/>
                                <w:lang w:val="en-US" w:eastAsia="zh-CN"/>
                              </w:rPr>
                              <w:t>/d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5.95pt;margin-top:31.6pt;height:20.25pt;width:92.4pt;z-index:251692032;mso-width-relative:page;mso-height-relative:page;" fillcolor="#FFFFFF [3201]" filled="t" stroked="f" coordsize="21600,21600" o:gfxdata="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I04MpLWAAAACgEAAA8AAAAA&#10;AAAAAQAgAAAAIgAAAGRycy9kb3ducmV2LnhtbFBLAQIUABQAAAAIAIdO4kDauDy2TwIAAJEEAAAO&#10;AAAAAAAAAAEAIAAAACUBAABkcnMvZTJvRG9jLnhtbFBLBQYAAAAABgAGAFkBAADmBQAAAAA=&#10;">
                <v:fill on="t" focussize="0,0"/>
                <v:stroke on="f" weight="0.5pt"/>
                <v:imagedata o:title=""/>
                <o:lock v:ext="edit" aspectratio="f"/>
                <v:textbox>
                  <w:txbxContent>
                    <w:p w14:paraId="4978C88E">
                      <w:pPr>
                        <w:keepNext w:val="0"/>
                        <w:keepLines w:val="0"/>
                        <w:pageBreakBefore w:val="0"/>
                        <w:widowControl w:val="0"/>
                        <w:kinsoku/>
                        <w:wordWrap/>
                        <w:overflowPunct/>
                        <w:topLinePunct w:val="0"/>
                        <w:autoSpaceDE/>
                        <w:autoSpaceDN/>
                        <w:bidi w:val="0"/>
                        <w:adjustRightInd/>
                        <w:snapToGrid/>
                        <w:ind w:left="-420" w:leftChars="-200" w:right="-420" w:rightChars="-200" w:firstLine="180" w:firstLineChars="100"/>
                        <w:jc w:val="center"/>
                        <w:textAlignment w:val="auto"/>
                        <w:rPr>
                          <w:rFonts w:hint="default" w:eastAsia="宋体"/>
                          <w:sz w:val="18"/>
                          <w:szCs w:val="18"/>
                          <w:lang w:val="en-US" w:eastAsia="zh-CN"/>
                        </w:rPr>
                      </w:pPr>
                      <w:r>
                        <w:rPr>
                          <w:rFonts w:hint="eastAsia"/>
                          <w:sz w:val="18"/>
                          <w:szCs w:val="18"/>
                          <w:lang w:val="en-US" w:eastAsia="zh-CN"/>
                        </w:rPr>
                        <w:t>处理量≥0.3万m</w:t>
                      </w:r>
                      <w:r>
                        <w:rPr>
                          <w:rFonts w:hint="eastAsia"/>
                          <w:sz w:val="18"/>
                          <w:szCs w:val="18"/>
                          <w:vertAlign w:val="superscript"/>
                          <w:lang w:val="en-US" w:eastAsia="zh-CN"/>
                        </w:rPr>
                        <w:t>3</w:t>
                      </w:r>
                      <w:r>
                        <w:rPr>
                          <w:rFonts w:hint="eastAsia"/>
                          <w:sz w:val="18"/>
                          <w:szCs w:val="18"/>
                          <w:lang w:val="en-US" w:eastAsia="zh-CN"/>
                        </w:rPr>
                        <w:t>/d</w:t>
                      </w:r>
                    </w:p>
                  </w:txbxContent>
                </v:textbox>
              </v:shape>
            </w:pict>
          </mc:Fallback>
        </mc:AlternateContent>
      </w:r>
      <w:r>
        <w:rPr>
          <w:color w:val="auto"/>
        </w:rPr>
        <w:drawing>
          <wp:inline distT="0" distB="0" distL="114300" distR="114300">
            <wp:extent cx="5729605" cy="2806700"/>
            <wp:effectExtent l="0" t="0" r="4445" b="12700"/>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40"/>
                    <a:stretch>
                      <a:fillRect/>
                    </a:stretch>
                  </pic:blipFill>
                  <pic:spPr>
                    <a:xfrm>
                      <a:off x="0" y="0"/>
                      <a:ext cx="5729605" cy="2806700"/>
                    </a:xfrm>
                    <a:prstGeom prst="rect">
                      <a:avLst/>
                    </a:prstGeom>
                    <a:noFill/>
                    <a:ln>
                      <a:noFill/>
                    </a:ln>
                  </pic:spPr>
                </pic:pic>
              </a:graphicData>
            </a:graphic>
          </wp:inline>
        </w:drawing>
      </w:r>
    </w:p>
    <w:p w14:paraId="6C2343B5">
      <w:pPr>
        <w:pStyle w:val="5"/>
        <w:numPr>
          <w:ilvl w:val="2"/>
          <w:numId w:val="6"/>
        </w:numPr>
        <w:tabs>
          <w:tab w:val="left" w:pos="420"/>
        </w:tabs>
        <w:bidi w:val="0"/>
        <w:rPr>
          <w:rFonts w:hint="eastAsia"/>
          <w:color w:val="auto"/>
          <w:lang w:val="en-US" w:eastAsia="zh-CN"/>
        </w:rPr>
      </w:pPr>
      <w:r>
        <w:rPr>
          <w:rFonts w:hint="eastAsia"/>
          <w:color w:val="auto"/>
          <w:lang w:val="en-US" w:eastAsia="zh-CN"/>
        </w:rPr>
        <w:t xml:space="preserve"> 环境风险防范及应急措施</w:t>
      </w:r>
    </w:p>
    <w:p w14:paraId="191B388A">
      <w:pPr>
        <w:pStyle w:val="7"/>
        <w:numPr>
          <w:ilvl w:val="3"/>
          <w:numId w:val="0"/>
        </w:numPr>
        <w:bidi w:val="0"/>
        <w:spacing w:line="360" w:lineRule="auto"/>
        <w:ind w:left="-54" w:leftChars="0" w:firstLine="482" w:firstLineChars="200"/>
        <w:jc w:val="both"/>
        <w:rPr>
          <w:rFonts w:hint="eastAsia"/>
          <w:color w:val="auto"/>
          <w:sz w:val="24"/>
          <w:szCs w:val="24"/>
          <w:lang w:val="en-US" w:eastAsia="zh-CN"/>
        </w:rPr>
      </w:pPr>
      <w:r>
        <w:rPr>
          <w:rFonts w:hint="eastAsia"/>
          <w:color w:val="auto"/>
          <w:sz w:val="24"/>
          <w:szCs w:val="24"/>
          <w:lang w:val="en-US" w:eastAsia="zh-CN"/>
        </w:rPr>
        <w:t>8.2.4.1 污水事故排放风险防范措施</w:t>
      </w:r>
    </w:p>
    <w:p w14:paraId="3BD84A5D">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本项目非正常排放主要由于停电或机械故障以及人为操作时导致废水处理系统不能正常运行所致。 项目拟采取如下防范措施：</w:t>
      </w:r>
    </w:p>
    <w:p w14:paraId="61C761EF">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（1）污水处理厂应采用双电路供电，水泵设计应考虑备用机械设备应采用性能可靠的优质产品。</w:t>
      </w:r>
    </w:p>
    <w:p w14:paraId="2E8D90D6">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2）为使在事故状态下污水处理厂能够迅速恢复正常运行，应在主要水工建筑物的容积上留有相应的缓冲能力，并配有相应的设备（如回流泵、回流管道阀门及仪表等），同时应设置事故水池用于储存未达标污水。</w:t>
      </w:r>
    </w:p>
    <w:p w14:paraId="56C251F3">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3）为使在事故状态下污水处理厂各种设备、设施等正常运转，必须选择质量优良、事故率低、便于维修的产品。关键设备应有备用的，易损部件也要有备用的，在以待发生故障时可以及时更换，确保处理系统的正常运行。</w:t>
      </w:r>
    </w:p>
    <w:p w14:paraId="09DCE5E0">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（4）加强事故苗头控制，做到定期巡检、调节、保养、维修，及时发现可能引起事故的异常运行苗头，消除事故隐患。</w:t>
      </w:r>
    </w:p>
    <w:p w14:paraId="43C7008B">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（5）严格控制处理单元的水量、水质、停留时间、负荷强度等，确保处理效果的稳定性：定期采样监测：操作人员及时调整，使设备处于最佳工况：发现不正常现象，应立即采取预防措施。</w:t>
      </w:r>
    </w:p>
    <w:p w14:paraId="15EF62DB">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（6）加强运行管理和进出水的监测工作，未经处理达标的污水严禁外排。</w:t>
      </w:r>
    </w:p>
    <w:p w14:paraId="41B516A5">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（7）建立安全操作规程，在平时严格按规程办事，定期对污水处理厂人员的理论知识和操作技能进行培训和检查。</w:t>
      </w:r>
    </w:p>
    <w:p w14:paraId="7AC6DD79">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（8）建立安全责任制度，在工作管理方面建立一套完整的制度，落实到人、明确职责、定期检查。</w:t>
      </w:r>
    </w:p>
    <w:p w14:paraId="27D71654">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（9）制订风险事故的应急措施，明确事故发生时的应急、抢险操作制度。</w:t>
      </w:r>
    </w:p>
    <w:p w14:paraId="42F25290">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（10）严格执行在线监测和人工监测结合的入河排污口监测体系 从尾水出厂开始进行监测，及早发现水污染风险。</w:t>
      </w:r>
    </w:p>
    <w:p w14:paraId="3D9C0413">
      <w:pPr>
        <w:pStyle w:val="7"/>
        <w:numPr>
          <w:ilvl w:val="3"/>
          <w:numId w:val="0"/>
        </w:numPr>
        <w:bidi w:val="0"/>
        <w:ind w:left="-54" w:leftChars="0" w:firstLine="482" w:firstLineChars="200"/>
        <w:jc w:val="both"/>
        <w:rPr>
          <w:rFonts w:hint="eastAsia"/>
          <w:color w:val="auto"/>
          <w:sz w:val="24"/>
          <w:szCs w:val="24"/>
          <w:lang w:val="en-US" w:eastAsia="zh-CN"/>
        </w:rPr>
      </w:pPr>
      <w:r>
        <w:rPr>
          <w:rFonts w:hint="eastAsia"/>
          <w:color w:val="auto"/>
          <w:sz w:val="24"/>
          <w:szCs w:val="24"/>
          <w:lang w:val="en-US" w:eastAsia="zh-CN"/>
        </w:rPr>
        <w:t>8.2.4.2 污染事故应急措施</w:t>
      </w:r>
    </w:p>
    <w:p w14:paraId="698DE1CE">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1、染事故应急组织措施</w:t>
      </w:r>
    </w:p>
    <w:p w14:paraId="628AA7A4">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（1）当事故或紧急情况发生后，事故的当事人或发现人应立即向值班长和应急事故处理领导小组报告，并采取应急措施防止事故扩大；</w:t>
      </w:r>
    </w:p>
    <w:p w14:paraId="338F8B13">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（2）值班长接报告后通知本班应急队员，应急队员接到通知后，佩戴好劳保用品，携带应急器具，赶赴现场处理环境事故或紧急情况。</w:t>
      </w:r>
    </w:p>
    <w:p w14:paraId="503E66F6">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2、应急阀门设置</w:t>
      </w:r>
    </w:p>
    <w:p w14:paraId="67D15870">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建议在污水厂排口处设置应急闸阀，以便尽早发现事故关闭门防止处设置应急闸阀，以便尽早发现事故关闭门防止处设置应急闸阀，以便尽早发现事故关闭门防止处设置应急闸阀，以便尽早发现事故关闭门防止废水流入专用压力管，对下游断面质造成危害。</w:t>
      </w:r>
    </w:p>
    <w:p w14:paraId="3E0CD941">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同时，应确保污水处理厂进水、排水在线监控系统，排污口处的自动监控系统、视频监控系统均正常有效的运行，做到在事故发生时及时发现、及时处理，将事故风险降到最低。加强污水厂突发环境事件的应急预案演练工作以及企业员工对于处理应急突发事故的培训，定期维修保养污水处理中心的相关设施 做好相应的风险防范措施。</w:t>
      </w:r>
    </w:p>
    <w:p w14:paraId="7C15D4D1">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3、其他应急措施</w:t>
      </w:r>
    </w:p>
    <w:p w14:paraId="3AD5BF2C">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（1） 关闭进水阀门</w:t>
      </w:r>
    </w:p>
    <w:p w14:paraId="781051FF">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近期污水干管按照远期3000m</w:t>
      </w:r>
      <w:r>
        <w:rPr>
          <w:rFonts w:hint="eastAsia"/>
          <w:color w:val="auto"/>
          <w:sz w:val="24"/>
          <w:highlight w:val="none"/>
          <w:vertAlign w:val="superscript"/>
          <w:lang w:val="en-US" w:eastAsia="zh-CN"/>
        </w:rPr>
        <w:t xml:space="preserve"> 3 </w:t>
      </w:r>
      <w:r>
        <w:rPr>
          <w:rFonts w:hint="eastAsia"/>
          <w:color w:val="auto"/>
          <w:sz w:val="24"/>
          <w:highlight w:val="none"/>
          <w:lang w:val="en-US" w:eastAsia="zh-CN"/>
        </w:rPr>
        <w:t>/d设计，一次性建成，管道收水能力富余；因此在事故或紧急情况发生后，可关闭进水阀门，待故障修复后再开通进水阀门。</w:t>
      </w:r>
    </w:p>
    <w:p w14:paraId="502030C0">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（2）根据污水处理厂工程运营经验，污水处理厂日平均水量接近最大设计水量的 70%；因此，如上述设施均有一定的水量缓冲能力，如其中一台设备出现故障，可在平均水量的低峰期进行检修，基本能保障污水处理系统的正常运行。</w:t>
      </w:r>
    </w:p>
    <w:p w14:paraId="411E1055">
      <w:pPr>
        <w:pStyle w:val="7"/>
        <w:numPr>
          <w:ilvl w:val="3"/>
          <w:numId w:val="0"/>
        </w:numPr>
        <w:bidi w:val="0"/>
        <w:ind w:left="-54" w:leftChars="0" w:firstLine="482" w:firstLineChars="200"/>
        <w:jc w:val="both"/>
        <w:rPr>
          <w:rFonts w:hint="eastAsia"/>
          <w:color w:val="auto"/>
          <w:sz w:val="24"/>
          <w:szCs w:val="24"/>
          <w:lang w:val="en-US" w:eastAsia="zh-CN"/>
        </w:rPr>
      </w:pPr>
      <w:r>
        <w:rPr>
          <w:rFonts w:hint="eastAsia"/>
          <w:color w:val="auto"/>
          <w:sz w:val="24"/>
          <w:szCs w:val="24"/>
          <w:lang w:val="en-US" w:eastAsia="zh-CN"/>
        </w:rPr>
        <w:t>8.2.4.3 应急预案建立</w:t>
      </w:r>
    </w:p>
    <w:p w14:paraId="75A63DC7">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针对本次项目，我方建议建设单位应按照国家、地方和相关部门的要求编制突发环境事件应急预案，应急预案的编制主要包括风险源识别、组织体系架构、预防与预警、信息报送与处理、应急响应与应急措施、后期处置等几个方面。</w:t>
      </w:r>
    </w:p>
    <w:p w14:paraId="5B183506">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1、风险源识别</w:t>
      </w:r>
    </w:p>
    <w:p w14:paraId="20DA7D25">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项目的风险源的环境事故即污水处理过程中污水处理效率下降而导致的尾水水质不达标，以此导致对水环境影响增大。</w:t>
      </w:r>
    </w:p>
    <w:p w14:paraId="7DAE4A78">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2、 组织体系构架</w:t>
      </w:r>
    </w:p>
    <w:p w14:paraId="676151AC">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污水处理厂应成立应急救援领导小组，设置组长、副组长以及相关职能联络小组。如设置联络组、抢险组、救护组、疏散组、保卫组等相关职能小组，各小组各司其职。</w:t>
      </w:r>
    </w:p>
    <w:p w14:paraId="4F0D293B">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3、 预防与预警</w:t>
      </w:r>
    </w:p>
    <w:p w14:paraId="3F9AE503">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企业在厂区内各重要位置要装有视频监控，在排放口需安装水质在线监控装置，确保风险源处于监控状态。</w:t>
      </w:r>
    </w:p>
    <w:p w14:paraId="60FB35AD">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按照突发事故严重性、紧急程度和可能波及的范围，对突发性环境污染事故的预警进行分级，分为一般、较重、重大、特大四级预警，分别用蓝色、黄色、橙色和红色标示。根据事态的发展情况和采取措施的效果，预警可以升级、降级或解除。</w:t>
      </w:r>
    </w:p>
    <w:p w14:paraId="470C5AD4">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当突发性环境污染事故已经发生，但尚未达到一般预警标准时，所在部门应向污水处理厂环保部门和有关领导预警，当达到一般标准时，环保部门应启动本级应急预案，污水处理厂并向生态环境主管部门报告。</w:t>
      </w:r>
    </w:p>
    <w:p w14:paraId="706AFC19">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4、 信息报送与处理</w:t>
      </w:r>
    </w:p>
    <w:p w14:paraId="53E566D4">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简化企业内部报告程序，做到报告与处置同步进行，设立 24 小时应急值守电话，发生突发环境事件后，值班人员在得知突发环境风险事故发生后，第一时间通知厂长，厂长应当立即赶赴现场调查了解情况，采取措施控制污染和生态破坏事故继续扩大，对突发环境事故的性质和类别作出初步认定，并把初步认定的情况及时上报。</w:t>
      </w:r>
    </w:p>
    <w:p w14:paraId="60C99F1E">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突发性环境污染事故的报告分为初报、续报和处理结果报告三类。初报从发现事件后立即上报；续报在查清有关基本情况后随时上报；处理结果报告在事件处理完毕后立即上报。</w:t>
      </w:r>
    </w:p>
    <w:p w14:paraId="7BCAED4A">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5、应急响应与应急措施</w:t>
      </w:r>
    </w:p>
    <w:p w14:paraId="6DCF3FBF">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（1） 当事故或紧急情况发生后，事故的当事人或发现人应立即向值班长和应急事故处理领导小组报告，并采取应急措施防止事故扩大。</w:t>
      </w:r>
    </w:p>
    <w:p w14:paraId="08C67F02">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（2） 值班长接报告后通知本班应急队员，应急队员接到通知后， 佩戴好劳保用品，携带应急器具，赶赴现场处理环境事故或紧急情况。</w:t>
      </w:r>
    </w:p>
    <w:p w14:paraId="5D6E87C7">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（3） 应急事故处理领导小组成员应以最快速度赶到现场，指挥和协助事故或紧急情况的处理。</w:t>
      </w:r>
    </w:p>
    <w:p w14:paraId="090C2277">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（4） 如一旦出现不可抗拒的外部原因，如双回路停电，突发性自然灾害等情况将导致污水未处理外排时，应要求泵站全部停止向污水处理厂排水。</w:t>
      </w:r>
    </w:p>
    <w:p w14:paraId="392862AB">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6、后期处置</w:t>
      </w:r>
    </w:p>
    <w:p w14:paraId="6634C93D">
      <w:pPr>
        <w:spacing w:line="360" w:lineRule="auto"/>
        <w:ind w:firstLine="480" w:firstLineChars="200"/>
        <w:rPr>
          <w:rFonts w:hint="default"/>
          <w:color w:val="auto"/>
          <w:sz w:val="24"/>
          <w:highlight w:val="none"/>
          <w:lang w:val="en-US" w:eastAsia="zh-CN"/>
        </w:rPr>
      </w:pPr>
      <w:r>
        <w:rPr>
          <w:rFonts w:hint="eastAsia"/>
          <w:color w:val="auto"/>
          <w:sz w:val="24"/>
          <w:highlight w:val="none"/>
          <w:lang w:val="en-US" w:eastAsia="zh-CN"/>
        </w:rPr>
        <w:t xml:space="preserve">确定事故救援工作结束、事故危险已解除后、对受灾人员进行安置及相应的损失赔偿；组织专家对突发环境事件中长期环境影响进行评估，提出生态补偿和对遭受污染的生态环境进行恢复的建议。 </w:t>
      </w:r>
    </w:p>
    <w:p w14:paraId="3B4218B7">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r>
        <w:rPr>
          <w:rFonts w:hint="eastAsia"/>
          <w:color w:val="auto"/>
          <w:lang w:val="en-US" w:eastAsia="zh-CN"/>
        </w:rPr>
        <w:t>纳污水体环境风险及其防范措施</w:t>
      </w:r>
    </w:p>
    <w:p w14:paraId="57538E96">
      <w:pPr>
        <w:pStyle w:val="5"/>
        <w:numPr>
          <w:ilvl w:val="2"/>
          <w:numId w:val="6"/>
        </w:numPr>
        <w:tabs>
          <w:tab w:val="left" w:pos="420"/>
        </w:tabs>
        <w:bidi w:val="0"/>
        <w:rPr>
          <w:rFonts w:hint="eastAsia"/>
          <w:color w:val="auto"/>
          <w:lang w:val="en-US" w:eastAsia="zh-CN"/>
        </w:rPr>
      </w:pPr>
      <w:r>
        <w:rPr>
          <w:rFonts w:hint="eastAsia"/>
          <w:color w:val="auto"/>
          <w:lang w:val="en-US" w:eastAsia="zh-CN"/>
        </w:rPr>
        <w:t>纳污水体基本情况</w:t>
      </w:r>
    </w:p>
    <w:p w14:paraId="508A0667">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大八镇污水处理厂入河排污口设置于厂区南面的排水渠，纳污水体为排水渠，尾水经排水渠最终汇入大八河。根据《广东省地表水环境功能区划》及相关批复文件，排水渠的水质管理目标为《地表水环境质量标准》（GB3838-2002）Ⅲ类标准，大八河的水质目标为Ⅱ类标准。项目论证范围内无集中饮用水取水口，无其他敏感因子，无需特殊保护的水生珍稀动植物，也无需特殊保护的自然保护区等水生态敏感点。</w:t>
      </w:r>
    </w:p>
    <w:p w14:paraId="257A579B">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需要特别说明的是，本项目原选址方案的受纳水体为大八河，该水体水质目标为Ⅱ类，属于法律禁止设置排污口的敏感水域。经改设后，新的纳污水体排水渠水质目标为Ⅲ类，属于允许设置排污口的水体类型。然而，由于排水渠最终汇入Ⅱ类水质目标的大八河，纳污水体的环境敏感性仍然存在，尾水排放仍可能对大八河水质产生累积性影响。根据水环境影响预测结果，正常工况下尾水排放对大八河下游COD浓度增量为0.022mg/L，氨氮增量为0.297mg/L，总磷增量为0.091mg/L，均满足水质标准要求，但需关注事故排放情景下的叠加影响。</w:t>
      </w:r>
    </w:p>
    <w:p w14:paraId="1E9706E4">
      <w:pPr>
        <w:spacing w:line="360" w:lineRule="auto"/>
        <w:ind w:firstLine="482" w:firstLineChars="200"/>
        <w:rPr>
          <w:rFonts w:hint="eastAsia" w:ascii="Times New Roman" w:hAnsi="Times New Roman" w:eastAsia="宋体" w:cs="Times New Roman"/>
          <w:b/>
          <w:bCs/>
          <w:color w:val="auto"/>
          <w:kern w:val="2"/>
          <w:sz w:val="24"/>
          <w:szCs w:val="32"/>
          <w:lang w:val="en-US" w:eastAsia="zh-CN" w:bidi="ar-SA"/>
        </w:rPr>
      </w:pPr>
      <w:r>
        <w:rPr>
          <w:rFonts w:hint="eastAsia" w:ascii="Times New Roman" w:hAnsi="Times New Roman" w:eastAsia="宋体" w:cs="Times New Roman"/>
          <w:b/>
          <w:bCs/>
          <w:color w:val="auto"/>
          <w:kern w:val="2"/>
          <w:sz w:val="24"/>
          <w:szCs w:val="32"/>
          <w:lang w:val="en-US" w:eastAsia="zh-CN" w:bidi="ar-SA"/>
        </w:rPr>
        <w:t>8.3.2纳污水体的环境风险识别</w:t>
      </w:r>
    </w:p>
    <w:p w14:paraId="78B2BCB3">
      <w:pPr>
        <w:spacing w:line="360" w:lineRule="auto"/>
        <w:ind w:firstLine="482" w:firstLineChars="200"/>
        <w:rPr>
          <w:rFonts w:hint="eastAsia"/>
          <w:b/>
          <w:bCs/>
          <w:color w:val="auto"/>
          <w:sz w:val="24"/>
          <w:highlight w:val="none"/>
          <w:lang w:val="en-US" w:eastAsia="zh-CN"/>
        </w:rPr>
      </w:pPr>
      <w:r>
        <w:rPr>
          <w:rFonts w:hint="eastAsia"/>
          <w:b/>
          <w:bCs/>
          <w:color w:val="auto"/>
          <w:sz w:val="24"/>
          <w:highlight w:val="none"/>
          <w:lang w:val="en-US" w:eastAsia="zh-CN"/>
        </w:rPr>
        <w:t>1、事故排放导致下游水体水质超标风险</w:t>
      </w:r>
    </w:p>
    <w:p w14:paraId="0F2BB2F1">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纳污水体排水渠汇入吉水河和大八河后，吉水河水质目标为</w:t>
      </w:r>
      <w:r>
        <w:rPr>
          <w:rFonts w:hint="eastAsia"/>
          <w:color w:val="auto"/>
          <w:sz w:val="24"/>
          <w:highlight w:val="none"/>
          <w:lang w:val="en-US" w:eastAsia="zh-CN"/>
        </w:rPr>
        <w:fldChar w:fldCharType="begin"/>
      </w:r>
      <w:r>
        <w:rPr>
          <w:rFonts w:hint="eastAsia"/>
          <w:color w:val="auto"/>
          <w:sz w:val="24"/>
          <w:highlight w:val="none"/>
          <w:lang w:val="en-US" w:eastAsia="zh-CN"/>
        </w:rPr>
        <w:instrText xml:space="preserve"> = 3 \* ROMAN \* MERGEFORMAT </w:instrText>
      </w:r>
      <w:r>
        <w:rPr>
          <w:rFonts w:hint="eastAsia"/>
          <w:color w:val="auto"/>
          <w:sz w:val="24"/>
          <w:highlight w:val="none"/>
          <w:lang w:val="en-US" w:eastAsia="zh-CN"/>
        </w:rPr>
        <w:fldChar w:fldCharType="separate"/>
      </w:r>
      <w:r>
        <w:rPr>
          <w:color w:val="auto"/>
        </w:rPr>
        <w:t>III</w:t>
      </w:r>
      <w:r>
        <w:rPr>
          <w:rFonts w:hint="eastAsia"/>
          <w:color w:val="auto"/>
          <w:sz w:val="24"/>
          <w:highlight w:val="none"/>
          <w:lang w:val="en-US" w:eastAsia="zh-CN"/>
        </w:rPr>
        <w:fldChar w:fldCharType="end"/>
      </w:r>
      <w:r>
        <w:rPr>
          <w:rFonts w:hint="eastAsia"/>
          <w:color w:val="auto"/>
          <w:sz w:val="24"/>
          <w:highlight w:val="none"/>
          <w:lang w:val="en-US" w:eastAsia="zh-CN"/>
        </w:rPr>
        <w:t>类标准，大八河水质目标为Ⅱ类标准，对污染物浓度有更严格的限值要求。事故工况下，当污水处理厂发生设备故障、电力中断或进水冲击等异常情况导致处理效率下降时，未经处理或处理不达标的污水可能直接排入排水渠。根据预测结果，事故工况下COD浓度在混合过程段可达44.4005 mg/L，超过Ⅲ类标准限值（20mg/L），因此需关注对下游吉水河和Ⅱ类水体大八河的累积影响。特别是氨氮和总磷等营养盐指标，事故排放可能导致局部水域水质恶化，对大八河水质保护目标构成潜在威胁。</w:t>
      </w:r>
    </w:p>
    <w:p w14:paraId="0CDB3393">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2、枯水期水文条件不利导致稀释能力不足风险</w:t>
      </w:r>
    </w:p>
    <w:p w14:paraId="540600C6">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排水渠作为小型河流，其水文条件受季节影响显著。枯水期河道径流量较小，水流流速减缓，水体稀释扩散能力明显下降。在枯水期发生事故排放时，尾水中的污染物无法得到有效稀释，可能导致排污口下游局部水域污染物浓度显著升高，对水质造成较大冲击。根据混合过程段计算结果，尾水排放需要一定距离才能实现完全混合，枯水期混合过程段可能延长，影响范围相应扩大。</w:t>
      </w:r>
    </w:p>
    <w:p w14:paraId="50E648D3">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3、营养盐累积性影响导致富营养化风险</w:t>
      </w:r>
    </w:p>
    <w:p w14:paraId="77C1DF29">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污水处理厂尾水中的氮、磷等营养物质是导致水体富营养化的主要因素。本项目尾水排放标准中氨氮为≤8mg/L，总磷为≤0.5mg/L。虽然正常工况下排放浓度满足标准要求，但长期连续排放仍可能对纳污水体产生营养盐累积效应。排水渠最终汇入吉水河和大八河，若大八河水流缓慢、水体交换能力较弱，长期接纳营养盐输入可能导致水体富营养化风险增加，影响水生生态系统健康。</w:t>
      </w:r>
    </w:p>
    <w:p w14:paraId="4FB2071E">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4、消毒副产物对水生态的风险</w:t>
      </w:r>
    </w:p>
    <w:p w14:paraId="3728D495">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本项目尾水消毒拟采用紫外线消毒工艺，相对于氯消毒而言，紫外线消毒不产生余氯等消毒副产物，对受纳水体的生态风险较低。但若因设备故障或其他原因临时改用氯消毒方式，尾水中残余的余氯可能对受纳水体中的鱼类、浮游生物等水生生物产生毒性影响，破坏水生态系统的平衡。</w:t>
      </w:r>
    </w:p>
    <w:p w14:paraId="3B245E86">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5、下游敏感目标影响风险</w:t>
      </w:r>
    </w:p>
    <w:p w14:paraId="7AAC109E">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经调查，项目论证范围内无集中饮用水取水口，也无需要特殊保护的自然保护区等水生态敏感点。但大八河作为Ⅱ类水体，可能承担着下游水环境敏感功能，如珍稀水生生物栖息、渔业用水等。一旦发生事故排放，超标污水可能随水流向下游迁移，对下游敏感目标的水质安全构成威胁。</w:t>
      </w:r>
    </w:p>
    <w:p w14:paraId="7B562A52">
      <w:pPr>
        <w:spacing w:line="360" w:lineRule="auto"/>
        <w:ind w:firstLine="482" w:firstLineChars="200"/>
        <w:rPr>
          <w:rFonts w:hint="eastAsia" w:ascii="Times New Roman" w:hAnsi="Times New Roman" w:eastAsia="宋体" w:cs="Times New Roman"/>
          <w:b/>
          <w:bCs/>
          <w:color w:val="auto"/>
          <w:kern w:val="2"/>
          <w:sz w:val="24"/>
          <w:szCs w:val="32"/>
          <w:lang w:val="en-US" w:eastAsia="zh-CN" w:bidi="ar-SA"/>
        </w:rPr>
      </w:pPr>
      <w:r>
        <w:rPr>
          <w:rFonts w:hint="eastAsia" w:ascii="Times New Roman" w:hAnsi="Times New Roman" w:eastAsia="宋体" w:cs="Times New Roman"/>
          <w:b/>
          <w:bCs/>
          <w:color w:val="auto"/>
          <w:kern w:val="2"/>
          <w:sz w:val="24"/>
          <w:szCs w:val="32"/>
          <w:lang w:val="en-US" w:eastAsia="zh-CN" w:bidi="ar-SA"/>
        </w:rPr>
        <w:t>8.3.3纳污水体环境风险的防范措施</w:t>
      </w:r>
    </w:p>
    <w:p w14:paraId="41270665">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1、源头削减与过程控制措施</w:t>
      </w:r>
    </w:p>
    <w:p w14:paraId="687F7657">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（1）强化进水水质管控</w:t>
      </w:r>
    </w:p>
    <w:p w14:paraId="092864E7">
      <w:pPr>
        <w:spacing w:line="360" w:lineRule="auto"/>
        <w:ind w:firstLine="480" w:firstLineChars="200"/>
        <w:rPr>
          <w:rFonts w:hint="eastAsia"/>
          <w:color w:val="auto"/>
          <w:sz w:val="24"/>
          <w:highlight w:val="none"/>
          <w:lang w:val="en-US" w:eastAsia="zh-CN"/>
        </w:rPr>
      </w:pPr>
    </w:p>
    <w:p w14:paraId="49470A82">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防范纳污水体环境风险的首要措施是确保污水处理厂进水水质稳定可控。大八镇污水处理厂应会同当地生态环境主管部门，加强对纳管企业排水行为的监管。按照《中华人民共和国水污染防治法》的规定，向污水集中处理设施排放工业废水的，应当按照国家有关规定进行预处理，达到集中处理设施处理工艺要求后方可排放。对于新建的冶金、电镀、化工、印染等工业企业，其排放的含有重金属或难以生化降解的废水，不得排入市政污水收集处理设施。污水处理厂应在进水口安装在线监测设备，实时监测进水水质水量变化情况，当进水水质出现异常波动时，应及时调整运行工艺参数。</w:t>
      </w:r>
    </w:p>
    <w:p w14:paraId="4629EAA0">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（2）优化污水处理工艺运行</w:t>
      </w:r>
    </w:p>
    <w:p w14:paraId="73F2421F">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为确保出水水质稳定达标，大八镇污水处理厂应严格控制各处理单元的水量、水质、停留时间、负荷强度等工艺参数，确保处理效果的稳定性。应重点关注化学需氧量、氨氮、总氮、总磷等主要污染物的去除效率，通过精细化管理将出水浓度稳定控制在较低水平，为纳污水体水质保护留出安全余量。运行管理人员应定期接受专业培训，掌握各类突发情况的应急处置方法，提升运行管理水平。同时，应定期对处理设施进行全面检查评估，及时发现并消除潜在隐患。</w:t>
      </w:r>
    </w:p>
    <w:p w14:paraId="79D3CE19">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（3）设置事故应急池与尾水回流系统</w:t>
      </w:r>
    </w:p>
    <w:p w14:paraId="546FFE22">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为有效应对事故排放风险，大八镇污水处理厂应设置事故应急池，用于储存进水异常或处理系统故障时的未达标污水。参考同类污水处理厂的实践经验，可在污水厂排口处设置应急闸阀，一旦发现出水水质异常，立即关闭闸阀防止超标废水排入专用压力管，对下游水质造成危害。同时，可借鉴如东恒发水处理有限公司的做法，建设尾水回流泵房，在尾水在线监控显示水质异常时，立即将尾水提升至污水生化系统前端，重复循环处理直到恢复正常为止，从而确保出水的稳定达标排放。</w:t>
      </w:r>
    </w:p>
    <w:p w14:paraId="4B91F96C">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2、纳污水体水质监控措施</w:t>
      </w:r>
    </w:p>
    <w:p w14:paraId="72136AA1">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（1）建立完善的监测体系</w:t>
      </w:r>
    </w:p>
    <w:p w14:paraId="63A6AD28">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大八镇污水处理厂应在废水总排放口安装自动监测设备，对流量、pH值、水温、化学需氧量、氨氮、总磷、总氮等指标实施在线监测，并与地方生态环境主管部门污染源自动监控系统平台联网。自动监测数据必须实时上传，便于监管部门及时掌握排污动态。此外，还应按规定的频次开展人工监测，悬浮物、色度、五日生化需氧量、粪大肠菌群等指标每月监测4次，总镉、总铬、总铅、总砷、六价铬等重金属指标每季度监测1次。</w:t>
      </w:r>
    </w:p>
    <w:p w14:paraId="2E319B1A">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（2）开展纳污水体水质跟踪监测</w:t>
      </w:r>
    </w:p>
    <w:p w14:paraId="0D7FFA7E">
      <w:pPr>
        <w:spacing w:line="360" w:lineRule="auto"/>
        <w:ind w:firstLine="480" w:firstLineChars="200"/>
        <w:rPr>
          <w:rFonts w:hint="eastAsia"/>
          <w:color w:val="auto"/>
          <w:sz w:val="24"/>
          <w:highlight w:val="none"/>
          <w:lang w:val="en-US" w:eastAsia="zh-CN"/>
        </w:rPr>
      </w:pPr>
    </w:p>
    <w:p w14:paraId="5B683FB7">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为掌握尾水排放对排水渠及大八河水质的实际影响，应制定纳污水体水质跟踪监测计划。在入河排污口下游适当位置（建议在排污口下游200m处）设置监测断面，每年丰水期、平水期、枯水期至少各监测一次，监测指标包括pH值、SS、COD、BOD5、氨氮、总磷、总氮等常规指标。通过定期监测数据，评估尾水排放对纳污水体的实际影响，发现水质异常变化趋势时及时预警并采取措施。</w:t>
      </w:r>
    </w:p>
    <w:p w14:paraId="07293D42">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（3）安装视频监控系统</w:t>
      </w:r>
    </w:p>
    <w:p w14:paraId="3CA7AE7C">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在入河排污口处安装视频监控设备，对监测采样点和污水出流状况进行24小时监控和摄录。视频监控系统应采用高清数字摄像头，水平分辨率不低于1080P，录像资料保存不少于90天。通过视频监控与在线监测数据的联动，实现对排污状况的全方位监控。</w:t>
      </w:r>
    </w:p>
    <w:p w14:paraId="455BEDD1">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3、应急响应与处置措施</w:t>
      </w:r>
    </w:p>
    <w:p w14:paraId="0B0E4A32">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（1）建立突发环境事件应急预案</w:t>
      </w:r>
    </w:p>
    <w:p w14:paraId="0EDAB75C">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大八镇污水处理厂应按照国家、地方和相关部门的要求编制突发环境事件应急预案。应急预案应涵盖风险源识别、组织体系架构、预防与预警、信息报送与处理、应急响应与应急措施、后期处置等几个方面。风险源识别应重点关注污水处理过程中因处理效率下降而导致的尾水水质不达标风险。应急组织体系应成立应急救援领导小组，设置联络组、抢险组、救护组、疏散组、保卫组等相关职能小组，各小组各司其职。</w:t>
      </w:r>
    </w:p>
    <w:p w14:paraId="0AC10211">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（2）建立分级预警与快速响应机制</w:t>
      </w:r>
    </w:p>
    <w:p w14:paraId="7D7BAEC0">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按照突发事故严重性、紧急程度和可能波及的范围，对突发性环境污染事故的预警进行分级，分为一般、较重、重大、特大四级预警，分别用蓝色、黄色、橙色和红色标示。根据事态的发展情况和采取措施的效果，预警可以升级、降级或解除。当在线监测数据接近排放限值时自动发出预警信息，提醒运行人员及时调整工艺参数；当监测数据超过排放限值时，系统应自动报警并启动应急响应程序。</w:t>
      </w:r>
    </w:p>
    <w:p w14:paraId="0416DA96">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（3）事故状态下对纳污水体的保护措施</w:t>
      </w:r>
    </w:p>
    <w:p w14:paraId="1F826D28">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一旦发生事故排放，应立即采取以下措施保护纳污水体：第一，关闭污水处理厂排口应急闸阀，防止超标废水继续排放；第二，立即向生态环境主管部门报告事故情况，包括事故原因、可能影响范围、已采取的措施等；第三，通知下游可能受影响的取水单位或敏感目标，最大限度降低事故对水环境的影响范围；第四，启动应急池储存未达标废水，待故障排除后逐步处理达标排放；第五，加强下游水体水质监测，密切跟踪污染物迁移扩散情况，直至确认水质恢复正常。</w:t>
      </w:r>
    </w:p>
    <w:p w14:paraId="7AC355E5">
      <w:pPr>
        <w:spacing w:line="360" w:lineRule="auto"/>
        <w:ind w:firstLine="480" w:firstLineChars="200"/>
        <w:rPr>
          <w:rFonts w:hint="eastAsia"/>
          <w:color w:val="auto"/>
          <w:sz w:val="24"/>
          <w:highlight w:val="none"/>
          <w:lang w:val="en-US" w:eastAsia="zh-CN"/>
        </w:rPr>
      </w:pPr>
    </w:p>
    <w:p w14:paraId="56EA71B0">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4、枯水期特殊管控措施</w:t>
      </w:r>
    </w:p>
    <w:p w14:paraId="49D7334B">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针对枯水期水文条件不利的情况，应制定枯水期特殊管控措施。在枯水期来临前，应对污水处理厂进行全面检查和维护，确保所有设备处于良好运行状态。枯水期应适当增加出水水质监测频次，密切关注水质波动情况。应加强与水文部门的沟通，及时获取河道水文信息，预判稀释条件变化对水质的影响。如预测枯水期稀释能力严重不足，可考虑启动限排或轮排措施，避免污染物在局部水域过度累积。</w:t>
      </w:r>
    </w:p>
    <w:p w14:paraId="71E56B0A">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5、信息公开与公众参与</w:t>
      </w:r>
    </w:p>
    <w:p w14:paraId="396183EE">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按照《入河排污口监督管理办法》的要求，大八镇污水处理厂应在污水入河处或监测采样点等醒目位置设置标识牌，公示排污口名称、编码、类型、责任主体、监督电话等信息。鼓励通过二维码标识或网络媒体主动向社会公开排污口相关信息，接受公众监督。生态环境主管部门应鼓励社会公众、新闻媒体对入河排污口排污情况进行监督，发现问题及时举报。通过构建多方参与的监督机制，形成全社会共同守护纳污水体水生态环境的良好氛围。</w:t>
      </w:r>
    </w:p>
    <w:p w14:paraId="64CE6919">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综上所述大八镇污水处理厂入河排污口纳污水体的环境风险主要来源于事故排放、枯水期稀释能力不足、营养盐累积性影响及消毒副产物等方面。排水渠作为Ⅲ类水体，具有一定纳污能力，但由于其最终汇入Ⅱ类水质目标的大八河，纳污水体的环境敏感性不容忽视。</w:t>
      </w:r>
    </w:p>
    <w:p w14:paraId="5A3057C8">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针对上述风险，应采取全方位的防范措施：在源头控制方面，强化进水水质管控和工艺运行优化；在过程控制方面，设置事故应急池和尾水回流系统；在监测监控方面，建立完善的在线监测体系和纳污水体跟踪监测机制；在应急响应方面，制定应急预案并建立分级预警与快速响应机制；在特殊时期管控方面，制定枯水期专项措施；在公众监督方面，推进信息公开和公众参与。</w:t>
      </w:r>
    </w:p>
    <w:p w14:paraId="08E03767">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通过上述综合防范措施的实施，可有效降低纳污水体的环境风险，确保排水渠及下游吉水河和大八河的水质安全，实现污水处理厂的环境效益与水体保护的双重目标。</w:t>
      </w:r>
    </w:p>
    <w:p w14:paraId="1088B01A">
      <w:pPr>
        <w:pStyle w:val="2"/>
        <w:rPr>
          <w:rFonts w:hint="eastAsia"/>
          <w:color w:val="auto"/>
          <w:lang w:val="en-US" w:eastAsia="zh-CN"/>
        </w:rPr>
      </w:pPr>
    </w:p>
    <w:p w14:paraId="5418D101">
      <w:pPr>
        <w:rPr>
          <w:rFonts w:hint="eastAsia"/>
          <w:color w:val="auto"/>
          <w:sz w:val="24"/>
          <w:highlight w:val="none"/>
          <w:lang w:val="en-US" w:eastAsia="zh-CN"/>
        </w:rPr>
      </w:pPr>
      <w:bookmarkStart w:id="93" w:name="_Toc29080"/>
      <w:r>
        <w:rPr>
          <w:rFonts w:hint="eastAsia"/>
          <w:color w:val="auto"/>
          <w:lang w:val="en-US" w:eastAsia="zh-CN"/>
        </w:rPr>
        <w:br w:type="page"/>
      </w:r>
    </w:p>
    <w:p w14:paraId="3A6CEF62">
      <w:pPr>
        <w:pStyle w:val="3"/>
        <w:bidi w:val="0"/>
        <w:rPr>
          <w:rFonts w:hint="eastAsia"/>
          <w:color w:val="auto"/>
          <w:sz w:val="24"/>
          <w:highlight w:val="none"/>
          <w:lang w:val="en-US" w:eastAsia="zh-CN"/>
        </w:rPr>
      </w:pPr>
      <w:bookmarkStart w:id="94" w:name="_Toc7711"/>
      <w:r>
        <w:rPr>
          <w:rFonts w:hint="eastAsia"/>
          <w:color w:val="auto"/>
          <w:lang w:val="en-US" w:eastAsia="zh-CN"/>
        </w:rPr>
        <w:t>入河排污口设置合理性分析</w:t>
      </w:r>
      <w:bookmarkEnd w:id="93"/>
      <w:bookmarkEnd w:id="94"/>
    </w:p>
    <w:p w14:paraId="7024AD71">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排污口的设置必须考虑水域纳污能力、水生态、第三方的影响、防洪安全等各方面因素，必须得到排污口主管部门的行政许可。</w:t>
      </w:r>
    </w:p>
    <w:p w14:paraId="765B7F08">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大八镇污水处理厂为新建项目，大八镇污水处理厂尾水排放管从污水处理厂厂区东北面出厂后，自南直接排入排水渠，设尾水排放口，最终排入吉水河和大八河。</w:t>
      </w:r>
    </w:p>
    <w:p w14:paraId="5F55C586">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bookmarkStart w:id="95" w:name="_Toc2806"/>
      <w:r>
        <w:rPr>
          <w:rFonts w:hint="eastAsia"/>
          <w:color w:val="auto"/>
          <w:lang w:val="en-US" w:eastAsia="zh-CN"/>
        </w:rPr>
        <w:t>与法律法规、管理要求相符性分析</w:t>
      </w:r>
      <w:bookmarkEnd w:id="95"/>
    </w:p>
    <w:p w14:paraId="40FF57F3">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 xml:space="preserve">（1）与《中华人民共和国水法》、《中华人民共和国防洪法》相符性分析 </w:t>
      </w:r>
    </w:p>
    <w:p w14:paraId="6CA61970">
      <w:pPr>
        <w:spacing w:line="360" w:lineRule="auto"/>
        <w:ind w:firstLine="480" w:firstLineChars="200"/>
        <w:rPr>
          <w:rFonts w:hint="default"/>
          <w:color w:val="auto"/>
          <w:sz w:val="24"/>
          <w:highlight w:val="none"/>
          <w:lang w:val="en-US" w:eastAsia="zh-CN"/>
        </w:rPr>
      </w:pPr>
      <w:r>
        <w:rPr>
          <w:rFonts w:hint="eastAsia"/>
          <w:color w:val="auto"/>
          <w:sz w:val="24"/>
          <w:highlight w:val="none"/>
          <w:lang w:val="en-US" w:eastAsia="zh-CN"/>
        </w:rPr>
        <w:t>项目拟建于阳江市大八镇吉水村委会吉龙坑(原镇人工地区域)。尾水通过管道排至东北面的排水渠。排水区不属于饮用水源保护区，排污口设置不在《中华人民共和国水法》条文中禁止之列，排污口高程设置满足防洪要求。因此，项目入河排污口设置上述规定要求。</w:t>
      </w:r>
    </w:p>
    <w:p w14:paraId="31844DEF">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（2）与《实行最严格水资源管理制度考核办法》相符性分析</w:t>
      </w:r>
    </w:p>
    <w:p w14:paraId="2B6EEC00">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对照《国务院关于实行最严格水资源管理制度的意见》（国发[2012]3号），本项目与管理制度中提到的三条红线相符性分析如下。</w:t>
      </w:r>
    </w:p>
    <w:p w14:paraId="63EEA5D9">
      <w:pPr>
        <w:adjustRightInd w:val="0"/>
        <w:snapToGrid w:val="0"/>
        <w:spacing w:line="360" w:lineRule="auto"/>
        <w:ind w:firstLine="480" w:firstLineChars="200"/>
        <w:jc w:val="center"/>
        <w:rPr>
          <w:rFonts w:hint="eastAsia" w:cs="Times New Roman"/>
          <w:bCs/>
          <w:color w:val="auto"/>
          <w:sz w:val="24"/>
          <w:lang w:val="en-US" w:eastAsia="zh-CN"/>
        </w:rPr>
      </w:pPr>
      <w:r>
        <w:rPr>
          <w:rFonts w:hint="eastAsia" w:cs="Times New Roman"/>
          <w:bCs/>
          <w:color w:val="auto"/>
          <w:sz w:val="24"/>
          <w:lang w:val="en-US" w:eastAsia="zh-CN"/>
        </w:rPr>
        <w:t>表9.1-1与最严格水资源管理制度三条红线相符性分析</w:t>
      </w:r>
    </w:p>
    <w:tbl>
      <w:tblPr>
        <w:tblStyle w:val="32"/>
        <w:tblW w:w="508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22"/>
        <w:gridCol w:w="3386"/>
        <w:gridCol w:w="995"/>
      </w:tblGrid>
      <w:tr w14:paraId="3EF63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2670" w:type="pct"/>
            <w:vAlign w:val="center"/>
          </w:tcPr>
          <w:p w14:paraId="5A616838">
            <w:pPr>
              <w:jc w:val="center"/>
              <w:rPr>
                <w:rFonts w:hint="eastAsia"/>
                <w:b/>
                <w:bCs/>
                <w:color w:val="auto"/>
                <w:sz w:val="21"/>
                <w:szCs w:val="18"/>
              </w:rPr>
            </w:pPr>
            <w:r>
              <w:rPr>
                <w:rFonts w:hint="eastAsia"/>
                <w:b/>
                <w:bCs/>
                <w:color w:val="auto"/>
                <w:sz w:val="21"/>
                <w:szCs w:val="18"/>
              </w:rPr>
              <w:t>最严格水资源管理制度</w:t>
            </w:r>
          </w:p>
        </w:tc>
        <w:tc>
          <w:tcPr>
            <w:tcW w:w="1800" w:type="pct"/>
            <w:vAlign w:val="center"/>
          </w:tcPr>
          <w:p w14:paraId="6750811E">
            <w:pPr>
              <w:jc w:val="center"/>
              <w:rPr>
                <w:rFonts w:hint="eastAsia"/>
                <w:b/>
                <w:bCs/>
                <w:color w:val="auto"/>
                <w:sz w:val="21"/>
                <w:szCs w:val="18"/>
              </w:rPr>
            </w:pPr>
            <w:r>
              <w:rPr>
                <w:rFonts w:hint="eastAsia"/>
                <w:b/>
                <w:bCs/>
                <w:color w:val="auto"/>
                <w:sz w:val="21"/>
                <w:szCs w:val="18"/>
              </w:rPr>
              <w:t>本项目情况</w:t>
            </w:r>
          </w:p>
        </w:tc>
        <w:tc>
          <w:tcPr>
            <w:tcW w:w="529" w:type="pct"/>
            <w:vAlign w:val="center"/>
          </w:tcPr>
          <w:p w14:paraId="5FD8A627">
            <w:pPr>
              <w:jc w:val="center"/>
              <w:rPr>
                <w:rFonts w:hint="eastAsia"/>
                <w:b/>
                <w:bCs/>
                <w:color w:val="auto"/>
                <w:sz w:val="21"/>
                <w:szCs w:val="18"/>
              </w:rPr>
            </w:pPr>
            <w:r>
              <w:rPr>
                <w:rFonts w:hint="eastAsia"/>
                <w:b/>
                <w:bCs/>
                <w:color w:val="auto"/>
                <w:sz w:val="21"/>
                <w:szCs w:val="18"/>
              </w:rPr>
              <w:t>相符性</w:t>
            </w:r>
          </w:p>
        </w:tc>
      </w:tr>
      <w:tr w14:paraId="4CCCA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2670" w:type="pct"/>
            <w:vAlign w:val="center"/>
          </w:tcPr>
          <w:p w14:paraId="27160A88">
            <w:pPr>
              <w:rPr>
                <w:color w:val="auto"/>
                <w:sz w:val="21"/>
                <w:szCs w:val="18"/>
              </w:rPr>
            </w:pPr>
            <w:r>
              <w:rPr>
                <w:rFonts w:hint="eastAsia"/>
                <w:color w:val="auto"/>
                <w:sz w:val="21"/>
                <w:szCs w:val="18"/>
              </w:rPr>
              <w:t>一、加强水资源开发利用控制红线管理</w:t>
            </w:r>
          </w:p>
          <w:p w14:paraId="52F1AC2E">
            <w:pPr>
              <w:ind w:firstLine="210" w:firstLineChars="100"/>
              <w:rPr>
                <w:rFonts w:hint="eastAsia"/>
                <w:color w:val="auto"/>
                <w:sz w:val="21"/>
                <w:szCs w:val="18"/>
              </w:rPr>
            </w:pPr>
            <w:r>
              <w:rPr>
                <w:rFonts w:hint="eastAsia"/>
                <w:color w:val="auto"/>
                <w:sz w:val="21"/>
                <w:szCs w:val="18"/>
              </w:rPr>
              <w:t>①严格规划管理和水资源论证；</w:t>
            </w:r>
            <w:r>
              <w:rPr>
                <w:rFonts w:hint="eastAsia"/>
                <w:color w:val="auto"/>
                <w:sz w:val="21"/>
              </w:rPr>
              <w:t>②严格控制流域和区域取用水总量；③严格实施取水许可；④严格水资源有偿使用；⑤严格地下水管理和保护；⑥强化水资源统一调度。</w:t>
            </w:r>
          </w:p>
        </w:tc>
        <w:tc>
          <w:tcPr>
            <w:tcW w:w="1800" w:type="pct"/>
            <w:vAlign w:val="center"/>
          </w:tcPr>
          <w:p w14:paraId="25CBEBF8">
            <w:pPr>
              <w:jc w:val="left"/>
              <w:rPr>
                <w:rFonts w:hint="eastAsia"/>
                <w:color w:val="auto"/>
                <w:sz w:val="21"/>
                <w:szCs w:val="18"/>
              </w:rPr>
            </w:pPr>
            <w:r>
              <w:rPr>
                <w:rFonts w:hint="eastAsia"/>
                <w:color w:val="auto"/>
                <w:sz w:val="21"/>
                <w:szCs w:val="18"/>
              </w:rPr>
              <w:t>本项目为城镇生活污水处理厂，项目运营过程不需要取用地表水或地下水，仅涉及少量员工办公生活用水，不会触及水资源开发利用控制红线。</w:t>
            </w:r>
          </w:p>
        </w:tc>
        <w:tc>
          <w:tcPr>
            <w:tcW w:w="529" w:type="pct"/>
            <w:vAlign w:val="center"/>
          </w:tcPr>
          <w:p w14:paraId="20BAA74C">
            <w:pPr>
              <w:jc w:val="center"/>
              <w:rPr>
                <w:rFonts w:hint="eastAsia"/>
                <w:color w:val="auto"/>
                <w:sz w:val="21"/>
                <w:szCs w:val="18"/>
              </w:rPr>
            </w:pPr>
            <w:r>
              <w:rPr>
                <w:rFonts w:hint="eastAsia"/>
                <w:color w:val="auto"/>
                <w:sz w:val="21"/>
                <w:szCs w:val="18"/>
              </w:rPr>
              <w:t>相符</w:t>
            </w:r>
          </w:p>
        </w:tc>
      </w:tr>
      <w:tr w14:paraId="10110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 w:hRule="atLeast"/>
        </w:trPr>
        <w:tc>
          <w:tcPr>
            <w:tcW w:w="2670" w:type="pct"/>
            <w:vAlign w:val="center"/>
          </w:tcPr>
          <w:p w14:paraId="2F17DE9D">
            <w:pPr>
              <w:rPr>
                <w:color w:val="auto"/>
                <w:sz w:val="21"/>
                <w:szCs w:val="18"/>
              </w:rPr>
            </w:pPr>
            <w:r>
              <w:rPr>
                <w:rFonts w:hint="eastAsia"/>
                <w:color w:val="auto"/>
                <w:sz w:val="21"/>
                <w:szCs w:val="18"/>
              </w:rPr>
              <w:t>二、加强用水效率控制红线管理</w:t>
            </w:r>
          </w:p>
          <w:p w14:paraId="4E8AEAEA">
            <w:pPr>
              <w:ind w:firstLine="210" w:firstLineChars="100"/>
              <w:rPr>
                <w:rFonts w:hint="eastAsia"/>
                <w:color w:val="auto"/>
                <w:sz w:val="21"/>
                <w:szCs w:val="18"/>
              </w:rPr>
            </w:pPr>
            <w:r>
              <w:rPr>
                <w:rFonts w:hint="eastAsia"/>
                <w:color w:val="auto"/>
                <w:sz w:val="21"/>
                <w:szCs w:val="18"/>
              </w:rPr>
              <w:t>①全面加强节约用水管理；②强化用水定额管理；③加快推进节水技术改造</w:t>
            </w:r>
          </w:p>
        </w:tc>
        <w:tc>
          <w:tcPr>
            <w:tcW w:w="1800" w:type="pct"/>
            <w:vAlign w:val="center"/>
          </w:tcPr>
          <w:p w14:paraId="3978F9E6">
            <w:pPr>
              <w:jc w:val="left"/>
              <w:rPr>
                <w:rFonts w:hint="eastAsia"/>
                <w:color w:val="auto"/>
                <w:sz w:val="21"/>
                <w:szCs w:val="18"/>
              </w:rPr>
            </w:pPr>
            <w:r>
              <w:rPr>
                <w:rFonts w:hint="eastAsia"/>
                <w:color w:val="auto"/>
                <w:sz w:val="21"/>
                <w:szCs w:val="18"/>
              </w:rPr>
              <w:t>本项目为城镇生活污水处理厂，项目运营过程不需要取用地表水或地下水，仅涉及少量员工办公生活用水，不会触及用水效率控制红线。</w:t>
            </w:r>
          </w:p>
        </w:tc>
        <w:tc>
          <w:tcPr>
            <w:tcW w:w="529" w:type="pct"/>
            <w:vAlign w:val="center"/>
          </w:tcPr>
          <w:p w14:paraId="69BC6445">
            <w:pPr>
              <w:jc w:val="center"/>
              <w:rPr>
                <w:rFonts w:hint="eastAsia"/>
                <w:color w:val="auto"/>
                <w:sz w:val="21"/>
                <w:szCs w:val="18"/>
              </w:rPr>
            </w:pPr>
            <w:r>
              <w:rPr>
                <w:rFonts w:hint="eastAsia"/>
                <w:color w:val="auto"/>
                <w:sz w:val="21"/>
                <w:szCs w:val="18"/>
              </w:rPr>
              <w:t>相符</w:t>
            </w:r>
          </w:p>
        </w:tc>
      </w:tr>
      <w:tr w14:paraId="23DBF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670" w:type="pct"/>
            <w:vAlign w:val="center"/>
          </w:tcPr>
          <w:p w14:paraId="01E19AFC">
            <w:pPr>
              <w:rPr>
                <w:color w:val="auto"/>
                <w:sz w:val="21"/>
                <w:szCs w:val="18"/>
              </w:rPr>
            </w:pPr>
            <w:r>
              <w:rPr>
                <w:rFonts w:hint="eastAsia"/>
                <w:color w:val="auto"/>
                <w:sz w:val="21"/>
                <w:szCs w:val="18"/>
              </w:rPr>
              <w:t>三、加强水功能区限制纳污红线管理</w:t>
            </w:r>
          </w:p>
          <w:p w14:paraId="55C4E01C">
            <w:pPr>
              <w:ind w:firstLine="210" w:firstLineChars="100"/>
              <w:rPr>
                <w:color w:val="auto"/>
                <w:sz w:val="21"/>
                <w:szCs w:val="18"/>
              </w:rPr>
            </w:pPr>
            <w:r>
              <w:rPr>
                <w:rFonts w:hint="eastAsia"/>
                <w:color w:val="auto"/>
                <w:sz w:val="21"/>
                <w:szCs w:val="18"/>
              </w:rPr>
              <w:t>①严格水功能区监督管理，从严核定水域纳污容量，严格控制入河湖排污总量。加大主要污染物减排力度，提高城市污水处理率，改善重点流域水环境质量，防治江河湖库富营养化。对排污量超出水功能区限排总量的地区，限制审批新增取水和入河湖排污口。</w:t>
            </w:r>
          </w:p>
          <w:p w14:paraId="3DAA6D55">
            <w:pPr>
              <w:ind w:firstLine="210" w:firstLineChars="100"/>
              <w:rPr>
                <w:color w:val="auto"/>
                <w:sz w:val="21"/>
                <w:szCs w:val="18"/>
              </w:rPr>
            </w:pPr>
            <w:r>
              <w:rPr>
                <w:rFonts w:hint="eastAsia"/>
                <w:color w:val="auto"/>
                <w:sz w:val="21"/>
                <w:szCs w:val="18"/>
              </w:rPr>
              <w:t>②加强饮用水水源保护</w:t>
            </w:r>
          </w:p>
          <w:p w14:paraId="28B7CC90">
            <w:pPr>
              <w:ind w:firstLine="210" w:firstLineChars="100"/>
              <w:rPr>
                <w:color w:val="auto"/>
                <w:sz w:val="21"/>
                <w:szCs w:val="18"/>
              </w:rPr>
            </w:pPr>
            <w:r>
              <w:rPr>
                <w:rFonts w:hint="eastAsia"/>
                <w:color w:val="auto"/>
                <w:sz w:val="21"/>
                <w:szCs w:val="18"/>
              </w:rPr>
              <w:t>禁止在饮用水水源保护区内设置排污口，对已设置的，由县级以上地方人民政府责令限期拆除。</w:t>
            </w:r>
          </w:p>
          <w:p w14:paraId="776CDA28">
            <w:pPr>
              <w:ind w:firstLine="210" w:firstLineChars="100"/>
              <w:rPr>
                <w:rFonts w:hint="eastAsia"/>
                <w:color w:val="auto"/>
                <w:sz w:val="21"/>
                <w:szCs w:val="18"/>
              </w:rPr>
            </w:pPr>
            <w:r>
              <w:rPr>
                <w:rFonts w:hint="eastAsia"/>
                <w:color w:val="auto"/>
                <w:sz w:val="21"/>
                <w:szCs w:val="18"/>
              </w:rPr>
              <w:t>③推进水生态系统保护与修复，开发利用水资源应维持河流合理流量和湖泊、水库以及地下水的合理水位，充分考虑基本生态用水需求，维护河湖健康生态</w:t>
            </w:r>
          </w:p>
        </w:tc>
        <w:tc>
          <w:tcPr>
            <w:tcW w:w="1800" w:type="pct"/>
            <w:vAlign w:val="center"/>
          </w:tcPr>
          <w:p w14:paraId="4B2246CB">
            <w:pPr>
              <w:jc w:val="left"/>
              <w:rPr>
                <w:color w:val="auto"/>
                <w:sz w:val="21"/>
                <w:szCs w:val="18"/>
              </w:rPr>
            </w:pPr>
            <w:r>
              <w:rPr>
                <w:rFonts w:hint="eastAsia"/>
                <w:color w:val="auto"/>
                <w:sz w:val="21"/>
                <w:szCs w:val="18"/>
              </w:rPr>
              <w:t>①本项目为城镇生活污水处理厂，项目的建设可完善</w:t>
            </w:r>
            <w:r>
              <w:rPr>
                <w:rFonts w:hint="eastAsia"/>
                <w:color w:val="auto"/>
                <w:sz w:val="21"/>
                <w:szCs w:val="18"/>
                <w:lang w:eastAsia="zh-CN"/>
              </w:rPr>
              <w:t>大八镇</w:t>
            </w:r>
            <w:r>
              <w:rPr>
                <w:rFonts w:hint="eastAsia"/>
                <w:color w:val="auto"/>
                <w:sz w:val="21"/>
                <w:szCs w:val="18"/>
              </w:rPr>
              <w:t>污水管网，居民生活污水通过管网进入污水处理厂处理，遏制了污水排入附近地表水体。有助于减轻地表水体的污染，有利于改善地表水环境质量；</w:t>
            </w:r>
          </w:p>
          <w:p w14:paraId="3391B70D">
            <w:pPr>
              <w:jc w:val="left"/>
              <w:rPr>
                <w:color w:val="auto"/>
                <w:sz w:val="21"/>
                <w:szCs w:val="18"/>
              </w:rPr>
            </w:pPr>
            <w:r>
              <w:rPr>
                <w:rFonts w:hint="eastAsia"/>
                <w:color w:val="auto"/>
                <w:sz w:val="21"/>
                <w:szCs w:val="18"/>
              </w:rPr>
              <w:t>②本项目入河排污口未设置在饮用水水源保护区内；</w:t>
            </w:r>
          </w:p>
          <w:p w14:paraId="21381E16">
            <w:pPr>
              <w:jc w:val="left"/>
              <w:rPr>
                <w:rFonts w:hint="eastAsia"/>
                <w:color w:val="auto"/>
                <w:sz w:val="21"/>
                <w:szCs w:val="18"/>
              </w:rPr>
            </w:pPr>
            <w:r>
              <w:rPr>
                <w:rFonts w:hint="eastAsia"/>
                <w:color w:val="auto"/>
                <w:sz w:val="21"/>
                <w:szCs w:val="18"/>
              </w:rPr>
              <w:t>③本项目的建设有利于改善地表水环境质量，根据预测，项目外排废水对纳污水体水环境质量影响较小，可以维护河流生态系统。</w:t>
            </w:r>
          </w:p>
        </w:tc>
        <w:tc>
          <w:tcPr>
            <w:tcW w:w="529" w:type="pct"/>
            <w:vAlign w:val="center"/>
          </w:tcPr>
          <w:p w14:paraId="21B3DB16">
            <w:pPr>
              <w:jc w:val="center"/>
              <w:rPr>
                <w:rFonts w:hint="eastAsia"/>
                <w:color w:val="auto"/>
                <w:sz w:val="21"/>
                <w:szCs w:val="18"/>
              </w:rPr>
            </w:pPr>
            <w:r>
              <w:rPr>
                <w:rFonts w:hint="eastAsia"/>
                <w:color w:val="auto"/>
                <w:sz w:val="21"/>
                <w:szCs w:val="18"/>
              </w:rPr>
              <w:t>相符</w:t>
            </w:r>
          </w:p>
        </w:tc>
      </w:tr>
    </w:tbl>
    <w:p w14:paraId="0DD1BC86">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（3）与水功能区管理要求相符性分析</w:t>
      </w:r>
    </w:p>
    <w:p w14:paraId="407B390B">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根据相关法规，在饮用水源地保护区、水功能一级区划中的保护区等禁止排污口设置。根据《广东省水功能区划》与《阳江市水功能区划》，本项目入河排污口所在水域为大八河农业用水区，不属于饮用水源保护区、渔业用水区、水功能一级区划中的保护区等禁止排污口设置水域。项目排污口设置符合水功能区管理要求。</w:t>
      </w:r>
    </w:p>
    <w:p w14:paraId="49DD3004">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本项目入河排污口处于厂区南面的排水渠，最终汇入吉水河和大八河，纳污水体排水渠为Ⅲ</w:t>
      </w:r>
      <w:r>
        <w:rPr>
          <w:rFonts w:ascii="Times New Roman" w:hAnsi="Times New Roman" w:eastAsia="宋体" w:cs="Times New Roman"/>
          <w:color w:val="auto"/>
          <w:sz w:val="24"/>
        </w:rPr>
        <w:t>类</w:t>
      </w:r>
      <w:r>
        <w:rPr>
          <w:rFonts w:hint="eastAsia" w:cs="Times New Roman"/>
          <w:color w:val="auto"/>
          <w:sz w:val="24"/>
          <w:lang w:eastAsia="zh-CN"/>
        </w:rPr>
        <w:t>水质目标，</w:t>
      </w:r>
      <w:r>
        <w:rPr>
          <w:rFonts w:hint="eastAsia"/>
          <w:color w:val="auto"/>
          <w:sz w:val="24"/>
          <w:highlight w:val="none"/>
          <w:lang w:val="en-US" w:eastAsia="zh-CN"/>
        </w:rPr>
        <w:t>吉水河为Ⅲ</w:t>
      </w:r>
      <w:r>
        <w:rPr>
          <w:rFonts w:ascii="Times New Roman" w:hAnsi="Times New Roman" w:eastAsia="宋体" w:cs="Times New Roman"/>
          <w:color w:val="auto"/>
          <w:sz w:val="24"/>
        </w:rPr>
        <w:t>类</w:t>
      </w:r>
      <w:r>
        <w:rPr>
          <w:rFonts w:hint="eastAsia" w:cs="Times New Roman"/>
          <w:color w:val="auto"/>
          <w:sz w:val="24"/>
          <w:lang w:eastAsia="zh-CN"/>
        </w:rPr>
        <w:t>水质目标，</w:t>
      </w:r>
      <w:r>
        <w:rPr>
          <w:rFonts w:hint="eastAsia"/>
          <w:color w:val="auto"/>
          <w:sz w:val="24"/>
          <w:highlight w:val="none"/>
          <w:lang w:val="en-US" w:eastAsia="zh-CN"/>
        </w:rPr>
        <w:t>大八河为</w:t>
      </w:r>
      <w:r>
        <w:rPr>
          <w:rFonts w:hint="eastAsia"/>
          <w:color w:val="auto"/>
          <w:sz w:val="24"/>
        </w:rPr>
        <w:t>Ⅱ</w:t>
      </w:r>
      <w:r>
        <w:rPr>
          <w:rFonts w:hint="eastAsia"/>
          <w:color w:val="auto"/>
          <w:sz w:val="24"/>
          <w:highlight w:val="none"/>
          <w:lang w:val="en-US" w:eastAsia="zh-CN"/>
        </w:rPr>
        <w:t>类水质目标。本项目正常排放情况下，尾水出水要达到《城镇污水处理厂污染物排放标准》（GB18918-2002及其2006年修改单）一级A标准和广东省地方标准《水污染物排放限值》（DB44/26-2001）第二时段一级标准，本排污口的设置有利于改善排污口所处水功能环境，减轻排水渠、吉水河和大八河的水质污染压力，亦有利于全面有效的从源头解决排水渠、吉水河和大八河</w:t>
      </w:r>
      <w:r>
        <w:rPr>
          <w:rFonts w:hint="eastAsia" w:cs="Times New Roman"/>
          <w:color w:val="auto"/>
          <w:sz w:val="24"/>
          <w:highlight w:val="none"/>
          <w:lang w:val="en-US" w:eastAsia="zh-CN"/>
        </w:rPr>
        <w:t>水体</w:t>
      </w:r>
      <w:r>
        <w:rPr>
          <w:rFonts w:hint="eastAsia"/>
          <w:color w:val="auto"/>
          <w:sz w:val="24"/>
          <w:highlight w:val="none"/>
          <w:lang w:val="en-US" w:eastAsia="zh-CN"/>
        </w:rPr>
        <w:t>污染问题，并为保障当地人民身体健康，促进大八镇镇区域环境、经济和社会持续、协调发展做出积极的贡献。因此，项目入河排污口设置与水功能区管理要求是相适应的。</w:t>
      </w:r>
    </w:p>
    <w:p w14:paraId="6F68E486">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综上所述，本项目入河排污口设置与相关法律法规、管理要求等无不适应性。</w:t>
      </w:r>
    </w:p>
    <w:p w14:paraId="49C882E4">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bookmarkStart w:id="96" w:name="_Toc20315"/>
      <w:r>
        <w:rPr>
          <w:rFonts w:hint="eastAsia"/>
          <w:color w:val="auto"/>
          <w:lang w:val="en-US" w:eastAsia="zh-CN"/>
        </w:rPr>
        <w:t>项目选址环境合理合法性分析</w:t>
      </w:r>
      <w:bookmarkEnd w:id="96"/>
    </w:p>
    <w:p w14:paraId="336AC8C5">
      <w:pPr>
        <w:spacing w:line="360" w:lineRule="auto"/>
        <w:ind w:firstLine="482" w:firstLineChars="200"/>
        <w:rPr>
          <w:rFonts w:hint="eastAsia"/>
          <w:b/>
          <w:bCs/>
          <w:color w:val="auto"/>
          <w:sz w:val="24"/>
          <w:highlight w:val="none"/>
          <w:lang w:val="en-US" w:eastAsia="zh-CN"/>
        </w:rPr>
      </w:pPr>
      <w:r>
        <w:rPr>
          <w:rFonts w:hint="default"/>
          <w:b/>
          <w:bCs/>
          <w:color w:val="auto"/>
          <w:sz w:val="24"/>
          <w:highlight w:val="none"/>
          <w:lang w:val="en-US" w:eastAsia="zh-CN"/>
        </w:rPr>
        <w:t>1</w:t>
      </w:r>
      <w:r>
        <w:rPr>
          <w:rFonts w:hint="eastAsia"/>
          <w:b/>
          <w:bCs/>
          <w:color w:val="auto"/>
          <w:sz w:val="24"/>
          <w:highlight w:val="none"/>
          <w:lang w:val="en-US" w:eastAsia="zh-CN"/>
        </w:rPr>
        <w:t>、选址合法性分析</w:t>
      </w:r>
    </w:p>
    <w:p w14:paraId="21120F42">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项目所在区域现状为建设生活污水处理厂的规划用地，项目用地范围不涉及基本农田，项目申请用地面积和各功能分区面积均符合《城市生活垃圾处理和给水与污水处理工程项目建设用地指标》、《城市污水处理工程项目建设标准》（建标</w:t>
      </w:r>
      <w:r>
        <w:rPr>
          <w:rFonts w:hint="default"/>
          <w:color w:val="auto"/>
          <w:sz w:val="24"/>
          <w:highlight w:val="none"/>
          <w:lang w:val="en-US" w:eastAsia="zh-CN"/>
        </w:rPr>
        <w:t>[2001]77</w:t>
      </w:r>
      <w:r>
        <w:rPr>
          <w:rFonts w:hint="eastAsia"/>
          <w:color w:val="auto"/>
          <w:sz w:val="24"/>
          <w:highlight w:val="none"/>
          <w:lang w:val="en-US" w:eastAsia="zh-CN"/>
        </w:rPr>
        <w:t>号）的规定。</w:t>
      </w:r>
    </w:p>
    <w:p w14:paraId="08EECDA9">
      <w:pPr>
        <w:spacing w:line="360" w:lineRule="auto"/>
        <w:ind w:firstLine="482" w:firstLineChars="200"/>
        <w:rPr>
          <w:rFonts w:hint="eastAsia"/>
          <w:b/>
          <w:bCs/>
          <w:color w:val="auto"/>
          <w:sz w:val="24"/>
          <w:highlight w:val="none"/>
          <w:lang w:val="en-US" w:eastAsia="zh-CN"/>
        </w:rPr>
      </w:pPr>
      <w:r>
        <w:rPr>
          <w:rFonts w:hint="eastAsia"/>
          <w:b/>
          <w:bCs/>
          <w:color w:val="auto"/>
          <w:sz w:val="24"/>
          <w:highlight w:val="none"/>
          <w:lang w:val="en-US" w:eastAsia="zh-CN"/>
        </w:rPr>
        <w:t>2、与《阳江市环境保护规划》（</w:t>
      </w:r>
      <w:r>
        <w:rPr>
          <w:rFonts w:hint="default"/>
          <w:b/>
          <w:bCs/>
          <w:color w:val="auto"/>
          <w:sz w:val="24"/>
          <w:highlight w:val="none"/>
          <w:lang w:val="en-US" w:eastAsia="zh-CN"/>
        </w:rPr>
        <w:t>20</w:t>
      </w:r>
      <w:r>
        <w:rPr>
          <w:rFonts w:hint="eastAsia"/>
          <w:b/>
          <w:bCs/>
          <w:color w:val="auto"/>
          <w:sz w:val="24"/>
          <w:highlight w:val="none"/>
          <w:lang w:val="en-US" w:eastAsia="zh-CN"/>
        </w:rPr>
        <w:t>1</w:t>
      </w:r>
      <w:r>
        <w:rPr>
          <w:rFonts w:hint="default"/>
          <w:b/>
          <w:bCs/>
          <w:color w:val="auto"/>
          <w:sz w:val="24"/>
          <w:highlight w:val="none"/>
          <w:lang w:val="en-US" w:eastAsia="zh-CN"/>
        </w:rPr>
        <w:t>6-20</w:t>
      </w:r>
      <w:r>
        <w:rPr>
          <w:rFonts w:hint="eastAsia"/>
          <w:b/>
          <w:bCs/>
          <w:color w:val="auto"/>
          <w:sz w:val="24"/>
          <w:highlight w:val="none"/>
          <w:lang w:val="en-US" w:eastAsia="zh-CN"/>
        </w:rPr>
        <w:t>3</w:t>
      </w:r>
      <w:r>
        <w:rPr>
          <w:rFonts w:hint="default"/>
          <w:b/>
          <w:bCs/>
          <w:color w:val="auto"/>
          <w:sz w:val="24"/>
          <w:highlight w:val="none"/>
          <w:lang w:val="en-US" w:eastAsia="zh-CN"/>
        </w:rPr>
        <w:t>0</w:t>
      </w:r>
      <w:r>
        <w:rPr>
          <w:rFonts w:hint="eastAsia"/>
          <w:b/>
          <w:bCs/>
          <w:color w:val="auto"/>
          <w:sz w:val="24"/>
          <w:highlight w:val="none"/>
          <w:lang w:val="en-US" w:eastAsia="zh-CN"/>
        </w:rPr>
        <w:t>）、《阳江市生态环境保护“十四五”规划》相符性分析</w:t>
      </w:r>
    </w:p>
    <w:p w14:paraId="797BDAA2">
      <w:pPr>
        <w:autoSpaceDE w:val="0"/>
        <w:autoSpaceDN w:val="0"/>
        <w:adjustRightInd w:val="0"/>
        <w:spacing w:line="360" w:lineRule="auto"/>
        <w:ind w:firstLine="480" w:firstLineChars="200"/>
        <w:rPr>
          <w:rFonts w:hint="default" w:cs="Times New Roman"/>
          <w:color w:val="auto"/>
          <w:sz w:val="24"/>
          <w:lang w:val="en-US" w:eastAsia="zh-CN"/>
        </w:rPr>
      </w:pPr>
      <w:r>
        <w:rPr>
          <w:rFonts w:ascii="Times New Roman" w:hAnsi="Times New Roman" w:eastAsia="宋体" w:cs="Times New Roman"/>
          <w:color w:val="auto"/>
          <w:sz w:val="24"/>
        </w:rPr>
        <w:t>《阳江市环境保护规划》（20</w:t>
      </w:r>
      <w:r>
        <w:rPr>
          <w:rFonts w:hint="eastAsia" w:cs="Times New Roman"/>
          <w:color w:val="auto"/>
          <w:sz w:val="24"/>
          <w:lang w:val="en-US" w:eastAsia="zh-CN"/>
        </w:rPr>
        <w:t>1</w:t>
      </w:r>
      <w:r>
        <w:rPr>
          <w:rFonts w:ascii="Times New Roman" w:hAnsi="Times New Roman" w:eastAsia="宋体" w:cs="Times New Roman"/>
          <w:color w:val="auto"/>
          <w:sz w:val="24"/>
        </w:rPr>
        <w:t>6~20</w:t>
      </w:r>
      <w:r>
        <w:rPr>
          <w:rFonts w:hint="eastAsia" w:cs="Times New Roman"/>
          <w:color w:val="auto"/>
          <w:sz w:val="24"/>
          <w:lang w:val="en-US" w:eastAsia="zh-CN"/>
        </w:rPr>
        <w:t>3</w:t>
      </w:r>
      <w:r>
        <w:rPr>
          <w:rFonts w:ascii="Times New Roman" w:hAnsi="Times New Roman" w:eastAsia="宋体" w:cs="Times New Roman"/>
          <w:color w:val="auto"/>
          <w:sz w:val="24"/>
        </w:rPr>
        <w:t>0年）中提出</w:t>
      </w:r>
      <w:r>
        <w:rPr>
          <w:rFonts w:hint="eastAsia" w:cs="Times New Roman"/>
          <w:color w:val="auto"/>
          <w:sz w:val="24"/>
          <w:lang w:eastAsia="zh-CN"/>
        </w:rPr>
        <w:t>，</w:t>
      </w:r>
      <w:r>
        <w:rPr>
          <w:rFonts w:hint="eastAsia"/>
          <w:color w:val="auto"/>
          <w:sz w:val="24"/>
          <w:highlight w:val="none"/>
          <w:lang w:val="en-US" w:eastAsia="zh-CN"/>
        </w:rPr>
        <w:t>新、扩和改建城镇污水处埋设施出水应符合《城镇污水处理厂污染物排放标准》（GB18918-2002）一级A标准及广东省地方标准《水污染物排放限值》（DB44/26－2001）的较严值。到2030年全市城镇生活污水集中处理率达 95％以上。</w:t>
      </w:r>
    </w:p>
    <w:p w14:paraId="39F40DFC">
      <w:pPr>
        <w:autoSpaceDE w:val="0"/>
        <w:autoSpaceDN w:val="0"/>
        <w:adjustRightInd w:val="0"/>
        <w:spacing w:line="360" w:lineRule="auto"/>
        <w:ind w:firstLine="480" w:firstLineChars="200"/>
        <w:rPr>
          <w:rFonts w:hint="eastAsia"/>
          <w:color w:val="auto"/>
          <w:sz w:val="24"/>
          <w:highlight w:val="none"/>
          <w:lang w:val="en-US" w:eastAsia="zh-CN"/>
        </w:rPr>
      </w:pPr>
      <w:r>
        <w:rPr>
          <w:rFonts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阳江市生态环境保护“十四五”规划</w:t>
      </w:r>
      <w:r>
        <w:rPr>
          <w:rFonts w:ascii="Times New Roman" w:hAnsi="Times New Roman" w:eastAsia="宋体" w:cs="Times New Roman"/>
          <w:color w:val="auto"/>
          <w:sz w:val="24"/>
        </w:rPr>
        <w:t>》中提出</w:t>
      </w:r>
      <w:r>
        <w:rPr>
          <w:rFonts w:hint="eastAsia" w:cs="Times New Roman"/>
          <w:color w:val="auto"/>
          <w:sz w:val="24"/>
          <w:lang w:eastAsia="zh-CN"/>
        </w:rPr>
        <w:t>，</w:t>
      </w:r>
      <w:r>
        <w:rPr>
          <w:rFonts w:ascii="Times New Roman" w:hAnsi="Times New Roman" w:eastAsia="宋体" w:cs="Times New Roman"/>
          <w:color w:val="auto"/>
          <w:sz w:val="24"/>
        </w:rPr>
        <w:t>全面提高城镇生活污水处理能力。积极开展污水厂中水回用、污水厂出水提标改造工程，进一步削减生活污染排放负荷。农村地区生活污水处理以行政村为单位，因地制宜的建设污水处理设施，连片村庄条件允许情况下考虑集中处理，实现农村生活污水处理设施在行政村一级全面覆盖。到20</w:t>
      </w:r>
      <w:r>
        <w:rPr>
          <w:rFonts w:hint="eastAsia" w:cs="Times New Roman"/>
          <w:color w:val="auto"/>
          <w:sz w:val="24"/>
          <w:lang w:val="en-US" w:eastAsia="zh-CN"/>
        </w:rPr>
        <w:t>26</w:t>
      </w:r>
      <w:r>
        <w:rPr>
          <w:rFonts w:ascii="Times New Roman" w:hAnsi="Times New Roman" w:eastAsia="宋体" w:cs="Times New Roman"/>
          <w:color w:val="auto"/>
          <w:sz w:val="24"/>
        </w:rPr>
        <w:t>年，</w:t>
      </w:r>
      <w:r>
        <w:rPr>
          <w:rFonts w:hint="eastAsia" w:cs="Times New Roman"/>
          <w:color w:val="auto"/>
          <w:sz w:val="24"/>
          <w:lang w:val="en-US" w:eastAsia="zh-CN"/>
        </w:rPr>
        <w:t>基本实现</w:t>
      </w:r>
      <w:r>
        <w:rPr>
          <w:rFonts w:ascii="Times New Roman" w:hAnsi="Times New Roman" w:eastAsia="宋体" w:cs="Times New Roman"/>
          <w:color w:val="auto"/>
          <w:sz w:val="24"/>
        </w:rPr>
        <w:t>城市</w:t>
      </w:r>
      <w:r>
        <w:rPr>
          <w:rFonts w:hint="eastAsia" w:cs="Times New Roman"/>
          <w:color w:val="auto"/>
          <w:sz w:val="24"/>
          <w:lang w:val="en-US" w:eastAsia="zh-CN"/>
        </w:rPr>
        <w:t>建成区污水“零直排”</w:t>
      </w:r>
      <w:r>
        <w:rPr>
          <w:rFonts w:ascii="Times New Roman" w:hAnsi="Times New Roman" w:eastAsia="宋体" w:cs="Times New Roman"/>
          <w:color w:val="auto"/>
          <w:sz w:val="24"/>
        </w:rPr>
        <w:t>。</w:t>
      </w:r>
    </w:p>
    <w:p w14:paraId="132267C8">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本项目属城市生活污水集中治理工程，有利于提高城镇生活污水处理能力，项目所在地大气环境属于《环境空气质量标准》（</w:t>
      </w:r>
      <w:r>
        <w:rPr>
          <w:rFonts w:hint="default"/>
          <w:color w:val="auto"/>
          <w:sz w:val="24"/>
          <w:highlight w:val="none"/>
          <w:lang w:val="en-US" w:eastAsia="zh-CN"/>
        </w:rPr>
        <w:t>GB3095-2012</w:t>
      </w:r>
      <w:r>
        <w:rPr>
          <w:rFonts w:hint="eastAsia"/>
          <w:color w:val="auto"/>
          <w:sz w:val="24"/>
          <w:highlight w:val="none"/>
          <w:lang w:val="en-US" w:eastAsia="zh-CN"/>
        </w:rPr>
        <w:t>）中的二类环境空气质量功能区，声环境属于《声环境质量标准》（</w:t>
      </w:r>
      <w:r>
        <w:rPr>
          <w:rFonts w:hint="default"/>
          <w:color w:val="auto"/>
          <w:sz w:val="24"/>
          <w:highlight w:val="none"/>
          <w:lang w:val="en-US" w:eastAsia="zh-CN"/>
        </w:rPr>
        <w:t>GB3096-2008</w:t>
      </w:r>
      <w:r>
        <w:rPr>
          <w:rFonts w:hint="eastAsia"/>
          <w:color w:val="auto"/>
          <w:sz w:val="24"/>
          <w:highlight w:val="none"/>
          <w:lang w:val="en-US" w:eastAsia="zh-CN"/>
        </w:rPr>
        <w:t>）</w:t>
      </w:r>
      <w:r>
        <w:rPr>
          <w:rFonts w:hint="default"/>
          <w:color w:val="auto"/>
          <w:sz w:val="24"/>
          <w:highlight w:val="none"/>
          <w:lang w:val="en-US" w:eastAsia="zh-CN"/>
        </w:rPr>
        <w:t>2</w:t>
      </w:r>
      <w:r>
        <w:rPr>
          <w:rFonts w:hint="eastAsia"/>
          <w:color w:val="auto"/>
          <w:sz w:val="24"/>
          <w:highlight w:val="none"/>
          <w:lang w:val="en-US" w:eastAsia="zh-CN"/>
        </w:rPr>
        <w:t>类声功能区，项目所在区域不属于废气、噪声禁排区域，符合环境功能区划要求。项目所在区域的大气环境、声环境现状均能满足其功能区质量标准。本项目建设和运营过程中产生的废气、噪声经一系列措施处理后达标排放，对周边环境影响较小，不会导致区域大气环境质量、声环境质量发生较大改变。</w:t>
      </w:r>
    </w:p>
    <w:p w14:paraId="5A0B25C2">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3、与大八镇国土空间总体规划(2021-2035年)相符性分析</w:t>
      </w:r>
    </w:p>
    <w:p w14:paraId="33272FC8">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《阳东区大八镇国土空间总体规划（2021-2035年）》（以下简称大八规划）已于2024年12月27日获阳江市人民政府正式批复，是大八镇空间发展的指南、可持续发展的空间蓝图，是各类开发保护建设活动的基本依据。</w:t>
      </w:r>
    </w:p>
    <w:p w14:paraId="04C8D7FA">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（1）与规划定位的相符性分析</w:t>
      </w:r>
    </w:p>
    <w:p w14:paraId="7AC9B305">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大八规划》确定大八镇的定位为：“南药康养美乡、高凉文脉古郡、木艺精工强镇”。污水处理厂作为城镇基础市政设施，其建设运营可为南药康养产业和居民生活提供清洁的水环境保障，是支撑“康养美乡”定位落地的基础条件。污水处理厂的建成运营，有利于改善镇区人居环境品质，与“百县千镇万村高质量发展工程”要求相符。</w:t>
      </w:r>
    </w:p>
    <w:p w14:paraId="40936D85">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（2）与“三区三线”管控要求的相符性分析</w:t>
      </w:r>
    </w:p>
    <w:p w14:paraId="761599C5">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fldChar w:fldCharType="begin"/>
      </w:r>
      <w:r>
        <w:rPr>
          <w:rFonts w:hint="eastAsia"/>
          <w:color w:val="auto"/>
          <w:sz w:val="24"/>
          <w:szCs w:val="24"/>
          <w:highlight w:val="none"/>
          <w:lang w:val="en-US" w:eastAsia="zh-CN"/>
        </w:rPr>
        <w:instrText xml:space="preserve"> = 1 \* GB3 \* MERGEFORMAT </w:instrText>
      </w:r>
      <w:r>
        <w:rPr>
          <w:rFonts w:hint="eastAsia"/>
          <w:color w:val="auto"/>
          <w:sz w:val="24"/>
          <w:szCs w:val="24"/>
          <w:highlight w:val="none"/>
          <w:lang w:val="en-US" w:eastAsia="zh-CN"/>
        </w:rPr>
        <w:fldChar w:fldCharType="separate"/>
      </w:r>
      <w:r>
        <w:rPr>
          <w:color w:val="auto"/>
          <w:sz w:val="24"/>
          <w:szCs w:val="24"/>
        </w:rPr>
        <w:t>①</w:t>
      </w:r>
      <w:r>
        <w:rPr>
          <w:rFonts w:hint="eastAsia"/>
          <w:color w:val="auto"/>
          <w:sz w:val="24"/>
          <w:szCs w:val="24"/>
          <w:highlight w:val="none"/>
          <w:lang w:val="en-US" w:eastAsia="zh-CN"/>
        </w:rPr>
        <w:fldChar w:fldCharType="end"/>
      </w:r>
      <w:r>
        <w:rPr>
          <w:rFonts w:hint="eastAsia"/>
          <w:color w:val="auto"/>
          <w:sz w:val="24"/>
          <w:szCs w:val="24"/>
          <w:highlight w:val="none"/>
          <w:lang w:val="en-US" w:eastAsia="zh-CN"/>
        </w:rPr>
        <w:t>永久基本农田：根据《阳江市阳东区建设用地周转规模使用方案》，项目用地面积0.6494公顷，土地利用现状为农用地（不涉及耕地），不占用永久基本农田。</w:t>
      </w:r>
    </w:p>
    <w:p w14:paraId="3FDF880E">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fldChar w:fldCharType="begin"/>
      </w:r>
      <w:r>
        <w:rPr>
          <w:rFonts w:hint="eastAsia"/>
          <w:color w:val="auto"/>
          <w:sz w:val="24"/>
          <w:szCs w:val="24"/>
          <w:highlight w:val="none"/>
          <w:lang w:val="en-US" w:eastAsia="zh-CN"/>
        </w:rPr>
        <w:instrText xml:space="preserve"> = 2 \* GB3 \* MERGEFORMAT </w:instrText>
      </w:r>
      <w:r>
        <w:rPr>
          <w:rFonts w:hint="eastAsia"/>
          <w:color w:val="auto"/>
          <w:sz w:val="24"/>
          <w:szCs w:val="24"/>
          <w:highlight w:val="none"/>
          <w:lang w:val="en-US" w:eastAsia="zh-CN"/>
        </w:rPr>
        <w:fldChar w:fldCharType="separate"/>
      </w:r>
      <w:r>
        <w:rPr>
          <w:color w:val="auto"/>
          <w:sz w:val="24"/>
          <w:szCs w:val="24"/>
        </w:rPr>
        <w:t>②</w:t>
      </w:r>
      <w:r>
        <w:rPr>
          <w:rFonts w:hint="eastAsia"/>
          <w:color w:val="auto"/>
          <w:sz w:val="24"/>
          <w:szCs w:val="24"/>
          <w:highlight w:val="none"/>
          <w:lang w:val="en-US" w:eastAsia="zh-CN"/>
        </w:rPr>
        <w:fldChar w:fldCharType="end"/>
      </w:r>
      <w:r>
        <w:rPr>
          <w:rFonts w:hint="eastAsia"/>
          <w:color w:val="auto"/>
          <w:sz w:val="24"/>
          <w:szCs w:val="24"/>
          <w:highlight w:val="none"/>
          <w:lang w:val="en-US" w:eastAsia="zh-CN"/>
        </w:rPr>
        <w:t>生态保护红线：项目选址不涉及生态保护红线范围，符合生态空间管控要求。</w:t>
      </w:r>
    </w:p>
    <w:p w14:paraId="4C54B98F">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fldChar w:fldCharType="begin"/>
      </w:r>
      <w:r>
        <w:rPr>
          <w:rFonts w:hint="eastAsia"/>
          <w:color w:val="auto"/>
          <w:sz w:val="24"/>
          <w:szCs w:val="24"/>
          <w:highlight w:val="none"/>
          <w:lang w:val="en-US" w:eastAsia="zh-CN"/>
        </w:rPr>
        <w:instrText xml:space="preserve"> = 3 \* GB3 \* MERGEFORMAT </w:instrText>
      </w:r>
      <w:r>
        <w:rPr>
          <w:rFonts w:hint="eastAsia"/>
          <w:color w:val="auto"/>
          <w:sz w:val="24"/>
          <w:szCs w:val="24"/>
          <w:highlight w:val="none"/>
          <w:lang w:val="en-US" w:eastAsia="zh-CN"/>
        </w:rPr>
        <w:fldChar w:fldCharType="separate"/>
      </w:r>
      <w:r>
        <w:rPr>
          <w:color w:val="auto"/>
          <w:sz w:val="24"/>
          <w:szCs w:val="24"/>
        </w:rPr>
        <w:t>③</w:t>
      </w:r>
      <w:r>
        <w:rPr>
          <w:rFonts w:hint="eastAsia"/>
          <w:color w:val="auto"/>
          <w:sz w:val="24"/>
          <w:szCs w:val="24"/>
          <w:highlight w:val="none"/>
          <w:lang w:val="en-US" w:eastAsia="zh-CN"/>
        </w:rPr>
        <w:fldChar w:fldCharType="end"/>
      </w:r>
      <w:r>
        <w:rPr>
          <w:rFonts w:hint="eastAsia"/>
          <w:color w:val="auto"/>
          <w:sz w:val="24"/>
          <w:szCs w:val="24"/>
          <w:highlight w:val="none"/>
          <w:lang w:val="en-US" w:eastAsia="zh-CN"/>
        </w:rPr>
        <w:t>城镇开发边界：污水处理厂属于《城镇开发边界外布局建设项目准入目录（试行）》允许的项目类型，已通过建设用地周转规模方案落实建设用地规模，符合城镇开发边界外项目布局管理要求。</w:t>
      </w:r>
    </w:p>
    <w:p w14:paraId="4D8DEDC0">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因此，本项目与《大八规划》中的“三区三线”管控要求的相符。</w:t>
      </w:r>
    </w:p>
    <w:p w14:paraId="2C7FE912">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（3）与排水工程规划的相符性分析</w:t>
      </w:r>
    </w:p>
    <w:p w14:paraId="306C282A">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《大八规划》第八章“基础设施支撑体系”明确排水工程规划要求：“排水工程：规划污泥无害化处理率达到100%，保留现状污水处理站（人工湿地），在镇区西北部新建大八镇污水处理厂1处。”</w:t>
      </w:r>
    </w:p>
    <w:p w14:paraId="4120A7AD">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本项目即为《大八规划》中明确规划的“大八镇污水处理厂”，设计处理规模3000m³/d，出水执行《城镇污水处理厂污染物排放标准》（GB18918-2002）一级A标准和广东省地方标准《水污染物排放限值》（DB44/26-2001）第二时段一级标准的较严值。项目的实施将完善镇区污水管网，实现镇区生活污水的收集处理后达标排放。</w:t>
      </w:r>
    </w:p>
    <w:p w14:paraId="1F1F2C82">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因此，本项目与《大八规划》中的“排水工程规划”相符。</w:t>
      </w:r>
    </w:p>
    <w:p w14:paraId="377EA13C">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（4）与水资源保护利用要求的相符性分析</w:t>
      </w:r>
    </w:p>
    <w:p w14:paraId="0BF8F61A">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《大八规划》第七章“自然资源保护利用”提出水资源利用原则：坚持“以水定城、以水定地、以水定人、以水定产”的原则，保持自然河湖湿地格局，加强湿地资源培育与管控。</w:t>
      </w:r>
    </w:p>
    <w:p w14:paraId="2D9ED331">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本项目为生活污水集中治理设施，运营过程不新增取用地表水或地下水，不增加区域用水总量。同时，项目将镇区原本未经处理直排水体的生活污水集中收集处理，大幅削减入河污染物总量，有利于改善吉水河、大八河及</w:t>
      </w:r>
      <w:r>
        <w:rPr>
          <w:rFonts w:hint="eastAsia"/>
          <w:color w:val="auto"/>
          <w:sz w:val="24"/>
          <w:highlight w:val="none"/>
          <w:lang w:val="en-US" w:eastAsia="zh-CN"/>
        </w:rPr>
        <w:t>排水渠</w:t>
      </w:r>
      <w:r>
        <w:rPr>
          <w:rFonts w:hint="eastAsia"/>
          <w:color w:val="auto"/>
          <w:sz w:val="24"/>
          <w:szCs w:val="24"/>
          <w:highlight w:val="none"/>
          <w:lang w:val="en-US" w:eastAsia="zh-CN"/>
        </w:rPr>
        <w:t>水环境质量，符合水资源保护和节水优先的原则。</w:t>
      </w:r>
    </w:p>
    <w:p w14:paraId="6FACD1E6">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（5）与国土空间用途管制的相符性分析</w:t>
      </w:r>
    </w:p>
    <w:p w14:paraId="45FF094C">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大八规划》第四章“国土空间用途优化调整”提出：“优先保护农业和生态用地……禁止侵占河流水系与自然湿地”、“保障‘百县千镇万村高质量发展工程’、产业平台、乡村振兴等重大项目和民生工程建设，促进建设用地集中高效配置”。</w:t>
      </w:r>
    </w:p>
    <w:p w14:paraId="62A19DA8">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污水处理厂属于民生基础设施项目，其选址不占用耕地、不侵占河流水系，入河排污口设置经过科学论证，对水环境影响可控。根据《阳江市阳东区建设用地周转规模使用方案（阳东区大八镇污水处理厂新建工程）》，项目用地符合城镇开发边界外项目准入条件，已依法落实建设用地规模。</w:t>
      </w:r>
    </w:p>
    <w:p w14:paraId="14FD4079">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（6） 与生态保护修复要求的相符性分析</w:t>
      </w:r>
    </w:p>
    <w:p w14:paraId="30FBBECF">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《大八规划》第十章“国土修复整治与存量更新”提出：“开展大八河、锦江、周亨河等中小河流治理，推进乡村碧道生态建设，提升水环境质量。”</w:t>
      </w:r>
    </w:p>
    <w:p w14:paraId="384F960D">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本项目的建设可有效消减进入吉水河、大八河及</w:t>
      </w:r>
      <w:r>
        <w:rPr>
          <w:rFonts w:hint="eastAsia"/>
          <w:color w:val="auto"/>
          <w:sz w:val="24"/>
          <w:highlight w:val="none"/>
          <w:lang w:val="en-US" w:eastAsia="zh-CN"/>
        </w:rPr>
        <w:t>排水渠</w:t>
      </w:r>
      <w:r>
        <w:rPr>
          <w:rFonts w:hint="eastAsia"/>
          <w:color w:val="auto"/>
          <w:sz w:val="24"/>
          <w:szCs w:val="24"/>
          <w:highlight w:val="none"/>
          <w:lang w:val="en-US" w:eastAsia="zh-CN"/>
        </w:rPr>
        <w:t>的污染物总量。根据论证报告测算，项目建成后主要污染物削减率分别为：COD</w:t>
      </w:r>
      <w:r>
        <w:rPr>
          <w:rFonts w:hint="eastAsia"/>
          <w:color w:val="auto"/>
          <w:sz w:val="24"/>
          <w:szCs w:val="24"/>
          <w:highlight w:val="none"/>
          <w:vertAlign w:val="subscript"/>
          <w:lang w:val="en-US" w:eastAsia="zh-CN"/>
        </w:rPr>
        <w:t>Cr</w:t>
      </w:r>
      <w:r>
        <w:rPr>
          <w:rFonts w:hint="eastAsia"/>
          <w:color w:val="auto"/>
          <w:sz w:val="24"/>
          <w:szCs w:val="24"/>
          <w:highlight w:val="none"/>
          <w:lang w:val="en-US" w:eastAsia="zh-CN"/>
        </w:rPr>
        <w:t>、BOD5、SS、氨氮和总磷等水污染物均可得到一定量的削减。项目对改善吉水河和大八河水环境质量具有积极作用，与《大八规划》关于推进吉水河和大八河治理、提升水环境质量的要求高度契合。</w:t>
      </w:r>
    </w:p>
    <w:p w14:paraId="7F64550A">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bookmarkStart w:id="97" w:name="_Toc1756"/>
      <w:r>
        <w:rPr>
          <w:rFonts w:hint="eastAsia"/>
          <w:color w:val="auto"/>
          <w:lang w:val="en-US" w:eastAsia="zh-CN"/>
        </w:rPr>
        <w:t>水资源保护规划相符性分析</w:t>
      </w:r>
      <w:bookmarkEnd w:id="97"/>
    </w:p>
    <w:p w14:paraId="753FF3A3">
      <w:pPr>
        <w:spacing w:line="360" w:lineRule="auto"/>
        <w:ind w:firstLine="480" w:firstLineChars="200"/>
        <w:rPr>
          <w:rFonts w:hint="eastAsia"/>
          <w:color w:val="auto"/>
          <w:sz w:val="24"/>
          <w:highlight w:val="none"/>
          <w:lang w:val="en-US" w:eastAsia="zh-CN"/>
        </w:rPr>
      </w:pPr>
      <w:r>
        <w:rPr>
          <w:rFonts w:hint="eastAsia" w:cs="Times New Roman"/>
          <w:color w:val="auto"/>
          <w:sz w:val="24"/>
          <w:highlight w:val="none"/>
          <w:lang w:val="en-US" w:eastAsia="zh-CN"/>
        </w:rPr>
        <w:t>《阳江市水资源综合规划修编（2019-2035 年）》的保护规划要求，</w:t>
      </w:r>
      <w:r>
        <w:rPr>
          <w:rFonts w:hint="eastAsia"/>
          <w:color w:val="auto"/>
          <w:sz w:val="24"/>
          <w:highlight w:val="none"/>
          <w:lang w:val="en-US" w:eastAsia="zh-CN"/>
        </w:rPr>
        <w:t>项目的污水处理尾水满足国家现行有效的排放标准广东省地方标准《水污染物排放限值》（DB44/26-2001）第二时段一级标准和国家标准《城镇污水处理厂污染物排放标准》（GB18918-2002）一级A 标准中的较严值，因此排放浓度是达标的。本项目属于环保工程，将大幅度减少污染物排放，纳污总量削减效果明显，污染物排放总量是合理的。本排污口是改变以往镇区污水漫流式排放，而集中唯一专口排放，没有改变入河水量，且有效治理了污染物排放，提高入河污水水质，改善排水渠、吉水河和大八河水资源。</w:t>
      </w:r>
    </w:p>
    <w:p w14:paraId="4EAE6B9A">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因此，项目入河排污口设置是符合水资源管理要求的。</w:t>
      </w:r>
    </w:p>
    <w:p w14:paraId="4555AA8A">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bookmarkStart w:id="98" w:name="_Toc8698"/>
      <w:r>
        <w:rPr>
          <w:rFonts w:hint="eastAsia"/>
          <w:color w:val="auto"/>
          <w:lang w:val="en-US" w:eastAsia="zh-CN"/>
        </w:rPr>
        <w:t>入河排污口设置合理性分析</w:t>
      </w:r>
      <w:bookmarkEnd w:id="98"/>
    </w:p>
    <w:p w14:paraId="13B101E3">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城镇污水处理厂本身就是治理水污染的环境治理工程，是城镇的基础设施建设，符合国家的产业政策。大八镇污水处理厂的建设可有效的减轻对地表水的污染，从而改善区域的水环境，对完善 大八镇镇区基础设施配套，完善镇区人民的生活环境具有明显的促进作用；本工程实施的减排效果明显，设置的入河排污口位置、排放浓度和总量符合《水污染防治行动计划》、《入河排污口监督管理办法》、，符合《</w:t>
      </w:r>
      <w:r>
        <w:rPr>
          <w:rFonts w:hint="eastAsia"/>
          <w:color w:val="auto"/>
          <w:sz w:val="24"/>
        </w:rPr>
        <w:t>阳江市环境保护规划纲要（2016-2030年）</w:t>
      </w:r>
      <w:r>
        <w:rPr>
          <w:rFonts w:hint="eastAsia"/>
          <w:color w:val="auto"/>
          <w:sz w:val="24"/>
          <w:lang w:eastAsia="zh-CN"/>
        </w:rPr>
        <w:t>》</w:t>
      </w:r>
      <w:r>
        <w:rPr>
          <w:rFonts w:hint="eastAsia"/>
          <w:color w:val="auto"/>
          <w:sz w:val="24"/>
          <w:highlight w:val="none"/>
          <w:lang w:val="en-US" w:eastAsia="zh-CN"/>
        </w:rPr>
        <w:t>，正常情况下本工程入河排污口不会对水功能区（水域）水质造成影响，改善区域水生态，对第三者影响较小。因此，大八镇污水处理厂生活污水入河排污口设置可行，入河排污口设置方案合理。</w:t>
      </w:r>
    </w:p>
    <w:p w14:paraId="04B3A51B">
      <w:pPr>
        <w:rPr>
          <w:rFonts w:hint="eastAsia"/>
          <w:color w:val="auto"/>
          <w:lang w:val="en-US" w:eastAsia="zh-CN"/>
        </w:rPr>
      </w:pPr>
      <w:bookmarkStart w:id="99" w:name="_Toc21430"/>
      <w:r>
        <w:rPr>
          <w:rFonts w:hint="eastAsia"/>
          <w:color w:val="auto"/>
          <w:lang w:val="en-US" w:eastAsia="zh-CN"/>
        </w:rPr>
        <w:br w:type="page"/>
      </w:r>
    </w:p>
    <w:p w14:paraId="23C4A99E">
      <w:pPr>
        <w:pStyle w:val="3"/>
        <w:bidi w:val="0"/>
        <w:rPr>
          <w:rFonts w:hint="eastAsia"/>
          <w:color w:val="auto"/>
          <w:lang w:val="en-US" w:eastAsia="zh-CN"/>
        </w:rPr>
      </w:pPr>
      <w:bookmarkStart w:id="100" w:name="_Toc23730"/>
      <w:r>
        <w:rPr>
          <w:rFonts w:hint="eastAsia"/>
          <w:color w:val="auto"/>
          <w:lang w:val="en-US" w:eastAsia="zh-CN"/>
        </w:rPr>
        <w:t>结论与建议</w:t>
      </w:r>
      <w:bookmarkEnd w:id="99"/>
      <w:bookmarkEnd w:id="100"/>
    </w:p>
    <w:p w14:paraId="47C23E9A">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bookmarkStart w:id="101" w:name="_Toc21893"/>
      <w:bookmarkStart w:id="102" w:name="_Toc2713"/>
      <w:r>
        <w:rPr>
          <w:rFonts w:hint="eastAsia"/>
          <w:color w:val="auto"/>
          <w:lang w:val="en-US" w:eastAsia="zh-CN"/>
        </w:rPr>
        <w:t>论证结论</w:t>
      </w:r>
      <w:bookmarkEnd w:id="101"/>
      <w:bookmarkEnd w:id="102"/>
      <w:r>
        <w:rPr>
          <w:rFonts w:hint="eastAsia"/>
          <w:color w:val="auto"/>
          <w:lang w:val="en-US" w:eastAsia="zh-CN"/>
        </w:rPr>
        <w:t xml:space="preserve"> </w:t>
      </w:r>
    </w:p>
    <w:p w14:paraId="36A7AD1C">
      <w:pPr>
        <w:pStyle w:val="5"/>
        <w:numPr>
          <w:ilvl w:val="2"/>
          <w:numId w:val="6"/>
        </w:numPr>
        <w:tabs>
          <w:tab w:val="left" w:pos="420"/>
        </w:tabs>
        <w:bidi w:val="0"/>
        <w:rPr>
          <w:rFonts w:hint="eastAsia"/>
          <w:color w:val="auto"/>
          <w:lang w:val="en-US" w:eastAsia="zh-CN"/>
        </w:rPr>
      </w:pPr>
      <w:r>
        <w:rPr>
          <w:rFonts w:hint="eastAsia"/>
          <w:color w:val="auto"/>
          <w:lang w:val="en-US" w:eastAsia="zh-CN"/>
        </w:rPr>
        <w:t>入河排污口基本情况</w:t>
      </w:r>
    </w:p>
    <w:p w14:paraId="44C04C56">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阳东区大八镇污水处理厂新建生活污水入河排污口设置于厂址东北面管道</w:t>
      </w:r>
      <w:r>
        <w:rPr>
          <w:rFonts w:hint="eastAsia" w:ascii="Times New Roman" w:hAnsi="Times New Roman" w:eastAsia="宋体" w:cs="Times New Roman"/>
          <w:color w:val="auto"/>
          <w:sz w:val="24"/>
          <w:highlight w:val="none"/>
          <w:lang w:val="en-US" w:eastAsia="zh-CN"/>
        </w:rPr>
        <w:t>（坐标为：</w:t>
      </w:r>
      <w:r>
        <w:rPr>
          <w:rFonts w:hint="eastAsia"/>
          <w:color w:val="auto"/>
          <w:sz w:val="24"/>
          <w:highlight w:val="none"/>
          <w:lang w:eastAsia="zh-CN"/>
        </w:rPr>
        <w:t>东经111</w:t>
      </w:r>
      <w:r>
        <w:rPr>
          <w:rFonts w:hint="default" w:ascii="Times New Roman" w:hAnsi="Times New Roman" w:cs="Times New Roman"/>
          <w:color w:val="auto"/>
          <w:sz w:val="21"/>
          <w:szCs w:val="21"/>
          <w:u w:val="none"/>
          <w:lang w:val="en-US" w:eastAsia="zh-CN"/>
        </w:rPr>
        <w:t>°</w:t>
      </w:r>
      <w:r>
        <w:rPr>
          <w:rFonts w:hint="eastAsia"/>
          <w:color w:val="auto"/>
          <w:sz w:val="24"/>
          <w:highlight w:val="none"/>
          <w:lang w:eastAsia="zh-CN"/>
        </w:rPr>
        <w:t>57' 42.</w:t>
      </w:r>
      <w:r>
        <w:rPr>
          <w:rFonts w:hint="eastAsia"/>
          <w:color w:val="auto"/>
          <w:sz w:val="24"/>
          <w:highlight w:val="none"/>
          <w:lang w:val="en-US" w:eastAsia="zh-CN"/>
        </w:rPr>
        <w:t>083</w:t>
      </w:r>
      <w:r>
        <w:rPr>
          <w:rFonts w:hint="eastAsia"/>
          <w:color w:val="auto"/>
          <w:sz w:val="24"/>
          <w:highlight w:val="none"/>
          <w:lang w:eastAsia="zh-CN"/>
        </w:rPr>
        <w:t>"，北纬22</w:t>
      </w:r>
      <w:r>
        <w:rPr>
          <w:rFonts w:hint="default" w:ascii="Times New Roman" w:hAnsi="Times New Roman" w:cs="Times New Roman"/>
          <w:color w:val="auto"/>
          <w:sz w:val="21"/>
          <w:szCs w:val="21"/>
          <w:u w:val="none"/>
          <w:lang w:val="en-US" w:eastAsia="zh-CN"/>
        </w:rPr>
        <w:t>°</w:t>
      </w:r>
      <w:r>
        <w:rPr>
          <w:rFonts w:hint="eastAsia"/>
          <w:color w:val="auto"/>
          <w:sz w:val="24"/>
          <w:highlight w:val="none"/>
          <w:lang w:eastAsia="zh-CN"/>
        </w:rPr>
        <w:t>3' 41.3</w:t>
      </w:r>
      <w:r>
        <w:rPr>
          <w:rFonts w:hint="eastAsia"/>
          <w:color w:val="auto"/>
          <w:sz w:val="24"/>
          <w:highlight w:val="none"/>
          <w:lang w:val="en-US" w:eastAsia="zh-CN"/>
        </w:rPr>
        <w:t>02</w:t>
      </w:r>
      <w:r>
        <w:rPr>
          <w:rFonts w:hint="eastAsia"/>
          <w:color w:val="auto"/>
          <w:sz w:val="24"/>
          <w:highlight w:val="none"/>
          <w:lang w:eastAsia="zh-CN"/>
        </w:rPr>
        <w:t>"</w:t>
      </w:r>
      <w:r>
        <w:rPr>
          <w:rFonts w:hint="eastAsia" w:ascii="Times New Roman" w:hAnsi="Times New Roman" w:eastAsia="宋体" w:cs="Times New Roman"/>
          <w:color w:val="auto"/>
          <w:sz w:val="24"/>
          <w:highlight w:val="none"/>
          <w:lang w:val="en-US" w:eastAsia="zh-CN"/>
        </w:rPr>
        <w:t>）</w:t>
      </w:r>
      <w:r>
        <w:rPr>
          <w:rFonts w:hint="eastAsia"/>
          <w:color w:val="auto"/>
          <w:sz w:val="24"/>
          <w:highlight w:val="none"/>
          <w:lang w:val="en-US" w:eastAsia="zh-CN"/>
        </w:rPr>
        <w:t>，入河排污口废水排放量为3000m</w:t>
      </w:r>
      <w:r>
        <w:rPr>
          <w:rFonts w:hint="default"/>
          <w:color w:val="auto"/>
          <w:sz w:val="24"/>
          <w:highlight w:val="none"/>
          <w:vertAlign w:val="superscript"/>
          <w:lang w:val="en-US" w:eastAsia="zh-CN"/>
        </w:rPr>
        <w:t>3</w:t>
      </w:r>
      <w:r>
        <w:rPr>
          <w:rFonts w:hint="default"/>
          <w:color w:val="auto"/>
          <w:sz w:val="24"/>
          <w:highlight w:val="none"/>
          <w:lang w:val="en-US" w:eastAsia="zh-CN"/>
        </w:rPr>
        <w:t>/d</w:t>
      </w:r>
      <w:r>
        <w:rPr>
          <w:rFonts w:hint="eastAsia"/>
          <w:color w:val="auto"/>
          <w:sz w:val="24"/>
          <w:highlight w:val="none"/>
          <w:lang w:val="en-US" w:eastAsia="zh-CN"/>
        </w:rPr>
        <w:t>。排放污染物浓度执行《城镇污水处理厂污染物排放标准》（GB18918-2002及其2006年修改单）一级A 标准及广东省地方标准《水污染物排放限值》（DB44/26-2001）第二时段一级标准中的较严者。</w:t>
      </w:r>
    </w:p>
    <w:p w14:paraId="266627AB">
      <w:pPr>
        <w:pStyle w:val="5"/>
        <w:numPr>
          <w:ilvl w:val="2"/>
          <w:numId w:val="6"/>
        </w:numPr>
        <w:tabs>
          <w:tab w:val="left" w:pos="420"/>
        </w:tabs>
        <w:bidi w:val="0"/>
        <w:rPr>
          <w:rFonts w:hint="eastAsia"/>
          <w:color w:val="auto"/>
          <w:lang w:val="en-US" w:eastAsia="zh-CN"/>
        </w:rPr>
      </w:pPr>
      <w:r>
        <w:rPr>
          <w:rFonts w:hint="eastAsia"/>
          <w:color w:val="auto"/>
          <w:sz w:val="24"/>
          <w:highlight w:val="none"/>
          <w:lang w:val="en-US" w:eastAsia="zh-CN"/>
        </w:rPr>
        <w:t>对水生态及水质影响分析</w:t>
      </w:r>
    </w:p>
    <w:p w14:paraId="0016AF07">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根据现场调查，评价区域内无需特殊保护的水生珍稀动、植物，也无需特殊保护的自然保护区等水生态敏感点。</w:t>
      </w:r>
    </w:p>
    <w:p w14:paraId="7768E708">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大八镇污水处理厂大幅降低区域内水系外排水的污染物总量，能有效减少外排废水对附近河道等水生态的影响，同时也减少区域的污染物入河量，对整个区域的水生态产生积极、有利影响，能改善附近河道的水质。</w:t>
      </w:r>
    </w:p>
    <w:p w14:paraId="2F423C9D">
      <w:pPr>
        <w:pStyle w:val="5"/>
        <w:numPr>
          <w:ilvl w:val="2"/>
          <w:numId w:val="6"/>
        </w:numPr>
        <w:tabs>
          <w:tab w:val="left" w:pos="420"/>
        </w:tabs>
        <w:bidi w:val="0"/>
        <w:rPr>
          <w:rFonts w:hint="eastAsia"/>
          <w:color w:val="auto"/>
          <w:sz w:val="24"/>
          <w:highlight w:val="none"/>
          <w:lang w:val="en-US" w:eastAsia="zh-CN"/>
        </w:rPr>
      </w:pPr>
      <w:r>
        <w:rPr>
          <w:rFonts w:hint="eastAsia"/>
          <w:color w:val="auto"/>
          <w:sz w:val="24"/>
          <w:highlight w:val="none"/>
          <w:lang w:val="en-US" w:eastAsia="zh-CN"/>
        </w:rPr>
        <w:t>对第三者权益的影响</w:t>
      </w:r>
    </w:p>
    <w:p w14:paraId="6EECD205">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项目论证范围内无集中饮用水取水口，无其他敏感因子，项目废水出水符合广东省地方标准《水污染物排放限值》（DB44/26-2001）第二时段一级标准和国家标准《城镇污水处理厂污染物排放标准》（GB18918-2002）一级A 标准中的较严值， 满足城镇废水国家排放标准。项目建设投产后，使得吉水河和大八河及区域内支流的污染物入河量大幅度减少，明显改善了上述河道水质，解决了水体污染问题，项目的实施不会对第三者产生不利影响。</w:t>
      </w:r>
    </w:p>
    <w:p w14:paraId="4F657688">
      <w:pPr>
        <w:pStyle w:val="5"/>
        <w:numPr>
          <w:ilvl w:val="2"/>
          <w:numId w:val="6"/>
        </w:numPr>
        <w:tabs>
          <w:tab w:val="left" w:pos="420"/>
        </w:tabs>
        <w:bidi w:val="0"/>
        <w:rPr>
          <w:rFonts w:hint="eastAsia"/>
          <w:color w:val="auto"/>
          <w:sz w:val="24"/>
          <w:highlight w:val="none"/>
          <w:lang w:val="en-US" w:eastAsia="zh-CN"/>
        </w:rPr>
      </w:pPr>
      <w:r>
        <w:rPr>
          <w:rFonts w:hint="eastAsia"/>
          <w:color w:val="auto"/>
          <w:sz w:val="24"/>
          <w:highlight w:val="none"/>
          <w:lang w:val="en-US" w:eastAsia="zh-CN"/>
        </w:rPr>
        <w:t>污水处理措施及效果</w:t>
      </w:r>
    </w:p>
    <w:p w14:paraId="6397A332">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项目的建设大幅度的消减了进入吉水河、大八河和区域内支流地表水体的污染物量，与建设前相比较主要污染物COD</w:t>
      </w:r>
      <w:r>
        <w:rPr>
          <w:rFonts w:hint="eastAsia" w:ascii="Times New Roman" w:hAnsi="Times New Roman" w:eastAsia="宋体" w:cs="Times New Roman"/>
          <w:b/>
          <w:bCs/>
          <w:color w:val="auto"/>
          <w:kern w:val="2"/>
          <w:sz w:val="21"/>
          <w:szCs w:val="21"/>
          <w:vertAlign w:val="subscript"/>
          <w:lang w:val="en-US" w:eastAsia="zh-CN" w:bidi="ar-SA"/>
        </w:rPr>
        <w:t>Cr</w:t>
      </w:r>
      <w:r>
        <w:rPr>
          <w:rFonts w:hint="eastAsia"/>
          <w:color w:val="auto"/>
          <w:sz w:val="24"/>
          <w:highlight w:val="none"/>
          <w:lang w:val="en-US" w:eastAsia="zh-CN"/>
        </w:rPr>
        <w:t>、BOD</w:t>
      </w:r>
      <w:r>
        <w:rPr>
          <w:rFonts w:hint="eastAsia" w:ascii="Times New Roman" w:hAnsi="Times New Roman" w:eastAsia="宋体" w:cs="Times New Roman"/>
          <w:b/>
          <w:bCs/>
          <w:color w:val="auto"/>
          <w:kern w:val="2"/>
          <w:sz w:val="21"/>
          <w:szCs w:val="21"/>
          <w:vertAlign w:val="subscript"/>
          <w:lang w:val="en-US" w:eastAsia="zh-CN" w:bidi="ar-SA"/>
        </w:rPr>
        <w:t>5</w:t>
      </w:r>
      <w:r>
        <w:rPr>
          <w:rFonts w:hint="eastAsia"/>
          <w:color w:val="auto"/>
          <w:sz w:val="24"/>
          <w:highlight w:val="none"/>
          <w:lang w:val="en-US" w:eastAsia="zh-CN"/>
        </w:rPr>
        <w:t>、SS、TN、氨氮和总磷；消减率分别为84.6%、93.33%、 93.33%、50%、80%、83.33%。</w:t>
      </w:r>
    </w:p>
    <w:p w14:paraId="111AA31D">
      <w:pPr>
        <w:pStyle w:val="5"/>
        <w:numPr>
          <w:ilvl w:val="2"/>
          <w:numId w:val="6"/>
        </w:numPr>
        <w:tabs>
          <w:tab w:val="left" w:pos="420"/>
        </w:tabs>
        <w:bidi w:val="0"/>
        <w:rPr>
          <w:rFonts w:hint="eastAsia"/>
          <w:color w:val="auto"/>
          <w:sz w:val="24"/>
          <w:highlight w:val="none"/>
          <w:lang w:val="en-US" w:eastAsia="zh-CN"/>
        </w:rPr>
      </w:pPr>
      <w:r>
        <w:rPr>
          <w:rFonts w:hint="eastAsia"/>
          <w:color w:val="auto"/>
          <w:sz w:val="24"/>
          <w:highlight w:val="none"/>
          <w:lang w:val="en-US" w:eastAsia="zh-CN"/>
        </w:rPr>
        <w:t>综合结论</w:t>
      </w:r>
    </w:p>
    <w:p w14:paraId="2A49A112">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1）项目属于《产业结构调整指导目录（2024年本）》鼓励类项目，符合国家法律法规和相关政策、符合地方环保政策、符合水功能区管理要求、符合水资源管理政策，同时符合《阳江市水污染防治行动工作方案》的要求。</w:t>
      </w:r>
    </w:p>
    <w:p w14:paraId="563B592D">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（2）大八镇污水处理厂处理后入河排污口所在水域为排水渠段，水质管理目标为削减污染物，改善水质。</w:t>
      </w:r>
    </w:p>
    <w:p w14:paraId="67C2F434">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（3）项目入河排污口类型均为生活污水排污口，最大污水排放量为3000m</w:t>
      </w:r>
      <w:r>
        <w:rPr>
          <w:rFonts w:hint="eastAsia"/>
          <w:color w:val="auto"/>
          <w:sz w:val="24"/>
          <w:highlight w:val="none"/>
          <w:vertAlign w:val="superscript"/>
          <w:lang w:val="en-US" w:eastAsia="zh-CN"/>
        </w:rPr>
        <w:t>3</w:t>
      </w:r>
      <w:r>
        <w:rPr>
          <w:rFonts w:hint="eastAsia"/>
          <w:color w:val="auto"/>
          <w:sz w:val="24"/>
          <w:highlight w:val="none"/>
          <w:lang w:val="en-US" w:eastAsia="zh-CN"/>
        </w:rPr>
        <w:t xml:space="preserve"> /d，主要污染物为COD</w:t>
      </w:r>
      <w:r>
        <w:rPr>
          <w:rFonts w:hint="eastAsia" w:ascii="Times New Roman" w:hAnsi="Times New Roman" w:eastAsia="宋体" w:cs="Times New Roman"/>
          <w:b/>
          <w:bCs/>
          <w:color w:val="auto"/>
          <w:kern w:val="2"/>
          <w:sz w:val="21"/>
          <w:szCs w:val="21"/>
          <w:vertAlign w:val="subscript"/>
          <w:lang w:val="en-US" w:eastAsia="zh-CN" w:bidi="ar-SA"/>
        </w:rPr>
        <w:t>Cr</w:t>
      </w:r>
      <w:r>
        <w:rPr>
          <w:rFonts w:hint="eastAsia"/>
          <w:color w:val="auto"/>
          <w:sz w:val="24"/>
          <w:highlight w:val="none"/>
          <w:lang w:val="en-US" w:eastAsia="zh-CN"/>
        </w:rPr>
        <w:t>、BOD</w:t>
      </w:r>
      <w:r>
        <w:rPr>
          <w:rFonts w:hint="eastAsia" w:ascii="Times New Roman" w:hAnsi="Times New Roman" w:eastAsia="宋体" w:cs="Times New Roman"/>
          <w:b/>
          <w:bCs/>
          <w:color w:val="auto"/>
          <w:kern w:val="2"/>
          <w:sz w:val="21"/>
          <w:szCs w:val="21"/>
          <w:vertAlign w:val="subscript"/>
          <w:lang w:val="en-US" w:eastAsia="zh-CN" w:bidi="ar-SA"/>
        </w:rPr>
        <w:t>5</w:t>
      </w:r>
      <w:r>
        <w:rPr>
          <w:rFonts w:hint="eastAsia"/>
          <w:color w:val="auto"/>
          <w:sz w:val="24"/>
          <w:highlight w:val="none"/>
          <w:lang w:val="en-US" w:eastAsia="zh-CN"/>
        </w:rPr>
        <w:t>、SS、氨氮和总磷等，经污水处理站处理后满足广东省地方标准《水污染物排放限值》（DB44/26-2001）第二时段一级标准和国家标准《城镇污水处理厂污染物排放标准》（GB18918-2002）一级A 标准中的较严值要求， 污染物削减效果明显，项目的建设对改善水质有重要意义。</w:t>
      </w:r>
    </w:p>
    <w:p w14:paraId="6CC5B206">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（4） 修建污水处理厂是城市治污最有效的措施，建设入河排放口是污水处理厂配套工程，从减少整个区域的排污总量的角度来说是具有积极意义的，对排水渠、吉水河和大八河周边水系的水质改善有利。</w:t>
      </w:r>
    </w:p>
    <w:p w14:paraId="6266076B">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（5）项目入河排污口所在河涌无取水用户、无需特殊保护的水生珍稀动植物，也无需要特殊保护的自然保护区等水生态敏感点，项目排污口不会对第三者产生不利影响。</w:t>
      </w:r>
    </w:p>
    <w:p w14:paraId="24765761">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（6） 项目排污口设置符合水域管理要求，附近河涌岸线稳定，排污口设置不影响河岸的稳定及排洪，排放口位置设置合理。</w:t>
      </w:r>
    </w:p>
    <w:p w14:paraId="38D08532">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综上所述，大八镇污水处理厂入河排污口设置是合理的、可行的。</w:t>
      </w:r>
    </w:p>
    <w:p w14:paraId="7F11657C">
      <w:pPr>
        <w:pStyle w:val="4"/>
        <w:keepNext/>
        <w:keepLines/>
        <w:pageBreakBefore w:val="0"/>
        <w:widowControl w:val="0"/>
        <w:kinsoku/>
        <w:wordWrap/>
        <w:overflowPunct/>
        <w:topLinePunct w:val="0"/>
        <w:autoSpaceDE/>
        <w:autoSpaceDN/>
        <w:bidi w:val="0"/>
        <w:adjustRightInd/>
        <w:snapToGrid/>
        <w:spacing w:before="120" w:after="120" w:afterLines="0"/>
        <w:ind w:left="482" w:hanging="57"/>
        <w:textAlignment w:val="auto"/>
        <w:rPr>
          <w:rFonts w:hint="eastAsia"/>
          <w:color w:val="auto"/>
          <w:lang w:val="en-US" w:eastAsia="zh-CN"/>
        </w:rPr>
      </w:pPr>
      <w:bookmarkStart w:id="103" w:name="_Toc18569"/>
      <w:bookmarkStart w:id="104" w:name="_Toc30637"/>
      <w:r>
        <w:rPr>
          <w:rFonts w:hint="eastAsia"/>
          <w:color w:val="auto"/>
          <w:lang w:val="en-US" w:eastAsia="zh-CN"/>
        </w:rPr>
        <w:t>建议</w:t>
      </w:r>
      <w:bookmarkEnd w:id="103"/>
      <w:bookmarkEnd w:id="104"/>
      <w:r>
        <w:rPr>
          <w:rFonts w:hint="eastAsia"/>
          <w:color w:val="auto"/>
          <w:lang w:val="en-US" w:eastAsia="zh-CN"/>
        </w:rPr>
        <w:t xml:space="preserve"> </w:t>
      </w:r>
    </w:p>
    <w:p w14:paraId="3624F70F">
      <w:pPr>
        <w:pStyle w:val="5"/>
        <w:numPr>
          <w:ilvl w:val="2"/>
          <w:numId w:val="6"/>
        </w:numPr>
        <w:tabs>
          <w:tab w:val="left" w:pos="420"/>
        </w:tabs>
        <w:bidi w:val="0"/>
        <w:rPr>
          <w:rFonts w:hint="eastAsia"/>
          <w:color w:val="auto"/>
          <w:sz w:val="24"/>
          <w:highlight w:val="none"/>
          <w:lang w:val="en-US" w:eastAsia="zh-CN"/>
        </w:rPr>
      </w:pPr>
      <w:r>
        <w:rPr>
          <w:rFonts w:hint="eastAsia"/>
          <w:color w:val="auto"/>
          <w:sz w:val="24"/>
          <w:highlight w:val="none"/>
          <w:lang w:val="en-US" w:eastAsia="zh-CN"/>
        </w:rPr>
        <w:t>加强设备维护，确保正常运行</w:t>
      </w:r>
    </w:p>
    <w:p w14:paraId="443E28C7">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1）选用优质污水处理设备，关键设备应一备一用，易损部件要有备用，在岀现故障时能尽快更换。加强污水处理厂事故苗头监控，定期巡检，调节、保养、维修及时发现有可能引起事故的异常运行苗头、消防事故隐患。</w:t>
      </w:r>
    </w:p>
    <w:p w14:paraId="45C8FD3C">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2）严格污水处理厂控制各处理单元的水量、水质、停留时间、负荷强度等工艺参数，确保处理效果的稳定性。配备流量、水质自动分析监控仪器，加强进出水的监测工作，定期取样测定，适时调控，使设备处于最佳工况。</w:t>
      </w:r>
    </w:p>
    <w:p w14:paraId="5468646F">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（3）管理人员应有较高的业务水平和管理水平，主要操作人员上岗前应严格进行理论和实际操作培训，做到持证上岗。</w:t>
      </w:r>
    </w:p>
    <w:p w14:paraId="179E0F76">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（4）确保污水处理厂正常运行，在出口安装流量计和在线监测仪，从源头上防止污染物超标排放。</w:t>
      </w:r>
    </w:p>
    <w:p w14:paraId="5E31D9C3">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（5）在排污口设置标志牌，其标志牌应符合国家标准《环境保护图形标志—排污口（源）》和国家环保总局《排污口规范化整治要求（试行）》的相关要求。</w:t>
      </w:r>
    </w:p>
    <w:p w14:paraId="661A033B">
      <w:pPr>
        <w:pStyle w:val="5"/>
        <w:numPr>
          <w:ilvl w:val="2"/>
          <w:numId w:val="6"/>
        </w:numPr>
        <w:tabs>
          <w:tab w:val="left" w:pos="420"/>
        </w:tabs>
        <w:bidi w:val="0"/>
        <w:rPr>
          <w:rFonts w:hint="eastAsia"/>
          <w:color w:val="auto"/>
          <w:sz w:val="24"/>
          <w:highlight w:val="none"/>
          <w:lang w:val="en-US" w:eastAsia="zh-CN"/>
        </w:rPr>
      </w:pPr>
      <w:r>
        <w:rPr>
          <w:rFonts w:hint="eastAsia"/>
          <w:color w:val="auto"/>
          <w:sz w:val="24"/>
          <w:highlight w:val="none"/>
          <w:lang w:val="en-US" w:eastAsia="zh-CN"/>
        </w:rPr>
        <w:t xml:space="preserve"> 编制应急处理预案</w:t>
      </w:r>
    </w:p>
    <w:p w14:paraId="6E4D6775">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制定应急处理预案，确保应急措施在发生事故排放时能顺畅执行 在工程投入运行后，建设单位应杜绝事故排放。管理部门应建立突发事故排放的预警系统，建设单位应按照行政主管部门的要求，编制切实可行的应急解决方案措施报行政主管部门备案， 编制后并落实突发污染事故应急预案。</w:t>
      </w:r>
    </w:p>
    <w:p w14:paraId="46AC5627">
      <w:pPr>
        <w:pStyle w:val="5"/>
        <w:numPr>
          <w:ilvl w:val="2"/>
          <w:numId w:val="6"/>
        </w:numPr>
        <w:tabs>
          <w:tab w:val="left" w:pos="420"/>
        </w:tabs>
        <w:bidi w:val="0"/>
        <w:rPr>
          <w:rFonts w:hint="eastAsia"/>
          <w:color w:val="auto"/>
          <w:sz w:val="24"/>
          <w:highlight w:val="none"/>
          <w:lang w:val="en-US" w:eastAsia="zh-CN"/>
        </w:rPr>
      </w:pPr>
      <w:r>
        <w:rPr>
          <w:rFonts w:hint="eastAsia"/>
          <w:color w:val="auto"/>
          <w:sz w:val="24"/>
          <w:highlight w:val="none"/>
          <w:lang w:val="en-US" w:eastAsia="zh-CN"/>
        </w:rPr>
        <w:t xml:space="preserve"> 服从水功能区的监督管理</w:t>
      </w:r>
    </w:p>
    <w:p w14:paraId="07BD30CA">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建设单位应积极配合和服从生态环境行政主管部门对设置排污口所涉及水域功能区以及上下游相邻水功能区的管理，建立出水水质监测分析台帐，定期向水行政主管部门报送信息。排污口建成投运前，接受并配合相关主管部门开展验收工作；营运期，开展按规定自行监测，并接受行政主管部门监管。如本项目工程规模扩大，建设单位应重新向生态环境行政主管部门提出申请，重新分析论证排污口设置的可行性，不得擅自扩大排污口的排污量。</w:t>
      </w:r>
    </w:p>
    <w:p w14:paraId="485817E0">
      <w:pPr>
        <w:pStyle w:val="5"/>
        <w:numPr>
          <w:ilvl w:val="2"/>
          <w:numId w:val="6"/>
        </w:numPr>
        <w:tabs>
          <w:tab w:val="left" w:pos="420"/>
        </w:tabs>
        <w:bidi w:val="0"/>
        <w:rPr>
          <w:rFonts w:hint="eastAsia"/>
          <w:color w:val="auto"/>
          <w:sz w:val="24"/>
          <w:highlight w:val="none"/>
          <w:lang w:val="en-US" w:eastAsia="zh-CN"/>
        </w:rPr>
      </w:pPr>
      <w:r>
        <w:rPr>
          <w:rFonts w:hint="eastAsia"/>
          <w:color w:val="auto"/>
          <w:sz w:val="24"/>
          <w:highlight w:val="none"/>
          <w:lang w:val="en-US" w:eastAsia="zh-CN"/>
        </w:rPr>
        <w:t xml:space="preserve"> 其他建议</w:t>
      </w:r>
    </w:p>
    <w:p w14:paraId="35831EA6">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（1）项目应对污水处理设施进行24小时在线监测 应按照相关规定设置在线监控设备。确保污水处理厂正常运行，严格进行在污水流量和水质在线监控，从源头上防止污染物超标排放，并采集有关数据 以备相关主管部门随时抽查和现场考核。确保尾水排放达到广东省地方标准《水污染物排放限值》（DB44/26-2001）第二时段一级标准和《城镇污水处理厂污染物排放标准》（GB18918-2002）一级A 标准中的较严值。同时应依法接受排污口管理部门对该入河排污口的监督管理工作。</w:t>
      </w:r>
    </w:p>
    <w:p w14:paraId="3E6867AC">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（2）定期检查污水处理厂各环节设备的运行情况，及时检修。若发现进水水质异常，应及时从汇水系统的主要污染源查找原因，采取应急措施，控制对有毒害物质的排放。</w:t>
      </w:r>
    </w:p>
    <w:p w14:paraId="7D44A220">
      <w:pPr>
        <w:spacing w:line="360" w:lineRule="auto"/>
        <w:ind w:firstLine="480" w:firstLineChars="200"/>
        <w:rPr>
          <w:rFonts w:hint="eastAsia"/>
          <w:color w:val="auto"/>
          <w:lang w:val="en-US" w:eastAsia="zh-CN"/>
        </w:rPr>
      </w:pPr>
      <w:r>
        <w:rPr>
          <w:rFonts w:hint="eastAsia"/>
          <w:color w:val="auto"/>
          <w:sz w:val="24"/>
          <w:highlight w:val="none"/>
          <w:lang w:val="en-US" w:eastAsia="zh-CN"/>
        </w:rPr>
        <w:t>（3）</w:t>
      </w:r>
      <w:r>
        <w:rPr>
          <w:rFonts w:hint="eastAsia"/>
          <w:color w:val="auto"/>
          <w:sz w:val="24"/>
        </w:rPr>
        <w:t>定期对排污口处河道进行清淤处理，保持排污断面河道通畅，避免污水局部停留时间过长</w:t>
      </w:r>
      <w:r>
        <w:rPr>
          <w:rFonts w:hint="eastAsia"/>
          <w:color w:val="auto"/>
          <w:sz w:val="24"/>
          <w:highlight w:val="none"/>
          <w:lang w:val="en-US" w:eastAsia="zh-CN"/>
        </w:rPr>
        <w:t>。</w:t>
      </w:r>
    </w:p>
    <w:p w14:paraId="1A6547F0">
      <w:pPr>
        <w:rPr>
          <w:rFonts w:hint="default"/>
          <w:lang w:val="en-US" w:eastAsia="zh-CN"/>
        </w:rPr>
      </w:pPr>
    </w:p>
    <w:sectPr>
      <w:pgSz w:w="11906" w:h="16838"/>
      <w:pgMar w:top="1080" w:right="1440" w:bottom="1080" w:left="1440" w:header="624"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Impact">
    <w:panose1 w:val="020B0806030902050204"/>
    <w:charset w:val="00"/>
    <w:family w:val="swiss"/>
    <w:pitch w:val="default"/>
    <w:sig w:usb0="00000287" w:usb1="00000000" w:usb2="00000000" w:usb3="00000000" w:csb0="2000009F" w:csb1="DFD70000"/>
  </w:font>
  <w:font w:name="华文仿宋">
    <w:altName w:val="仿宋"/>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Garamond">
    <w:panose1 w:val="02020502050306020203"/>
    <w:charset w:val="00"/>
    <w:family w:val="roman"/>
    <w:pitch w:val="default"/>
    <w:sig w:usb0="00000000" w:usb1="00000000" w:usb2="00000000" w:usb3="00000000" w:csb0="00000000" w:csb1="00000000"/>
  </w:font>
  <w:font w:name="Cambria Math">
    <w:panose1 w:val="02040503050406030204"/>
    <w:charset w:val="00"/>
    <w:family w:val="roman"/>
    <w:pitch w:val="default"/>
    <w:sig w:usb0="E00006FF" w:usb1="420024FF" w:usb2="02000000" w:usb3="00000000" w:csb0="2000019F" w:csb1="00000000"/>
  </w:font>
  <w:font w:name="MS Gothic">
    <w:panose1 w:val="020B0609070205080204"/>
    <w:charset w:val="80"/>
    <w:family w:val="modern"/>
    <w:pitch w:val="default"/>
    <w:sig w:usb0="E00002FF" w:usb1="6AC7FDFB" w:usb2="08000012" w:usb3="00000000" w:csb0="4002009F" w:csb1="DFD70000"/>
  </w:font>
  <w:font w:name="MS PGothic">
    <w:panose1 w:val="020B0600070205080204"/>
    <w:charset w:val="80"/>
    <w:family w:val="auto"/>
    <w:pitch w:val="default"/>
    <w:sig w:usb0="E00002FF" w:usb1="6AC7FDFB" w:usb2="08000012" w:usb3="00000000" w:csb0="4002009F" w:csb1="DFD7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9AE9F">
    <w:pPr>
      <w:pStyle w:val="2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9DDE1">
    <w:pPr>
      <w:pStyle w:val="23"/>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D8509">
    <w:pPr>
      <w:pStyle w:val="2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EDF7EA">
                          <w:pPr>
                            <w:pStyle w:val="2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14:paraId="50EDF7EA">
                    <w:pPr>
                      <w:pStyle w:val="2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CB2ED">
    <w:pPr>
      <w:pStyle w:val="23"/>
      <w:jc w:val="center"/>
      <w:rPr>
        <w:rFonts w:hint="eastAsia" w:eastAsia="宋体"/>
        <w:lang w:eastAsia="zh-CN"/>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5558A52">
                          <w:pPr>
                            <w:pStyle w:val="23"/>
                            <w:jc w:val="center"/>
                            <w:rPr>
                              <w:rFonts w:hint="default" w:ascii="Times New Roman" w:hAnsi="Times New Roman" w:cs="Times New Roman"/>
                            </w:rPr>
                          </w:pP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PAGE  \* MERGEFORMAT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I</w:t>
                          </w:r>
                          <w:r>
                            <w:rPr>
                              <w:rFonts w:hint="default" w:ascii="Times New Roman" w:hAnsi="Times New Roman" w:cs="Times New Roman"/>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jOYZ5tIBAACmAwAADgAAAAAAAAABACAAAAAfAQAA&#10;ZHJzL2Uyb0RvYy54bWxQSwUGAAAAAAYABgBZAQAAYwUAAAAA&#10;">
              <v:fill on="f" focussize="0,0"/>
              <v:stroke on="f" weight="0.5pt"/>
              <v:imagedata o:title=""/>
              <o:lock v:ext="edit" aspectratio="f"/>
              <v:textbox inset="0mm,0mm,0mm,0mm" style="mso-fit-shape-to-text:t;">
                <w:txbxContent>
                  <w:p w14:paraId="25558A52">
                    <w:pPr>
                      <w:pStyle w:val="23"/>
                      <w:jc w:val="center"/>
                      <w:rPr>
                        <w:rFonts w:hint="default" w:ascii="Times New Roman" w:hAnsi="Times New Roman" w:cs="Times New Roman"/>
                      </w:rPr>
                    </w:pP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PAGE  \* MERGEFORMAT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I</w:t>
                    </w:r>
                    <w:r>
                      <w:rPr>
                        <w:rFonts w:hint="default" w:ascii="Times New Roman" w:hAnsi="Times New Roman" w:cs="Times New Roman"/>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09000">
    <w:pPr>
      <w:pStyle w:val="23"/>
      <w:jc w:val="center"/>
      <w:rPr>
        <w:rFonts w:hint="eastAsia" w:eastAsia="宋体"/>
        <w:lang w:eastAsia="zh-CN"/>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2182FA6">
                          <w:pPr>
                            <w:pStyle w:val="23"/>
                            <w:jc w:val="center"/>
                            <w:rPr>
                              <w:rFonts w:hint="default" w:ascii="Times New Roman" w:hAnsi="Times New Roman" w:cs="Times New Roman"/>
                            </w:rPr>
                          </w:pP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PAGE  \* MERGEFORMAT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I</w:t>
                          </w:r>
                          <w:r>
                            <w:rPr>
                              <w:rFonts w:hint="default" w:ascii="Times New Roman" w:hAnsi="Times New Roman" w:cs="Times New Roman"/>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s0lY7tAAAAAFAQAADwAAAAAAAAABACAAAAAiAAAAZHJz&#10;L2Rvd25yZXYueG1sUEsBAhQAFAAAAAgAh07iQHdhBwvTAQAApAMAAA4AAAAAAAAAAQAgAAAAHwEA&#10;AGRycy9lMm9Eb2MueG1sUEsFBgAAAAAGAAYAWQEAAGQFAAAAAA==&#10;">
              <v:fill on="f" focussize="0,0"/>
              <v:stroke on="f" weight="0.5pt"/>
              <v:imagedata o:title=""/>
              <o:lock v:ext="edit" aspectratio="f"/>
              <v:textbox inset="0mm,0mm,0mm,0mm" style="mso-fit-shape-to-text:t;">
                <w:txbxContent>
                  <w:p w14:paraId="12182FA6">
                    <w:pPr>
                      <w:pStyle w:val="23"/>
                      <w:jc w:val="center"/>
                      <w:rPr>
                        <w:rFonts w:hint="default" w:ascii="Times New Roman" w:hAnsi="Times New Roman" w:cs="Times New Roman"/>
                      </w:rPr>
                    </w:pP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PAGE  \* MERGEFORMAT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I</w:t>
                    </w:r>
                    <w:r>
                      <w:rPr>
                        <w:rFonts w:hint="default" w:ascii="Times New Roman" w:hAnsi="Times New Roman" w:cs="Times New Roman"/>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99811">
    <w:pPr>
      <w:pStyle w:val="2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021B5D">
                          <w:pPr>
                            <w:pStyle w:val="2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14:paraId="52021B5D">
                    <w:pPr>
                      <w:pStyle w:val="2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ADE6A">
    <w:pPr>
      <w:pStyle w:val="23"/>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A03999">
                          <w:pPr>
                            <w:pStyle w:val="2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EA03999">
                    <w:pPr>
                      <w:pStyle w:val="2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95EAC">
    <w:pPr>
      <w:pStyle w:val="2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8E1F6">
    <w:pPr>
      <w:pStyle w:val="24"/>
      <w:jc w:val="center"/>
    </w:pPr>
    <w:bookmarkStart w:id="105" w:name="OLE_LINK1"/>
    <w:r>
      <w:rPr>
        <w:rFonts w:hint="eastAsia"/>
        <w:lang w:eastAsia="zh-CN"/>
      </w:rPr>
      <w:t>阳东区</w:t>
    </w:r>
    <w:r>
      <w:rPr>
        <w:rFonts w:hint="eastAsia"/>
        <w:lang w:val="en-US" w:eastAsia="zh-CN"/>
      </w:rPr>
      <w:t>大八镇</w:t>
    </w:r>
    <w:r>
      <w:rPr>
        <w:rFonts w:hint="eastAsia"/>
        <w:lang w:eastAsia="zh-CN"/>
      </w:rPr>
      <w:t>污水处理厂</w:t>
    </w:r>
    <w:r>
      <w:rPr>
        <w:rFonts w:hint="eastAsia"/>
      </w:rPr>
      <w:t>入河排污口设置论证报告</w:t>
    </w:r>
    <w:bookmarkEnd w:id="105"/>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0EB71">
    <w:pPr>
      <w:pStyle w:val="24"/>
      <w:jc w:val="center"/>
    </w:pPr>
    <w:r>
      <w:rPr>
        <w:rFonts w:hint="eastAsia"/>
        <w:lang w:eastAsia="zh-CN"/>
      </w:rPr>
      <w:t>阳东区</w:t>
    </w:r>
    <w:r>
      <w:rPr>
        <w:rFonts w:hint="eastAsia"/>
        <w:lang w:val="en-US" w:eastAsia="zh-CN"/>
      </w:rPr>
      <w:t>大八镇</w:t>
    </w:r>
    <w:r>
      <w:rPr>
        <w:rFonts w:hint="eastAsia"/>
        <w:lang w:eastAsia="zh-CN"/>
      </w:rPr>
      <w:t>污水处理厂</w:t>
    </w:r>
    <w:r>
      <w:rPr>
        <w:rFonts w:hint="eastAsia"/>
      </w:rPr>
      <w:t>入河排污口设置论证报告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00420C"/>
    <w:multiLevelType w:val="multilevel"/>
    <w:tmpl w:val="8300420C"/>
    <w:lvl w:ilvl="0" w:tentative="0">
      <w:start w:val="1"/>
      <w:numFmt w:val="decimal"/>
      <w:suff w:val="space"/>
      <w:lvlText w:val="表%1"/>
      <w:lvlJc w:val="left"/>
      <w:pPr>
        <w:tabs>
          <w:tab w:val="left" w:pos="420"/>
        </w:tabs>
        <w:ind w:left="425" w:hanging="425"/>
      </w:pPr>
      <w:rPr>
        <w:rFonts w:hint="default" w:ascii="宋体" w:hAnsi="宋体" w:eastAsia="宋体" w:cs="宋体"/>
      </w:rPr>
    </w:lvl>
    <w:lvl w:ilvl="1" w:tentative="0">
      <w:start w:val="1"/>
      <w:numFmt w:val="decimal"/>
      <w:lvlText w:val="表1.%2"/>
      <w:lvlJc w:val="left"/>
      <w:pPr>
        <w:tabs>
          <w:tab w:val="left" w:pos="420"/>
        </w:tabs>
        <w:ind w:left="567" w:hanging="567"/>
      </w:pPr>
      <w:rPr>
        <w:rFonts w:hint="default" w:ascii="宋体" w:hAnsi="宋体" w:eastAsia="宋体" w:cs="宋体"/>
      </w:rPr>
    </w:lvl>
    <w:lvl w:ilvl="2" w:tentative="0">
      <w:start w:val="1"/>
      <w:numFmt w:val="decimal"/>
      <w:pStyle w:val="48"/>
      <w:suff w:val="space"/>
      <w:lvlText w:val="表1.%2.%3"/>
      <w:lvlJc w:val="left"/>
      <w:pPr>
        <w:tabs>
          <w:tab w:val="left" w:pos="420"/>
        </w:tabs>
        <w:ind w:left="709" w:hanging="709"/>
      </w:pPr>
      <w:rPr>
        <w:rFonts w:hint="default" w:ascii="宋体" w:hAnsi="宋体" w:eastAsia="宋体" w:cs="宋体"/>
      </w:rPr>
    </w:lvl>
    <w:lvl w:ilvl="3" w:tentative="0">
      <w:start w:val="1"/>
      <w:numFmt w:val="decimal"/>
      <w:lvlText w:val="%1.%2.%3.%4."/>
      <w:lvlJc w:val="left"/>
      <w:pPr>
        <w:ind w:left="850" w:hanging="850"/>
      </w:pPr>
      <w:rPr>
        <w:rFonts w:hint="default" w:ascii="宋体" w:hAnsi="宋体" w:eastAsia="宋体" w:cs="宋体"/>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85A5DE5A"/>
    <w:multiLevelType w:val="singleLevel"/>
    <w:tmpl w:val="85A5DE5A"/>
    <w:lvl w:ilvl="0" w:tentative="0">
      <w:start w:val="1"/>
      <w:numFmt w:val="decimal"/>
      <w:suff w:val="nothing"/>
      <w:lvlText w:val="（%1）"/>
      <w:lvlJc w:val="left"/>
    </w:lvl>
  </w:abstractNum>
  <w:abstractNum w:abstractNumId="2">
    <w:nsid w:val="93F1F326"/>
    <w:multiLevelType w:val="singleLevel"/>
    <w:tmpl w:val="93F1F326"/>
    <w:lvl w:ilvl="0" w:tentative="0">
      <w:start w:val="1"/>
      <w:numFmt w:val="bullet"/>
      <w:pStyle w:val="14"/>
      <w:lvlText w:val=""/>
      <w:lvlJc w:val="left"/>
      <w:pPr>
        <w:tabs>
          <w:tab w:val="left" w:pos="780"/>
        </w:tabs>
        <w:ind w:left="780" w:hanging="360"/>
      </w:pPr>
      <w:rPr>
        <w:rFonts w:hint="default" w:ascii="Wingdings" w:hAnsi="Wingdings"/>
      </w:rPr>
    </w:lvl>
  </w:abstractNum>
  <w:abstractNum w:abstractNumId="3">
    <w:nsid w:val="A25FC5D6"/>
    <w:multiLevelType w:val="singleLevel"/>
    <w:tmpl w:val="A25FC5D6"/>
    <w:lvl w:ilvl="0" w:tentative="0">
      <w:start w:val="1"/>
      <w:numFmt w:val="decimal"/>
      <w:suff w:val="nothing"/>
      <w:lvlText w:val="%1、"/>
      <w:lvlJc w:val="left"/>
    </w:lvl>
  </w:abstractNum>
  <w:abstractNum w:abstractNumId="4">
    <w:nsid w:val="EE0A8BBF"/>
    <w:multiLevelType w:val="singleLevel"/>
    <w:tmpl w:val="EE0A8BBF"/>
    <w:lvl w:ilvl="0" w:tentative="0">
      <w:start w:val="2"/>
      <w:numFmt w:val="decimal"/>
      <w:suff w:val="nothing"/>
      <w:lvlText w:val="（%1）"/>
      <w:lvlJc w:val="left"/>
    </w:lvl>
  </w:abstractNum>
  <w:abstractNum w:abstractNumId="5">
    <w:nsid w:val="1DFE628B"/>
    <w:multiLevelType w:val="multilevel"/>
    <w:tmpl w:val="1DFE628B"/>
    <w:lvl w:ilvl="0" w:tentative="0">
      <w:start w:val="1"/>
      <w:numFmt w:val="decimal"/>
      <w:pStyle w:val="3"/>
      <w:isLgl/>
      <w:suff w:val="space"/>
      <w:lvlText w:val="%1"/>
      <w:lvlJc w:val="center"/>
      <w:pPr>
        <w:tabs>
          <w:tab w:val="left" w:pos="0"/>
        </w:tabs>
        <w:ind w:left="2694" w:firstLine="0"/>
      </w:pPr>
      <w:rPr>
        <w:rFonts w:hint="default" w:ascii="宋体" w:hAnsi="宋体" w:eastAsia="宋体" w:cs="宋体"/>
        <w:b/>
        <w:i w:val="0"/>
        <w:sz w:val="36"/>
        <w:szCs w:val="36"/>
      </w:rPr>
    </w:lvl>
    <w:lvl w:ilvl="1" w:tentative="0">
      <w:start w:val="1"/>
      <w:numFmt w:val="decimal"/>
      <w:pStyle w:val="4"/>
      <w:isLgl/>
      <w:suff w:val="space"/>
      <w:lvlText w:val="%1.%2"/>
      <w:lvlJc w:val="left"/>
      <w:pPr>
        <w:tabs>
          <w:tab w:val="left" w:pos="483"/>
        </w:tabs>
        <w:ind w:left="483" w:hanging="57"/>
      </w:pPr>
      <w:rPr>
        <w:rFonts w:hint="default" w:ascii="宋体" w:hAnsi="宋体" w:eastAsia="宋体" w:cs="宋体"/>
      </w:rPr>
    </w:lvl>
    <w:lvl w:ilvl="2" w:tentative="0">
      <w:start w:val="1"/>
      <w:numFmt w:val="decimal"/>
      <w:pStyle w:val="5"/>
      <w:isLgl/>
      <w:suff w:val="space"/>
      <w:lvlText w:val="%1.%2.%3"/>
      <w:lvlJc w:val="left"/>
      <w:pPr>
        <w:tabs>
          <w:tab w:val="left" w:pos="420"/>
        </w:tabs>
        <w:ind w:left="426" w:firstLine="0"/>
      </w:pPr>
      <w:rPr>
        <w:rFonts w:hint="default" w:ascii="宋体" w:hAnsi="宋体" w:eastAsia="宋体" w:cs="宋体"/>
        <w:lang w:val="en-US"/>
      </w:rPr>
    </w:lvl>
    <w:lvl w:ilvl="3" w:tentative="0">
      <w:start w:val="1"/>
      <w:numFmt w:val="decimal"/>
      <w:lvlRestart w:val="2"/>
      <w:pStyle w:val="7"/>
      <w:suff w:val="space"/>
      <w:lvlText w:val="表%1.%2-%4"/>
      <w:lvlJc w:val="left"/>
      <w:pPr>
        <w:tabs>
          <w:tab w:val="left" w:pos="0"/>
        </w:tabs>
        <w:ind w:left="3" w:hanging="57"/>
      </w:pPr>
      <w:rPr>
        <w:rFonts w:hint="default" w:ascii="宋体" w:hAnsi="宋体" w:eastAsia="宋体" w:cs="宋体"/>
        <w:b/>
        <w:i w:val="0"/>
      </w:rPr>
    </w:lvl>
    <w:lvl w:ilvl="4" w:tentative="0">
      <w:start w:val="1"/>
      <w:numFmt w:val="decimal"/>
      <w:lvlRestart w:val="2"/>
      <w:pStyle w:val="8"/>
      <w:suff w:val="space"/>
      <w:lvlText w:val="图%1.%2-%5"/>
      <w:lvlJc w:val="left"/>
      <w:pPr>
        <w:tabs>
          <w:tab w:val="left" w:pos="0"/>
        </w:tabs>
        <w:ind w:left="4536" w:hanging="850"/>
      </w:pPr>
      <w:rPr>
        <w:rFonts w:hint="default" w:ascii="宋体" w:hAnsi="宋体" w:eastAsia="宋体" w:cs="宋体"/>
      </w:rPr>
    </w:lvl>
    <w:lvl w:ilvl="5" w:tentative="0">
      <w:start w:val="1"/>
      <w:numFmt w:val="decimal"/>
      <w:lvlText w:val="图%1.%2.%3.%4.%5.%6"/>
      <w:lvlJc w:val="left"/>
      <w:pPr>
        <w:tabs>
          <w:tab w:val="left" w:pos="420"/>
        </w:tabs>
        <w:ind w:left="3206" w:hanging="1134"/>
      </w:pPr>
      <w:rPr>
        <w:rFonts w:hint="default" w:ascii="宋体" w:hAnsi="宋体" w:eastAsia="宋体" w:cs="宋体"/>
      </w:rPr>
    </w:lvl>
    <w:lvl w:ilvl="6" w:tentative="0">
      <w:start w:val="1"/>
      <w:numFmt w:val="decimal"/>
      <w:lvlText w:val="%1.%2.%3.%4.%5.%6.%7"/>
      <w:lvlJc w:val="left"/>
      <w:pPr>
        <w:tabs>
          <w:tab w:val="left" w:pos="5017"/>
        </w:tabs>
        <w:ind w:left="3773" w:hanging="1276"/>
      </w:pPr>
      <w:rPr>
        <w:rFonts w:hint="eastAsia"/>
      </w:rPr>
    </w:lvl>
    <w:lvl w:ilvl="7" w:tentative="0">
      <w:start w:val="1"/>
      <w:numFmt w:val="decimal"/>
      <w:lvlText w:val="%1.%2.%3.%4.%5.%6.%7.%8"/>
      <w:lvlJc w:val="left"/>
      <w:pPr>
        <w:tabs>
          <w:tab w:val="left" w:pos="5442"/>
        </w:tabs>
        <w:ind w:left="4340" w:hanging="1418"/>
      </w:pPr>
      <w:rPr>
        <w:rFonts w:hint="eastAsia"/>
      </w:rPr>
    </w:lvl>
    <w:lvl w:ilvl="8" w:tentative="0">
      <w:start w:val="1"/>
      <w:numFmt w:val="decimal"/>
      <w:lvlText w:val="%1.%2.%3.%4.%5.%6.%7.%8.%9"/>
      <w:lvlJc w:val="left"/>
      <w:pPr>
        <w:tabs>
          <w:tab w:val="left" w:pos="6228"/>
        </w:tabs>
        <w:ind w:left="5048" w:hanging="1700"/>
      </w:pPr>
      <w:rPr>
        <w:rFonts w:hint="eastAsia"/>
      </w:rPr>
    </w:lvl>
  </w:abstractNum>
  <w:abstractNum w:abstractNumId="6">
    <w:nsid w:val="31D989F2"/>
    <w:multiLevelType w:val="singleLevel"/>
    <w:tmpl w:val="31D989F2"/>
    <w:lvl w:ilvl="0" w:tentative="0">
      <w:start w:val="1"/>
      <w:numFmt w:val="decimal"/>
      <w:suff w:val="nothing"/>
      <w:lvlText w:val="（%1）"/>
      <w:lvlJc w:val="left"/>
    </w:lvl>
  </w:abstractNum>
  <w:abstractNum w:abstractNumId="7">
    <w:nsid w:val="56332C77"/>
    <w:multiLevelType w:val="multilevel"/>
    <w:tmpl w:val="56332C77"/>
    <w:lvl w:ilvl="0" w:tentative="0">
      <w:start w:val="1"/>
      <w:numFmt w:val="decimal"/>
      <w:suff w:val="space"/>
      <w:lvlText w:val="%1"/>
      <w:lvlJc w:val="center"/>
      <w:pPr>
        <w:tabs>
          <w:tab w:val="left" w:pos="2694"/>
        </w:tabs>
        <w:ind w:left="2694" w:firstLine="0"/>
      </w:pPr>
      <w:rPr>
        <w:rFonts w:hint="default" w:eastAsia="宋体"/>
        <w:b/>
        <w:i w:val="0"/>
        <w:sz w:val="36"/>
        <w:szCs w:val="36"/>
      </w:rPr>
    </w:lvl>
    <w:lvl w:ilvl="1" w:tentative="0">
      <w:start w:val="1"/>
      <w:numFmt w:val="decimal"/>
      <w:suff w:val="space"/>
      <w:lvlText w:val="%1.%2"/>
      <w:lvlJc w:val="left"/>
      <w:pPr>
        <w:tabs>
          <w:tab w:val="left" w:pos="483"/>
        </w:tabs>
        <w:ind w:left="483" w:hanging="57"/>
      </w:pPr>
      <w:rPr>
        <w:rFonts w:hint="default" w:eastAsia="宋体"/>
      </w:rPr>
    </w:lvl>
    <w:lvl w:ilvl="2" w:tentative="0">
      <w:start w:val="1"/>
      <w:numFmt w:val="decimal"/>
      <w:suff w:val="space"/>
      <w:lvlText w:val="%1.%2.%3"/>
      <w:lvlJc w:val="left"/>
      <w:pPr>
        <w:tabs>
          <w:tab w:val="left" w:pos="426"/>
        </w:tabs>
        <w:ind w:left="426" w:firstLine="0"/>
      </w:pPr>
      <w:rPr>
        <w:lang w:val="en-US"/>
      </w:rPr>
    </w:lvl>
    <w:lvl w:ilvl="3" w:tentative="0">
      <w:start w:val="1"/>
      <w:numFmt w:val="decimal"/>
      <w:suff w:val="space"/>
      <w:lvlText w:val="%1.%2.%3.%4"/>
      <w:lvlJc w:val="left"/>
      <w:pPr>
        <w:tabs>
          <w:tab w:val="left" w:pos="3"/>
        </w:tabs>
        <w:ind w:left="3" w:hanging="57"/>
      </w:pPr>
      <w:rPr>
        <w:rFonts w:hint="default" w:ascii="Times New Roman" w:hAnsi="Times New Roman" w:eastAsia="宋体" w:cs="宋体"/>
        <w:b/>
        <w:i w:val="0"/>
      </w:rPr>
    </w:lvl>
    <w:lvl w:ilvl="4" w:tentative="0">
      <w:start w:val="1"/>
      <w:numFmt w:val="decimal"/>
      <w:lvlText w:val="%1.%2.%3.%4.%5"/>
      <w:lvlJc w:val="left"/>
      <w:pPr>
        <w:tabs>
          <w:tab w:val="left" w:pos="3447"/>
        </w:tabs>
        <w:ind w:left="2497" w:hanging="850"/>
      </w:pPr>
      <w:rPr>
        <w:rFonts w:hint="eastAsia"/>
      </w:rPr>
    </w:lvl>
    <w:lvl w:ilvl="5" w:tentative="0">
      <w:start w:val="1"/>
      <w:numFmt w:val="decimal"/>
      <w:lvlText w:val="%1.%2.%3.%4.%5.%6"/>
      <w:lvlJc w:val="left"/>
      <w:pPr>
        <w:tabs>
          <w:tab w:val="left" w:pos="4232"/>
        </w:tabs>
        <w:ind w:left="3206" w:hanging="1134"/>
      </w:pPr>
      <w:rPr>
        <w:rFonts w:hint="eastAsia"/>
      </w:rPr>
    </w:lvl>
    <w:lvl w:ilvl="6" w:tentative="0">
      <w:start w:val="1"/>
      <w:numFmt w:val="decimal"/>
      <w:lvlText w:val="%1.%2.%3.%4.%5.%6.%7"/>
      <w:lvlJc w:val="left"/>
      <w:pPr>
        <w:tabs>
          <w:tab w:val="left" w:pos="5017"/>
        </w:tabs>
        <w:ind w:left="3773" w:hanging="1276"/>
      </w:pPr>
      <w:rPr>
        <w:rFonts w:hint="eastAsia"/>
      </w:rPr>
    </w:lvl>
    <w:lvl w:ilvl="7" w:tentative="0">
      <w:start w:val="1"/>
      <w:numFmt w:val="decimal"/>
      <w:lvlText w:val="%1.%2.%3.%4.%5.%6.%7.%8"/>
      <w:lvlJc w:val="left"/>
      <w:pPr>
        <w:tabs>
          <w:tab w:val="left" w:pos="5442"/>
        </w:tabs>
        <w:ind w:left="4340" w:hanging="1418"/>
      </w:pPr>
      <w:rPr>
        <w:rFonts w:hint="eastAsia"/>
      </w:rPr>
    </w:lvl>
    <w:lvl w:ilvl="8" w:tentative="0">
      <w:start w:val="1"/>
      <w:numFmt w:val="decimal"/>
      <w:lvlText w:val="%1.%2.%3.%4.%5.%6.%7.%8.%9"/>
      <w:lvlJc w:val="left"/>
      <w:pPr>
        <w:tabs>
          <w:tab w:val="left" w:pos="6228"/>
        </w:tabs>
        <w:ind w:left="5048" w:hanging="1700"/>
      </w:pPr>
      <w:rPr>
        <w:rFonts w:hint="eastAsia"/>
      </w:rPr>
    </w:lvl>
  </w:abstractNum>
  <w:abstractNum w:abstractNumId="8">
    <w:nsid w:val="70116A3D"/>
    <w:multiLevelType w:val="multilevel"/>
    <w:tmpl w:val="70116A3D"/>
    <w:lvl w:ilvl="0" w:tentative="0">
      <w:start w:val="1"/>
      <w:numFmt w:val="decimal"/>
      <w:isLgl/>
      <w:suff w:val="space"/>
      <w:lvlText w:val="%1"/>
      <w:lvlJc w:val="center"/>
      <w:pPr>
        <w:tabs>
          <w:tab w:val="left" w:pos="0"/>
        </w:tabs>
        <w:ind w:left="2694" w:firstLine="0"/>
      </w:pPr>
      <w:rPr>
        <w:rFonts w:hint="default" w:ascii="宋体" w:hAnsi="宋体" w:eastAsia="宋体" w:cs="宋体"/>
        <w:b/>
        <w:i w:val="0"/>
        <w:sz w:val="36"/>
        <w:szCs w:val="36"/>
      </w:rPr>
    </w:lvl>
    <w:lvl w:ilvl="1" w:tentative="0">
      <w:start w:val="1"/>
      <w:numFmt w:val="decimal"/>
      <w:isLgl/>
      <w:suff w:val="space"/>
      <w:lvlText w:val="%1.%2"/>
      <w:lvlJc w:val="left"/>
      <w:pPr>
        <w:tabs>
          <w:tab w:val="left" w:pos="0"/>
        </w:tabs>
        <w:ind w:left="0" w:firstLine="426"/>
      </w:pPr>
      <w:rPr>
        <w:b w:val="0"/>
        <w:bCs w:val="0"/>
        <w:i w:val="0"/>
        <w:iCs w:val="0"/>
        <w:caps w:val="0"/>
        <w:smallCaps w:val="0"/>
        <w:strike w:val="0"/>
        <w:dstrike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2" w:tentative="0">
      <w:start w:val="1"/>
      <w:numFmt w:val="decimal"/>
      <w:isLgl/>
      <w:suff w:val="space"/>
      <w:lvlText w:val="%1.%2.%3"/>
      <w:lvlJc w:val="left"/>
      <w:pPr>
        <w:tabs>
          <w:tab w:val="left" w:pos="0"/>
        </w:tabs>
        <w:ind w:left="0" w:firstLine="0"/>
      </w:pPr>
      <w:rPr>
        <w:rFonts w:hint="default" w:ascii="Times New Roman" w:hAnsi="Times New Roman" w:eastAsia="宋体" w:cs="宋体"/>
        <w:lang w:val="en-US"/>
      </w:rPr>
    </w:lvl>
    <w:lvl w:ilvl="3" w:tentative="0">
      <w:start w:val="1"/>
      <w:numFmt w:val="decimal"/>
      <w:lvlRestart w:val="2"/>
      <w:suff w:val="space"/>
      <w:lvlText w:val="%1.%2.%3.%4"/>
      <w:lvlJc w:val="left"/>
      <w:pPr>
        <w:tabs>
          <w:tab w:val="left" w:pos="0"/>
        </w:tabs>
        <w:ind w:left="3" w:hanging="57"/>
      </w:pPr>
      <w:rPr>
        <w:rFonts w:hint="default" w:ascii="Times New Roman" w:hAnsi="Times New Roman" w:eastAsia="宋体" w:cs="宋体"/>
        <w:b/>
        <w:i w:val="0"/>
      </w:rPr>
    </w:lvl>
    <w:lvl w:ilvl="4" w:tentative="0">
      <w:start w:val="1"/>
      <w:numFmt w:val="decimal"/>
      <w:lvlRestart w:val="2"/>
      <w:suff w:val="space"/>
      <w:lvlText w:val="图%1.%2-%5"/>
      <w:lvlJc w:val="left"/>
      <w:pPr>
        <w:tabs>
          <w:tab w:val="left" w:pos="0"/>
        </w:tabs>
        <w:ind w:left="4536" w:hanging="850"/>
      </w:pPr>
      <w:rPr>
        <w:rFonts w:hint="default" w:ascii="Times New Roman" w:hAnsi="Times New Roman" w:eastAsia="宋体" w:cs="宋体"/>
      </w:rPr>
    </w:lvl>
    <w:lvl w:ilvl="5" w:tentative="0">
      <w:start w:val="1"/>
      <w:numFmt w:val="decimal"/>
      <w:lvlRestart w:val="2"/>
      <w:pStyle w:val="9"/>
      <w:suff w:val="space"/>
      <w:lvlText w:val="表%1.%2-%6"/>
      <w:lvlJc w:val="left"/>
      <w:pPr>
        <w:tabs>
          <w:tab w:val="left" w:pos="0"/>
        </w:tabs>
        <w:ind w:left="3206" w:hanging="1134"/>
      </w:pPr>
      <w:rPr>
        <w:rFonts w:hint="default" w:ascii="Times New Roman" w:hAnsi="Times New Roman" w:eastAsia="宋体" w:cs="宋体"/>
      </w:rPr>
    </w:lvl>
    <w:lvl w:ilvl="6" w:tentative="0">
      <w:start w:val="1"/>
      <w:numFmt w:val="decimal"/>
      <w:lvlText w:val="%1.%2.%3.%4.%5.%6.%7"/>
      <w:lvlJc w:val="left"/>
      <w:pPr>
        <w:tabs>
          <w:tab w:val="left" w:pos="5017"/>
        </w:tabs>
        <w:ind w:left="3773" w:hanging="1276"/>
      </w:pPr>
      <w:rPr>
        <w:rFonts w:hint="eastAsia"/>
      </w:rPr>
    </w:lvl>
    <w:lvl w:ilvl="7" w:tentative="0">
      <w:start w:val="1"/>
      <w:numFmt w:val="decimal"/>
      <w:lvlText w:val="%1.%2.%3.%4.%5.%6.%7.%8"/>
      <w:lvlJc w:val="left"/>
      <w:pPr>
        <w:tabs>
          <w:tab w:val="left" w:pos="5442"/>
        </w:tabs>
        <w:ind w:left="4340" w:hanging="1418"/>
      </w:pPr>
      <w:rPr>
        <w:rFonts w:hint="eastAsia"/>
      </w:rPr>
    </w:lvl>
    <w:lvl w:ilvl="8" w:tentative="0">
      <w:start w:val="1"/>
      <w:numFmt w:val="decimal"/>
      <w:lvlText w:val="%1.%2.%3.%4.%5.%6.%7.%8.%9"/>
      <w:lvlJc w:val="left"/>
      <w:pPr>
        <w:tabs>
          <w:tab w:val="left" w:pos="6228"/>
        </w:tabs>
        <w:ind w:left="5048" w:hanging="1700"/>
      </w:pPr>
      <w:rPr>
        <w:rFonts w:hint="eastAsia"/>
      </w:rPr>
    </w:lvl>
  </w:abstractNum>
  <w:num w:numId="1">
    <w:abstractNumId w:val="5"/>
  </w:num>
  <w:num w:numId="2">
    <w:abstractNumId w:val="8"/>
  </w:num>
  <w:num w:numId="3">
    <w:abstractNumId w:val="2"/>
  </w:num>
  <w:num w:numId="4">
    <w:abstractNumId w:val="0"/>
  </w:num>
  <w:num w:numId="5">
    <w:abstractNumId w:val="7"/>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3"/>
  </w:num>
  <w:num w:numId="9">
    <w:abstractNumId w:val="1"/>
  </w:num>
  <w:num w:numId="10">
    <w:abstractNumId w:val="6"/>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documentProtection w:edit="forms" w:enforcement="1" w:cryptProviderType="rsaFull" w:cryptAlgorithmClass="hash" w:cryptAlgorithmType="typeAny" w:cryptAlgorithmSid="4" w:cryptSpinCount="0" w:hash="//xWHkhj1EZ3mQCwqd1S5CQf7dI=" w:salt="Yc+ESvAjhE8Vv8bQE/omuA=="/>
  <w:defaultTabStop w:val="489"/>
  <w:drawingGridHorizontalSpacing w:val="210"/>
  <w:drawingGridVerticalSpacing w:val="161"/>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hhNzk5MDc0Yzk3NGZiYWM3ZTUxYWFmNzdkM2NjMGYifQ=="/>
  </w:docVars>
  <w:rsids>
    <w:rsidRoot w:val="00172A27"/>
    <w:rsid w:val="000736AA"/>
    <w:rsid w:val="000A3F7D"/>
    <w:rsid w:val="00172A27"/>
    <w:rsid w:val="001A0EBB"/>
    <w:rsid w:val="001B1AC6"/>
    <w:rsid w:val="001B6969"/>
    <w:rsid w:val="001F6559"/>
    <w:rsid w:val="002D150D"/>
    <w:rsid w:val="00346713"/>
    <w:rsid w:val="00380517"/>
    <w:rsid w:val="0038367F"/>
    <w:rsid w:val="003A1D3F"/>
    <w:rsid w:val="003E4E32"/>
    <w:rsid w:val="003F5A33"/>
    <w:rsid w:val="004054B1"/>
    <w:rsid w:val="004260E4"/>
    <w:rsid w:val="00473CCD"/>
    <w:rsid w:val="004A6469"/>
    <w:rsid w:val="004D04AE"/>
    <w:rsid w:val="004F10C8"/>
    <w:rsid w:val="00506152"/>
    <w:rsid w:val="00550B71"/>
    <w:rsid w:val="00572EEC"/>
    <w:rsid w:val="00602E4B"/>
    <w:rsid w:val="0069285F"/>
    <w:rsid w:val="006D6F3B"/>
    <w:rsid w:val="00711309"/>
    <w:rsid w:val="00727B3A"/>
    <w:rsid w:val="007641C1"/>
    <w:rsid w:val="007B74B6"/>
    <w:rsid w:val="007D75D7"/>
    <w:rsid w:val="007F540D"/>
    <w:rsid w:val="00834839"/>
    <w:rsid w:val="00901A7C"/>
    <w:rsid w:val="009A0F83"/>
    <w:rsid w:val="009C3899"/>
    <w:rsid w:val="00A010BF"/>
    <w:rsid w:val="00A1125E"/>
    <w:rsid w:val="00A44500"/>
    <w:rsid w:val="00AD7B5F"/>
    <w:rsid w:val="00C6107C"/>
    <w:rsid w:val="00C72F17"/>
    <w:rsid w:val="00CC1FBA"/>
    <w:rsid w:val="00CC6C1D"/>
    <w:rsid w:val="00CD3F3D"/>
    <w:rsid w:val="00CE3E46"/>
    <w:rsid w:val="00D934B0"/>
    <w:rsid w:val="00D95C4E"/>
    <w:rsid w:val="00DB3657"/>
    <w:rsid w:val="00E500F0"/>
    <w:rsid w:val="00E537E4"/>
    <w:rsid w:val="00E9739D"/>
    <w:rsid w:val="00EA0C3F"/>
    <w:rsid w:val="00F9636A"/>
    <w:rsid w:val="00FB162A"/>
    <w:rsid w:val="00FB2DCF"/>
    <w:rsid w:val="01530474"/>
    <w:rsid w:val="01A84D10"/>
    <w:rsid w:val="01DD0ECD"/>
    <w:rsid w:val="01EB5A3E"/>
    <w:rsid w:val="01F9795D"/>
    <w:rsid w:val="023A2057"/>
    <w:rsid w:val="02482133"/>
    <w:rsid w:val="02C106BF"/>
    <w:rsid w:val="02D532EA"/>
    <w:rsid w:val="02DA7D31"/>
    <w:rsid w:val="02E04DF1"/>
    <w:rsid w:val="03974073"/>
    <w:rsid w:val="03A217C0"/>
    <w:rsid w:val="03D6193C"/>
    <w:rsid w:val="03EE30ED"/>
    <w:rsid w:val="0407578C"/>
    <w:rsid w:val="040C7CA3"/>
    <w:rsid w:val="040E3170"/>
    <w:rsid w:val="04403630"/>
    <w:rsid w:val="04516A6D"/>
    <w:rsid w:val="045A48A0"/>
    <w:rsid w:val="045A780D"/>
    <w:rsid w:val="047359FB"/>
    <w:rsid w:val="04CB4CB9"/>
    <w:rsid w:val="04D25AC5"/>
    <w:rsid w:val="05053D99"/>
    <w:rsid w:val="0512573D"/>
    <w:rsid w:val="05936C2E"/>
    <w:rsid w:val="059E75A5"/>
    <w:rsid w:val="05A2224D"/>
    <w:rsid w:val="05BC4C2B"/>
    <w:rsid w:val="05CA7B1C"/>
    <w:rsid w:val="05F72E03"/>
    <w:rsid w:val="063159AC"/>
    <w:rsid w:val="06841F9B"/>
    <w:rsid w:val="068D2F6C"/>
    <w:rsid w:val="06973257"/>
    <w:rsid w:val="06B3744A"/>
    <w:rsid w:val="06E63D39"/>
    <w:rsid w:val="06E96D0E"/>
    <w:rsid w:val="075854A9"/>
    <w:rsid w:val="07883897"/>
    <w:rsid w:val="081467CC"/>
    <w:rsid w:val="08293B77"/>
    <w:rsid w:val="085A2792"/>
    <w:rsid w:val="086049F2"/>
    <w:rsid w:val="08836CFF"/>
    <w:rsid w:val="08872E9E"/>
    <w:rsid w:val="088B65DA"/>
    <w:rsid w:val="08AF0FC4"/>
    <w:rsid w:val="08D31315"/>
    <w:rsid w:val="09297136"/>
    <w:rsid w:val="094E6F5E"/>
    <w:rsid w:val="09792D84"/>
    <w:rsid w:val="09832D95"/>
    <w:rsid w:val="09BC743C"/>
    <w:rsid w:val="09C40D51"/>
    <w:rsid w:val="0A3A4A7B"/>
    <w:rsid w:val="0A6C6588"/>
    <w:rsid w:val="0AA0156B"/>
    <w:rsid w:val="0AB1540C"/>
    <w:rsid w:val="0AB55665"/>
    <w:rsid w:val="0AD35961"/>
    <w:rsid w:val="0B105464"/>
    <w:rsid w:val="0B2165E2"/>
    <w:rsid w:val="0B23632E"/>
    <w:rsid w:val="0B4B5B7C"/>
    <w:rsid w:val="0B733B06"/>
    <w:rsid w:val="0B7865E4"/>
    <w:rsid w:val="0BA1588C"/>
    <w:rsid w:val="0BE272A9"/>
    <w:rsid w:val="0C23066F"/>
    <w:rsid w:val="0C537AC8"/>
    <w:rsid w:val="0CAD4695"/>
    <w:rsid w:val="0D0A617D"/>
    <w:rsid w:val="0D303522"/>
    <w:rsid w:val="0D54363C"/>
    <w:rsid w:val="0D707C2D"/>
    <w:rsid w:val="0D9F284C"/>
    <w:rsid w:val="0DB76807"/>
    <w:rsid w:val="0DCE5B86"/>
    <w:rsid w:val="0DCF1407"/>
    <w:rsid w:val="0DE02D8F"/>
    <w:rsid w:val="0E35144E"/>
    <w:rsid w:val="0E5E0DE5"/>
    <w:rsid w:val="0E69317B"/>
    <w:rsid w:val="0F04494E"/>
    <w:rsid w:val="0F0B2D3F"/>
    <w:rsid w:val="0F16561D"/>
    <w:rsid w:val="0F1E1972"/>
    <w:rsid w:val="0F230706"/>
    <w:rsid w:val="0F234C69"/>
    <w:rsid w:val="0F235D12"/>
    <w:rsid w:val="0F5005BC"/>
    <w:rsid w:val="0F9968C7"/>
    <w:rsid w:val="0FB63091"/>
    <w:rsid w:val="0FE264A5"/>
    <w:rsid w:val="10022328"/>
    <w:rsid w:val="10244670"/>
    <w:rsid w:val="10263120"/>
    <w:rsid w:val="108E3551"/>
    <w:rsid w:val="10C54539"/>
    <w:rsid w:val="10CB6823"/>
    <w:rsid w:val="10D40480"/>
    <w:rsid w:val="10D63717"/>
    <w:rsid w:val="10F7316C"/>
    <w:rsid w:val="11410B59"/>
    <w:rsid w:val="11440BA6"/>
    <w:rsid w:val="116B1634"/>
    <w:rsid w:val="116B6A8F"/>
    <w:rsid w:val="11B92A8C"/>
    <w:rsid w:val="11F2143F"/>
    <w:rsid w:val="12246815"/>
    <w:rsid w:val="123B19BD"/>
    <w:rsid w:val="123C21C1"/>
    <w:rsid w:val="129050BD"/>
    <w:rsid w:val="12984B33"/>
    <w:rsid w:val="129C4906"/>
    <w:rsid w:val="12B914E4"/>
    <w:rsid w:val="12CB1AE1"/>
    <w:rsid w:val="12D94579"/>
    <w:rsid w:val="12E27B77"/>
    <w:rsid w:val="132318D4"/>
    <w:rsid w:val="132E567F"/>
    <w:rsid w:val="13317A8D"/>
    <w:rsid w:val="13395766"/>
    <w:rsid w:val="13750A5E"/>
    <w:rsid w:val="138462E1"/>
    <w:rsid w:val="13A66F38"/>
    <w:rsid w:val="13CB5A8E"/>
    <w:rsid w:val="140338C9"/>
    <w:rsid w:val="141638CB"/>
    <w:rsid w:val="14344DD4"/>
    <w:rsid w:val="14352DC6"/>
    <w:rsid w:val="1461590E"/>
    <w:rsid w:val="146D1E84"/>
    <w:rsid w:val="14817D7F"/>
    <w:rsid w:val="14B5791E"/>
    <w:rsid w:val="14B778A5"/>
    <w:rsid w:val="14D47651"/>
    <w:rsid w:val="14E21EF1"/>
    <w:rsid w:val="154C1931"/>
    <w:rsid w:val="15621EAC"/>
    <w:rsid w:val="156A1844"/>
    <w:rsid w:val="158C1BE5"/>
    <w:rsid w:val="158E5734"/>
    <w:rsid w:val="15942A8E"/>
    <w:rsid w:val="15A32F1C"/>
    <w:rsid w:val="15B67C1A"/>
    <w:rsid w:val="15CD536B"/>
    <w:rsid w:val="15D963FD"/>
    <w:rsid w:val="15F446FF"/>
    <w:rsid w:val="15FA0691"/>
    <w:rsid w:val="16003459"/>
    <w:rsid w:val="161B1EB0"/>
    <w:rsid w:val="163120E6"/>
    <w:rsid w:val="16964176"/>
    <w:rsid w:val="16E96995"/>
    <w:rsid w:val="16EF545A"/>
    <w:rsid w:val="172C55FC"/>
    <w:rsid w:val="17505374"/>
    <w:rsid w:val="175B1FDB"/>
    <w:rsid w:val="176B46EE"/>
    <w:rsid w:val="17A86360"/>
    <w:rsid w:val="17EB31BA"/>
    <w:rsid w:val="17F15A74"/>
    <w:rsid w:val="189A4B23"/>
    <w:rsid w:val="18F87DE3"/>
    <w:rsid w:val="191211A5"/>
    <w:rsid w:val="193D74E7"/>
    <w:rsid w:val="196A34BC"/>
    <w:rsid w:val="198F288E"/>
    <w:rsid w:val="19A56DE7"/>
    <w:rsid w:val="19C60049"/>
    <w:rsid w:val="19D11B6D"/>
    <w:rsid w:val="19D21EF2"/>
    <w:rsid w:val="1A091256"/>
    <w:rsid w:val="1A355193"/>
    <w:rsid w:val="1A555733"/>
    <w:rsid w:val="1A5B49FA"/>
    <w:rsid w:val="1A8E02AA"/>
    <w:rsid w:val="1AA1406F"/>
    <w:rsid w:val="1B3E14ED"/>
    <w:rsid w:val="1B5229CF"/>
    <w:rsid w:val="1B743109"/>
    <w:rsid w:val="1B8F2528"/>
    <w:rsid w:val="1BA051DB"/>
    <w:rsid w:val="1BDC54F1"/>
    <w:rsid w:val="1BE259D9"/>
    <w:rsid w:val="1C0130CD"/>
    <w:rsid w:val="1C497EA0"/>
    <w:rsid w:val="1C4E5E80"/>
    <w:rsid w:val="1C5B4016"/>
    <w:rsid w:val="1C6F33B7"/>
    <w:rsid w:val="1C9A7D23"/>
    <w:rsid w:val="1CB17CB7"/>
    <w:rsid w:val="1CBE732C"/>
    <w:rsid w:val="1CD96E80"/>
    <w:rsid w:val="1D3E308A"/>
    <w:rsid w:val="1D4D3B6F"/>
    <w:rsid w:val="1D621141"/>
    <w:rsid w:val="1D644E09"/>
    <w:rsid w:val="1D68045C"/>
    <w:rsid w:val="1D7149DE"/>
    <w:rsid w:val="1D9A5BBC"/>
    <w:rsid w:val="1DC30BDF"/>
    <w:rsid w:val="1DCA42B3"/>
    <w:rsid w:val="1DD60DFF"/>
    <w:rsid w:val="1DF627FA"/>
    <w:rsid w:val="1DFD3B8B"/>
    <w:rsid w:val="1E3B30F9"/>
    <w:rsid w:val="1E3D3741"/>
    <w:rsid w:val="1E6626EC"/>
    <w:rsid w:val="1E6C0A24"/>
    <w:rsid w:val="1E6D287C"/>
    <w:rsid w:val="1E6E0934"/>
    <w:rsid w:val="1E711C88"/>
    <w:rsid w:val="1E7B3420"/>
    <w:rsid w:val="1EC6413D"/>
    <w:rsid w:val="1ECA1361"/>
    <w:rsid w:val="1ECB2C04"/>
    <w:rsid w:val="1F041935"/>
    <w:rsid w:val="1F5432D0"/>
    <w:rsid w:val="1F616A21"/>
    <w:rsid w:val="1F655EC8"/>
    <w:rsid w:val="1F710AE3"/>
    <w:rsid w:val="1F875F9D"/>
    <w:rsid w:val="1F9E4CAE"/>
    <w:rsid w:val="1FB01BE8"/>
    <w:rsid w:val="1FC60389"/>
    <w:rsid w:val="1FD6321B"/>
    <w:rsid w:val="1FF35DA4"/>
    <w:rsid w:val="1FF566C8"/>
    <w:rsid w:val="20044D18"/>
    <w:rsid w:val="20313C1B"/>
    <w:rsid w:val="20414E52"/>
    <w:rsid w:val="206D6100"/>
    <w:rsid w:val="20E808B8"/>
    <w:rsid w:val="20F42A52"/>
    <w:rsid w:val="211C44E7"/>
    <w:rsid w:val="212E737A"/>
    <w:rsid w:val="216B2508"/>
    <w:rsid w:val="21C00D04"/>
    <w:rsid w:val="21DD6E80"/>
    <w:rsid w:val="21E573BE"/>
    <w:rsid w:val="21FD3C21"/>
    <w:rsid w:val="22162B37"/>
    <w:rsid w:val="221B5AAC"/>
    <w:rsid w:val="224B10CA"/>
    <w:rsid w:val="22B95050"/>
    <w:rsid w:val="22BB4CFE"/>
    <w:rsid w:val="22C93607"/>
    <w:rsid w:val="22DD438E"/>
    <w:rsid w:val="23400B66"/>
    <w:rsid w:val="235E755B"/>
    <w:rsid w:val="237E20FF"/>
    <w:rsid w:val="23D55899"/>
    <w:rsid w:val="245774F6"/>
    <w:rsid w:val="2458446D"/>
    <w:rsid w:val="24A240A4"/>
    <w:rsid w:val="24BA2D1D"/>
    <w:rsid w:val="25255E3E"/>
    <w:rsid w:val="25676001"/>
    <w:rsid w:val="25711B27"/>
    <w:rsid w:val="259B79CB"/>
    <w:rsid w:val="25F51CC2"/>
    <w:rsid w:val="2609607A"/>
    <w:rsid w:val="262D00D4"/>
    <w:rsid w:val="26567FEF"/>
    <w:rsid w:val="266641DC"/>
    <w:rsid w:val="266C3FCC"/>
    <w:rsid w:val="269D1048"/>
    <w:rsid w:val="26CC1C61"/>
    <w:rsid w:val="26F37F60"/>
    <w:rsid w:val="27112725"/>
    <w:rsid w:val="272045A6"/>
    <w:rsid w:val="27530688"/>
    <w:rsid w:val="2754434E"/>
    <w:rsid w:val="27A505EF"/>
    <w:rsid w:val="27DF1DB7"/>
    <w:rsid w:val="27E370EE"/>
    <w:rsid w:val="28152353"/>
    <w:rsid w:val="282636B7"/>
    <w:rsid w:val="283E523E"/>
    <w:rsid w:val="2853621E"/>
    <w:rsid w:val="2872365C"/>
    <w:rsid w:val="28A94DC4"/>
    <w:rsid w:val="28CB14E1"/>
    <w:rsid w:val="28EC1543"/>
    <w:rsid w:val="291474C8"/>
    <w:rsid w:val="2934151F"/>
    <w:rsid w:val="29377C7D"/>
    <w:rsid w:val="294776CA"/>
    <w:rsid w:val="29562602"/>
    <w:rsid w:val="2956270D"/>
    <w:rsid w:val="2975654A"/>
    <w:rsid w:val="29A30D96"/>
    <w:rsid w:val="29EB511B"/>
    <w:rsid w:val="2A0E7144"/>
    <w:rsid w:val="2A3A313B"/>
    <w:rsid w:val="2A4B212B"/>
    <w:rsid w:val="2A8C06D7"/>
    <w:rsid w:val="2A9E1CB6"/>
    <w:rsid w:val="2AD20D39"/>
    <w:rsid w:val="2AD60D87"/>
    <w:rsid w:val="2B0B2D29"/>
    <w:rsid w:val="2B2A3B5F"/>
    <w:rsid w:val="2B3D1DA6"/>
    <w:rsid w:val="2B585517"/>
    <w:rsid w:val="2B877722"/>
    <w:rsid w:val="2BBC5B8E"/>
    <w:rsid w:val="2BD07550"/>
    <w:rsid w:val="2BDB1D5A"/>
    <w:rsid w:val="2C003F9B"/>
    <w:rsid w:val="2C201153"/>
    <w:rsid w:val="2C286B32"/>
    <w:rsid w:val="2C47721E"/>
    <w:rsid w:val="2C49198E"/>
    <w:rsid w:val="2C4F7A95"/>
    <w:rsid w:val="2CF426A3"/>
    <w:rsid w:val="2D3F457C"/>
    <w:rsid w:val="2D4C615A"/>
    <w:rsid w:val="2D7D775B"/>
    <w:rsid w:val="2D8C04D9"/>
    <w:rsid w:val="2DF51A37"/>
    <w:rsid w:val="2E4D32BA"/>
    <w:rsid w:val="2E5034AD"/>
    <w:rsid w:val="2E644296"/>
    <w:rsid w:val="2E8D2F3A"/>
    <w:rsid w:val="2EAD1984"/>
    <w:rsid w:val="2EB83C8C"/>
    <w:rsid w:val="2ED57CFF"/>
    <w:rsid w:val="2F0D05C8"/>
    <w:rsid w:val="2F166B42"/>
    <w:rsid w:val="2F1C0333"/>
    <w:rsid w:val="2F336A8C"/>
    <w:rsid w:val="2F750750"/>
    <w:rsid w:val="2FF75423"/>
    <w:rsid w:val="30094652"/>
    <w:rsid w:val="30112E4A"/>
    <w:rsid w:val="30142403"/>
    <w:rsid w:val="302109F2"/>
    <w:rsid w:val="30542A08"/>
    <w:rsid w:val="3083527A"/>
    <w:rsid w:val="30B9248F"/>
    <w:rsid w:val="30D50061"/>
    <w:rsid w:val="30DC2FB1"/>
    <w:rsid w:val="30F90B37"/>
    <w:rsid w:val="31060FD3"/>
    <w:rsid w:val="311A4176"/>
    <w:rsid w:val="313A2410"/>
    <w:rsid w:val="31A0132E"/>
    <w:rsid w:val="31B2544B"/>
    <w:rsid w:val="31C01C33"/>
    <w:rsid w:val="31C13975"/>
    <w:rsid w:val="31C854D0"/>
    <w:rsid w:val="31EA7D30"/>
    <w:rsid w:val="322E44DA"/>
    <w:rsid w:val="3237066C"/>
    <w:rsid w:val="3242304A"/>
    <w:rsid w:val="325755DE"/>
    <w:rsid w:val="329F67F7"/>
    <w:rsid w:val="32A211B5"/>
    <w:rsid w:val="32BC3330"/>
    <w:rsid w:val="32C4563F"/>
    <w:rsid w:val="33131A92"/>
    <w:rsid w:val="331A3D0B"/>
    <w:rsid w:val="335E5CD2"/>
    <w:rsid w:val="33CC445E"/>
    <w:rsid w:val="33E97926"/>
    <w:rsid w:val="341D5FD0"/>
    <w:rsid w:val="343B3BD0"/>
    <w:rsid w:val="345936B0"/>
    <w:rsid w:val="34A73AC3"/>
    <w:rsid w:val="351659C1"/>
    <w:rsid w:val="353E5B35"/>
    <w:rsid w:val="355A4B12"/>
    <w:rsid w:val="355C6D98"/>
    <w:rsid w:val="356D5255"/>
    <w:rsid w:val="35781999"/>
    <w:rsid w:val="358626DA"/>
    <w:rsid w:val="358B13D7"/>
    <w:rsid w:val="359852DF"/>
    <w:rsid w:val="359F7506"/>
    <w:rsid w:val="35A829B0"/>
    <w:rsid w:val="35B9171A"/>
    <w:rsid w:val="35ED19A9"/>
    <w:rsid w:val="36004AAF"/>
    <w:rsid w:val="360E0803"/>
    <w:rsid w:val="36201826"/>
    <w:rsid w:val="3635463A"/>
    <w:rsid w:val="367C1A2C"/>
    <w:rsid w:val="368E4EC2"/>
    <w:rsid w:val="36B012F3"/>
    <w:rsid w:val="36F866D5"/>
    <w:rsid w:val="371428C0"/>
    <w:rsid w:val="37404BD2"/>
    <w:rsid w:val="37943E81"/>
    <w:rsid w:val="37C206B9"/>
    <w:rsid w:val="37E51CCB"/>
    <w:rsid w:val="38641A31"/>
    <w:rsid w:val="386D2968"/>
    <w:rsid w:val="38D35357"/>
    <w:rsid w:val="38EB6C6E"/>
    <w:rsid w:val="39184A21"/>
    <w:rsid w:val="39693C1E"/>
    <w:rsid w:val="39AC56D7"/>
    <w:rsid w:val="39BF03AE"/>
    <w:rsid w:val="39D030D1"/>
    <w:rsid w:val="3A4A79E1"/>
    <w:rsid w:val="3A4F445A"/>
    <w:rsid w:val="3A560646"/>
    <w:rsid w:val="3A5C3AF7"/>
    <w:rsid w:val="3A5F3361"/>
    <w:rsid w:val="3A8320DA"/>
    <w:rsid w:val="3A8D410D"/>
    <w:rsid w:val="3AE348DC"/>
    <w:rsid w:val="3B117F36"/>
    <w:rsid w:val="3B235BB7"/>
    <w:rsid w:val="3B4D6B05"/>
    <w:rsid w:val="3B7971BF"/>
    <w:rsid w:val="3B9F3E2A"/>
    <w:rsid w:val="3BA00425"/>
    <w:rsid w:val="3BD66672"/>
    <w:rsid w:val="3BDD5D37"/>
    <w:rsid w:val="3BF65ED8"/>
    <w:rsid w:val="3BF76C72"/>
    <w:rsid w:val="3C860266"/>
    <w:rsid w:val="3CA12736"/>
    <w:rsid w:val="3CA13310"/>
    <w:rsid w:val="3CC955E5"/>
    <w:rsid w:val="3CD05D6F"/>
    <w:rsid w:val="3CD85E64"/>
    <w:rsid w:val="3CF47E4D"/>
    <w:rsid w:val="3D103806"/>
    <w:rsid w:val="3D1060C5"/>
    <w:rsid w:val="3D5545EE"/>
    <w:rsid w:val="3D717E34"/>
    <w:rsid w:val="3DAB0A92"/>
    <w:rsid w:val="3DC870B7"/>
    <w:rsid w:val="3DD634AE"/>
    <w:rsid w:val="3DEA6644"/>
    <w:rsid w:val="3E080CAD"/>
    <w:rsid w:val="3E11510B"/>
    <w:rsid w:val="3E463752"/>
    <w:rsid w:val="3E551CF5"/>
    <w:rsid w:val="3E6F2CC3"/>
    <w:rsid w:val="3E877F87"/>
    <w:rsid w:val="3E8C0116"/>
    <w:rsid w:val="3EA0507E"/>
    <w:rsid w:val="3EBB2422"/>
    <w:rsid w:val="3EBF3905"/>
    <w:rsid w:val="3EE5398D"/>
    <w:rsid w:val="3EE84954"/>
    <w:rsid w:val="3F032093"/>
    <w:rsid w:val="3F2649DD"/>
    <w:rsid w:val="3F7A47DB"/>
    <w:rsid w:val="3F810F03"/>
    <w:rsid w:val="3F9E5284"/>
    <w:rsid w:val="3FF72AA0"/>
    <w:rsid w:val="40220EC7"/>
    <w:rsid w:val="40237EA8"/>
    <w:rsid w:val="40A81B7E"/>
    <w:rsid w:val="41361A47"/>
    <w:rsid w:val="41723DB6"/>
    <w:rsid w:val="4174263D"/>
    <w:rsid w:val="41B74105"/>
    <w:rsid w:val="41E238BA"/>
    <w:rsid w:val="42360934"/>
    <w:rsid w:val="42B71D1D"/>
    <w:rsid w:val="42DF2524"/>
    <w:rsid w:val="42FB225A"/>
    <w:rsid w:val="43003D64"/>
    <w:rsid w:val="431A215A"/>
    <w:rsid w:val="43262E5F"/>
    <w:rsid w:val="434376DF"/>
    <w:rsid w:val="437E37BE"/>
    <w:rsid w:val="43A73012"/>
    <w:rsid w:val="44213949"/>
    <w:rsid w:val="442D701B"/>
    <w:rsid w:val="4438079E"/>
    <w:rsid w:val="447A6C71"/>
    <w:rsid w:val="44E36037"/>
    <w:rsid w:val="450677CA"/>
    <w:rsid w:val="452F17CF"/>
    <w:rsid w:val="4530231A"/>
    <w:rsid w:val="45487D5D"/>
    <w:rsid w:val="45561B0D"/>
    <w:rsid w:val="45A50107"/>
    <w:rsid w:val="45CF10D4"/>
    <w:rsid w:val="45D51C3D"/>
    <w:rsid w:val="46402EB6"/>
    <w:rsid w:val="46503FBA"/>
    <w:rsid w:val="46573438"/>
    <w:rsid w:val="46980210"/>
    <w:rsid w:val="469C66E9"/>
    <w:rsid w:val="46D30DBC"/>
    <w:rsid w:val="472E4B4D"/>
    <w:rsid w:val="47427A59"/>
    <w:rsid w:val="474644FF"/>
    <w:rsid w:val="47510870"/>
    <w:rsid w:val="4771199E"/>
    <w:rsid w:val="477670E5"/>
    <w:rsid w:val="47A22C67"/>
    <w:rsid w:val="483F4455"/>
    <w:rsid w:val="48527076"/>
    <w:rsid w:val="487B1CBF"/>
    <w:rsid w:val="489A600C"/>
    <w:rsid w:val="48B34705"/>
    <w:rsid w:val="48C27238"/>
    <w:rsid w:val="49272AC4"/>
    <w:rsid w:val="493D0A75"/>
    <w:rsid w:val="49C62B27"/>
    <w:rsid w:val="4A072E04"/>
    <w:rsid w:val="4A3906ED"/>
    <w:rsid w:val="4A3F12E4"/>
    <w:rsid w:val="4A723FA0"/>
    <w:rsid w:val="4AAB2FF2"/>
    <w:rsid w:val="4AB4114E"/>
    <w:rsid w:val="4ABE603D"/>
    <w:rsid w:val="4AC866D1"/>
    <w:rsid w:val="4ADD6999"/>
    <w:rsid w:val="4AF408B3"/>
    <w:rsid w:val="4B3063AA"/>
    <w:rsid w:val="4B4401DA"/>
    <w:rsid w:val="4B4A0976"/>
    <w:rsid w:val="4B4C2CEE"/>
    <w:rsid w:val="4B4F3653"/>
    <w:rsid w:val="4B52625A"/>
    <w:rsid w:val="4B9448D2"/>
    <w:rsid w:val="4BA16B9A"/>
    <w:rsid w:val="4BAA28F8"/>
    <w:rsid w:val="4BE16804"/>
    <w:rsid w:val="4BE52A65"/>
    <w:rsid w:val="4BE76425"/>
    <w:rsid w:val="4BF870D6"/>
    <w:rsid w:val="4C3A1867"/>
    <w:rsid w:val="4C3F7827"/>
    <w:rsid w:val="4C7D7C58"/>
    <w:rsid w:val="4C836934"/>
    <w:rsid w:val="4C95093A"/>
    <w:rsid w:val="4C9C033E"/>
    <w:rsid w:val="4CC30C82"/>
    <w:rsid w:val="4CD664FF"/>
    <w:rsid w:val="4CFD56E6"/>
    <w:rsid w:val="4CFE5F76"/>
    <w:rsid w:val="4D3D2DE1"/>
    <w:rsid w:val="4D5A5C85"/>
    <w:rsid w:val="4D716DB6"/>
    <w:rsid w:val="4DB522C6"/>
    <w:rsid w:val="4E3F00B9"/>
    <w:rsid w:val="4E644D20"/>
    <w:rsid w:val="4E717537"/>
    <w:rsid w:val="4E75456E"/>
    <w:rsid w:val="4E86045B"/>
    <w:rsid w:val="4EA2253B"/>
    <w:rsid w:val="4EF7584D"/>
    <w:rsid w:val="4EFB1B26"/>
    <w:rsid w:val="4EFB7F3F"/>
    <w:rsid w:val="4F072671"/>
    <w:rsid w:val="4F09221A"/>
    <w:rsid w:val="4F955F9D"/>
    <w:rsid w:val="4FB12F0C"/>
    <w:rsid w:val="4FD5761D"/>
    <w:rsid w:val="4FF17BDD"/>
    <w:rsid w:val="500342A4"/>
    <w:rsid w:val="500B065F"/>
    <w:rsid w:val="501E5FD2"/>
    <w:rsid w:val="5046307F"/>
    <w:rsid w:val="50743C2D"/>
    <w:rsid w:val="50B22EF2"/>
    <w:rsid w:val="50BD01A6"/>
    <w:rsid w:val="50BD4946"/>
    <w:rsid w:val="50E336C1"/>
    <w:rsid w:val="510578FE"/>
    <w:rsid w:val="51327C84"/>
    <w:rsid w:val="51673127"/>
    <w:rsid w:val="51CF133A"/>
    <w:rsid w:val="5203343F"/>
    <w:rsid w:val="522F26DC"/>
    <w:rsid w:val="523428BE"/>
    <w:rsid w:val="523F785F"/>
    <w:rsid w:val="52A82A88"/>
    <w:rsid w:val="52BC7E02"/>
    <w:rsid w:val="52CF01CA"/>
    <w:rsid w:val="530979D7"/>
    <w:rsid w:val="532F057C"/>
    <w:rsid w:val="53411C12"/>
    <w:rsid w:val="53460F5A"/>
    <w:rsid w:val="536A4324"/>
    <w:rsid w:val="539A5AE0"/>
    <w:rsid w:val="53A41FA1"/>
    <w:rsid w:val="54045837"/>
    <w:rsid w:val="54070AB3"/>
    <w:rsid w:val="541A23E7"/>
    <w:rsid w:val="54387BB6"/>
    <w:rsid w:val="548C260A"/>
    <w:rsid w:val="54D77EB6"/>
    <w:rsid w:val="5501014F"/>
    <w:rsid w:val="55324EC2"/>
    <w:rsid w:val="557B5AC5"/>
    <w:rsid w:val="559A2073"/>
    <w:rsid w:val="55E852CF"/>
    <w:rsid w:val="55EA4936"/>
    <w:rsid w:val="56120633"/>
    <w:rsid w:val="56142F30"/>
    <w:rsid w:val="56443183"/>
    <w:rsid w:val="56525041"/>
    <w:rsid w:val="56547204"/>
    <w:rsid w:val="566662E6"/>
    <w:rsid w:val="56682CD2"/>
    <w:rsid w:val="566B21FF"/>
    <w:rsid w:val="56C55CF4"/>
    <w:rsid w:val="56DA5CA5"/>
    <w:rsid w:val="56DB6C05"/>
    <w:rsid w:val="57312AAC"/>
    <w:rsid w:val="57324B75"/>
    <w:rsid w:val="576C6093"/>
    <w:rsid w:val="577D1545"/>
    <w:rsid w:val="57B666AD"/>
    <w:rsid w:val="57BB55A5"/>
    <w:rsid w:val="57CD483E"/>
    <w:rsid w:val="582B2781"/>
    <w:rsid w:val="58431CA9"/>
    <w:rsid w:val="584D0A72"/>
    <w:rsid w:val="58901B1A"/>
    <w:rsid w:val="589E4B7E"/>
    <w:rsid w:val="58C61844"/>
    <w:rsid w:val="58E74E76"/>
    <w:rsid w:val="58FE28E3"/>
    <w:rsid w:val="59474314"/>
    <w:rsid w:val="595D13A5"/>
    <w:rsid w:val="5962315A"/>
    <w:rsid w:val="59855568"/>
    <w:rsid w:val="59EC41A1"/>
    <w:rsid w:val="5A010B63"/>
    <w:rsid w:val="5A0A36BA"/>
    <w:rsid w:val="5A101E4D"/>
    <w:rsid w:val="5A626BAD"/>
    <w:rsid w:val="5AB37034"/>
    <w:rsid w:val="5ACF22A6"/>
    <w:rsid w:val="5ADF0D65"/>
    <w:rsid w:val="5B042567"/>
    <w:rsid w:val="5B313A89"/>
    <w:rsid w:val="5B346634"/>
    <w:rsid w:val="5B490AD6"/>
    <w:rsid w:val="5B5601BB"/>
    <w:rsid w:val="5C241560"/>
    <w:rsid w:val="5C4A6D69"/>
    <w:rsid w:val="5C7B5D58"/>
    <w:rsid w:val="5C86752B"/>
    <w:rsid w:val="5CBF5C5A"/>
    <w:rsid w:val="5D3E5CEC"/>
    <w:rsid w:val="5D69521C"/>
    <w:rsid w:val="5D70347D"/>
    <w:rsid w:val="5D926D13"/>
    <w:rsid w:val="5DAF683B"/>
    <w:rsid w:val="5DB24260"/>
    <w:rsid w:val="5DEE4644"/>
    <w:rsid w:val="5DEE6E4F"/>
    <w:rsid w:val="5E152B0B"/>
    <w:rsid w:val="5E18277E"/>
    <w:rsid w:val="5E223EF5"/>
    <w:rsid w:val="5E2C4987"/>
    <w:rsid w:val="5E511F61"/>
    <w:rsid w:val="5E5377FA"/>
    <w:rsid w:val="5E5D3B1A"/>
    <w:rsid w:val="5EA92951"/>
    <w:rsid w:val="5F3021F1"/>
    <w:rsid w:val="5F366A5E"/>
    <w:rsid w:val="5F371AC5"/>
    <w:rsid w:val="5F4104EC"/>
    <w:rsid w:val="5F83259A"/>
    <w:rsid w:val="5FF97AA0"/>
    <w:rsid w:val="600F6263"/>
    <w:rsid w:val="60114B65"/>
    <w:rsid w:val="602A71D2"/>
    <w:rsid w:val="60392FDD"/>
    <w:rsid w:val="60641F38"/>
    <w:rsid w:val="60677A1B"/>
    <w:rsid w:val="60934BBF"/>
    <w:rsid w:val="609B1DAE"/>
    <w:rsid w:val="60A27CFC"/>
    <w:rsid w:val="60AD024A"/>
    <w:rsid w:val="60E530F9"/>
    <w:rsid w:val="60F91AA5"/>
    <w:rsid w:val="61194B03"/>
    <w:rsid w:val="611E65F1"/>
    <w:rsid w:val="613C5905"/>
    <w:rsid w:val="61540587"/>
    <w:rsid w:val="61600B87"/>
    <w:rsid w:val="61A453B1"/>
    <w:rsid w:val="61AB594A"/>
    <w:rsid w:val="61BE6C10"/>
    <w:rsid w:val="62272989"/>
    <w:rsid w:val="623B4003"/>
    <w:rsid w:val="62842E61"/>
    <w:rsid w:val="629A098F"/>
    <w:rsid w:val="629A64D1"/>
    <w:rsid w:val="62A8296F"/>
    <w:rsid w:val="62E47C7A"/>
    <w:rsid w:val="63115BD5"/>
    <w:rsid w:val="634E35D9"/>
    <w:rsid w:val="638D2C84"/>
    <w:rsid w:val="63A51161"/>
    <w:rsid w:val="63B76CE4"/>
    <w:rsid w:val="63BA01FE"/>
    <w:rsid w:val="646F6CDB"/>
    <w:rsid w:val="6471469C"/>
    <w:rsid w:val="64EF170B"/>
    <w:rsid w:val="650A6555"/>
    <w:rsid w:val="65632B7B"/>
    <w:rsid w:val="65710CA6"/>
    <w:rsid w:val="659874CB"/>
    <w:rsid w:val="65A868AD"/>
    <w:rsid w:val="65AF563C"/>
    <w:rsid w:val="65FC6A7A"/>
    <w:rsid w:val="660341D7"/>
    <w:rsid w:val="662055F5"/>
    <w:rsid w:val="66231220"/>
    <w:rsid w:val="6624586A"/>
    <w:rsid w:val="6638391B"/>
    <w:rsid w:val="66B1541F"/>
    <w:rsid w:val="66B77461"/>
    <w:rsid w:val="66BD0EB3"/>
    <w:rsid w:val="66D8062F"/>
    <w:rsid w:val="66F637D8"/>
    <w:rsid w:val="67031CE4"/>
    <w:rsid w:val="670D3141"/>
    <w:rsid w:val="672B61CF"/>
    <w:rsid w:val="67392F67"/>
    <w:rsid w:val="67570BB1"/>
    <w:rsid w:val="677A5011"/>
    <w:rsid w:val="677B48C0"/>
    <w:rsid w:val="67AD078E"/>
    <w:rsid w:val="67B36479"/>
    <w:rsid w:val="67DE4EBC"/>
    <w:rsid w:val="67E252C2"/>
    <w:rsid w:val="67EB7CD9"/>
    <w:rsid w:val="680F73AC"/>
    <w:rsid w:val="68130D24"/>
    <w:rsid w:val="681B2A0A"/>
    <w:rsid w:val="68465A22"/>
    <w:rsid w:val="68513EA6"/>
    <w:rsid w:val="68537014"/>
    <w:rsid w:val="685815B7"/>
    <w:rsid w:val="687352BC"/>
    <w:rsid w:val="68941CB8"/>
    <w:rsid w:val="68B25733"/>
    <w:rsid w:val="68D9718F"/>
    <w:rsid w:val="691477D9"/>
    <w:rsid w:val="691E1C20"/>
    <w:rsid w:val="6928497F"/>
    <w:rsid w:val="69423516"/>
    <w:rsid w:val="6967446C"/>
    <w:rsid w:val="6978041E"/>
    <w:rsid w:val="698A1627"/>
    <w:rsid w:val="698D5423"/>
    <w:rsid w:val="6A0132F8"/>
    <w:rsid w:val="6A140B25"/>
    <w:rsid w:val="6A421C35"/>
    <w:rsid w:val="6AAA040A"/>
    <w:rsid w:val="6B162D6B"/>
    <w:rsid w:val="6B2A1A82"/>
    <w:rsid w:val="6B5B003B"/>
    <w:rsid w:val="6B9E122A"/>
    <w:rsid w:val="6BAD1470"/>
    <w:rsid w:val="6BBB20BD"/>
    <w:rsid w:val="6BDD6BAB"/>
    <w:rsid w:val="6BE22F63"/>
    <w:rsid w:val="6BF15B3F"/>
    <w:rsid w:val="6C593AC0"/>
    <w:rsid w:val="6C697EFE"/>
    <w:rsid w:val="6C8A67C2"/>
    <w:rsid w:val="6C8B5462"/>
    <w:rsid w:val="6C8C5FC5"/>
    <w:rsid w:val="6CAF1CC6"/>
    <w:rsid w:val="6CBF2569"/>
    <w:rsid w:val="6CD9769F"/>
    <w:rsid w:val="6CEB031E"/>
    <w:rsid w:val="6D0D310A"/>
    <w:rsid w:val="6D0D5EE2"/>
    <w:rsid w:val="6D192863"/>
    <w:rsid w:val="6D486F8F"/>
    <w:rsid w:val="6D861F54"/>
    <w:rsid w:val="6D8A5C7C"/>
    <w:rsid w:val="6D930868"/>
    <w:rsid w:val="6DAD4536"/>
    <w:rsid w:val="6E0B70F1"/>
    <w:rsid w:val="6E0C3199"/>
    <w:rsid w:val="6E100CCC"/>
    <w:rsid w:val="6E206179"/>
    <w:rsid w:val="6E2D5DD3"/>
    <w:rsid w:val="6E460CD1"/>
    <w:rsid w:val="6E4F2CEF"/>
    <w:rsid w:val="6E7F55E1"/>
    <w:rsid w:val="6F236B44"/>
    <w:rsid w:val="6F2A2C39"/>
    <w:rsid w:val="6F385CC7"/>
    <w:rsid w:val="6F5E412F"/>
    <w:rsid w:val="6FCB3F9E"/>
    <w:rsid w:val="700103BC"/>
    <w:rsid w:val="704A775E"/>
    <w:rsid w:val="705E548A"/>
    <w:rsid w:val="70616F9F"/>
    <w:rsid w:val="706E331C"/>
    <w:rsid w:val="708261A9"/>
    <w:rsid w:val="709E2F85"/>
    <w:rsid w:val="70FC7F32"/>
    <w:rsid w:val="71010C63"/>
    <w:rsid w:val="715D520E"/>
    <w:rsid w:val="71C62E8F"/>
    <w:rsid w:val="71DA2A38"/>
    <w:rsid w:val="71F66063"/>
    <w:rsid w:val="71F905F8"/>
    <w:rsid w:val="72243FC5"/>
    <w:rsid w:val="72510F80"/>
    <w:rsid w:val="72AF3414"/>
    <w:rsid w:val="72C4325E"/>
    <w:rsid w:val="7318498A"/>
    <w:rsid w:val="73337852"/>
    <w:rsid w:val="734E4C3A"/>
    <w:rsid w:val="7361040A"/>
    <w:rsid w:val="737708C9"/>
    <w:rsid w:val="73871C43"/>
    <w:rsid w:val="738810A3"/>
    <w:rsid w:val="73890B9A"/>
    <w:rsid w:val="738C3A05"/>
    <w:rsid w:val="73B11587"/>
    <w:rsid w:val="73B60984"/>
    <w:rsid w:val="73DA125A"/>
    <w:rsid w:val="73E93E22"/>
    <w:rsid w:val="73F21D64"/>
    <w:rsid w:val="73F75823"/>
    <w:rsid w:val="73FE3B8E"/>
    <w:rsid w:val="740763F3"/>
    <w:rsid w:val="7442059D"/>
    <w:rsid w:val="74704787"/>
    <w:rsid w:val="747D4D01"/>
    <w:rsid w:val="74923D36"/>
    <w:rsid w:val="74CF5CE3"/>
    <w:rsid w:val="74E12297"/>
    <w:rsid w:val="75001DB1"/>
    <w:rsid w:val="75433FB8"/>
    <w:rsid w:val="75444BBA"/>
    <w:rsid w:val="7569236A"/>
    <w:rsid w:val="756A320B"/>
    <w:rsid w:val="75741B68"/>
    <w:rsid w:val="75CC0B57"/>
    <w:rsid w:val="75CD18B9"/>
    <w:rsid w:val="75F417FC"/>
    <w:rsid w:val="765E40E5"/>
    <w:rsid w:val="766533D9"/>
    <w:rsid w:val="76B121FB"/>
    <w:rsid w:val="76C001E9"/>
    <w:rsid w:val="76DC0CA3"/>
    <w:rsid w:val="76EC0438"/>
    <w:rsid w:val="770D5CA6"/>
    <w:rsid w:val="7738777C"/>
    <w:rsid w:val="7739400A"/>
    <w:rsid w:val="77421979"/>
    <w:rsid w:val="7748210B"/>
    <w:rsid w:val="77594BAD"/>
    <w:rsid w:val="775B5B26"/>
    <w:rsid w:val="776D168C"/>
    <w:rsid w:val="77AB083E"/>
    <w:rsid w:val="77B67575"/>
    <w:rsid w:val="77EA105C"/>
    <w:rsid w:val="77F227BB"/>
    <w:rsid w:val="77F66828"/>
    <w:rsid w:val="780B4543"/>
    <w:rsid w:val="78115273"/>
    <w:rsid w:val="782D421E"/>
    <w:rsid w:val="784E1CF0"/>
    <w:rsid w:val="786A57FB"/>
    <w:rsid w:val="787C4097"/>
    <w:rsid w:val="789855E7"/>
    <w:rsid w:val="78E51D50"/>
    <w:rsid w:val="79034D33"/>
    <w:rsid w:val="79087E63"/>
    <w:rsid w:val="79262261"/>
    <w:rsid w:val="79392775"/>
    <w:rsid w:val="79603D88"/>
    <w:rsid w:val="7967190B"/>
    <w:rsid w:val="798E7CD5"/>
    <w:rsid w:val="799342AE"/>
    <w:rsid w:val="79F21930"/>
    <w:rsid w:val="7A077B69"/>
    <w:rsid w:val="7A180867"/>
    <w:rsid w:val="7A28600F"/>
    <w:rsid w:val="7A3A12A4"/>
    <w:rsid w:val="7A4926B4"/>
    <w:rsid w:val="7A953469"/>
    <w:rsid w:val="7AC238D3"/>
    <w:rsid w:val="7AF87CB3"/>
    <w:rsid w:val="7AFE7363"/>
    <w:rsid w:val="7B1A69DC"/>
    <w:rsid w:val="7B325579"/>
    <w:rsid w:val="7B556D8D"/>
    <w:rsid w:val="7B5D04ED"/>
    <w:rsid w:val="7B81735E"/>
    <w:rsid w:val="7B931D6F"/>
    <w:rsid w:val="7B940744"/>
    <w:rsid w:val="7BA726FF"/>
    <w:rsid w:val="7BAD3660"/>
    <w:rsid w:val="7BBD6E20"/>
    <w:rsid w:val="7BCF5A5C"/>
    <w:rsid w:val="7BD16BB8"/>
    <w:rsid w:val="7BD16D48"/>
    <w:rsid w:val="7C270106"/>
    <w:rsid w:val="7C5D29CC"/>
    <w:rsid w:val="7CDD046A"/>
    <w:rsid w:val="7CFB3C80"/>
    <w:rsid w:val="7D136292"/>
    <w:rsid w:val="7D181D17"/>
    <w:rsid w:val="7D3F5129"/>
    <w:rsid w:val="7D486515"/>
    <w:rsid w:val="7D7A3FF4"/>
    <w:rsid w:val="7D7A5976"/>
    <w:rsid w:val="7DBD48EC"/>
    <w:rsid w:val="7DC30EC8"/>
    <w:rsid w:val="7DC738F6"/>
    <w:rsid w:val="7E155956"/>
    <w:rsid w:val="7E167B38"/>
    <w:rsid w:val="7E356FE2"/>
    <w:rsid w:val="7E747B3F"/>
    <w:rsid w:val="7E907215"/>
    <w:rsid w:val="7E9E597E"/>
    <w:rsid w:val="7EBF09C6"/>
    <w:rsid w:val="7ED61081"/>
    <w:rsid w:val="7EDD39E2"/>
    <w:rsid w:val="7EF6491B"/>
    <w:rsid w:val="7FAC53CB"/>
    <w:rsid w:val="7FB11775"/>
    <w:rsid w:val="7FD22A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qFormat="1" w:uiPriority="99"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44"/>
    <w:qFormat/>
    <w:uiPriority w:val="0"/>
    <w:pPr>
      <w:keepNext/>
      <w:keepLines/>
      <w:numPr>
        <w:ilvl w:val="0"/>
        <w:numId w:val="1"/>
      </w:numPr>
      <w:adjustRightInd w:val="0"/>
      <w:snapToGrid w:val="0"/>
      <w:spacing w:before="100" w:after="90" w:line="360" w:lineRule="auto"/>
      <w:ind w:left="0"/>
      <w:jc w:val="center"/>
      <w:outlineLvl w:val="0"/>
    </w:pPr>
    <w:rPr>
      <w:rFonts w:ascii="Times New Roman" w:hAnsi="Times New Roman" w:eastAsia="宋体"/>
      <w:b/>
      <w:kern w:val="44"/>
      <w:sz w:val="36"/>
    </w:rPr>
  </w:style>
  <w:style w:type="paragraph" w:styleId="4">
    <w:name w:val="heading 2"/>
    <w:basedOn w:val="1"/>
    <w:next w:val="1"/>
    <w:link w:val="45"/>
    <w:qFormat/>
    <w:uiPriority w:val="0"/>
    <w:pPr>
      <w:keepNext/>
      <w:keepLines/>
      <w:numPr>
        <w:ilvl w:val="1"/>
        <w:numId w:val="1"/>
      </w:numPr>
      <w:tabs>
        <w:tab w:val="left" w:pos="3"/>
        <w:tab w:val="left" w:pos="420"/>
      </w:tabs>
      <w:spacing w:after="50" w:afterLines="50" w:line="360" w:lineRule="auto"/>
      <w:jc w:val="left"/>
      <w:outlineLvl w:val="1"/>
    </w:pPr>
    <w:rPr>
      <w:b/>
      <w:bCs/>
      <w:sz w:val="30"/>
      <w:szCs w:val="32"/>
    </w:rPr>
  </w:style>
  <w:style w:type="paragraph" w:styleId="5">
    <w:name w:val="heading 3"/>
    <w:basedOn w:val="1"/>
    <w:next w:val="6"/>
    <w:link w:val="46"/>
    <w:qFormat/>
    <w:uiPriority w:val="0"/>
    <w:pPr>
      <w:keepNext/>
      <w:keepLines/>
      <w:numPr>
        <w:ilvl w:val="2"/>
        <w:numId w:val="1"/>
      </w:numPr>
      <w:tabs>
        <w:tab w:val="left" w:pos="0"/>
        <w:tab w:val="left" w:pos="426"/>
        <w:tab w:val="clear" w:pos="420"/>
      </w:tabs>
      <w:spacing w:before="50" w:beforeLines="50" w:after="50" w:afterLines="50" w:line="360" w:lineRule="auto"/>
      <w:outlineLvl w:val="2"/>
    </w:pPr>
    <w:rPr>
      <w:b/>
      <w:bCs/>
      <w:sz w:val="24"/>
      <w:szCs w:val="32"/>
    </w:rPr>
  </w:style>
  <w:style w:type="paragraph" w:styleId="7">
    <w:name w:val="heading 4"/>
    <w:basedOn w:val="1"/>
    <w:next w:val="1"/>
    <w:link w:val="47"/>
    <w:qFormat/>
    <w:uiPriority w:val="0"/>
    <w:pPr>
      <w:keepNext/>
      <w:keepLines/>
      <w:numPr>
        <w:ilvl w:val="3"/>
        <w:numId w:val="1"/>
      </w:numPr>
      <w:tabs>
        <w:tab w:val="left" w:pos="3"/>
        <w:tab w:val="left" w:pos="57"/>
        <w:tab w:val="clear" w:pos="0"/>
      </w:tabs>
      <w:spacing w:before="50" w:beforeLines="50"/>
      <w:jc w:val="center"/>
      <w:outlineLvl w:val="3"/>
    </w:pPr>
    <w:rPr>
      <w:rFonts w:ascii="Times New Roman" w:hAnsi="Times New Roman" w:eastAsia="宋体"/>
      <w:b/>
      <w:bCs/>
      <w:szCs w:val="28"/>
    </w:rPr>
  </w:style>
  <w:style w:type="paragraph" w:styleId="8">
    <w:name w:val="heading 5"/>
    <w:basedOn w:val="1"/>
    <w:next w:val="1"/>
    <w:link w:val="43"/>
    <w:unhideWhenUsed/>
    <w:qFormat/>
    <w:uiPriority w:val="0"/>
    <w:pPr>
      <w:keepNext/>
      <w:keepLines/>
      <w:numPr>
        <w:ilvl w:val="4"/>
        <w:numId w:val="1"/>
      </w:numPr>
      <w:tabs>
        <w:tab w:val="left" w:pos="420"/>
        <w:tab w:val="clear" w:pos="0"/>
      </w:tabs>
      <w:adjustRightInd w:val="0"/>
      <w:ind w:left="850" w:hanging="850"/>
      <w:jc w:val="center"/>
      <w:outlineLvl w:val="4"/>
    </w:pPr>
    <w:rPr>
      <w:rFonts w:ascii="Times New Roman" w:hAnsi="Times New Roman" w:eastAsia="宋体"/>
      <w:b/>
    </w:rPr>
  </w:style>
  <w:style w:type="paragraph" w:styleId="9">
    <w:name w:val="heading 6"/>
    <w:basedOn w:val="1"/>
    <w:next w:val="1"/>
    <w:unhideWhenUsed/>
    <w:qFormat/>
    <w:uiPriority w:val="0"/>
    <w:pPr>
      <w:keepNext/>
      <w:keepLines/>
      <w:numPr>
        <w:ilvl w:val="5"/>
        <w:numId w:val="2"/>
      </w:numPr>
      <w:ind w:left="1134"/>
      <w:jc w:val="center"/>
      <w:outlineLvl w:val="5"/>
    </w:pPr>
    <w:rPr>
      <w:b/>
      <w:sz w:val="21"/>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1"/>
    <w:qFormat/>
    <w:uiPriority w:val="0"/>
    <w:pPr>
      <w:spacing w:line="340" w:lineRule="atLeast"/>
      <w:jc w:val="center"/>
    </w:pPr>
    <w:rPr>
      <w:rFonts w:ascii="Calibri" w:hAnsi="Calibri"/>
      <w:szCs w:val="20"/>
    </w:rPr>
  </w:style>
  <w:style w:type="paragraph" w:styleId="6">
    <w:name w:val="Normal Indent"/>
    <w:basedOn w:val="1"/>
    <w:next w:val="1"/>
    <w:qFormat/>
    <w:uiPriority w:val="0"/>
    <w:pPr>
      <w:ind w:firstLine="420" w:firstLineChars="200"/>
    </w:pPr>
    <w:rPr>
      <w:rFonts w:ascii="Calibri" w:hAnsi="Calibri"/>
    </w:rPr>
  </w:style>
  <w:style w:type="paragraph" w:styleId="10">
    <w:name w:val="E-mail Signature"/>
    <w:basedOn w:val="1"/>
    <w:next w:val="11"/>
    <w:unhideWhenUsed/>
    <w:qFormat/>
    <w:uiPriority w:val="99"/>
    <w:pPr>
      <w:spacing w:line="460" w:lineRule="exact"/>
      <w:ind w:firstLine="200"/>
    </w:pPr>
    <w:rPr>
      <w:szCs w:val="22"/>
    </w:rPr>
  </w:style>
  <w:style w:type="paragraph" w:customStyle="1" w:styleId="11">
    <w:name w:val="文章"/>
    <w:basedOn w:val="12"/>
    <w:next w:val="13"/>
    <w:qFormat/>
    <w:uiPriority w:val="0"/>
    <w:pPr>
      <w:ind w:firstLine="480"/>
      <w:jc w:val="center"/>
    </w:pPr>
    <w:rPr>
      <w:rFonts w:ascii="Times New Roman" w:hAnsi="Times New Roman" w:eastAsia="宋体" w:cs="Times New Roman"/>
      <w:kern w:val="2"/>
      <w:sz w:val="26"/>
      <w:szCs w:val="22"/>
      <w:lang w:val="en-US" w:eastAsia="zh-CN" w:bidi="ar-SA"/>
    </w:rPr>
  </w:style>
  <w:style w:type="paragraph" w:styleId="12">
    <w:name w:val="Body Text Indent"/>
    <w:basedOn w:val="1"/>
    <w:qFormat/>
    <w:uiPriority w:val="0"/>
    <w:pPr>
      <w:adjustRightInd w:val="0"/>
      <w:spacing w:line="360" w:lineRule="atLeast"/>
      <w:ind w:left="480" w:firstLine="480"/>
      <w:jc w:val="left"/>
      <w:textAlignment w:val="baseline"/>
    </w:pPr>
    <w:rPr>
      <w:rFonts w:ascii="Calibri" w:hAnsi="Calibri"/>
      <w:kern w:val="0"/>
      <w:sz w:val="24"/>
      <w:szCs w:val="20"/>
    </w:rPr>
  </w:style>
  <w:style w:type="paragraph" w:styleId="13">
    <w:name w:val="List"/>
    <w:basedOn w:val="1"/>
    <w:next w:val="14"/>
    <w:qFormat/>
    <w:uiPriority w:val="0"/>
    <w:pPr>
      <w:snapToGrid w:val="0"/>
    </w:pPr>
    <w:rPr>
      <w:sz w:val="18"/>
      <w:szCs w:val="20"/>
    </w:rPr>
  </w:style>
  <w:style w:type="paragraph" w:styleId="14">
    <w:name w:val="List Bullet 2"/>
    <w:basedOn w:val="1"/>
    <w:next w:val="15"/>
    <w:qFormat/>
    <w:uiPriority w:val="0"/>
    <w:pPr>
      <w:numPr>
        <w:ilvl w:val="0"/>
        <w:numId w:val="3"/>
      </w:numPr>
    </w:pPr>
  </w:style>
  <w:style w:type="paragraph" w:customStyle="1" w:styleId="15">
    <w:name w:val="xl70"/>
    <w:basedOn w:val="1"/>
    <w:next w:val="16"/>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Unicode MS" w:hAnsi="Arial Unicode MS"/>
      <w:spacing w:val="-2"/>
      <w:sz w:val="28"/>
      <w:szCs w:val="20"/>
    </w:rPr>
  </w:style>
  <w:style w:type="paragraph" w:customStyle="1" w:styleId="16">
    <w:name w:val="正文缩进1"/>
    <w:basedOn w:val="1"/>
    <w:next w:val="17"/>
    <w:qFormat/>
    <w:uiPriority w:val="0"/>
    <w:pPr>
      <w:ind w:firstLine="420"/>
    </w:pPr>
    <w:rPr>
      <w:szCs w:val="20"/>
    </w:rPr>
  </w:style>
  <w:style w:type="paragraph" w:customStyle="1" w:styleId="17">
    <w:name w:val="td1"/>
    <w:basedOn w:val="1"/>
    <w:next w:val="1"/>
    <w:qFormat/>
    <w:uiPriority w:val="0"/>
    <w:pPr>
      <w:widowControl/>
      <w:spacing w:before="280" w:after="280" w:line="300" w:lineRule="atLeast"/>
      <w:ind w:firstLine="200"/>
    </w:pPr>
    <w:rPr>
      <w:color w:val="000000"/>
      <w:sz w:val="18"/>
    </w:rPr>
  </w:style>
  <w:style w:type="paragraph" w:styleId="18">
    <w:name w:val="caption"/>
    <w:next w:val="1"/>
    <w:qFormat/>
    <w:uiPriority w:val="0"/>
    <w:pPr>
      <w:widowControl w:val="0"/>
      <w:adjustRightInd w:val="0"/>
      <w:spacing w:before="152" w:after="160" w:line="240" w:lineRule="exact"/>
      <w:jc w:val="center"/>
      <w:textAlignment w:val="baseline"/>
    </w:pPr>
    <w:rPr>
      <w:rFonts w:ascii="Calibri" w:hAnsi="Calibri" w:eastAsia="宋体" w:cs="Times New Roman"/>
      <w:sz w:val="24"/>
      <w:lang w:val="en-US" w:eastAsia="zh-CN" w:bidi="ar-SA"/>
    </w:rPr>
  </w:style>
  <w:style w:type="paragraph" w:styleId="19">
    <w:name w:val="annotation text"/>
    <w:basedOn w:val="1"/>
    <w:link w:val="74"/>
    <w:qFormat/>
    <w:uiPriority w:val="0"/>
    <w:pPr>
      <w:jc w:val="left"/>
    </w:pPr>
  </w:style>
  <w:style w:type="paragraph" w:styleId="20">
    <w:name w:val="Body Text"/>
    <w:basedOn w:val="1"/>
    <w:qFormat/>
    <w:uiPriority w:val="0"/>
    <w:pPr>
      <w:spacing w:after="120"/>
    </w:pPr>
    <w:rPr>
      <w:rFonts w:ascii="Calibri" w:hAnsi="Calibri"/>
    </w:rPr>
  </w:style>
  <w:style w:type="paragraph" w:styleId="21">
    <w:name w:val="toc 3"/>
    <w:basedOn w:val="1"/>
    <w:next w:val="1"/>
    <w:qFormat/>
    <w:uiPriority w:val="0"/>
    <w:pPr>
      <w:ind w:left="840" w:leftChars="400"/>
    </w:pPr>
  </w:style>
  <w:style w:type="paragraph" w:styleId="22">
    <w:name w:val="Balloon Text"/>
    <w:basedOn w:val="1"/>
    <w:link w:val="73"/>
    <w:qFormat/>
    <w:uiPriority w:val="0"/>
    <w:rPr>
      <w:sz w:val="18"/>
      <w:szCs w:val="18"/>
    </w:rPr>
  </w:style>
  <w:style w:type="paragraph" w:styleId="23">
    <w:name w:val="footer"/>
    <w:basedOn w:val="1"/>
    <w:qFormat/>
    <w:uiPriority w:val="99"/>
    <w:pPr>
      <w:tabs>
        <w:tab w:val="center" w:pos="4153"/>
        <w:tab w:val="right" w:pos="8306"/>
      </w:tabs>
      <w:snapToGrid w:val="0"/>
      <w:jc w:val="left"/>
    </w:pPr>
    <w:rPr>
      <w:rFonts w:ascii="Calibri" w:hAnsi="Calibri"/>
      <w:sz w:val="18"/>
      <w:szCs w:val="18"/>
    </w:rPr>
  </w:style>
  <w:style w:type="paragraph" w:styleId="24">
    <w:name w:val="header"/>
    <w:basedOn w:val="1"/>
    <w:qFormat/>
    <w:uiPriority w:val="0"/>
    <w:pPr>
      <w:pBdr>
        <w:bottom w:val="single" w:color="auto" w:sz="6" w:space="1"/>
      </w:pBdr>
      <w:tabs>
        <w:tab w:val="center" w:pos="4153"/>
        <w:tab w:val="right" w:pos="8306"/>
      </w:tabs>
      <w:snapToGrid w:val="0"/>
      <w:jc w:val="center"/>
    </w:pPr>
    <w:rPr>
      <w:rFonts w:ascii="宋体" w:hAnsi="宋体"/>
      <w:sz w:val="18"/>
      <w:szCs w:val="20"/>
    </w:rPr>
  </w:style>
  <w:style w:type="paragraph" w:styleId="25">
    <w:name w:val="toc 1"/>
    <w:basedOn w:val="1"/>
    <w:next w:val="1"/>
    <w:qFormat/>
    <w:uiPriority w:val="0"/>
  </w:style>
  <w:style w:type="paragraph" w:styleId="26">
    <w:name w:val="table of figures"/>
    <w:basedOn w:val="1"/>
    <w:next w:val="1"/>
    <w:qFormat/>
    <w:uiPriority w:val="0"/>
    <w:pPr>
      <w:ind w:leftChars="200" w:hanging="200" w:hangingChars="200"/>
    </w:pPr>
  </w:style>
  <w:style w:type="paragraph" w:styleId="27">
    <w:name w:val="toc 2"/>
    <w:basedOn w:val="1"/>
    <w:next w:val="10"/>
    <w:qFormat/>
    <w:uiPriority w:val="0"/>
    <w:pPr>
      <w:ind w:left="240"/>
      <w:jc w:val="left"/>
    </w:pPr>
    <w:rPr>
      <w:smallCaps/>
      <w:sz w:val="20"/>
      <w:szCs w:val="20"/>
    </w:rPr>
  </w:style>
  <w:style w:type="paragraph" w:styleId="28">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9">
    <w:name w:val="annotation subject"/>
    <w:basedOn w:val="19"/>
    <w:next w:val="19"/>
    <w:link w:val="75"/>
    <w:qFormat/>
    <w:uiPriority w:val="0"/>
    <w:rPr>
      <w:b/>
      <w:bCs/>
    </w:rPr>
  </w:style>
  <w:style w:type="paragraph" w:styleId="30">
    <w:name w:val="Body Text First Indent 2"/>
    <w:basedOn w:val="12"/>
    <w:qFormat/>
    <w:uiPriority w:val="0"/>
    <w:pPr>
      <w:adjustRightInd/>
      <w:spacing w:after="120" w:line="240" w:lineRule="auto"/>
      <w:ind w:left="420" w:leftChars="200" w:firstLine="420" w:firstLineChars="200"/>
      <w:jc w:val="both"/>
      <w:textAlignment w:val="auto"/>
    </w:pPr>
    <w:rPr>
      <w:kern w:val="2"/>
      <w:sz w:val="21"/>
      <w:szCs w:val="24"/>
    </w:rPr>
  </w:style>
  <w:style w:type="table" w:styleId="32">
    <w:name w:val="Table Grid"/>
    <w:basedOn w:val="3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page number"/>
    <w:basedOn w:val="33"/>
    <w:qFormat/>
    <w:uiPriority w:val="0"/>
    <w:rPr>
      <w:rFonts w:ascii="宋体" w:hAnsi="宋体"/>
      <w:b/>
    </w:rPr>
  </w:style>
  <w:style w:type="character" w:styleId="35">
    <w:name w:val="Hyperlink"/>
    <w:basedOn w:val="33"/>
    <w:qFormat/>
    <w:uiPriority w:val="0"/>
    <w:rPr>
      <w:color w:val="0000FF"/>
      <w:u w:val="single"/>
    </w:rPr>
  </w:style>
  <w:style w:type="character" w:styleId="36">
    <w:name w:val="annotation reference"/>
    <w:qFormat/>
    <w:uiPriority w:val="0"/>
    <w:rPr>
      <w:rFonts w:ascii="宋体" w:hAnsi="宋体"/>
      <w:b/>
      <w:sz w:val="21"/>
      <w:szCs w:val="21"/>
    </w:rPr>
  </w:style>
  <w:style w:type="paragraph" w:customStyle="1" w:styleId="37">
    <w:name w:val="Default"/>
    <w:basedOn w:val="38"/>
    <w:next w:val="1"/>
    <w:qFormat/>
    <w:uiPriority w:val="0"/>
    <w:pPr>
      <w:widowControl w:val="0"/>
      <w:autoSpaceDE w:val="0"/>
      <w:autoSpaceDN w:val="0"/>
      <w:adjustRightInd w:val="0"/>
    </w:pPr>
    <w:rPr>
      <w:rFonts w:ascii="宋体" w:cs="宋体"/>
      <w:color w:val="000000"/>
      <w:sz w:val="24"/>
      <w:szCs w:val="24"/>
      <w:lang w:val="en-US" w:eastAsia="zh-CN" w:bidi="ar-SA"/>
    </w:rPr>
  </w:style>
  <w:style w:type="paragraph" w:customStyle="1" w:styleId="38">
    <w:name w:val="纯文本1"/>
    <w:basedOn w:val="39"/>
    <w:qFormat/>
    <w:uiPriority w:val="0"/>
    <w:pPr>
      <w:adjustRightInd w:val="0"/>
      <w:jc w:val="center"/>
      <w:textAlignment w:val="baseline"/>
    </w:pPr>
    <w:rPr>
      <w:rFonts w:ascii="宋体" w:hAnsi="Courier New"/>
    </w:rPr>
  </w:style>
  <w:style w:type="paragraph" w:customStyle="1" w:styleId="39">
    <w:name w:val="正文1"/>
    <w:basedOn w:val="12"/>
    <w:next w:val="37"/>
    <w:qFormat/>
    <w:uiPriority w:val="0"/>
    <w:pPr>
      <w:jc w:val="both"/>
    </w:pPr>
    <w:rPr>
      <w:rFonts w:ascii="Calibri" w:hAnsi="Calibri" w:eastAsia="宋体" w:cs="Times New Roman"/>
      <w:kern w:val="2"/>
      <w:sz w:val="21"/>
      <w:szCs w:val="21"/>
      <w:lang w:val="en-US" w:eastAsia="zh-CN" w:bidi="ar-SA"/>
    </w:rPr>
  </w:style>
  <w:style w:type="paragraph" w:customStyle="1" w:styleId="40">
    <w:name w:val="样式35"/>
    <w:basedOn w:val="41"/>
    <w:next w:val="42"/>
    <w:qFormat/>
    <w:uiPriority w:val="0"/>
    <w:pPr>
      <w:adjustRightInd w:val="0"/>
      <w:spacing w:line="312" w:lineRule="auto"/>
      <w:ind w:firstLine="567"/>
      <w:textAlignment w:val="baseline"/>
    </w:pPr>
    <w:rPr>
      <w:rFonts w:ascii="宋体"/>
      <w:kern w:val="0"/>
      <w:sz w:val="28"/>
    </w:rPr>
  </w:style>
  <w:style w:type="paragraph" w:customStyle="1" w:styleId="41">
    <w:name w:val="表 内容"/>
    <w:basedOn w:val="1"/>
    <w:qFormat/>
    <w:uiPriority w:val="0"/>
    <w:pPr>
      <w:spacing w:line="276" w:lineRule="auto"/>
      <w:jc w:val="center"/>
    </w:pPr>
    <w:rPr>
      <w:rFonts w:ascii="仿宋" w:hAnsi="仿宋" w:eastAsia="仿宋"/>
      <w:sz w:val="24"/>
    </w:rPr>
  </w:style>
  <w:style w:type="paragraph" w:customStyle="1" w:styleId="42">
    <w:name w:val="font6"/>
    <w:next w:val="27"/>
    <w:qFormat/>
    <w:uiPriority w:val="0"/>
    <w:pPr>
      <w:spacing w:before="280" w:after="280"/>
      <w:jc w:val="both"/>
    </w:pPr>
    <w:rPr>
      <w:rFonts w:ascii="Times New Roman" w:hAnsi="Times New Roman" w:eastAsia="宋体" w:cs="Times New Roman"/>
      <w:kern w:val="2"/>
      <w:sz w:val="21"/>
      <w:szCs w:val="22"/>
      <w:lang w:val="en-US" w:eastAsia="zh-CN" w:bidi="ar-SA"/>
    </w:rPr>
  </w:style>
  <w:style w:type="character" w:customStyle="1" w:styleId="43">
    <w:name w:val="标题 5 Char"/>
    <w:link w:val="8"/>
    <w:qFormat/>
    <w:uiPriority w:val="0"/>
    <w:rPr>
      <w:rFonts w:ascii="Times New Roman" w:hAnsi="Times New Roman" w:eastAsia="宋体"/>
      <w:b/>
      <w:sz w:val="21"/>
    </w:rPr>
  </w:style>
  <w:style w:type="character" w:customStyle="1" w:styleId="44">
    <w:name w:val="标题 1 Char"/>
    <w:link w:val="3"/>
    <w:qFormat/>
    <w:uiPriority w:val="0"/>
    <w:rPr>
      <w:rFonts w:ascii="Times New Roman" w:hAnsi="Times New Roman" w:eastAsia="宋体"/>
      <w:b/>
      <w:kern w:val="44"/>
      <w:sz w:val="36"/>
    </w:rPr>
  </w:style>
  <w:style w:type="character" w:customStyle="1" w:styleId="45">
    <w:name w:val="标题 2 Char"/>
    <w:link w:val="4"/>
    <w:qFormat/>
    <w:uiPriority w:val="0"/>
    <w:rPr>
      <w:rFonts w:ascii="Times New Roman" w:hAnsi="Times New Roman" w:eastAsia="宋体"/>
      <w:b/>
      <w:bCs/>
      <w:sz w:val="30"/>
      <w:szCs w:val="32"/>
    </w:rPr>
  </w:style>
  <w:style w:type="character" w:customStyle="1" w:styleId="46">
    <w:name w:val="标题 3 Char"/>
    <w:link w:val="5"/>
    <w:qFormat/>
    <w:uiPriority w:val="0"/>
    <w:rPr>
      <w:rFonts w:ascii="Times New Roman" w:hAnsi="Times New Roman" w:eastAsia="宋体" w:cs="Times New Roman"/>
      <w:b/>
      <w:bCs/>
      <w:kern w:val="2"/>
      <w:sz w:val="24"/>
      <w:szCs w:val="32"/>
      <w:lang w:val="en-US" w:eastAsia="zh-CN" w:bidi="ar-SA"/>
    </w:rPr>
  </w:style>
  <w:style w:type="character" w:customStyle="1" w:styleId="47">
    <w:name w:val="标题 4 Char"/>
    <w:link w:val="7"/>
    <w:qFormat/>
    <w:uiPriority w:val="0"/>
    <w:rPr>
      <w:rFonts w:ascii="Times New Roman" w:hAnsi="Times New Roman" w:eastAsia="宋体"/>
      <w:b/>
      <w:bCs/>
      <w:szCs w:val="28"/>
    </w:rPr>
  </w:style>
  <w:style w:type="paragraph" w:customStyle="1" w:styleId="48">
    <w:name w:val="表名（liang)"/>
    <w:basedOn w:val="1"/>
    <w:next w:val="1"/>
    <w:qFormat/>
    <w:uiPriority w:val="0"/>
    <w:pPr>
      <w:numPr>
        <w:ilvl w:val="2"/>
        <w:numId w:val="4"/>
      </w:numPr>
      <w:topLinePunct/>
      <w:autoSpaceDE w:val="0"/>
      <w:autoSpaceDN w:val="0"/>
      <w:adjustRightInd w:val="0"/>
      <w:snapToGrid w:val="0"/>
      <w:spacing w:before="25" w:beforeLines="25"/>
      <w:jc w:val="center"/>
      <w:textAlignment w:val="baseline"/>
    </w:pPr>
    <w:rPr>
      <w:b/>
      <w:kern w:val="24"/>
      <w:position w:val="-27"/>
    </w:rPr>
  </w:style>
  <w:style w:type="paragraph" w:customStyle="1" w:styleId="49">
    <w:name w:val="aa正文"/>
    <w:qFormat/>
    <w:uiPriority w:val="0"/>
    <w:pPr>
      <w:widowControl w:val="0"/>
      <w:spacing w:line="360" w:lineRule="auto"/>
      <w:ind w:firstLine="200" w:firstLineChars="200"/>
      <w:jc w:val="both"/>
    </w:pPr>
    <w:rPr>
      <w:rFonts w:ascii="Calibri" w:hAnsi="Calibri" w:eastAsia="宋体" w:cs="Times New Roman"/>
      <w:kern w:val="2"/>
      <w:sz w:val="24"/>
      <w:szCs w:val="21"/>
      <w:lang w:val="en-US" w:eastAsia="zh-CN" w:bidi="ar-SA"/>
    </w:rPr>
  </w:style>
  <w:style w:type="paragraph" w:customStyle="1" w:styleId="50">
    <w:name w:val="科隆表格文字"/>
    <w:qFormat/>
    <w:uiPriority w:val="0"/>
    <w:pPr>
      <w:widowControl w:val="0"/>
      <w:autoSpaceDE w:val="0"/>
      <w:autoSpaceDN w:val="0"/>
      <w:adjustRightInd w:val="0"/>
      <w:spacing w:line="440" w:lineRule="exact"/>
      <w:ind w:firstLine="883"/>
      <w:jc w:val="center"/>
    </w:pPr>
    <w:rPr>
      <w:rFonts w:ascii="Calibri" w:hAnsi="Calibri" w:eastAsia="宋体" w:cs="Times New Roman"/>
      <w:sz w:val="34"/>
      <w:lang w:val="zh-CN" w:eastAsia="zh-CN" w:bidi="ar-SA"/>
    </w:rPr>
  </w:style>
  <w:style w:type="paragraph" w:customStyle="1" w:styleId="51">
    <w:name w:val="缩进"/>
    <w:qFormat/>
    <w:uiPriority w:val="0"/>
    <w:pPr>
      <w:widowControl w:val="0"/>
      <w:autoSpaceDE w:val="0"/>
      <w:autoSpaceDN w:val="0"/>
      <w:adjustRightInd w:val="0"/>
      <w:spacing w:line="400" w:lineRule="atLeast"/>
      <w:ind w:firstLine="480" w:firstLineChars="200"/>
      <w:jc w:val="both"/>
      <w:textAlignment w:val="baseline"/>
    </w:pPr>
    <w:rPr>
      <w:rFonts w:ascii="Calibri" w:hAnsi="Calibri" w:eastAsia="宋体" w:cs="Times New Roman"/>
      <w:kern w:val="2"/>
      <w:sz w:val="24"/>
      <w:lang w:val="en-US" w:eastAsia="zh-CN" w:bidi="ar-SA"/>
    </w:rPr>
  </w:style>
  <w:style w:type="paragraph" w:customStyle="1" w:styleId="52">
    <w:name w:val="表头"/>
    <w:qFormat/>
    <w:uiPriority w:val="0"/>
    <w:pPr>
      <w:widowControl w:val="0"/>
      <w:adjustRightInd w:val="0"/>
      <w:spacing w:before="120" w:after="120"/>
      <w:jc w:val="center"/>
    </w:pPr>
    <w:rPr>
      <w:rFonts w:ascii="宋体" w:hAnsi="宋体" w:eastAsia="宋体" w:cs="Times New Roman"/>
      <w:kern w:val="2"/>
      <w:sz w:val="24"/>
      <w:lang w:val="en-US" w:eastAsia="zh-CN" w:bidi="ar-SA"/>
    </w:rPr>
  </w:style>
  <w:style w:type="paragraph" w:customStyle="1" w:styleId="53">
    <w:name w:val="Table Paragraph"/>
    <w:qFormat/>
    <w:uiPriority w:val="1"/>
    <w:pPr>
      <w:widowControl w:val="0"/>
      <w:jc w:val="center"/>
    </w:pPr>
    <w:rPr>
      <w:rFonts w:ascii="Calibri" w:hAnsi="Calibri" w:eastAsia="宋体" w:cs="Times New Roman"/>
      <w:sz w:val="22"/>
      <w:szCs w:val="22"/>
      <w:lang w:val="en-US" w:eastAsia="zh-CN" w:bidi="ar-SA"/>
    </w:rPr>
  </w:style>
  <w:style w:type="paragraph" w:customStyle="1" w:styleId="54">
    <w:name w:val="报告正文"/>
    <w:basedOn w:val="1"/>
    <w:next w:val="1"/>
    <w:qFormat/>
    <w:uiPriority w:val="0"/>
    <w:pPr>
      <w:widowControl/>
      <w:adjustRightInd w:val="0"/>
      <w:snapToGrid w:val="0"/>
      <w:spacing w:line="360" w:lineRule="auto"/>
      <w:ind w:firstLine="200" w:firstLineChars="200"/>
      <w:jc w:val="left"/>
    </w:pPr>
    <w:rPr>
      <w:rFonts w:ascii="Tahoma" w:hAnsi="Tahoma" w:cs="Tahoma"/>
      <w:kern w:val="0"/>
      <w:sz w:val="24"/>
      <w:szCs w:val="20"/>
    </w:rPr>
  </w:style>
  <w:style w:type="character" w:customStyle="1" w:styleId="55">
    <w:name w:val="表头及表尾 Char Char"/>
    <w:qFormat/>
    <w:uiPriority w:val="0"/>
    <w:rPr>
      <w:b/>
      <w:kern w:val="2"/>
      <w:sz w:val="21"/>
      <w:szCs w:val="21"/>
      <w:lang w:val="en-US" w:eastAsia="zh-CN" w:bidi="ar-SA"/>
    </w:rPr>
  </w:style>
  <w:style w:type="paragraph" w:customStyle="1" w:styleId="56">
    <w:name w:val="表内"/>
    <w:basedOn w:val="57"/>
    <w:qFormat/>
    <w:uiPriority w:val="0"/>
    <w:pPr>
      <w:spacing w:line="240" w:lineRule="auto"/>
      <w:ind w:firstLine="0" w:firstLineChars="0"/>
      <w:jc w:val="center"/>
    </w:pPr>
    <w:rPr>
      <w:sz w:val="21"/>
    </w:rPr>
  </w:style>
  <w:style w:type="paragraph" w:customStyle="1" w:styleId="57">
    <w:name w:val="文"/>
    <w:basedOn w:val="1"/>
    <w:qFormat/>
    <w:uiPriority w:val="0"/>
    <w:pPr>
      <w:spacing w:line="360" w:lineRule="auto"/>
      <w:ind w:firstLine="480" w:firstLineChars="200"/>
    </w:pPr>
    <w:rPr>
      <w:sz w:val="24"/>
    </w:rPr>
  </w:style>
  <w:style w:type="paragraph" w:customStyle="1" w:styleId="58">
    <w:name w:val="正文文本缩进 21"/>
    <w:basedOn w:val="1"/>
    <w:qFormat/>
    <w:uiPriority w:val="0"/>
    <w:pPr>
      <w:adjustRightInd w:val="0"/>
      <w:snapToGrid w:val="0"/>
      <w:spacing w:line="360" w:lineRule="auto"/>
      <w:ind w:firstLine="573"/>
    </w:pPr>
    <w:rPr>
      <w:rFonts w:ascii="宋体"/>
      <w:caps/>
      <w:sz w:val="28"/>
      <w:szCs w:val="20"/>
    </w:rPr>
  </w:style>
  <w:style w:type="paragraph" w:customStyle="1" w:styleId="59">
    <w:name w:val="表格 32"/>
    <w:basedOn w:val="1"/>
    <w:qFormat/>
    <w:uiPriority w:val="0"/>
    <w:pPr>
      <w:autoSpaceDE w:val="0"/>
      <w:autoSpaceDN w:val="0"/>
      <w:adjustRightInd w:val="0"/>
      <w:jc w:val="center"/>
      <w:textAlignment w:val="baseline"/>
    </w:pPr>
    <w:rPr>
      <w:rFonts w:ascii="宋体" w:hAnsi="Impact"/>
      <w:kern w:val="24"/>
      <w:sz w:val="24"/>
    </w:rPr>
  </w:style>
  <w:style w:type="paragraph" w:styleId="60">
    <w:name w:val="No Spacing"/>
    <w:next w:val="1"/>
    <w:qFormat/>
    <w:uiPriority w:val="0"/>
    <w:rPr>
      <w:rFonts w:ascii="华文仿宋" w:hAnsi="华文仿宋" w:eastAsia="Tahoma" w:cs="Times New Roman"/>
      <w:sz w:val="22"/>
      <w:lang w:val="en-US" w:eastAsia="zh-CN" w:bidi="ar-SA"/>
    </w:rPr>
  </w:style>
  <w:style w:type="paragraph" w:customStyle="1" w:styleId="61">
    <w:name w:val="_Style 1"/>
    <w:qFormat/>
    <w:uiPriority w:val="0"/>
    <w:pPr>
      <w:widowControl w:val="0"/>
      <w:jc w:val="center"/>
    </w:pPr>
    <w:rPr>
      <w:rFonts w:ascii="Times New Roman" w:hAnsi="Times New Roman" w:eastAsia="宋体" w:cs="Times New Roman"/>
      <w:kern w:val="2"/>
      <w:sz w:val="21"/>
      <w:szCs w:val="22"/>
      <w:lang w:val="en-US" w:eastAsia="zh-CN" w:bidi="ar-SA"/>
    </w:rPr>
  </w:style>
  <w:style w:type="paragraph" w:customStyle="1" w:styleId="62">
    <w:name w:val="icon-lemma"/>
    <w:basedOn w:val="1"/>
    <w:qFormat/>
    <w:uiPriority w:val="0"/>
    <w:pPr>
      <w:widowControl/>
      <w:spacing w:before="100" w:beforeAutospacing="1" w:after="100" w:afterAutospacing="1"/>
      <w:jc w:val="left"/>
    </w:pPr>
    <w:rPr>
      <w:rFonts w:ascii="宋体" w:hAnsi="宋体" w:cs="宋体"/>
      <w:kern w:val="0"/>
      <w:sz w:val="24"/>
    </w:rPr>
  </w:style>
  <w:style w:type="character" w:customStyle="1" w:styleId="63">
    <w:name w:val="引用 Char"/>
    <w:link w:val="64"/>
    <w:qFormat/>
    <w:uiPriority w:val="0"/>
    <w:rPr>
      <w:i/>
      <w:color w:val="000000"/>
      <w:kern w:val="0"/>
      <w:sz w:val="20"/>
      <w:szCs w:val="20"/>
    </w:rPr>
  </w:style>
  <w:style w:type="paragraph" w:customStyle="1" w:styleId="64">
    <w:name w:val="宗兴4"/>
    <w:basedOn w:val="1"/>
    <w:link w:val="63"/>
    <w:qFormat/>
    <w:uiPriority w:val="0"/>
    <w:pPr>
      <w:keepNext/>
      <w:keepLines/>
      <w:adjustRightInd w:val="0"/>
      <w:spacing w:before="156" w:beforeLines="50" w:after="156" w:afterLines="50" w:line="360" w:lineRule="auto"/>
      <w:textAlignment w:val="baseline"/>
      <w:outlineLvl w:val="0"/>
    </w:pPr>
    <w:rPr>
      <w:i/>
      <w:color w:val="000000"/>
      <w:kern w:val="0"/>
      <w:sz w:val="20"/>
      <w:szCs w:val="20"/>
    </w:rPr>
  </w:style>
  <w:style w:type="paragraph" w:customStyle="1" w:styleId="65">
    <w:name w:val="样式 行距: 单倍行距"/>
    <w:qFormat/>
    <w:uiPriority w:val="0"/>
    <w:pPr>
      <w:widowControl w:val="0"/>
      <w:adjustRightInd w:val="0"/>
      <w:jc w:val="both"/>
      <w:textAlignment w:val="baseline"/>
    </w:pPr>
    <w:rPr>
      <w:rFonts w:ascii="Times New Roman" w:hAnsi="Times New Roman" w:eastAsia="宋体" w:cs="宋体"/>
      <w:kern w:val="2"/>
      <w:sz w:val="21"/>
      <w:lang w:val="en-US" w:eastAsia="zh-CN" w:bidi="ar-SA"/>
    </w:rPr>
  </w:style>
  <w:style w:type="paragraph" w:customStyle="1" w:styleId="66">
    <w:name w:val="表头文字13"/>
    <w:qFormat/>
    <w:uiPriority w:val="0"/>
    <w:pPr>
      <w:widowControl w:val="0"/>
      <w:adjustRightInd w:val="0"/>
      <w:snapToGrid w:val="0"/>
      <w:spacing w:before="120" w:line="460" w:lineRule="exact"/>
      <w:jc w:val="center"/>
    </w:pPr>
    <w:rPr>
      <w:rFonts w:ascii="黑体" w:hAnsi="Times New Roman" w:eastAsia="黑体" w:cs="Times New Roman"/>
      <w:kern w:val="2"/>
      <w:sz w:val="22"/>
      <w:szCs w:val="22"/>
      <w:lang w:val="en-US" w:eastAsia="zh-CN" w:bidi="ar-SA"/>
    </w:rPr>
  </w:style>
  <w:style w:type="paragraph" w:customStyle="1" w:styleId="67">
    <w:name w:val="正文！"/>
    <w:qFormat/>
    <w:uiPriority w:val="99"/>
    <w:pPr>
      <w:widowControl w:val="0"/>
      <w:adjustRightInd w:val="0"/>
      <w:snapToGrid w:val="0"/>
      <w:spacing w:line="312" w:lineRule="auto"/>
      <w:ind w:firstLine="200" w:firstLineChars="200"/>
      <w:jc w:val="both"/>
    </w:pPr>
    <w:rPr>
      <w:rFonts w:ascii="Times New Roman" w:hAnsi="Times New Roman" w:eastAsia="宋体" w:cs="Times New Roman"/>
      <w:kern w:val="2"/>
      <w:sz w:val="24"/>
      <w:szCs w:val="22"/>
      <w:lang w:val="en-US" w:eastAsia="zh-CN" w:bidi="ar-SA"/>
    </w:rPr>
  </w:style>
  <w:style w:type="paragraph" w:customStyle="1" w:styleId="68">
    <w:name w:val="我的正文"/>
    <w:qFormat/>
    <w:uiPriority w:val="0"/>
    <w:pPr>
      <w:spacing w:line="440" w:lineRule="exact"/>
      <w:ind w:firstLine="200" w:firstLineChars="200"/>
    </w:pPr>
    <w:rPr>
      <w:rFonts w:ascii="Tahoma" w:hAnsi="Tahoma" w:eastAsia="Tahoma" w:cs="Times New Roman"/>
      <w:b/>
      <w:sz w:val="24"/>
      <w:szCs w:val="24"/>
      <w:lang w:val="en-US" w:eastAsia="zh-CN" w:bidi="ar-SA"/>
    </w:rPr>
  </w:style>
  <w:style w:type="paragraph" w:customStyle="1" w:styleId="69">
    <w:name w:val="WPSOffice手动目录 1"/>
    <w:qFormat/>
    <w:uiPriority w:val="0"/>
    <w:rPr>
      <w:rFonts w:ascii="Times New Roman" w:hAnsi="Times New Roman" w:eastAsia="宋体" w:cs="Times New Roman"/>
      <w:lang w:val="en-US" w:eastAsia="zh-CN" w:bidi="ar-SA"/>
    </w:rPr>
  </w:style>
  <w:style w:type="paragraph" w:customStyle="1" w:styleId="70">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71">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72">
    <w:name w:val="Body text|1"/>
    <w:basedOn w:val="1"/>
    <w:qFormat/>
    <w:uiPriority w:val="0"/>
    <w:pPr>
      <w:spacing w:line="391" w:lineRule="auto"/>
      <w:ind w:firstLine="400"/>
    </w:pPr>
    <w:rPr>
      <w:rFonts w:ascii="宋体" w:hAnsi="宋体" w:cs="宋体"/>
      <w:sz w:val="50"/>
      <w:szCs w:val="50"/>
      <w:lang w:val="zh-TW" w:eastAsia="zh-TW" w:bidi="zh-TW"/>
    </w:rPr>
  </w:style>
  <w:style w:type="character" w:customStyle="1" w:styleId="73">
    <w:name w:val="批注框文本 Char"/>
    <w:basedOn w:val="33"/>
    <w:link w:val="22"/>
    <w:qFormat/>
    <w:uiPriority w:val="0"/>
    <w:rPr>
      <w:rFonts w:ascii="Times New Roman" w:hAnsi="Times New Roman"/>
      <w:kern w:val="2"/>
      <w:sz w:val="18"/>
      <w:szCs w:val="18"/>
    </w:rPr>
  </w:style>
  <w:style w:type="character" w:customStyle="1" w:styleId="74">
    <w:name w:val="批注文字 Char"/>
    <w:basedOn w:val="33"/>
    <w:link w:val="19"/>
    <w:qFormat/>
    <w:uiPriority w:val="0"/>
    <w:rPr>
      <w:rFonts w:ascii="Times New Roman" w:hAnsi="Times New Roman"/>
      <w:kern w:val="2"/>
      <w:sz w:val="21"/>
      <w:szCs w:val="21"/>
    </w:rPr>
  </w:style>
  <w:style w:type="character" w:customStyle="1" w:styleId="75">
    <w:name w:val="批注主题 Char"/>
    <w:basedOn w:val="74"/>
    <w:link w:val="29"/>
    <w:qFormat/>
    <w:uiPriority w:val="0"/>
    <w:rPr>
      <w:rFonts w:ascii="Times New Roman" w:hAnsi="Times New Roman"/>
      <w:b/>
      <w:bCs/>
      <w:kern w:val="2"/>
      <w:sz w:val="21"/>
      <w:szCs w:val="21"/>
    </w:rPr>
  </w:style>
  <w:style w:type="paragraph" w:customStyle="1" w:styleId="76">
    <w:name w:val="1表格字体"/>
    <w:basedOn w:val="1"/>
    <w:qFormat/>
    <w:uiPriority w:val="0"/>
    <w:pPr>
      <w:adjustRightInd w:val="0"/>
      <w:jc w:val="center"/>
    </w:pPr>
    <w:rPr>
      <w:szCs w:val="24"/>
    </w:rPr>
  </w:style>
  <w:style w:type="character" w:customStyle="1" w:styleId="77">
    <w:name w:val="HJ-正文 Char"/>
    <w:link w:val="78"/>
    <w:qFormat/>
    <w:uiPriority w:val="0"/>
    <w:rPr>
      <w:rFonts w:ascii="Calibri" w:hAnsi="Calibri" w:eastAsia="宋体" w:cs="Times New Roman"/>
      <w:sz w:val="24"/>
      <w:szCs w:val="21"/>
      <w:lang w:eastAsia="en-US"/>
    </w:rPr>
  </w:style>
  <w:style w:type="paragraph" w:customStyle="1" w:styleId="78">
    <w:name w:val="HJ-正文"/>
    <w:basedOn w:val="1"/>
    <w:link w:val="77"/>
    <w:qFormat/>
    <w:uiPriority w:val="0"/>
    <w:pPr>
      <w:spacing w:line="360" w:lineRule="auto"/>
      <w:ind w:firstLine="200" w:firstLineChars="200"/>
      <w:jc w:val="left"/>
    </w:pPr>
    <w:rPr>
      <w:rFonts w:ascii="Calibri" w:hAnsi="Calibri"/>
      <w:sz w:val="24"/>
      <w:lang w:eastAsia="en-US"/>
    </w:rPr>
  </w:style>
  <w:style w:type="paragraph" w:customStyle="1" w:styleId="79">
    <w:name w:val="正文61"/>
    <w:basedOn w:val="1"/>
    <w:qFormat/>
    <w:uiPriority w:val="0"/>
    <w:pPr>
      <w:snapToGrid w:val="0"/>
      <w:spacing w:line="360" w:lineRule="auto"/>
      <w:ind w:firstLine="200" w:firstLineChars="200"/>
    </w:pPr>
    <w:rPr>
      <w:sz w:val="24"/>
    </w:rPr>
  </w:style>
  <w:style w:type="paragraph" w:styleId="80">
    <w:name w:val="List Paragraph"/>
    <w:basedOn w:val="1"/>
    <w:unhideWhenUsed/>
    <w:qFormat/>
    <w:uiPriority w:val="1"/>
    <w:rPr>
      <w:sz w:val="24"/>
    </w:rPr>
  </w:style>
  <w:style w:type="table" w:customStyle="1" w:styleId="81">
    <w:name w:val="Table Normal"/>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82">
    <w:name w:val="font31"/>
    <w:basedOn w:val="33"/>
    <w:qFormat/>
    <w:uiPriority w:val="0"/>
    <w:rPr>
      <w:rFonts w:hint="default" w:ascii="Arial" w:hAnsi="Arial" w:cs="Arial"/>
      <w:color w:val="313131"/>
      <w:sz w:val="20"/>
      <w:szCs w:val="20"/>
      <w:u w:val="none"/>
    </w:rPr>
  </w:style>
  <w:style w:type="character" w:customStyle="1" w:styleId="83">
    <w:name w:val="font11"/>
    <w:basedOn w:val="33"/>
    <w:qFormat/>
    <w:uiPriority w:val="0"/>
    <w:rPr>
      <w:rFonts w:hint="default" w:ascii="Arial" w:hAnsi="Arial" w:cs="Arial"/>
      <w:color w:val="6E706E"/>
      <w:sz w:val="20"/>
      <w:szCs w:val="20"/>
      <w:u w:val="none"/>
    </w:rPr>
  </w:style>
  <w:style w:type="paragraph" w:customStyle="1" w:styleId="84">
    <w:name w:val="麦志勤表格式"/>
    <w:basedOn w:val="1"/>
    <w:qFormat/>
    <w:uiPriority w:val="0"/>
    <w:pPr>
      <w:adjustRightInd w:val="0"/>
      <w:snapToGrid w:val="0"/>
      <w:spacing w:line="0" w:lineRule="atLeast"/>
      <w:jc w:val="center"/>
    </w:pPr>
    <w:rPr>
      <w:rFonts w:ascii="宋体" w:hAnsi="宋体" w:eastAsia="宋体" w:cs="Times New Roman"/>
      <w:sz w:val="24"/>
      <w:szCs w:val="20"/>
    </w:rPr>
  </w:style>
  <w:style w:type="paragraph" w:customStyle="1" w:styleId="85">
    <w:name w:val="Table Paragraph（表格格式）"/>
    <w:basedOn w:val="1"/>
    <w:qFormat/>
    <w:uiPriority w:val="1"/>
    <w:pPr>
      <w:autoSpaceDE w:val="0"/>
      <w:autoSpaceDN w:val="0"/>
      <w:spacing w:line="240" w:lineRule="auto"/>
      <w:ind w:firstLine="0" w:firstLineChars="0"/>
      <w:jc w:val="center"/>
    </w:pPr>
    <w:rPr>
      <w:rFonts w:cs="Times New Roman"/>
      <w:kern w:val="0"/>
      <w:sz w:val="21"/>
      <w:lang w:eastAsia="en-US"/>
    </w:rPr>
  </w:style>
  <w:style w:type="character" w:customStyle="1" w:styleId="86">
    <w:name w:val="10"/>
    <w:basedOn w:val="33"/>
    <w:qFormat/>
    <w:uiPriority w:val="0"/>
    <w:rPr>
      <w:rFonts w:hint="default" w:ascii="Times New Roman" w:hAnsi="Times New Roman" w:cs="Times New Roman"/>
    </w:rPr>
  </w:style>
  <w:style w:type="paragraph" w:customStyle="1" w:styleId="87">
    <w:name w:val="正文文本水智慧"/>
    <w:basedOn w:val="20"/>
    <w:qFormat/>
    <w:uiPriority w:val="0"/>
    <w:pPr>
      <w:adjustRightInd w:val="0"/>
      <w:snapToGrid w:val="0"/>
      <w:spacing w:after="0" w:line="360" w:lineRule="auto"/>
      <w:ind w:firstLine="200" w:firstLineChars="200"/>
    </w:pPr>
    <w:rPr>
      <w:rFonts w:eastAsia="仿宋_GB2312"/>
      <w:sz w:val="24"/>
    </w:rPr>
  </w:style>
  <w:style w:type="paragraph" w:customStyle="1" w:styleId="88">
    <w:name w:val="页眉水智慧"/>
    <w:basedOn w:val="24"/>
    <w:qFormat/>
    <w:uiPriority w:val="0"/>
    <w:pPr>
      <w:pBdr>
        <w:bottom w:val="single" w:color="auto" w:sz="4" w:space="0"/>
      </w:pBdr>
      <w:adjustRightInd w:val="0"/>
      <w:jc w:val="both"/>
    </w:pPr>
    <w:rPr>
      <w:rFonts w:eastAsia="仿宋_GB2312"/>
      <w:color w:val="000000"/>
    </w:rPr>
  </w:style>
  <w:style w:type="paragraph" w:customStyle="1" w:styleId="89">
    <w:name w:val="页脚水智慧"/>
    <w:basedOn w:val="23"/>
    <w:qFormat/>
    <w:uiPriority w:val="0"/>
    <w:pPr>
      <w:pBdr>
        <w:top w:val="single" w:color="auto" w:sz="4" w:space="1"/>
      </w:pBdr>
      <w:adjustRightInd w:val="0"/>
      <w:jc w:val="both"/>
    </w:pPr>
    <w:rPr>
      <w:rFonts w:eastAsia="仿宋_GB2312"/>
    </w:rPr>
  </w:style>
  <w:style w:type="character" w:customStyle="1" w:styleId="90">
    <w:name w:val="font01"/>
    <w:basedOn w:val="33"/>
    <w:qFormat/>
    <w:uiPriority w:val="0"/>
    <w:rPr>
      <w:rFonts w:hint="default" w:ascii="Calibri" w:hAnsi="Calibri" w:cs="Calibri"/>
      <w:color w:val="000000"/>
      <w:sz w:val="21"/>
      <w:szCs w:val="21"/>
      <w:u w:val="none"/>
    </w:rPr>
  </w:style>
  <w:style w:type="paragraph" w:customStyle="1" w:styleId="91">
    <w:name w:val="基准页眉样式"/>
    <w:basedOn w:val="1"/>
    <w:qFormat/>
    <w:uiPriority w:val="0"/>
    <w:pPr>
      <w:keepLines/>
      <w:widowControl/>
      <w:tabs>
        <w:tab w:val="center" w:pos="4320"/>
        <w:tab w:val="right" w:pos="8640"/>
      </w:tabs>
      <w:jc w:val="left"/>
    </w:pPr>
    <w:rPr>
      <w:rFonts w:ascii="Garamond" w:hAnsi="Garamond" w:eastAsia="Times New Roman"/>
      <w:kern w:val="0"/>
      <w:sz w:val="16"/>
      <w:szCs w:val="20"/>
    </w:rPr>
  </w:style>
  <w:style w:type="character" w:customStyle="1" w:styleId="92">
    <w:name w:val="font21"/>
    <w:basedOn w:val="33"/>
    <w:qFormat/>
    <w:uiPriority w:val="0"/>
    <w:rPr>
      <w:rFonts w:hint="default" w:ascii="Times New Roman" w:hAnsi="Times New Roman" w:cs="Times New Roman"/>
      <w:b/>
      <w:bCs/>
      <w:color w:val="000000"/>
      <w:sz w:val="21"/>
      <w:szCs w:val="21"/>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4" Type="http://schemas.openxmlformats.org/officeDocument/2006/relationships/fontTable" Target="fontTable.xml"/><Relationship Id="rId43" Type="http://schemas.openxmlformats.org/officeDocument/2006/relationships/customXml" Target="../customXml/item2.xml"/><Relationship Id="rId42" Type="http://schemas.openxmlformats.org/officeDocument/2006/relationships/numbering" Target="numbering.xml"/><Relationship Id="rId41" Type="http://schemas.openxmlformats.org/officeDocument/2006/relationships/customXml" Target="../customXml/item1.xml"/><Relationship Id="rId40" Type="http://schemas.openxmlformats.org/officeDocument/2006/relationships/image" Target="media/image24.png"/><Relationship Id="rId4" Type="http://schemas.openxmlformats.org/officeDocument/2006/relationships/footer" Target="footer1.xml"/><Relationship Id="rId39" Type="http://schemas.openxmlformats.org/officeDocument/2006/relationships/image" Target="media/image23.png"/><Relationship Id="rId38" Type="http://schemas.openxmlformats.org/officeDocument/2006/relationships/image" Target="media/image22.png"/><Relationship Id="rId37" Type="http://schemas.openxmlformats.org/officeDocument/2006/relationships/image" Target="media/image21.png"/><Relationship Id="rId36" Type="http://schemas.openxmlformats.org/officeDocument/2006/relationships/image" Target="media/image20.wmf"/><Relationship Id="rId35" Type="http://schemas.openxmlformats.org/officeDocument/2006/relationships/oleObject" Target="embeddings/oleObject3.bin"/><Relationship Id="rId34" Type="http://schemas.openxmlformats.org/officeDocument/2006/relationships/image" Target="media/image19.jpeg"/><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wmf"/><Relationship Id="rId30" Type="http://schemas.openxmlformats.org/officeDocument/2006/relationships/oleObject" Target="embeddings/oleObject2.bin"/><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emf"/><Relationship Id="rId24" Type="http://schemas.openxmlformats.org/officeDocument/2006/relationships/image" Target="media/image10.jpeg"/><Relationship Id="rId23" Type="http://schemas.openxmlformats.org/officeDocument/2006/relationships/image" Target="media/image9.png"/><Relationship Id="rId22" Type="http://schemas.openxmlformats.org/officeDocument/2006/relationships/image" Target="media/image8.emf"/><Relationship Id="rId21" Type="http://schemas.openxmlformats.org/officeDocument/2006/relationships/oleObject" Target="embeddings/oleObject1.bin"/><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jpe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295976-E8ED-4B72-81F8-CCB78DB879D5}">
  <ds:schemaRefs/>
</ds:datastoreItem>
</file>

<file path=docProps/app.xml><?xml version="1.0" encoding="utf-8"?>
<Properties xmlns="http://schemas.openxmlformats.org/officeDocument/2006/extended-properties" xmlns:vt="http://schemas.openxmlformats.org/officeDocument/2006/docPropsVTypes">
  <Template>Normal</Template>
  <Pages>84</Pages>
  <Words>716</Words>
  <Characters>841</Characters>
  <Lines>1139</Lines>
  <Paragraphs>320</Paragraphs>
  <TotalTime>30</TotalTime>
  <ScaleCrop>false</ScaleCrop>
  <LinksUpToDate>false</LinksUpToDate>
  <CharactersWithSpaces>1054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2020-09-09T02:36:00Z</dcterms:created>
  <dc:creator>86180</dc:creator>
  <cp:lastModifiedBy>WPS_1635772389</cp:lastModifiedBy>
  <dcterms:modified xsi:type="dcterms:W3CDTF">2026-08-28T07:56:22Z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9929EB58516B4B79B0BFBE5343F7D155_13</vt:lpwstr>
  </property>
  <property fmtid="{D5CDD505-2E9C-101B-9397-08002B2CF9AE}" pid="4" name="KSOTemplateDocerSaveRecord">
    <vt:lpwstr>eyJoZGlkIjoiNzI0OGY3MmQ5ZDI3YzUzZTZmNTRmYzEyOTNhZTRhNDYiLCJ1c2VySWQiOiIxMjkwOTQ1NzM5In0=</vt:lpwstr>
  </property>
</Properties>
</file>